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75F40">
      <w:pPr>
        <w:widowControl w:val="0"/>
        <w:snapToGrid w:val="0"/>
        <w:spacing w:line="360" w:lineRule="auto"/>
        <w:jc w:val="center"/>
        <w:outlineLvl w:val="0"/>
        <w:rPr>
          <w:rFonts w:eastAsia="方正黑体简体"/>
          <w:color w:val="auto"/>
          <w:sz w:val="36"/>
          <w:szCs w:val="36"/>
          <w:highlight w:val="none"/>
        </w:rPr>
      </w:pPr>
      <w:r>
        <w:rPr>
          <w:rFonts w:hint="eastAsia" w:eastAsia="黑体"/>
          <w:b/>
          <w:color w:val="auto"/>
          <w:sz w:val="36"/>
          <w:szCs w:val="36"/>
          <w:highlight w:val="none"/>
        </w:rPr>
        <w:t>招标项目要求及采购需求</w:t>
      </w:r>
    </w:p>
    <w:p w14:paraId="3FB596D6">
      <w:pPr>
        <w:widowControl w:val="0"/>
        <w:snapToGrid w:val="0"/>
        <w:spacing w:line="360" w:lineRule="auto"/>
        <w:jc w:val="center"/>
        <w:rPr>
          <w:b/>
          <w:color w:val="auto"/>
          <w:sz w:val="28"/>
          <w:highlight w:val="none"/>
        </w:rPr>
      </w:pPr>
    </w:p>
    <w:p w14:paraId="07142CE2">
      <w:pPr>
        <w:widowControl w:val="0"/>
        <w:snapToGrid w:val="0"/>
        <w:spacing w:line="360" w:lineRule="auto"/>
        <w:ind w:firstLine="422" w:firstLineChars="150"/>
        <w:jc w:val="left"/>
        <w:outlineLvl w:val="1"/>
        <w:rPr>
          <w:rFonts w:ascii="黑体" w:hAnsi="黑体" w:eastAsia="黑体"/>
          <w:b/>
          <w:color w:val="auto"/>
          <w:sz w:val="28"/>
          <w:highlight w:val="none"/>
        </w:rPr>
      </w:pPr>
      <w:r>
        <w:rPr>
          <w:rFonts w:ascii="黑体" w:hAnsi="黑体" w:eastAsia="黑体"/>
          <w:b/>
          <w:color w:val="auto"/>
          <w:sz w:val="28"/>
          <w:highlight w:val="none"/>
        </w:rPr>
        <w:t xml:space="preserve">1. </w:t>
      </w:r>
      <w:r>
        <w:rPr>
          <w:rFonts w:hint="eastAsia" w:ascii="黑体" w:hAnsi="黑体" w:eastAsia="黑体"/>
          <w:b/>
          <w:color w:val="auto"/>
          <w:sz w:val="28"/>
          <w:highlight w:val="none"/>
        </w:rPr>
        <w:t>招标项目、标段（包）划分、投标报价</w:t>
      </w:r>
    </w:p>
    <w:p w14:paraId="504CE72C">
      <w:pPr>
        <w:widowControl w:val="0"/>
        <w:adjustRightInd w:val="0"/>
        <w:snapToGrid w:val="0"/>
        <w:spacing w:line="360" w:lineRule="auto"/>
        <w:ind w:firstLine="542" w:firstLineChars="225"/>
        <w:jc w:val="left"/>
        <w:rPr>
          <w:color w:val="auto"/>
          <w:sz w:val="24"/>
          <w:szCs w:val="24"/>
          <w:highlight w:val="none"/>
        </w:rPr>
      </w:pPr>
      <w:r>
        <w:rPr>
          <w:rFonts w:ascii="黑体" w:hAnsi="黑体" w:eastAsia="黑体"/>
          <w:b/>
          <w:color w:val="auto"/>
          <w:sz w:val="24"/>
          <w:szCs w:val="24"/>
          <w:highlight w:val="none"/>
        </w:rPr>
        <w:t>1.1</w:t>
      </w:r>
      <w:r>
        <w:rPr>
          <w:rFonts w:hint="eastAsia" w:ascii="黑体" w:hAnsi="黑体" w:eastAsia="黑体"/>
          <w:b/>
          <w:color w:val="auto"/>
          <w:sz w:val="24"/>
          <w:szCs w:val="24"/>
          <w:highlight w:val="none"/>
        </w:rPr>
        <w:t>招标项目名称</w:t>
      </w:r>
      <w:r>
        <w:rPr>
          <w:rFonts w:hint="eastAsia"/>
          <w:color w:val="auto"/>
          <w:sz w:val="24"/>
          <w:szCs w:val="24"/>
          <w:highlight w:val="none"/>
        </w:rPr>
        <w:t>：</w:t>
      </w:r>
      <w:r>
        <w:rPr>
          <w:rFonts w:hint="eastAsia" w:ascii="宋体" w:hAnsi="宋体"/>
          <w:color w:val="auto"/>
          <w:sz w:val="24"/>
          <w:szCs w:val="24"/>
          <w:highlight w:val="none"/>
          <w:lang w:eastAsia="zh-CN"/>
        </w:rPr>
        <w:t>河南省安阳市中级人民法院智慧法庭改造及建设项目</w:t>
      </w:r>
    </w:p>
    <w:p w14:paraId="30443544">
      <w:pPr>
        <w:widowControl w:val="0"/>
        <w:snapToGrid w:val="0"/>
        <w:spacing w:line="360" w:lineRule="auto"/>
        <w:ind w:firstLine="482" w:firstLineChars="200"/>
        <w:jc w:val="left"/>
        <w:rPr>
          <w:color w:val="auto"/>
          <w:sz w:val="24"/>
          <w:szCs w:val="24"/>
          <w:highlight w:val="none"/>
        </w:rPr>
      </w:pPr>
      <w:r>
        <w:rPr>
          <w:rFonts w:ascii="黑体" w:hAnsi="黑体" w:eastAsia="黑体"/>
          <w:b/>
          <w:color w:val="auto"/>
          <w:sz w:val="24"/>
          <w:szCs w:val="24"/>
          <w:highlight w:val="none"/>
        </w:rPr>
        <w:t xml:space="preserve">1.2 </w:t>
      </w:r>
      <w:r>
        <w:rPr>
          <w:rFonts w:hint="eastAsia" w:ascii="黑体" w:hAnsi="黑体" w:eastAsia="黑体"/>
          <w:b/>
          <w:color w:val="auto"/>
          <w:sz w:val="24"/>
          <w:szCs w:val="24"/>
          <w:highlight w:val="none"/>
        </w:rPr>
        <w:t>标段（包）划分及其交付（实施）期交付（实施）地点</w:t>
      </w:r>
      <w:r>
        <w:rPr>
          <w:rFonts w:hint="eastAsia"/>
          <w:color w:val="auto"/>
          <w:sz w:val="24"/>
          <w:szCs w:val="24"/>
          <w:highlight w:val="none"/>
        </w:rPr>
        <w:t>：本次招标项目划分为</w:t>
      </w:r>
      <w:r>
        <w:rPr>
          <w:color w:val="auto"/>
          <w:sz w:val="24"/>
          <w:szCs w:val="24"/>
          <w:highlight w:val="none"/>
        </w:rPr>
        <w:t>1</w:t>
      </w:r>
      <w:r>
        <w:rPr>
          <w:rFonts w:hint="eastAsia"/>
          <w:color w:val="auto"/>
          <w:sz w:val="24"/>
          <w:szCs w:val="24"/>
          <w:highlight w:val="none"/>
        </w:rPr>
        <w:t>个标段（包）。</w:t>
      </w:r>
    </w:p>
    <w:tbl>
      <w:tblPr>
        <w:tblStyle w:val="3"/>
        <w:tblW w:w="9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4"/>
        <w:gridCol w:w="1729"/>
        <w:gridCol w:w="2586"/>
        <w:gridCol w:w="2051"/>
        <w:gridCol w:w="1450"/>
      </w:tblGrid>
      <w:tr w14:paraId="0FA3F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9940" w:type="dxa"/>
            <w:gridSpan w:val="5"/>
            <w:tcBorders>
              <w:top w:val="single" w:color="auto" w:sz="4" w:space="0"/>
              <w:left w:val="single" w:color="auto" w:sz="4" w:space="0"/>
              <w:bottom w:val="single" w:color="auto" w:sz="4" w:space="0"/>
              <w:right w:val="single" w:color="auto" w:sz="4" w:space="0"/>
            </w:tcBorders>
            <w:vAlign w:val="center"/>
          </w:tcPr>
          <w:p w14:paraId="747F64F2">
            <w:pPr>
              <w:widowControl w:val="0"/>
              <w:snapToGrid w:val="0"/>
              <w:spacing w:line="240" w:lineRule="auto"/>
              <w:jc w:val="center"/>
              <w:rPr>
                <w:rFonts w:ascii="宋体" w:hAnsi="宋体"/>
                <w:b/>
                <w:color w:val="auto"/>
                <w:sz w:val="24"/>
                <w:szCs w:val="24"/>
                <w:highlight w:val="none"/>
              </w:rPr>
            </w:pPr>
            <w:r>
              <w:rPr>
                <w:rFonts w:hint="eastAsia" w:ascii="宋体" w:hAnsi="宋体"/>
                <w:b/>
                <w:color w:val="auto"/>
                <w:sz w:val="24"/>
                <w:szCs w:val="24"/>
                <w:highlight w:val="none"/>
              </w:rPr>
              <w:t>标段（包）一览表</w:t>
            </w:r>
          </w:p>
        </w:tc>
      </w:tr>
      <w:tr w14:paraId="1F5C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2124" w:type="dxa"/>
            <w:vAlign w:val="center"/>
          </w:tcPr>
          <w:p w14:paraId="08F10C80">
            <w:pPr>
              <w:widowControl w:val="0"/>
              <w:snapToGrid w:val="0"/>
              <w:jc w:val="center"/>
              <w:rPr>
                <w:b/>
                <w:color w:val="auto"/>
                <w:sz w:val="24"/>
                <w:szCs w:val="24"/>
                <w:highlight w:val="none"/>
              </w:rPr>
            </w:pPr>
            <w:r>
              <w:rPr>
                <w:rFonts w:hint="eastAsia"/>
                <w:b/>
                <w:color w:val="auto"/>
                <w:sz w:val="24"/>
                <w:szCs w:val="24"/>
                <w:highlight w:val="none"/>
              </w:rPr>
              <w:t>项目名称</w:t>
            </w:r>
          </w:p>
        </w:tc>
        <w:tc>
          <w:tcPr>
            <w:tcW w:w="1729" w:type="dxa"/>
            <w:vAlign w:val="center"/>
          </w:tcPr>
          <w:p w14:paraId="3038AE0A">
            <w:pPr>
              <w:widowControl w:val="0"/>
              <w:snapToGrid w:val="0"/>
              <w:jc w:val="center"/>
              <w:rPr>
                <w:b/>
                <w:color w:val="auto"/>
                <w:sz w:val="24"/>
                <w:szCs w:val="24"/>
                <w:highlight w:val="none"/>
              </w:rPr>
            </w:pPr>
            <w:r>
              <w:rPr>
                <w:rFonts w:hint="eastAsia"/>
                <w:b/>
                <w:color w:val="auto"/>
                <w:sz w:val="24"/>
                <w:szCs w:val="24"/>
                <w:highlight w:val="none"/>
              </w:rPr>
              <w:t>标段（包）名称</w:t>
            </w:r>
          </w:p>
        </w:tc>
        <w:tc>
          <w:tcPr>
            <w:tcW w:w="2586" w:type="dxa"/>
            <w:vAlign w:val="center"/>
          </w:tcPr>
          <w:p w14:paraId="686836EC">
            <w:pPr>
              <w:widowControl w:val="0"/>
              <w:snapToGrid w:val="0"/>
              <w:jc w:val="center"/>
              <w:rPr>
                <w:rFonts w:ascii="宋体" w:hAnsi="宋体"/>
                <w:b/>
                <w:color w:val="auto"/>
                <w:sz w:val="24"/>
                <w:szCs w:val="24"/>
                <w:highlight w:val="none"/>
              </w:rPr>
            </w:pPr>
            <w:r>
              <w:rPr>
                <w:rFonts w:hint="eastAsia" w:ascii="宋体" w:hAnsi="宋体"/>
                <w:b/>
                <w:color w:val="auto"/>
                <w:sz w:val="24"/>
                <w:szCs w:val="24"/>
                <w:highlight w:val="none"/>
              </w:rPr>
              <w:t>标段（包）内容（范围）</w:t>
            </w:r>
          </w:p>
        </w:tc>
        <w:tc>
          <w:tcPr>
            <w:tcW w:w="2051" w:type="dxa"/>
            <w:vAlign w:val="center"/>
          </w:tcPr>
          <w:p w14:paraId="3EF499F9">
            <w:pPr>
              <w:widowControl w:val="0"/>
              <w:snapToGrid w:val="0"/>
              <w:spacing w:line="240" w:lineRule="auto"/>
              <w:jc w:val="center"/>
              <w:rPr>
                <w:rFonts w:ascii="宋体" w:hAnsi="宋体"/>
                <w:b/>
                <w:color w:val="auto"/>
                <w:sz w:val="24"/>
                <w:szCs w:val="24"/>
                <w:highlight w:val="none"/>
              </w:rPr>
            </w:pPr>
            <w:r>
              <w:rPr>
                <w:rFonts w:hint="eastAsia" w:ascii="宋体" w:hAnsi="宋体"/>
                <w:b/>
                <w:color w:val="auto"/>
                <w:sz w:val="24"/>
                <w:szCs w:val="24"/>
                <w:highlight w:val="none"/>
              </w:rPr>
              <w:t>合同履行期限</w:t>
            </w:r>
          </w:p>
          <w:p w14:paraId="168FF6DB">
            <w:pPr>
              <w:widowControl w:val="0"/>
              <w:snapToGrid w:val="0"/>
              <w:jc w:val="center"/>
              <w:rPr>
                <w:rFonts w:ascii="宋体" w:hAnsi="宋体"/>
                <w:b/>
                <w:color w:val="auto"/>
                <w:sz w:val="24"/>
                <w:szCs w:val="24"/>
                <w:highlight w:val="none"/>
              </w:rPr>
            </w:pPr>
            <w:r>
              <w:rPr>
                <w:rFonts w:hint="eastAsia" w:ascii="宋体" w:hAnsi="宋体"/>
                <w:b/>
                <w:color w:val="auto"/>
                <w:sz w:val="24"/>
                <w:szCs w:val="24"/>
                <w:highlight w:val="none"/>
              </w:rPr>
              <w:t>（交付&lt;实施&gt;期）</w:t>
            </w:r>
          </w:p>
        </w:tc>
        <w:tc>
          <w:tcPr>
            <w:tcW w:w="1450" w:type="dxa"/>
            <w:vAlign w:val="center"/>
          </w:tcPr>
          <w:p w14:paraId="02A003FD">
            <w:pPr>
              <w:widowControl w:val="0"/>
              <w:snapToGrid w:val="0"/>
              <w:jc w:val="center"/>
              <w:rPr>
                <w:rFonts w:ascii="宋体" w:hAnsi="宋体"/>
                <w:b/>
                <w:color w:val="auto"/>
                <w:sz w:val="24"/>
                <w:szCs w:val="24"/>
                <w:highlight w:val="none"/>
              </w:rPr>
            </w:pPr>
            <w:r>
              <w:rPr>
                <w:rFonts w:hint="eastAsia" w:ascii="宋体" w:hAnsi="宋体"/>
                <w:b/>
                <w:color w:val="auto"/>
                <w:sz w:val="24"/>
                <w:szCs w:val="24"/>
                <w:highlight w:val="none"/>
              </w:rPr>
              <w:t>交付（实施）地点</w:t>
            </w:r>
          </w:p>
        </w:tc>
      </w:tr>
      <w:tr w14:paraId="4C2AA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2124" w:type="dxa"/>
            <w:vAlign w:val="center"/>
          </w:tcPr>
          <w:p w14:paraId="32EDD207">
            <w:pPr>
              <w:widowControl w:val="0"/>
              <w:snapToGrid w:val="0"/>
              <w:spacing w:line="240" w:lineRule="auto"/>
              <w:jc w:val="center"/>
              <w:rPr>
                <w:color w:val="auto"/>
                <w:sz w:val="24"/>
                <w:szCs w:val="24"/>
                <w:highlight w:val="none"/>
              </w:rPr>
            </w:pPr>
            <w:r>
              <w:rPr>
                <w:rFonts w:hint="eastAsia"/>
                <w:color w:val="auto"/>
                <w:sz w:val="24"/>
                <w:szCs w:val="24"/>
                <w:highlight w:val="none"/>
              </w:rPr>
              <w:t>河南省安阳市中级人民法院智慧法庭改造及建设项目</w:t>
            </w:r>
          </w:p>
        </w:tc>
        <w:tc>
          <w:tcPr>
            <w:tcW w:w="1729" w:type="dxa"/>
            <w:vAlign w:val="center"/>
          </w:tcPr>
          <w:p w14:paraId="73752219">
            <w:pPr>
              <w:widowControl w:val="0"/>
              <w:snapToGrid w:val="0"/>
              <w:spacing w:line="240" w:lineRule="auto"/>
              <w:jc w:val="center"/>
              <w:rPr>
                <w:color w:val="auto"/>
                <w:sz w:val="24"/>
                <w:szCs w:val="24"/>
                <w:highlight w:val="none"/>
              </w:rPr>
            </w:pPr>
            <w:r>
              <w:rPr>
                <w:rFonts w:hint="eastAsia"/>
                <w:color w:val="auto"/>
                <w:sz w:val="24"/>
                <w:szCs w:val="24"/>
                <w:highlight w:val="none"/>
              </w:rPr>
              <w:t>同项目名称</w:t>
            </w:r>
          </w:p>
        </w:tc>
        <w:tc>
          <w:tcPr>
            <w:tcW w:w="2586" w:type="dxa"/>
            <w:vAlign w:val="center"/>
          </w:tcPr>
          <w:p w14:paraId="3BDCED51">
            <w:pPr>
              <w:widowControl w:val="0"/>
              <w:snapToGrid w:val="0"/>
              <w:spacing w:line="240" w:lineRule="auto"/>
              <w:jc w:val="center"/>
              <w:rPr>
                <w:color w:val="auto"/>
                <w:sz w:val="24"/>
                <w:szCs w:val="24"/>
                <w:highlight w:val="none"/>
              </w:rPr>
            </w:pPr>
            <w:r>
              <w:rPr>
                <w:rFonts w:hint="eastAsia"/>
                <w:color w:val="auto"/>
                <w:sz w:val="24"/>
                <w:szCs w:val="24"/>
                <w:highlight w:val="none"/>
              </w:rPr>
              <w:t>见“第二章第</w:t>
            </w:r>
            <w:r>
              <w:rPr>
                <w:color w:val="auto"/>
                <w:sz w:val="24"/>
                <w:szCs w:val="24"/>
                <w:highlight w:val="none"/>
              </w:rPr>
              <w:t>2</w:t>
            </w:r>
            <w:r>
              <w:rPr>
                <w:rFonts w:hint="eastAsia"/>
                <w:color w:val="auto"/>
                <w:sz w:val="24"/>
                <w:szCs w:val="24"/>
                <w:highlight w:val="none"/>
              </w:rPr>
              <w:t>条：标段（包）内容（范围）及具体采购需求”</w:t>
            </w:r>
          </w:p>
        </w:tc>
        <w:tc>
          <w:tcPr>
            <w:tcW w:w="2051" w:type="dxa"/>
            <w:vAlign w:val="center"/>
          </w:tcPr>
          <w:p w14:paraId="1AA8BD4F">
            <w:pPr>
              <w:widowControl w:val="0"/>
              <w:snapToGrid w:val="0"/>
              <w:spacing w:line="240" w:lineRule="auto"/>
              <w:jc w:val="center"/>
              <w:rPr>
                <w:color w:val="auto"/>
                <w:sz w:val="24"/>
                <w:szCs w:val="24"/>
                <w:highlight w:val="none"/>
              </w:rPr>
            </w:pPr>
            <w:r>
              <w:rPr>
                <w:rFonts w:hint="eastAsia"/>
                <w:color w:val="auto"/>
                <w:sz w:val="24"/>
                <w:szCs w:val="24"/>
                <w:highlight w:val="none"/>
              </w:rPr>
              <w:t>见招标公告1.6</w:t>
            </w:r>
          </w:p>
        </w:tc>
        <w:tc>
          <w:tcPr>
            <w:tcW w:w="1450" w:type="dxa"/>
            <w:vAlign w:val="center"/>
          </w:tcPr>
          <w:p w14:paraId="0FAD2689">
            <w:pPr>
              <w:widowControl w:val="0"/>
              <w:snapToGrid w:val="0"/>
              <w:spacing w:line="240" w:lineRule="auto"/>
              <w:jc w:val="center"/>
              <w:rPr>
                <w:color w:val="auto"/>
                <w:sz w:val="24"/>
                <w:szCs w:val="24"/>
                <w:highlight w:val="none"/>
              </w:rPr>
            </w:pPr>
            <w:r>
              <w:rPr>
                <w:rFonts w:hint="eastAsia"/>
                <w:color w:val="auto"/>
                <w:sz w:val="24"/>
                <w:szCs w:val="24"/>
                <w:highlight w:val="none"/>
              </w:rPr>
              <w:t>采购人指定地点</w:t>
            </w:r>
          </w:p>
        </w:tc>
      </w:tr>
    </w:tbl>
    <w:p w14:paraId="191B0897">
      <w:pPr>
        <w:spacing w:line="560" w:lineRule="exact"/>
        <w:ind w:firstLine="482" w:firstLineChars="200"/>
        <w:rPr>
          <w:rFonts w:ascii="黑体" w:hAnsi="黑体" w:eastAsia="黑体"/>
          <w:b/>
          <w:color w:val="auto"/>
          <w:sz w:val="24"/>
          <w:szCs w:val="24"/>
          <w:highlight w:val="none"/>
        </w:rPr>
      </w:pPr>
      <w:r>
        <w:rPr>
          <w:rFonts w:ascii="黑体" w:hAnsi="黑体" w:eastAsia="黑体"/>
          <w:b/>
          <w:color w:val="auto"/>
          <w:sz w:val="24"/>
          <w:szCs w:val="24"/>
          <w:highlight w:val="none"/>
        </w:rPr>
        <w:t xml:space="preserve">1.3 </w:t>
      </w:r>
      <w:r>
        <w:rPr>
          <w:rFonts w:hint="eastAsia" w:ascii="黑体" w:hAnsi="黑体" w:eastAsia="黑体"/>
          <w:b/>
          <w:color w:val="auto"/>
          <w:sz w:val="24"/>
          <w:szCs w:val="24"/>
          <w:highlight w:val="none"/>
        </w:rPr>
        <w:t>投标报价（价格构成）</w:t>
      </w:r>
    </w:p>
    <w:p w14:paraId="6EE417F3">
      <w:pPr>
        <w:widowControl w:val="0"/>
        <w:snapToGrid w:val="0"/>
        <w:spacing w:line="360" w:lineRule="auto"/>
        <w:ind w:firstLine="480" w:firstLineChars="200"/>
        <w:jc w:val="left"/>
        <w:rPr>
          <w:color w:val="auto"/>
          <w:sz w:val="24"/>
          <w:szCs w:val="24"/>
          <w:highlight w:val="none"/>
        </w:rPr>
      </w:pPr>
      <w:r>
        <w:rPr>
          <w:color w:val="auto"/>
          <w:sz w:val="24"/>
          <w:szCs w:val="24"/>
          <w:highlight w:val="none"/>
        </w:rPr>
        <w:t xml:space="preserve">1.3.1 </w:t>
      </w:r>
      <w:r>
        <w:rPr>
          <w:rFonts w:hint="eastAsia"/>
          <w:color w:val="auto"/>
          <w:sz w:val="24"/>
          <w:szCs w:val="24"/>
          <w:highlight w:val="none"/>
        </w:rPr>
        <w:t>投标人的投标报价应为达到正常使用条件下的目的地交验价，包括设备价款、相关税款、备品备件价、易损件价、专用工具价、售后及技术服务费、知识产权（如有）、保险（如需）、货物包装、安装调试费</w:t>
      </w:r>
      <w:r>
        <w:rPr>
          <w:rFonts w:hint="eastAsia"/>
          <w:color w:val="auto"/>
          <w:sz w:val="24"/>
          <w:szCs w:val="24"/>
          <w:highlight w:val="none"/>
          <w:lang w:eastAsia="zh-CN"/>
        </w:rPr>
        <w:t>、培训费</w:t>
      </w:r>
      <w:r>
        <w:rPr>
          <w:rFonts w:hint="eastAsia"/>
          <w:color w:val="auto"/>
          <w:sz w:val="24"/>
          <w:szCs w:val="24"/>
          <w:highlight w:val="none"/>
        </w:rPr>
        <w:t>及运送到安阳地区指定地点的运杂费、装卸费</w:t>
      </w:r>
      <w:r>
        <w:rPr>
          <w:rFonts w:hint="eastAsia"/>
          <w:color w:val="auto"/>
          <w:sz w:val="24"/>
          <w:szCs w:val="24"/>
          <w:highlight w:val="none"/>
          <w:lang w:eastAsia="zh-CN"/>
        </w:rPr>
        <w:t>、驻场运维费</w:t>
      </w:r>
      <w:r>
        <w:rPr>
          <w:rFonts w:hint="eastAsia"/>
          <w:color w:val="auto"/>
          <w:sz w:val="24"/>
          <w:szCs w:val="24"/>
          <w:highlight w:val="none"/>
        </w:rPr>
        <w:t>等与招标项目相关的、必须的款项及费用（包括未列明而完成交验所必须的所有设备、材料、工具、费用）。</w:t>
      </w:r>
      <w:r>
        <w:rPr>
          <w:rFonts w:hint="eastAsia" w:ascii="宋体" w:hAnsi="宋体"/>
          <w:color w:val="auto"/>
          <w:sz w:val="24"/>
          <w:szCs w:val="24"/>
          <w:highlight w:val="none"/>
        </w:rPr>
        <w:t>中标价格在中标合同范围内固定不变。</w:t>
      </w:r>
    </w:p>
    <w:p w14:paraId="3C3FC5DA">
      <w:pPr>
        <w:widowControl w:val="0"/>
        <w:snapToGrid w:val="0"/>
        <w:spacing w:line="360" w:lineRule="auto"/>
        <w:ind w:firstLine="480" w:firstLineChars="200"/>
        <w:jc w:val="left"/>
        <w:rPr>
          <w:color w:val="auto"/>
          <w:sz w:val="24"/>
          <w:szCs w:val="24"/>
          <w:highlight w:val="none"/>
        </w:rPr>
      </w:pPr>
      <w:r>
        <w:rPr>
          <w:color w:val="auto"/>
          <w:sz w:val="24"/>
          <w:szCs w:val="24"/>
          <w:highlight w:val="none"/>
        </w:rPr>
        <w:t>1.3.2</w:t>
      </w:r>
      <w:r>
        <w:rPr>
          <w:rFonts w:hint="eastAsia"/>
          <w:color w:val="auto"/>
          <w:sz w:val="24"/>
          <w:szCs w:val="24"/>
          <w:highlight w:val="none"/>
        </w:rPr>
        <w:t>投标报价为一次性报价，报价时间截止后对投标报价的任何承诺、修改，除法定修正或招标文件规定修正情形外，评标委员会将不予考虑。</w:t>
      </w:r>
    </w:p>
    <w:p w14:paraId="137D610D">
      <w:pPr>
        <w:widowControl w:val="0"/>
        <w:snapToGrid w:val="0"/>
        <w:spacing w:line="360" w:lineRule="auto"/>
        <w:ind w:firstLine="480" w:firstLineChars="200"/>
        <w:jc w:val="left"/>
        <w:rPr>
          <w:color w:val="auto"/>
          <w:sz w:val="24"/>
          <w:szCs w:val="24"/>
          <w:highlight w:val="none"/>
        </w:rPr>
      </w:pPr>
      <w:r>
        <w:rPr>
          <w:color w:val="auto"/>
          <w:sz w:val="24"/>
          <w:szCs w:val="24"/>
          <w:highlight w:val="none"/>
        </w:rPr>
        <w:t xml:space="preserve">1.3.3 </w:t>
      </w:r>
      <w:r>
        <w:rPr>
          <w:rFonts w:hint="eastAsia"/>
          <w:color w:val="auto"/>
          <w:sz w:val="24"/>
          <w:szCs w:val="24"/>
          <w:highlight w:val="none"/>
        </w:rPr>
        <w:t>如投标人的投标报价未超过</w:t>
      </w:r>
      <w:r>
        <w:rPr>
          <w:rFonts w:hint="eastAsia" w:ascii="宋体" w:hAnsi="宋体" w:cs="楷体_GB2312"/>
          <w:bCs/>
          <w:color w:val="auto"/>
          <w:sz w:val="24"/>
          <w:highlight w:val="none"/>
          <w:lang w:val="zh-CN"/>
        </w:rPr>
        <w:t>预算金额</w:t>
      </w:r>
      <w:r>
        <w:rPr>
          <w:rFonts w:hint="eastAsia"/>
          <w:color w:val="auto"/>
          <w:sz w:val="24"/>
          <w:szCs w:val="24"/>
          <w:highlight w:val="none"/>
        </w:rPr>
        <w:t>（见招标公告</w:t>
      </w:r>
      <w:r>
        <w:rPr>
          <w:color w:val="auto"/>
          <w:sz w:val="24"/>
          <w:szCs w:val="24"/>
          <w:highlight w:val="none"/>
        </w:rPr>
        <w:t>1.</w:t>
      </w:r>
      <w:r>
        <w:rPr>
          <w:rFonts w:hint="eastAsia"/>
          <w:color w:val="auto"/>
          <w:sz w:val="24"/>
          <w:szCs w:val="24"/>
          <w:highlight w:val="none"/>
        </w:rPr>
        <w:t>4）的供应商不足三家的，该标段（包）做废标处理。</w:t>
      </w:r>
    </w:p>
    <w:p w14:paraId="4E2FD5A8">
      <w:pPr>
        <w:widowControl w:val="0"/>
        <w:snapToGrid w:val="0"/>
        <w:spacing w:line="360" w:lineRule="auto"/>
        <w:ind w:firstLine="480" w:firstLineChars="200"/>
        <w:jc w:val="left"/>
        <w:rPr>
          <w:color w:val="auto"/>
          <w:sz w:val="24"/>
          <w:szCs w:val="24"/>
          <w:highlight w:val="none"/>
        </w:rPr>
      </w:pPr>
      <w:r>
        <w:rPr>
          <w:color w:val="auto"/>
          <w:sz w:val="24"/>
          <w:szCs w:val="24"/>
          <w:highlight w:val="none"/>
        </w:rPr>
        <w:t xml:space="preserve">1.3.4 </w:t>
      </w:r>
      <w:r>
        <w:rPr>
          <w:rFonts w:hint="eastAsia"/>
          <w:color w:val="auto"/>
          <w:sz w:val="24"/>
          <w:szCs w:val="24"/>
          <w:highlight w:val="none"/>
        </w:rPr>
        <w:t>遵循第三章投标人须知</w:t>
      </w:r>
      <w:r>
        <w:rPr>
          <w:color w:val="auto"/>
          <w:sz w:val="24"/>
          <w:szCs w:val="24"/>
          <w:highlight w:val="none"/>
        </w:rPr>
        <w:t>3.7.</w:t>
      </w:r>
      <w:r>
        <w:rPr>
          <w:rFonts w:hint="eastAsia"/>
          <w:color w:val="auto"/>
          <w:sz w:val="24"/>
          <w:szCs w:val="24"/>
          <w:highlight w:val="none"/>
        </w:rPr>
        <w:t>5项规定。</w:t>
      </w:r>
    </w:p>
    <w:p w14:paraId="04E6C9F9">
      <w:pPr>
        <w:spacing w:line="560" w:lineRule="exact"/>
        <w:ind w:firstLine="562" w:firstLineChars="200"/>
        <w:rPr>
          <w:rFonts w:ascii="黑体" w:hAnsi="黑体" w:eastAsia="黑体"/>
          <w:b/>
          <w:color w:val="auto"/>
          <w:sz w:val="28"/>
          <w:highlight w:val="none"/>
        </w:rPr>
      </w:pPr>
    </w:p>
    <w:p w14:paraId="4882F6FA">
      <w:pPr>
        <w:spacing w:line="560" w:lineRule="exact"/>
        <w:ind w:firstLine="562" w:firstLineChars="200"/>
        <w:outlineLvl w:val="1"/>
        <w:rPr>
          <w:rFonts w:ascii="黑体" w:hAnsi="黑体" w:eastAsia="黑体"/>
          <w:b/>
          <w:color w:val="auto"/>
          <w:sz w:val="28"/>
          <w:highlight w:val="none"/>
        </w:rPr>
      </w:pPr>
      <w:bookmarkStart w:id="0" w:name="_Toc24510"/>
      <w:r>
        <w:rPr>
          <w:rFonts w:ascii="黑体" w:hAnsi="黑体" w:eastAsia="黑体"/>
          <w:b/>
          <w:color w:val="auto"/>
          <w:sz w:val="28"/>
          <w:highlight w:val="none"/>
        </w:rPr>
        <w:t xml:space="preserve">2. </w:t>
      </w:r>
      <w:r>
        <w:rPr>
          <w:rFonts w:hint="eastAsia" w:ascii="黑体" w:hAnsi="黑体" w:eastAsia="黑体"/>
          <w:b/>
          <w:color w:val="auto"/>
          <w:sz w:val="28"/>
          <w:highlight w:val="none"/>
        </w:rPr>
        <w:t>标段（包）内容（范围）及具体采购需求</w:t>
      </w:r>
      <w:bookmarkEnd w:id="0"/>
    </w:p>
    <w:p w14:paraId="4DED8D6E">
      <w:pPr>
        <w:spacing w:line="560" w:lineRule="exact"/>
        <w:ind w:firstLine="482" w:firstLineChars="200"/>
        <w:rPr>
          <w:color w:val="auto"/>
          <w:sz w:val="24"/>
          <w:szCs w:val="24"/>
          <w:highlight w:val="none"/>
        </w:rPr>
      </w:pPr>
      <w:r>
        <w:rPr>
          <w:rFonts w:ascii="黑体" w:hAnsi="黑体" w:eastAsia="黑体"/>
          <w:b/>
          <w:color w:val="auto"/>
          <w:sz w:val="24"/>
          <w:szCs w:val="24"/>
          <w:highlight w:val="none"/>
        </w:rPr>
        <w:t>2.1</w:t>
      </w:r>
      <w:r>
        <w:rPr>
          <w:rFonts w:hint="eastAsia" w:ascii="黑体" w:hAnsi="黑体" w:eastAsia="黑体"/>
          <w:b/>
          <w:color w:val="auto"/>
          <w:sz w:val="24"/>
          <w:szCs w:val="24"/>
          <w:highlight w:val="none"/>
        </w:rPr>
        <w:t>采购标的需实现的功能或者目标，标段（包）总体范围：</w:t>
      </w:r>
      <w:r>
        <w:rPr>
          <w:color w:val="auto"/>
          <w:sz w:val="24"/>
          <w:szCs w:val="24"/>
          <w:highlight w:val="none"/>
        </w:rPr>
        <w:t xml:space="preserve"> </w:t>
      </w:r>
    </w:p>
    <w:p w14:paraId="3AC8A170">
      <w:pPr>
        <w:adjustRightInd w:val="0"/>
        <w:snapToGrid w:val="0"/>
        <w:spacing w:line="300" w:lineRule="auto"/>
        <w:ind w:firstLine="480" w:firstLineChars="200"/>
        <w:jc w:val="left"/>
        <w:rPr>
          <w:rFonts w:ascii="宋体" w:cs="宋体"/>
          <w:color w:val="auto"/>
          <w:sz w:val="24"/>
          <w:highlight w:val="none"/>
        </w:rPr>
      </w:pPr>
      <w:r>
        <w:rPr>
          <w:rFonts w:hint="eastAsia" w:ascii="宋体" w:hAnsi="宋体" w:cs="宋体"/>
          <w:color w:val="auto"/>
          <w:sz w:val="24"/>
          <w:highlight w:val="none"/>
          <w:lang w:eastAsia="zh-CN"/>
        </w:rPr>
        <w:t>按时高效高质量</w:t>
      </w:r>
      <w:r>
        <w:rPr>
          <w:rFonts w:hint="eastAsia" w:ascii="宋体" w:hAnsi="宋体" w:cs="宋体"/>
          <w:color w:val="auto"/>
          <w:sz w:val="24"/>
          <w:highlight w:val="none"/>
        </w:rPr>
        <w:t>满足采购人正常工作需要。</w:t>
      </w:r>
      <w:r>
        <w:rPr>
          <w:rFonts w:hint="eastAsia"/>
          <w:color w:val="auto"/>
          <w:sz w:val="24"/>
          <w:szCs w:val="24"/>
          <w:highlight w:val="none"/>
        </w:rPr>
        <w:t>中标人负责设备的安装、调试，并具备正常使用条件。</w:t>
      </w:r>
    </w:p>
    <w:p w14:paraId="7B816871">
      <w:pPr>
        <w:adjustRightInd w:val="0"/>
        <w:snapToGrid w:val="0"/>
        <w:spacing w:before="156" w:beforeLines="50" w:line="300" w:lineRule="auto"/>
        <w:ind w:firstLine="482" w:firstLineChars="200"/>
        <w:rPr>
          <w:rFonts w:ascii="黑体" w:hAnsi="黑体" w:eastAsia="黑体"/>
          <w:b/>
          <w:color w:val="auto"/>
          <w:sz w:val="24"/>
          <w:szCs w:val="24"/>
          <w:highlight w:val="none"/>
        </w:rPr>
      </w:pPr>
      <w:r>
        <w:rPr>
          <w:rFonts w:ascii="黑体" w:hAnsi="黑体" w:eastAsia="黑体"/>
          <w:b/>
          <w:color w:val="auto"/>
          <w:sz w:val="24"/>
          <w:szCs w:val="24"/>
          <w:highlight w:val="none"/>
        </w:rPr>
        <w:t xml:space="preserve">2.2 </w:t>
      </w:r>
      <w:r>
        <w:rPr>
          <w:rFonts w:hint="eastAsia" w:ascii="黑体" w:hAnsi="黑体" w:eastAsia="黑体"/>
          <w:b/>
          <w:color w:val="auto"/>
          <w:sz w:val="24"/>
          <w:szCs w:val="24"/>
          <w:highlight w:val="none"/>
        </w:rPr>
        <w:t>项目落实的政府采购政策（法规标准条款）</w:t>
      </w:r>
    </w:p>
    <w:p w14:paraId="60C2FBFB">
      <w:pPr>
        <w:adjustRightInd w:val="0"/>
        <w:snapToGrid w:val="0"/>
        <w:spacing w:before="156" w:beforeLines="50" w:line="300" w:lineRule="auto"/>
        <w:ind w:firstLine="480" w:firstLineChars="200"/>
        <w:rPr>
          <w:rFonts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2</w:t>
      </w:r>
      <w:r>
        <w:rPr>
          <w:rFonts w:ascii="宋体" w:hAnsi="宋体"/>
          <w:color w:val="auto"/>
          <w:sz w:val="24"/>
          <w:szCs w:val="24"/>
          <w:highlight w:val="none"/>
        </w:rPr>
        <w:t xml:space="preserve">.1 </w:t>
      </w:r>
      <w:r>
        <w:rPr>
          <w:rFonts w:hint="eastAsia" w:ascii="宋体" w:hAnsi="宋体"/>
          <w:color w:val="auto"/>
          <w:sz w:val="24"/>
          <w:szCs w:val="24"/>
          <w:highlight w:val="none"/>
        </w:rPr>
        <w:t>政府采购节能产品、环境标志产品实施品目清单管理后，对本次采购产品属于“节能产品政府采购品目清单”中强制采购品目的</w:t>
      </w:r>
      <w:r>
        <w:rPr>
          <w:rFonts w:ascii="宋体" w:hAnsi="宋体" w:cs="宋体"/>
          <w:color w:val="auto"/>
          <w:sz w:val="24"/>
          <w:szCs w:val="24"/>
          <w:highlight w:val="none"/>
        </w:rPr>
        <w:t>，</w:t>
      </w:r>
      <w:r>
        <w:rPr>
          <w:rFonts w:hint="eastAsia" w:ascii="宋体" w:hAnsi="宋体" w:cs="宋体"/>
          <w:color w:val="auto"/>
          <w:sz w:val="24"/>
          <w:szCs w:val="24"/>
          <w:highlight w:val="none"/>
        </w:rPr>
        <w:t>投</w:t>
      </w:r>
      <w:r>
        <w:rPr>
          <w:rFonts w:ascii="宋体" w:hAnsi="宋体" w:cs="宋体"/>
          <w:color w:val="auto"/>
          <w:sz w:val="24"/>
          <w:szCs w:val="24"/>
          <w:highlight w:val="none"/>
        </w:rPr>
        <w:t>标产</w:t>
      </w:r>
      <w:r>
        <w:rPr>
          <w:rFonts w:hint="eastAsia" w:ascii="宋体" w:hAnsi="宋体" w:cs="宋体"/>
          <w:color w:val="auto"/>
          <w:sz w:val="24"/>
          <w:szCs w:val="24"/>
          <w:highlight w:val="none"/>
        </w:rPr>
        <w:t>品</w:t>
      </w:r>
      <w:r>
        <w:rPr>
          <w:rFonts w:ascii="宋体" w:hAnsi="宋体" w:cs="宋体"/>
          <w:color w:val="auto"/>
          <w:sz w:val="24"/>
          <w:szCs w:val="24"/>
          <w:highlight w:val="none"/>
        </w:rPr>
        <w:t>应当具有</w:t>
      </w:r>
      <w:r>
        <w:rPr>
          <w:rFonts w:hint="eastAsia" w:ascii="宋体" w:hAnsi="宋体" w:cs="宋体"/>
          <w:color w:val="auto"/>
          <w:sz w:val="24"/>
          <w:szCs w:val="24"/>
          <w:highlight w:val="none"/>
        </w:rPr>
        <w:t>相</w:t>
      </w:r>
      <w:r>
        <w:rPr>
          <w:rFonts w:ascii="宋体" w:hAnsi="宋体" w:cs="宋体"/>
          <w:color w:val="auto"/>
          <w:sz w:val="24"/>
          <w:szCs w:val="24"/>
          <w:highlight w:val="none"/>
        </w:rPr>
        <w:t>应</w:t>
      </w:r>
      <w:r>
        <w:rPr>
          <w:rFonts w:hint="eastAsia" w:ascii="宋体" w:hAnsi="宋体" w:cs="宋体"/>
          <w:color w:val="auto"/>
          <w:sz w:val="24"/>
          <w:szCs w:val="24"/>
          <w:highlight w:val="none"/>
        </w:rPr>
        <w:t>的认证证书（认证证书应当为国家确定的认证机构出具、且应处于有效期之内</w:t>
      </w:r>
      <w:r>
        <w:rPr>
          <w:rFonts w:ascii="宋体" w:hAnsi="宋体" w:cs="宋体"/>
          <w:color w:val="auto"/>
          <w:sz w:val="24"/>
          <w:szCs w:val="24"/>
          <w:highlight w:val="none"/>
        </w:rPr>
        <w:t>）</w:t>
      </w:r>
      <w:r>
        <w:rPr>
          <w:rFonts w:hint="eastAsia" w:ascii="宋体" w:hAnsi="宋体" w:cs="宋体"/>
          <w:color w:val="auto"/>
          <w:sz w:val="24"/>
          <w:szCs w:val="24"/>
          <w:highlight w:val="none"/>
        </w:rPr>
        <w:t>，投</w:t>
      </w:r>
      <w:r>
        <w:rPr>
          <w:rFonts w:ascii="宋体" w:hAnsi="宋体" w:cs="宋体"/>
          <w:color w:val="auto"/>
          <w:sz w:val="24"/>
          <w:szCs w:val="24"/>
          <w:highlight w:val="none"/>
        </w:rPr>
        <w:t>标文件中应当提供</w:t>
      </w:r>
      <w:r>
        <w:rPr>
          <w:rFonts w:hint="eastAsia" w:ascii="宋体" w:hAnsi="宋体" w:cs="宋体"/>
          <w:color w:val="auto"/>
          <w:sz w:val="24"/>
          <w:szCs w:val="24"/>
          <w:highlight w:val="none"/>
        </w:rPr>
        <w:t>相</w:t>
      </w:r>
      <w:r>
        <w:rPr>
          <w:rFonts w:ascii="宋体" w:hAnsi="宋体" w:cs="宋体"/>
          <w:color w:val="auto"/>
          <w:sz w:val="24"/>
          <w:szCs w:val="24"/>
          <w:highlight w:val="none"/>
        </w:rPr>
        <w:t>应</w:t>
      </w:r>
      <w:r>
        <w:rPr>
          <w:rFonts w:hint="eastAsia" w:ascii="宋体" w:hAnsi="宋体" w:cs="宋体"/>
          <w:color w:val="auto"/>
          <w:sz w:val="24"/>
          <w:szCs w:val="24"/>
          <w:highlight w:val="none"/>
        </w:rPr>
        <w:t>的认证证书（认证证书应当为国家确定的认证机构出具、且应处于有效期之内）。</w:t>
      </w:r>
    </w:p>
    <w:p w14:paraId="5213FB78">
      <w:pPr>
        <w:adjustRightInd w:val="0"/>
        <w:snapToGrid w:val="0"/>
        <w:spacing w:before="156" w:beforeLines="50" w:line="30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属于政府强制采购</w:t>
      </w:r>
      <w:r>
        <w:rPr>
          <w:rFonts w:hint="eastAsia" w:ascii="宋体" w:hAnsi="宋体" w:cs="宋体"/>
          <w:color w:val="auto"/>
          <w:sz w:val="24"/>
          <w:szCs w:val="24"/>
          <w:highlight w:val="none"/>
        </w:rPr>
        <w:t>品目</w:t>
      </w:r>
      <w:r>
        <w:rPr>
          <w:rFonts w:hint="eastAsia" w:ascii="宋体" w:hAnsi="宋体"/>
          <w:color w:val="auto"/>
          <w:sz w:val="24"/>
          <w:szCs w:val="24"/>
          <w:highlight w:val="none"/>
        </w:rPr>
        <w:t>、而未按要求提供相应资料的，</w:t>
      </w:r>
      <w:r>
        <w:rPr>
          <w:rFonts w:hint="eastAsia" w:ascii="宋体" w:hAnsi="宋体"/>
          <w:b/>
          <w:color w:val="auto"/>
          <w:sz w:val="24"/>
          <w:szCs w:val="24"/>
          <w:highlight w:val="none"/>
        </w:rPr>
        <w:t>为无效投标</w:t>
      </w:r>
      <w:r>
        <w:rPr>
          <w:rFonts w:hint="eastAsia" w:ascii="宋体" w:hAnsi="宋体"/>
          <w:color w:val="auto"/>
          <w:sz w:val="24"/>
          <w:szCs w:val="24"/>
          <w:highlight w:val="none"/>
        </w:rPr>
        <w:t>。</w:t>
      </w:r>
    </w:p>
    <w:p w14:paraId="3176FC6D">
      <w:pPr>
        <w:adjustRightInd w:val="0"/>
        <w:snapToGrid w:val="0"/>
        <w:spacing w:before="156" w:beforeLines="50" w:line="300" w:lineRule="auto"/>
        <w:ind w:firstLine="480" w:firstLineChars="200"/>
        <w:rPr>
          <w:rFonts w:ascii="宋体" w:hAnsi="宋体" w:cs="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2</w:t>
      </w:r>
      <w:r>
        <w:rPr>
          <w:rFonts w:ascii="宋体" w:hAnsi="宋体"/>
          <w:color w:val="auto"/>
          <w:sz w:val="24"/>
          <w:szCs w:val="24"/>
          <w:highlight w:val="none"/>
        </w:rPr>
        <w:t xml:space="preserve">.2 </w:t>
      </w:r>
      <w:r>
        <w:rPr>
          <w:rFonts w:hint="eastAsia" w:ascii="宋体" w:hAnsi="宋体"/>
          <w:color w:val="auto"/>
          <w:sz w:val="24"/>
          <w:szCs w:val="24"/>
          <w:highlight w:val="none"/>
        </w:rPr>
        <w:t>同等条件下，</w:t>
      </w:r>
      <w:r>
        <w:rPr>
          <w:rFonts w:hint="eastAsia" w:ascii="宋体" w:hAnsi="宋体" w:cs="宋体"/>
          <w:color w:val="auto"/>
          <w:sz w:val="24"/>
          <w:szCs w:val="24"/>
          <w:highlight w:val="none"/>
        </w:rPr>
        <w:t>获得节能产品认证证书或环境标志产品认证证书的产品优先采购。(认证证书应</w:t>
      </w:r>
      <w:r>
        <w:rPr>
          <w:rFonts w:ascii="宋体" w:hAnsi="宋体" w:cs="宋体"/>
          <w:color w:val="auto"/>
          <w:sz w:val="24"/>
          <w:szCs w:val="24"/>
          <w:highlight w:val="none"/>
        </w:rPr>
        <w:t>当为</w:t>
      </w:r>
      <w:r>
        <w:rPr>
          <w:rFonts w:hint="eastAsia" w:ascii="宋体" w:hAnsi="宋体" w:cs="宋体"/>
          <w:color w:val="auto"/>
          <w:sz w:val="24"/>
          <w:szCs w:val="24"/>
          <w:highlight w:val="none"/>
        </w:rPr>
        <w:t>国家确定的认证机构出具、且</w:t>
      </w:r>
      <w:r>
        <w:rPr>
          <w:rFonts w:ascii="宋体" w:hAnsi="宋体" w:cs="宋体"/>
          <w:color w:val="auto"/>
          <w:sz w:val="24"/>
          <w:szCs w:val="24"/>
          <w:highlight w:val="none"/>
        </w:rPr>
        <w:t>应</w:t>
      </w:r>
      <w:r>
        <w:rPr>
          <w:rFonts w:hint="eastAsia" w:ascii="宋体" w:hAnsi="宋体" w:cs="宋体"/>
          <w:color w:val="auto"/>
          <w:sz w:val="24"/>
          <w:szCs w:val="24"/>
          <w:highlight w:val="none"/>
        </w:rPr>
        <w:t>处于有效期之内。)</w:t>
      </w:r>
    </w:p>
    <w:p w14:paraId="1E91E2C9">
      <w:pPr>
        <w:adjustRightInd w:val="0"/>
        <w:snapToGrid w:val="0"/>
        <w:spacing w:before="156" w:beforeLines="50" w:line="300" w:lineRule="auto"/>
        <w:ind w:firstLine="480" w:firstLineChars="200"/>
        <w:rPr>
          <w:rFonts w:hint="eastAsia"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3本次采购产品如有列入《网络关键设备和网络安全专用产品目录》的网络安全专用产品，该产品应当按照《关于调整网络安全专用产品安全管理有关事项的公告》要求进行安全认证或安全检测、或已获得《计算机信息系统安全专用产品销售许可证》（</w:t>
      </w:r>
      <w:r>
        <w:rPr>
          <w:rFonts w:hint="eastAsia" w:ascii="宋体" w:hAnsi="宋体" w:cs="宋体"/>
          <w:color w:val="auto"/>
          <w:sz w:val="24"/>
          <w:szCs w:val="24"/>
          <w:highlight w:val="none"/>
        </w:rPr>
        <w:t>应处于有效期内</w:t>
      </w:r>
      <w:r>
        <w:rPr>
          <w:rFonts w:hint="eastAsia" w:ascii="宋体" w:hAnsi="宋体"/>
          <w:color w:val="auto"/>
          <w:sz w:val="24"/>
          <w:szCs w:val="24"/>
          <w:highlight w:val="none"/>
        </w:rPr>
        <w:t>）。</w:t>
      </w:r>
    </w:p>
    <w:p w14:paraId="296D539B">
      <w:pPr>
        <w:adjustRightInd w:val="0"/>
        <w:snapToGrid w:val="0"/>
        <w:spacing w:before="156" w:beforeLines="50" w:line="300" w:lineRule="auto"/>
        <w:ind w:firstLine="480" w:firstLineChars="200"/>
        <w:rPr>
          <w:rFonts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4计算机产品须预装正版操作系统软件。</w:t>
      </w:r>
    </w:p>
    <w:p w14:paraId="246ED458">
      <w:pPr>
        <w:adjustRightInd w:val="0"/>
        <w:snapToGrid w:val="0"/>
        <w:spacing w:before="156" w:beforeLines="50" w:line="300" w:lineRule="auto"/>
        <w:ind w:firstLine="480" w:firstLineChars="200"/>
        <w:rPr>
          <w:rFonts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5</w:t>
      </w:r>
      <w:r>
        <w:rPr>
          <w:rFonts w:ascii="宋体" w:hAnsi="宋体"/>
          <w:color w:val="auto"/>
          <w:sz w:val="24"/>
          <w:szCs w:val="24"/>
          <w:highlight w:val="none"/>
        </w:rPr>
        <w:t xml:space="preserve"> </w:t>
      </w:r>
      <w:r>
        <w:rPr>
          <w:rFonts w:hint="eastAsia" w:ascii="宋体" w:hAnsi="宋体"/>
          <w:color w:val="auto"/>
          <w:sz w:val="24"/>
          <w:szCs w:val="24"/>
          <w:highlight w:val="none"/>
        </w:rPr>
        <w:t>本次采购不允许进口产品参加。</w:t>
      </w:r>
    </w:p>
    <w:p w14:paraId="76C96EFE">
      <w:pPr>
        <w:adjustRightInd w:val="0"/>
        <w:snapToGrid w:val="0"/>
        <w:spacing w:before="156" w:beforeLines="50" w:line="300" w:lineRule="auto"/>
        <w:ind w:firstLine="480" w:firstLineChars="200"/>
        <w:rPr>
          <w:rFonts w:hint="eastAsia"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6如允许采购进口产品的，优先采购向我国企业转让技术、与我国企业签订消化吸收再创新方案的供应商的进口产品。</w:t>
      </w:r>
    </w:p>
    <w:p w14:paraId="36F27A9F">
      <w:pPr>
        <w:adjustRightInd w:val="0"/>
        <w:snapToGrid w:val="0"/>
        <w:spacing w:before="156" w:beforeLines="50" w:line="300" w:lineRule="auto"/>
        <w:ind w:firstLine="480" w:firstLineChars="200"/>
        <w:rPr>
          <w:rFonts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7</w:t>
      </w:r>
      <w:r>
        <w:rPr>
          <w:rFonts w:ascii="宋体" w:hAnsi="宋体"/>
          <w:color w:val="auto"/>
          <w:sz w:val="24"/>
          <w:szCs w:val="24"/>
          <w:highlight w:val="none"/>
        </w:rPr>
        <w:t xml:space="preserve"> </w:t>
      </w:r>
      <w:r>
        <w:rPr>
          <w:rFonts w:hint="eastAsia" w:ascii="宋体" w:hAnsi="宋体"/>
          <w:color w:val="auto"/>
          <w:sz w:val="24"/>
          <w:szCs w:val="24"/>
          <w:highlight w:val="none"/>
        </w:rPr>
        <w:t>促进中小企业发展扶持政策：见第四章“评标办法”第</w:t>
      </w:r>
      <w:r>
        <w:rPr>
          <w:rFonts w:ascii="宋体" w:hAnsi="宋体"/>
          <w:color w:val="auto"/>
          <w:sz w:val="24"/>
          <w:szCs w:val="24"/>
          <w:highlight w:val="none"/>
        </w:rPr>
        <w:t>4</w:t>
      </w:r>
      <w:r>
        <w:rPr>
          <w:rFonts w:hint="eastAsia" w:ascii="宋体" w:hAnsi="宋体"/>
          <w:color w:val="auto"/>
          <w:sz w:val="24"/>
          <w:szCs w:val="24"/>
          <w:highlight w:val="none"/>
        </w:rPr>
        <w:t>条。</w:t>
      </w:r>
    </w:p>
    <w:p w14:paraId="5159E683">
      <w:pPr>
        <w:adjustRightInd w:val="0"/>
        <w:snapToGrid w:val="0"/>
        <w:spacing w:before="156" w:beforeLines="50" w:line="300" w:lineRule="auto"/>
        <w:ind w:firstLine="480" w:firstLineChars="200"/>
        <w:rPr>
          <w:rFonts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8促进残疾人就业、支持监狱企业发展：见第四章“评标办法”第</w:t>
      </w:r>
      <w:r>
        <w:rPr>
          <w:rFonts w:ascii="宋体" w:hAnsi="宋体"/>
          <w:color w:val="auto"/>
          <w:sz w:val="24"/>
          <w:szCs w:val="24"/>
          <w:highlight w:val="none"/>
        </w:rPr>
        <w:t>4</w:t>
      </w:r>
      <w:r>
        <w:rPr>
          <w:rFonts w:hint="eastAsia" w:ascii="宋体" w:hAnsi="宋体"/>
          <w:color w:val="auto"/>
          <w:sz w:val="24"/>
          <w:szCs w:val="24"/>
          <w:highlight w:val="none"/>
        </w:rPr>
        <w:t>条。</w:t>
      </w:r>
    </w:p>
    <w:p w14:paraId="4CAFDBCC">
      <w:pPr>
        <w:adjustRightInd w:val="0"/>
        <w:snapToGrid w:val="0"/>
        <w:spacing w:before="156" w:beforeLines="50" w:line="300" w:lineRule="auto"/>
        <w:ind w:firstLine="480" w:firstLineChars="200"/>
        <w:rPr>
          <w:rFonts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9</w:t>
      </w:r>
      <w:r>
        <w:rPr>
          <w:rFonts w:ascii="宋体" w:hAnsi="宋体"/>
          <w:color w:val="auto"/>
          <w:sz w:val="24"/>
          <w:szCs w:val="24"/>
          <w:highlight w:val="none"/>
        </w:rPr>
        <w:t xml:space="preserve"> </w:t>
      </w:r>
      <w:r>
        <w:rPr>
          <w:rFonts w:hint="eastAsia" w:ascii="宋体" w:hAnsi="宋体"/>
          <w:color w:val="auto"/>
          <w:sz w:val="24"/>
          <w:szCs w:val="24"/>
          <w:highlight w:val="none"/>
        </w:rPr>
        <w:t>所供产品有商品包装的应当使用绿色包装。所供产品有其他环保政策要求的，应符合相关环保法律政策要求。</w:t>
      </w:r>
    </w:p>
    <w:p w14:paraId="6ADBF268">
      <w:pPr>
        <w:adjustRightInd w:val="0"/>
        <w:snapToGrid w:val="0"/>
        <w:spacing w:before="156" w:beforeLines="50" w:line="30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2.2.10</w:t>
      </w:r>
      <w:r>
        <w:rPr>
          <w:rFonts w:ascii="宋体" w:hAnsi="宋体"/>
          <w:color w:val="auto"/>
          <w:sz w:val="24"/>
          <w:szCs w:val="24"/>
          <w:highlight w:val="none"/>
        </w:rPr>
        <w:t xml:space="preserve"> </w:t>
      </w:r>
      <w:r>
        <w:rPr>
          <w:rFonts w:hint="eastAsia" w:ascii="宋体" w:hAnsi="宋体"/>
          <w:color w:val="auto"/>
          <w:sz w:val="24"/>
          <w:szCs w:val="24"/>
          <w:highlight w:val="none"/>
        </w:rPr>
        <w:t>支持绿色建筑、绿色建材，支持使用低</w:t>
      </w:r>
      <w:r>
        <w:rPr>
          <w:rFonts w:ascii="Arial" w:hAnsi="Arial" w:cs="Arial"/>
          <w:color w:val="auto"/>
          <w:szCs w:val="21"/>
          <w:highlight w:val="none"/>
          <w:shd w:val="clear" w:color="auto" w:fill="FFFFFF"/>
        </w:rPr>
        <w:t>VOCs</w:t>
      </w:r>
      <w:r>
        <w:rPr>
          <w:rFonts w:hint="eastAsia" w:ascii="宋体" w:hAnsi="宋体"/>
          <w:color w:val="auto"/>
          <w:sz w:val="24"/>
          <w:szCs w:val="24"/>
          <w:highlight w:val="none"/>
        </w:rPr>
        <w:t>含量涂料和胶黏剂，支持不发达、少数民族地区的企业，促进自主创新产业发展，支持脱贫攻坚等；同等条件下，优先采购。</w:t>
      </w:r>
    </w:p>
    <w:p w14:paraId="2EAFB372">
      <w:pPr>
        <w:adjustRightInd w:val="0"/>
        <w:snapToGrid w:val="0"/>
        <w:spacing w:before="156" w:beforeLines="50" w:line="300" w:lineRule="auto"/>
        <w:ind w:firstLine="480" w:firstLineChars="200"/>
        <w:rPr>
          <w:rFonts w:ascii="宋体" w:cs="宋体"/>
          <w:color w:val="auto"/>
          <w:sz w:val="24"/>
          <w:highlight w:val="none"/>
        </w:rPr>
      </w:pPr>
      <w:r>
        <w:rPr>
          <w:rFonts w:hint="eastAsia" w:ascii="宋体" w:hAnsi="宋体"/>
          <w:color w:val="auto"/>
          <w:sz w:val="24"/>
          <w:szCs w:val="24"/>
          <w:highlight w:val="none"/>
        </w:rPr>
        <w:t>2.2.11 执行《国务院办公厅关于在政府采购中实施本国产品标准及相关政策的通知》。</w:t>
      </w:r>
    </w:p>
    <w:p w14:paraId="3D7FD700">
      <w:pPr>
        <w:adjustRightInd w:val="0"/>
        <w:snapToGrid w:val="0"/>
        <w:spacing w:line="300" w:lineRule="auto"/>
        <w:ind w:firstLine="482" w:firstLineChars="200"/>
        <w:jc w:val="left"/>
        <w:rPr>
          <w:rFonts w:ascii="黑体" w:hAnsi="黑体" w:eastAsia="黑体"/>
          <w:b/>
          <w:color w:val="auto"/>
          <w:sz w:val="24"/>
          <w:szCs w:val="24"/>
          <w:highlight w:val="none"/>
        </w:rPr>
      </w:pPr>
      <w:r>
        <w:rPr>
          <w:rFonts w:ascii="黑体" w:hAnsi="黑体" w:eastAsia="黑体"/>
          <w:b/>
          <w:color w:val="auto"/>
          <w:sz w:val="24"/>
          <w:szCs w:val="24"/>
          <w:highlight w:val="none"/>
        </w:rPr>
        <w:t>2.3</w:t>
      </w:r>
      <w:r>
        <w:rPr>
          <w:rFonts w:hint="eastAsia" w:ascii="黑体" w:hAnsi="黑体" w:eastAsia="黑体"/>
          <w:b/>
          <w:color w:val="auto"/>
          <w:sz w:val="24"/>
          <w:szCs w:val="24"/>
          <w:highlight w:val="none"/>
        </w:rPr>
        <w:t>采购标的需执行的国家相关标准、行业标准、地方标准或者其他标准、规范；</w:t>
      </w:r>
    </w:p>
    <w:p w14:paraId="3B69FF17">
      <w:pPr>
        <w:widowControl w:val="0"/>
        <w:adjustRightInd w:val="0"/>
        <w:snapToGrid w:val="0"/>
        <w:spacing w:before="156" w:beforeLines="50" w:line="300" w:lineRule="auto"/>
        <w:ind w:left="22" w:firstLine="555"/>
        <w:jc w:val="left"/>
        <w:rPr>
          <w:color w:val="auto"/>
          <w:sz w:val="24"/>
          <w:szCs w:val="24"/>
          <w:highlight w:val="none"/>
        </w:rPr>
      </w:pPr>
      <w:r>
        <w:rPr>
          <w:rFonts w:hint="eastAsia"/>
          <w:color w:val="auto"/>
          <w:sz w:val="24"/>
          <w:szCs w:val="24"/>
          <w:highlight w:val="none"/>
        </w:rPr>
        <w:t>投标人所投产品应为全新产品且符合国家质量标准、部颁标准及行业规范的要求，符合国家各项强制性规范及安全标准，投标产品不应与第三方存在知识产权权属问题；投标人应本着服务客户、为客户着想的宗旨，来完善产品及技术要求未尽事宜，不得以招标文件未列明事项为由，来降低投标产品的质量。</w:t>
      </w:r>
    </w:p>
    <w:p w14:paraId="2E9479C1">
      <w:pPr>
        <w:spacing w:line="560" w:lineRule="exact"/>
        <w:ind w:firstLine="482" w:firstLineChars="200"/>
        <w:rPr>
          <w:rFonts w:hint="eastAsia" w:ascii="宋体" w:hAnsi="宋体" w:cs="宋体"/>
          <w:color w:val="auto"/>
          <w:sz w:val="24"/>
          <w:highlight w:val="none"/>
        </w:rPr>
      </w:pPr>
      <w:r>
        <w:rPr>
          <w:rFonts w:ascii="黑体" w:hAnsi="黑体" w:eastAsia="黑体"/>
          <w:b/>
          <w:color w:val="auto"/>
          <w:sz w:val="24"/>
          <w:szCs w:val="24"/>
          <w:highlight w:val="none"/>
        </w:rPr>
        <w:t>2.4</w:t>
      </w:r>
      <w:r>
        <w:rPr>
          <w:rFonts w:hint="eastAsia" w:ascii="黑体" w:hAnsi="黑体" w:eastAsia="黑体"/>
          <w:b/>
          <w:color w:val="auto"/>
          <w:sz w:val="24"/>
          <w:szCs w:val="24"/>
          <w:highlight w:val="none"/>
        </w:rPr>
        <w:t>标段（包）内容（具体范围、数量），具体技术要求（</w:t>
      </w:r>
      <w:r>
        <w:rPr>
          <w:rFonts w:hint="eastAsia" w:ascii="宋体" w:hAnsi="宋体" w:cs="宋体"/>
          <w:color w:val="auto"/>
          <w:sz w:val="24"/>
          <w:highlight w:val="none"/>
        </w:rPr>
        <w:t>采购标的需满足的质量、安全、技术规格、物理特性等）</w:t>
      </w:r>
    </w:p>
    <w:p w14:paraId="0CAD8374">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2" w:firstLineChars="200"/>
        <w:textAlignment w:val="auto"/>
        <w:rPr>
          <w:rFonts w:hint="eastAsia" w:ascii="Times New Roman" w:hAnsi="Times New Roman" w:cs="Times New Roman"/>
          <w:b/>
          <w:bCs/>
          <w:color w:val="auto"/>
          <w:sz w:val="24"/>
          <w:szCs w:val="22"/>
          <w:highlight w:val="none"/>
          <w:lang w:val="en-US" w:eastAsia="zh-CN"/>
        </w:rPr>
      </w:pPr>
      <w:r>
        <w:rPr>
          <w:rFonts w:hint="eastAsia" w:ascii="Times New Roman" w:hAnsi="Times New Roman" w:cs="Times New Roman"/>
          <w:b/>
          <w:bCs/>
          <w:color w:val="auto"/>
          <w:sz w:val="24"/>
          <w:szCs w:val="22"/>
          <w:highlight w:val="none"/>
          <w:lang w:val="en-US" w:eastAsia="zh-CN"/>
        </w:rPr>
        <w:t>一、项目概况</w:t>
      </w:r>
    </w:p>
    <w:p w14:paraId="22922BF7">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（一）项目定位</w:t>
      </w:r>
    </w:p>
    <w:p w14:paraId="5CC4FF06">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本项目是安阳市中级人民法院智慧法院核心庭审数字化升级工程，定位为国产化安全型全流程智慧庭审一体化平台，立足安阳审判业务本地化需求，实现 “庭审记录智能化、诉讼流程无纸化、基础设施国产化、信息安全全闭环”，作为全市基层法院智慧法庭建设示范标杆，可向下复用技术标准、业务模块。</w:t>
      </w:r>
    </w:p>
    <w:p w14:paraId="4ED2E928">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（二）建设原则</w:t>
      </w:r>
    </w:p>
    <w:p w14:paraId="7C551F34">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1、合规先行原则：严格遵循最高法、河南省政务信息化、等保 2.0、商用密码全部法规规范，所有软硬件满足涉密司法系统准入要求；</w:t>
      </w:r>
    </w:p>
    <w:p w14:paraId="18B282C3">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2、国产自主可控原则：服务器、终端 CPU、操作系统、数据库、语音引擎全部选用国产产品，杜绝国外闭源核心组件；</w:t>
      </w:r>
    </w:p>
    <w:p w14:paraId="2B1A54C9">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3、业务驱动实用原则：围绕法官、书记员、诉讼群众真实庭审痛点设计功能，不堆砌无效智能化功能，降低操作学习成本；</w:t>
      </w:r>
    </w:p>
    <w:p w14:paraId="6A7247A2">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4、安全全域防护原则：覆盖物理机房、网络边界、服务器、终端、应用、数据全链路安全防护，同步完成等保三级、商用密码改造；</w:t>
      </w:r>
    </w:p>
    <w:p w14:paraId="0B9C2604">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5、兼容利旧原则：最大化复用安阳中院现有机房、网络、大屏基础设施，仅对老旧不兼容设备替换，节约投资；</w:t>
      </w:r>
    </w:p>
    <w:p w14:paraId="2BA4923C">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6、可扩展易运维原则：模块化架构设计，后期可快速增加法庭数量、接入基层法院、拓展 AI 法律大模型能力，配套一体化运维监控平台。</w:t>
      </w:r>
    </w:p>
    <w:p w14:paraId="3FB855E6">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（三）总体建设目标</w:t>
      </w:r>
    </w:p>
    <w:p w14:paraId="278DFEE3">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建成覆盖安阳中院全部审判法庭的国产化智慧庭审体系：</w:t>
      </w:r>
    </w:p>
    <w:p w14:paraId="20107E1B">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1、 全面落地无书记员庭审改革，书记员人力释放 50% 以上；</w:t>
      </w:r>
    </w:p>
    <w:p w14:paraId="0F1DF716">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2、搭建本地化河南方言语音识别大模型，适配安阳本地诉讼场景；</w:t>
      </w:r>
    </w:p>
    <w:p w14:paraId="05E61A39">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3、实现庭审、证据、卷宗、笔录全流程无纸化线上流转；</w:t>
      </w:r>
    </w:p>
    <w:p w14:paraId="7FE5BC8E">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4、建成符合等保三级、商用密码规范的司法信息安全防护体系；</w:t>
      </w:r>
    </w:p>
    <w:p w14:paraId="01BFDCE9">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5、 形成可复制、可推广的地市级中院智慧法庭建设标准，支撑基层法院后续升级。</w:t>
      </w:r>
    </w:p>
    <w:p w14:paraId="1697D1F7">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2" w:firstLineChars="200"/>
        <w:textAlignment w:val="auto"/>
        <w:rPr>
          <w:rFonts w:hint="eastAsia" w:ascii="Times New Roman" w:hAnsi="Times New Roman" w:cs="Times New Roman"/>
          <w:b/>
          <w:bCs/>
          <w:color w:val="auto"/>
          <w:sz w:val="24"/>
          <w:szCs w:val="22"/>
          <w:highlight w:val="none"/>
          <w:lang w:val="en-US" w:eastAsia="zh-CN"/>
        </w:rPr>
      </w:pPr>
      <w:r>
        <w:rPr>
          <w:rFonts w:hint="eastAsia" w:ascii="Times New Roman" w:hAnsi="Times New Roman" w:cs="Times New Roman"/>
          <w:b/>
          <w:bCs/>
          <w:color w:val="auto"/>
          <w:sz w:val="24"/>
          <w:szCs w:val="22"/>
          <w:highlight w:val="none"/>
          <w:lang w:val="en-US" w:eastAsia="zh-CN"/>
        </w:rPr>
        <w:t>二、建设规模和内容</w:t>
      </w:r>
    </w:p>
    <w:p w14:paraId="62FF6C36">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本项目共覆盖15 间审判法庭，其中：</w:t>
      </w:r>
    </w:p>
    <w:p w14:paraId="16E7A19C">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利旧7间（17、20、26、27、28、31、33 法庭）；</w:t>
      </w:r>
    </w:p>
    <w:p w14:paraId="20D63889">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改造4间（16、18、23、30 法庭）；</w:t>
      </w:r>
    </w:p>
    <w:p w14:paraId="00E408B6">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新建3 间（13、19、25 法庭）；</w:t>
      </w:r>
    </w:p>
    <w:p w14:paraId="64307958">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刑事专用法庭1间（32 刑事法庭）。</w:t>
      </w:r>
    </w:p>
    <w:p w14:paraId="0F77DDFE">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语音庭审系统同步覆盖21法庭、重大要案法庭及会议室。</w:t>
      </w:r>
    </w:p>
    <w:p w14:paraId="06611869">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本项目硬件设备：配套存储服务器、庭审音视频、庭审交互、机房配套全品类设备。</w:t>
      </w:r>
    </w:p>
    <w:p w14:paraId="58BA8647">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配置国产存储服务器3台，用于承载方言语音大模型及全庭庭审数据存储，大模型服务器、数据库软件复用院内现有资源；</w:t>
      </w:r>
    </w:p>
    <w:p w14:paraId="693623A3">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语音庭审配套新一代国产智能媒体主机合计18台，覆盖7间利旧法庭、4间改造法庭、3间新建法庭及1间刑事法庭、同步覆盖21法庭、重大要案法庭及会议室。</w:t>
      </w:r>
    </w:p>
    <w:p w14:paraId="48153EE8">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科技法庭音视频采集及输出设备配置刑事庭审主机1台、通用庭审主机7台，桌面拾音话筒64支、刑事专用被告麦克风1支，4K星光级全景摄像机33台，75寸庭审公示大屏16套并配套专用壁挂支架，专业扩声音箱8对；法庭供电管控设备配置电源时序器8台，配套16口千兆交换机8台、24U标准机房机柜8套。</w:t>
      </w:r>
    </w:p>
    <w:p w14:paraId="07C9CBB5">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无书记员庭审交互终端统一采用国产化触控一体机，配置29英寸法官专用终端15台，配套集成摄像头、身份证读卡器、高拍仪、指纹采集模块的当事人多功能终端30台；</w:t>
      </w:r>
    </w:p>
    <w:p w14:paraId="138FC17E">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法庭门口统一部署32英寸立式开庭公告屏15台，实现全庭开庭信息可视化公示。</w:t>
      </w:r>
    </w:p>
    <w:p w14:paraId="18ABF0D1">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本项目软件：建设全院级大模型方言语音识别引擎1套，内网本地化部署，可支撑全法庭普通话、河南方言实时语音转写；配套智能语音庭审系统共计18套，覆盖7间利旧法庭、4间改造法庭、3 间新建法庭及1间刑事法庭、同步覆盖21法庭、重大要案法庭及会议室。实现分角色录音转写、笔录智能修正、电子签名等功能；配套智慧笔录助手系统15套，适配全部15间标准审判法庭，依托AI大模型完成庭审笔录自动精简、多源数据同步回溯、双版本笔录同屏比对，支撑无书记员庭审模式落地运行。</w:t>
      </w:r>
    </w:p>
    <w:p w14:paraId="7632E058">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本项目整体划分为五大功能模块，同步完成现有法庭利旧改造与新建法庭部署，构建覆盖庭审音视频采集、智能语音识别、无书记员交互、笔录智能辅助、开庭信息公示的全流程智慧庭审体系。</w:t>
      </w:r>
    </w:p>
    <w:p w14:paraId="49061083">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（一）语音识别引擎升级模块</w:t>
      </w:r>
    </w:p>
    <w:p w14:paraId="0763944A">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内网本地化部署国产化大模型方言语音识别引擎，配套存储服务器承载语音模型与庭审数据，大模型服务器、数据库软件利旧现有资源，完成语音识别底座的国产化适配与算力支撑。</w:t>
      </w:r>
    </w:p>
    <w:p w14:paraId="2755E04F">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（二）语音庭审模块</w:t>
      </w:r>
    </w:p>
    <w:p w14:paraId="243A0049">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对全院法庭部署新一代智能媒体主机及智能语音庭审系统，实现分角色语音实时转写、案件资料自学习、笔录模板导入、个性化词语配置、庭审纪律语音播报、笔录电子签名等功能，完成庭审记录智能化改造。</w:t>
      </w:r>
    </w:p>
    <w:p w14:paraId="7B16B40E">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（三）科技法庭模块</w:t>
      </w:r>
    </w:p>
    <w:p w14:paraId="669F12CC">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为刑事法庭及改造、新建法庭配置庭审主机、桌面话筒、刑事被告麦克风、4K 全景摄像机、公示大屏、音箱、电源时序器、交换机、机柜等全套音视频采集与显示设备，实现庭审多路音视频录制、画面合成、直播推流、集中控制与现场扩声。</w:t>
      </w:r>
    </w:p>
    <w:p w14:paraId="60828A3B">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（四）无书记员庭审模式模块</w:t>
      </w:r>
    </w:p>
    <w:p w14:paraId="3082DEFD">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配置法官终端与当事人多功能终端两类国产化交互终端。法官终端面向审判人员支撑庭审主持、卷宗查阅与流程管控；当事人终端集成身份证读卡器、高拍仪、指纹仪、摄像头，面向诉讼参与人支撑证据查阅、身份核验、线上质证与电子签名，全面落地无书记员庭审模式。</w:t>
      </w:r>
    </w:p>
    <w:p w14:paraId="6DED3961">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（五）智慧笔录助手与开庭公示模块</w:t>
      </w:r>
    </w:p>
    <w:p w14:paraId="2A4E32E8">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部署智慧笔录助手系统，依托大模型实现庭审笔录自动规整精简、音视频与笔录四同步回溯、原始与规整笔录同屏对比；每间法庭门口配置开庭公告屏，实时展示开庭案由、当事人、承办法官等庭审公示信息。</w:t>
      </w:r>
    </w:p>
    <w:p w14:paraId="5F35C4DD">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cs="Times New Roman"/>
          <w:b/>
          <w:bCs/>
          <w:color w:val="auto"/>
          <w:sz w:val="24"/>
          <w:szCs w:val="22"/>
          <w:highlight w:val="none"/>
          <w:lang w:val="en-US" w:eastAsia="zh-CN"/>
        </w:rPr>
      </w:pPr>
      <w:r>
        <w:rPr>
          <w:rFonts w:hint="eastAsia" w:ascii="Times New Roman" w:hAnsi="Times New Roman" w:cs="Times New Roman"/>
          <w:b/>
          <w:bCs/>
          <w:color w:val="auto"/>
          <w:sz w:val="24"/>
          <w:szCs w:val="22"/>
          <w:highlight w:val="none"/>
          <w:lang w:val="en-US" w:eastAsia="zh-CN"/>
        </w:rPr>
        <w:t>三、信息资源共享开放</w:t>
      </w:r>
    </w:p>
    <w:p w14:paraId="2CDFCB95">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（一）共享业务应用</w:t>
      </w:r>
    </w:p>
    <w:p w14:paraId="4D1CE1A8">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1、纵向省级法院共享：对接河南省高级人民法院智慧法院统一平台，同步庭审笔录、开庭排期、庭审录像，实现省、市两级法院案件信息互通，上级法院远程观摩庭审；</w:t>
      </w:r>
    </w:p>
    <w:p w14:paraId="69110E16">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strike w:val="0"/>
          <w:dstrike w:val="0"/>
          <w:color w:val="auto"/>
          <w:sz w:val="24"/>
          <w:szCs w:val="22"/>
          <w:highlight w:val="none"/>
          <w:lang w:val="en-US" w:eastAsia="zh-CN"/>
        </w:rPr>
        <w:t>2、</w:t>
      </w:r>
      <w:r>
        <w:rPr>
          <w:rFonts w:hint="eastAsia" w:ascii="Times New Roman" w:hAnsi="Times New Roman" w:cs="Times New Roman"/>
          <w:color w:val="auto"/>
          <w:sz w:val="24"/>
          <w:szCs w:val="22"/>
          <w:highlight w:val="none"/>
          <w:lang w:val="en-US" w:eastAsia="zh-CN"/>
        </w:rPr>
        <w:t>对外司法公开共享：合规推送庭审直播录像至中国庭审公开网，仅公开允许对外播放的案件，涉密、隐私案件隔离不对外共享；</w:t>
      </w:r>
    </w:p>
    <w:p w14:paraId="703EDE07">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3、基层法院向下共享：本期平台预留标准化数据接口，后期支撑 9 家基层法院庭审数据汇总、统一检索。</w:t>
      </w:r>
    </w:p>
    <w:p w14:paraId="0AB67B1A">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（二）数据共享开放</w:t>
      </w:r>
    </w:p>
    <w:p w14:paraId="1FFFA706">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1、无条件内部共享数据：院内各庭室案件排期、庭审归档笔录（仅法院干警授权访问）；</w:t>
      </w:r>
    </w:p>
    <w:p w14:paraId="76EB3BD0">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2、授权定向共享数据：省高院调取庭审录像、安阳市政务部门办案协查数据（双人审批、单次授权、留存调取记录）；</w:t>
      </w:r>
    </w:p>
    <w:p w14:paraId="64867CB3">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3、有限对外开放数据：不涉密、不涉及当事人隐私的庭审直播画面，仅通过官方庭审公开网单向展示，禁止外部写入；</w:t>
      </w:r>
    </w:p>
    <w:p w14:paraId="2C1F8154">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4、禁止开放数据：当事人身份证、指纹、住址、未审结案件内部评议记录、涉密刑事案件全部数据，不提供任何对外共享接口。</w:t>
      </w:r>
    </w:p>
    <w:p w14:paraId="4F79A6C9">
      <w:pPr>
        <w:spacing w:line="560" w:lineRule="exact"/>
        <w:ind w:firstLine="482" w:firstLineChars="200"/>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lang w:val="en-US" w:eastAsia="zh-CN"/>
        </w:rPr>
        <w:t>四</w:t>
      </w:r>
      <w:r>
        <w:rPr>
          <w:rFonts w:hint="eastAsia" w:ascii="宋体" w:hAnsi="宋体" w:cs="宋体"/>
          <w:b/>
          <w:bCs/>
          <w:color w:val="auto"/>
          <w:sz w:val="24"/>
          <w:highlight w:val="none"/>
          <w:lang w:eastAsia="zh-CN"/>
        </w:rPr>
        <w:t>、所涉设备技术要求</w:t>
      </w:r>
    </w:p>
    <w:tbl>
      <w:tblPr>
        <w:tblStyle w:val="3"/>
        <w:tblW w:w="9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11"/>
        <w:gridCol w:w="1080"/>
        <w:gridCol w:w="6474"/>
        <w:gridCol w:w="683"/>
        <w:gridCol w:w="850"/>
      </w:tblGrid>
      <w:tr w14:paraId="0E71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5C37BE03">
            <w:pPr>
              <w:keepNext w:val="0"/>
              <w:keepLines w:val="0"/>
              <w:pageBreakBefore w:val="0"/>
              <w:widowControl/>
              <w:kinsoku/>
              <w:wordWrap/>
              <w:overflowPunct/>
              <w:topLinePunct w:val="0"/>
              <w:autoSpaceDE/>
              <w:autoSpaceDN/>
              <w:bidi w:val="0"/>
              <w:adjustRightInd/>
              <w:snapToGrid w:val="0"/>
              <w:spacing w:line="30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1080" w:type="dxa"/>
            <w:tcMar>
              <w:top w:w="15" w:type="dxa"/>
              <w:left w:w="15" w:type="dxa"/>
              <w:bottom w:w="0" w:type="dxa"/>
              <w:right w:w="15" w:type="dxa"/>
            </w:tcMar>
            <w:vAlign w:val="center"/>
          </w:tcPr>
          <w:p w14:paraId="59DF7F99">
            <w:pPr>
              <w:keepNext w:val="0"/>
              <w:keepLines w:val="0"/>
              <w:pageBreakBefore w:val="0"/>
              <w:widowControl/>
              <w:kinsoku/>
              <w:wordWrap/>
              <w:overflowPunct/>
              <w:topLinePunct w:val="0"/>
              <w:autoSpaceDE/>
              <w:autoSpaceDN/>
              <w:bidi w:val="0"/>
              <w:adjustRightInd/>
              <w:snapToGrid w:val="0"/>
              <w:spacing w:line="30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标段（包）内容</w:t>
            </w:r>
          </w:p>
        </w:tc>
        <w:tc>
          <w:tcPr>
            <w:tcW w:w="6474" w:type="dxa"/>
            <w:vAlign w:val="center"/>
          </w:tcPr>
          <w:p w14:paraId="70D072B8">
            <w:pPr>
              <w:keepNext w:val="0"/>
              <w:keepLines w:val="0"/>
              <w:pageBreakBefore w:val="0"/>
              <w:widowControl/>
              <w:kinsoku/>
              <w:wordWrap/>
              <w:overflowPunct/>
              <w:topLinePunct w:val="0"/>
              <w:autoSpaceDE/>
              <w:autoSpaceDN/>
              <w:bidi w:val="0"/>
              <w:adjustRightInd/>
              <w:snapToGrid w:val="0"/>
              <w:spacing w:line="30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基本技术要求</w:t>
            </w:r>
          </w:p>
        </w:tc>
        <w:tc>
          <w:tcPr>
            <w:tcW w:w="683" w:type="dxa"/>
            <w:vAlign w:val="center"/>
          </w:tcPr>
          <w:p w14:paraId="1D3C9E12">
            <w:pPr>
              <w:keepNext w:val="0"/>
              <w:keepLines w:val="0"/>
              <w:pageBreakBefore w:val="0"/>
              <w:widowControl/>
              <w:kinsoku/>
              <w:wordWrap/>
              <w:overflowPunct/>
              <w:topLinePunct w:val="0"/>
              <w:autoSpaceDE/>
              <w:autoSpaceDN/>
              <w:bidi w:val="0"/>
              <w:adjustRightInd/>
              <w:snapToGrid w:val="0"/>
              <w:spacing w:line="30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数量</w:t>
            </w:r>
          </w:p>
        </w:tc>
        <w:tc>
          <w:tcPr>
            <w:tcW w:w="850" w:type="dxa"/>
            <w:vAlign w:val="center"/>
          </w:tcPr>
          <w:p w14:paraId="269EC306">
            <w:pPr>
              <w:keepNext w:val="0"/>
              <w:keepLines w:val="0"/>
              <w:pageBreakBefore w:val="0"/>
              <w:widowControl/>
              <w:kinsoku/>
              <w:wordWrap/>
              <w:overflowPunct/>
              <w:topLinePunct w:val="0"/>
              <w:autoSpaceDE/>
              <w:autoSpaceDN/>
              <w:bidi w:val="0"/>
              <w:adjustRightInd/>
              <w:snapToGrid w:val="0"/>
              <w:spacing w:line="30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货物所属行业</w:t>
            </w:r>
          </w:p>
        </w:tc>
      </w:tr>
      <w:tr w14:paraId="47F99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9398" w:type="dxa"/>
            <w:gridSpan w:val="5"/>
            <w:vAlign w:val="center"/>
          </w:tcPr>
          <w:p w14:paraId="39F24741">
            <w:pPr>
              <w:keepNext w:val="0"/>
              <w:keepLines w:val="0"/>
              <w:pageBreakBefore w:val="0"/>
              <w:widowControl/>
              <w:kinsoku/>
              <w:wordWrap/>
              <w:overflowPunct/>
              <w:topLinePunct w:val="0"/>
              <w:autoSpaceDE/>
              <w:autoSpaceDN/>
              <w:bidi w:val="0"/>
              <w:adjustRightInd/>
              <w:snapToGrid w:val="0"/>
              <w:spacing w:line="30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eastAsia="zh-CN"/>
              </w:rPr>
              <w:t>（一）</w:t>
            </w:r>
            <w:r>
              <w:rPr>
                <w:rFonts w:hint="eastAsia" w:asciiTheme="minorEastAsia" w:hAnsiTheme="minorEastAsia" w:eastAsiaTheme="minorEastAsia" w:cstheme="minorEastAsia"/>
                <w:b/>
                <w:color w:val="auto"/>
                <w:sz w:val="24"/>
                <w:szCs w:val="24"/>
                <w:highlight w:val="none"/>
              </w:rPr>
              <w:t>语音识别引擎升级</w:t>
            </w:r>
          </w:p>
        </w:tc>
      </w:tr>
      <w:tr w14:paraId="4E3EA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37925823">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w:t>
            </w:r>
          </w:p>
        </w:tc>
        <w:tc>
          <w:tcPr>
            <w:tcW w:w="1080" w:type="dxa"/>
            <w:tcMar>
              <w:top w:w="15" w:type="dxa"/>
              <w:left w:w="15" w:type="dxa"/>
              <w:bottom w:w="0" w:type="dxa"/>
              <w:right w:w="15" w:type="dxa"/>
            </w:tcMar>
            <w:vAlign w:val="center"/>
          </w:tcPr>
          <w:p w14:paraId="31B40756">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大模型方言语音识别引擎</w:t>
            </w:r>
          </w:p>
        </w:tc>
        <w:tc>
          <w:tcPr>
            <w:tcW w:w="6474" w:type="dxa"/>
            <w:vAlign w:val="center"/>
          </w:tcPr>
          <w:p w14:paraId="2B7F5F66">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完成该平台的国产化适配，平台部署在法院内网中，主要功能要求如下：</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1、提供统一的智能中文语音转写引擎，实现对普通话连续语音的实时转写，并提供对已转写文字的后处理及字音同步对齐能力</w:t>
            </w:r>
            <w:r>
              <w:rPr>
                <w:rFonts w:hint="eastAsia" w:asciiTheme="minorEastAsia" w:hAnsiTheme="minorEastAsia" w:eastAsiaTheme="minorEastAsia" w:cstheme="minorEastAsia"/>
                <w:color w:val="auto"/>
                <w:kern w:val="0"/>
                <w:sz w:val="24"/>
                <w:szCs w:val="24"/>
                <w:highlight w:val="none"/>
                <w:lang w:eastAsia="zh-CN"/>
              </w:rPr>
              <w:t>。</w:t>
            </w:r>
          </w:p>
          <w:p w14:paraId="2104DEC8">
            <w:pPr>
              <w:keepNext w:val="0"/>
              <w:keepLines w:val="0"/>
              <w:pageBreakBefore w:val="0"/>
              <w:widowControl/>
              <w:numPr>
                <w:ilvl w:val="0"/>
                <w:numId w:val="0"/>
              </w:numPr>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u w:color="000000"/>
                <w:lang w:val="en-US" w:eastAsia="zh-CN" w:bidi="ar-SA"/>
              </w:rPr>
              <w:t>2、</w:t>
            </w:r>
            <w:r>
              <w:rPr>
                <w:rFonts w:hint="eastAsia" w:asciiTheme="minorEastAsia" w:hAnsiTheme="minorEastAsia" w:eastAsiaTheme="minorEastAsia" w:cstheme="minorEastAsia"/>
                <w:color w:val="auto"/>
                <w:kern w:val="0"/>
                <w:sz w:val="24"/>
                <w:szCs w:val="24"/>
                <w:highlight w:val="none"/>
              </w:rPr>
              <w:t>语音识别：能够将庭审过程中各方当事人所说的多条不同语音流实时识别为对应的文字内容，并且能够正确的返回到前端设备上，供法官、书记员进行校对和修改</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3、中、英文智能分句：通过提取上下文相关的语义特征，同时结合停顿、基频信息等语音特征，来进行子句的划分。分句，即对转写文本按语义进行子句划分，并在子句之间加注标点。</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4、高精度文本分析：对输入的文本中未登录词（如地名）、多音字、特殊符号（如标点、数字）、韵律短语等智能分析和处理</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5、智能文本顺滑：系统具备自主学习能力，使用泛化特征并结合双向长短时记忆网络建模技术，剔除转写结果中的停顿词、语气词、重复词，使顺滑后的文本更易于阅读，针对语音识别第一次识别错误的结果，能够根据陈述人后面说话的识别结果对第一次的错误内容进行纠正</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6、噪音抑制：系统具备高效的噪音抑制能力，以提高用户在不同复杂的环境中识别效果</w:t>
            </w:r>
            <w:r>
              <w:rPr>
                <w:rFonts w:hint="eastAsia" w:asciiTheme="minorEastAsia" w:hAnsiTheme="minorEastAsia" w:eastAsiaTheme="minorEastAsia" w:cstheme="minorEastAsia"/>
                <w:color w:val="auto"/>
                <w:kern w:val="0"/>
                <w:sz w:val="24"/>
                <w:szCs w:val="24"/>
                <w:highlight w:val="none"/>
                <w:lang w:eastAsia="zh-CN"/>
              </w:rPr>
              <w:t>。</w:t>
            </w:r>
          </w:p>
          <w:p w14:paraId="764E1910">
            <w:pPr>
              <w:keepNext w:val="0"/>
              <w:keepLines w:val="0"/>
              <w:pageBreakBefore w:val="0"/>
              <w:widowControl/>
              <w:numPr>
                <w:ilvl w:val="0"/>
                <w:numId w:val="0"/>
              </w:numPr>
              <w:kinsoku/>
              <w:wordWrap/>
              <w:overflowPunct/>
              <w:topLinePunct w:val="0"/>
              <w:autoSpaceDE/>
              <w:autoSpaceDN/>
              <w:bidi w:val="0"/>
              <w:adjustRightInd/>
              <w:snapToGrid/>
              <w:spacing w:line="300" w:lineRule="auto"/>
              <w:jc w:val="left"/>
              <w:textAlignment w:val="auto"/>
              <w:rPr>
                <w:rFonts w:hint="eastAsia" w:asciiTheme="minorEastAsia" w:hAnsiTheme="minorEastAsia" w:eastAsiaTheme="minorEastAsia" w:cstheme="minorEastAsia"/>
                <w:b w:val="0"/>
                <w:bCs w:val="0"/>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7、效果优化：系统支持添加通用热词和个案热词，显著提升语音识别效果。</w:t>
            </w:r>
            <w:r>
              <w:rPr>
                <w:rFonts w:hint="eastAsia" w:asciiTheme="minorEastAsia" w:hAnsiTheme="minorEastAsia" w:eastAsiaTheme="minorEastAsia" w:cstheme="minorEastAsia"/>
                <w:color w:val="auto"/>
                <w:kern w:val="0"/>
                <w:sz w:val="24"/>
                <w:szCs w:val="24"/>
                <w:highlight w:val="none"/>
              </w:rPr>
              <w:br w:type="textWrapping"/>
            </w:r>
            <w:r>
              <w:rPr>
                <w:rFonts w:hint="eastAsia" w:ascii="宋体" w:hAnsi="宋体" w:eastAsia="宋体" w:cs="宋体"/>
                <w:i w:val="0"/>
                <w:iCs w:val="0"/>
                <w:color w:val="auto"/>
                <w:kern w:val="0"/>
                <w:sz w:val="24"/>
                <w:szCs w:val="24"/>
                <w:highlight w:val="none"/>
                <w:u w:val="none"/>
                <w:lang w:val="en-US" w:eastAsia="zh-CN" w:bidi="ar"/>
              </w:rPr>
              <w:t>★</w:t>
            </w:r>
            <w:r>
              <w:rPr>
                <w:rFonts w:hint="eastAsia" w:asciiTheme="minorEastAsia" w:hAnsiTheme="minorEastAsia" w:eastAsiaTheme="minorEastAsia" w:cstheme="minorEastAsia"/>
                <w:color w:val="auto"/>
                <w:kern w:val="0"/>
                <w:sz w:val="24"/>
                <w:szCs w:val="24"/>
                <w:highlight w:val="none"/>
              </w:rPr>
              <w:t>8、识别模式：支持句子分片和整句识别</w:t>
            </w:r>
            <w:r>
              <w:rPr>
                <w:rFonts w:hint="eastAsia" w:asciiTheme="minorEastAsia" w:hAnsiTheme="minorEastAsia" w:eastAsiaTheme="minorEastAsia" w:cstheme="minorEastAsia"/>
                <w:b w:val="0"/>
                <w:bCs w:val="0"/>
                <w:color w:val="auto"/>
                <w:kern w:val="0"/>
                <w:sz w:val="24"/>
                <w:szCs w:val="24"/>
                <w:highlight w:val="none"/>
              </w:rPr>
              <w:t>。</w:t>
            </w:r>
          </w:p>
          <w:p w14:paraId="1BC7BC8A">
            <w:pPr>
              <w:keepNext w:val="0"/>
              <w:keepLines w:val="0"/>
              <w:pageBreakBefore w:val="0"/>
              <w:widowControl/>
              <w:numPr>
                <w:ilvl w:val="0"/>
                <w:numId w:val="0"/>
              </w:numPr>
              <w:kinsoku/>
              <w:wordWrap/>
              <w:overflowPunct/>
              <w:topLinePunct w:val="0"/>
              <w:autoSpaceDE/>
              <w:autoSpaceDN/>
              <w:bidi w:val="0"/>
              <w:adjustRightInd/>
              <w:snapToGrid/>
              <w:spacing w:line="300" w:lineRule="auto"/>
              <w:jc w:val="left"/>
              <w:textAlignment w:val="auto"/>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w:t>
            </w:r>
            <w:r>
              <w:rPr>
                <w:rFonts w:hint="eastAsia" w:asciiTheme="minorEastAsia" w:hAnsiTheme="minorEastAsia" w:eastAsiaTheme="minorEastAsia" w:cstheme="minorEastAsia"/>
                <w:b w:val="0"/>
                <w:bCs w:val="0"/>
                <w:color w:val="auto"/>
                <w:kern w:val="0"/>
                <w:sz w:val="24"/>
                <w:szCs w:val="24"/>
                <w:highlight w:val="none"/>
              </w:rPr>
              <w:t>9、</w:t>
            </w:r>
            <w:r>
              <w:rPr>
                <w:rFonts w:hint="eastAsia" w:ascii="宋体" w:hAnsi="宋体" w:eastAsia="宋体" w:cs="宋体"/>
                <w:b w:val="0"/>
                <w:bCs w:val="0"/>
                <w:i w:val="0"/>
                <w:iCs w:val="0"/>
                <w:color w:val="auto"/>
                <w:kern w:val="0"/>
                <w:sz w:val="24"/>
                <w:szCs w:val="24"/>
                <w:highlight w:val="none"/>
                <w:u w:val="none"/>
                <w:lang w:val="en-US" w:eastAsia="zh-CN" w:bidi="ar"/>
              </w:rPr>
              <w:t>中文普通话识别正确率：中文普通话识别字准确率≥99%。</w:t>
            </w:r>
          </w:p>
          <w:p w14:paraId="76040676">
            <w:pPr>
              <w:keepNext w:val="0"/>
              <w:keepLines w:val="0"/>
              <w:pageBreakBefore w:val="0"/>
              <w:widowControl/>
              <w:numPr>
                <w:ilvl w:val="0"/>
                <w:numId w:val="0"/>
              </w:numPr>
              <w:kinsoku/>
              <w:wordWrap/>
              <w:overflowPunct/>
              <w:topLinePunct w:val="0"/>
              <w:autoSpaceDE/>
              <w:autoSpaceDN/>
              <w:bidi w:val="0"/>
              <w:adjustRightInd/>
              <w:snapToGrid/>
              <w:spacing w:line="300" w:lineRule="auto"/>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bidi="ar"/>
              </w:rPr>
              <w:t>★</w:t>
            </w:r>
            <w:r>
              <w:rPr>
                <w:rFonts w:hint="eastAsia" w:asciiTheme="minorEastAsia" w:hAnsiTheme="minorEastAsia" w:eastAsiaTheme="minorEastAsia" w:cstheme="minorEastAsia"/>
                <w:b w:val="0"/>
                <w:bCs w:val="0"/>
                <w:color w:val="auto"/>
                <w:kern w:val="0"/>
                <w:sz w:val="24"/>
                <w:szCs w:val="24"/>
                <w:highlight w:val="none"/>
              </w:rPr>
              <w:t>10、方言识别：系统支持中文普通话、英文以及≥200种方言口音的免切换语音识别转写，覆盖全国所有省、自治区、直辖市。</w:t>
            </w:r>
            <w:r>
              <w:rPr>
                <w:rFonts w:hint="eastAsia" w:asciiTheme="minorEastAsia" w:hAnsiTheme="minorEastAsia" w:eastAsiaTheme="minorEastAsia" w:cstheme="minorEastAsia"/>
                <w:b w:val="0"/>
                <w:bCs w:val="0"/>
                <w:color w:val="auto"/>
                <w:kern w:val="0"/>
                <w:sz w:val="24"/>
                <w:szCs w:val="24"/>
                <w:highlight w:val="none"/>
                <w:lang w:val="en-US" w:eastAsia="zh-CN"/>
              </w:rPr>
              <w:t>其中</w:t>
            </w:r>
            <w:r>
              <w:rPr>
                <w:rFonts w:hint="eastAsia" w:ascii="宋体" w:hAnsi="宋体" w:eastAsia="宋体" w:cs="宋体"/>
                <w:b w:val="0"/>
                <w:bCs w:val="0"/>
                <w:i w:val="0"/>
                <w:iCs w:val="0"/>
                <w:color w:val="auto"/>
                <w:kern w:val="0"/>
                <w:sz w:val="24"/>
                <w:szCs w:val="24"/>
                <w:highlight w:val="none"/>
                <w:u w:val="none"/>
                <w:lang w:val="en-US" w:eastAsia="zh-CN" w:bidi="ar"/>
              </w:rPr>
              <w:t>河南地区方言口音识别字正确率≥93%以上。</w:t>
            </w:r>
          </w:p>
        </w:tc>
        <w:tc>
          <w:tcPr>
            <w:tcW w:w="683" w:type="dxa"/>
            <w:vAlign w:val="center"/>
          </w:tcPr>
          <w:p w14:paraId="3BBA2648">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1套</w:t>
            </w:r>
          </w:p>
        </w:tc>
        <w:tc>
          <w:tcPr>
            <w:tcW w:w="850" w:type="dxa"/>
            <w:vAlign w:val="center"/>
          </w:tcPr>
          <w:p w14:paraId="1E4257D0">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软件和信息技术服务业</w:t>
            </w:r>
          </w:p>
        </w:tc>
      </w:tr>
      <w:tr w14:paraId="7960E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3BD167E6">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2</w:t>
            </w:r>
          </w:p>
        </w:tc>
        <w:tc>
          <w:tcPr>
            <w:tcW w:w="1080" w:type="dxa"/>
            <w:tcMar>
              <w:top w:w="15" w:type="dxa"/>
              <w:left w:w="15" w:type="dxa"/>
              <w:bottom w:w="0" w:type="dxa"/>
              <w:right w:w="15" w:type="dxa"/>
            </w:tcMar>
            <w:vAlign w:val="center"/>
          </w:tcPr>
          <w:p w14:paraId="7D97ABCB">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存储服务器</w:t>
            </w:r>
          </w:p>
        </w:tc>
        <w:tc>
          <w:tcPr>
            <w:tcW w:w="6474" w:type="dxa"/>
            <w:vAlign w:val="center"/>
          </w:tcPr>
          <w:p w14:paraId="50CB83E7">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1、CPU：国产CPU≥96核</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2、内存：≥256G；</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3、硬盘：系统盘≥480G，存储盘≥100T；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4、操作系统：国产操作系统。</w:t>
            </w:r>
          </w:p>
        </w:tc>
        <w:tc>
          <w:tcPr>
            <w:tcW w:w="683" w:type="dxa"/>
            <w:vAlign w:val="center"/>
          </w:tcPr>
          <w:p w14:paraId="0DC32F71">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3台</w:t>
            </w:r>
          </w:p>
        </w:tc>
        <w:tc>
          <w:tcPr>
            <w:tcW w:w="850" w:type="dxa"/>
            <w:vAlign w:val="center"/>
          </w:tcPr>
          <w:p w14:paraId="14E8E6B3">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工业</w:t>
            </w:r>
          </w:p>
        </w:tc>
      </w:tr>
      <w:tr w14:paraId="40AA0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9398" w:type="dxa"/>
            <w:gridSpan w:val="5"/>
            <w:vAlign w:val="center"/>
          </w:tcPr>
          <w:p w14:paraId="1D1CDEDC">
            <w:pPr>
              <w:keepNext w:val="0"/>
              <w:keepLines w:val="0"/>
              <w:pageBreakBefore w:val="0"/>
              <w:widowControl/>
              <w:kinsoku/>
              <w:wordWrap/>
              <w:overflowPunct/>
              <w:topLinePunct w:val="0"/>
              <w:autoSpaceDE/>
              <w:autoSpaceDN/>
              <w:bidi w:val="0"/>
              <w:adjustRightInd/>
              <w:snapToGrid w:val="0"/>
              <w:spacing w:line="30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（二）</w:t>
            </w:r>
            <w:r>
              <w:rPr>
                <w:rFonts w:hint="eastAsia" w:asciiTheme="minorEastAsia" w:hAnsiTheme="minorEastAsia" w:eastAsiaTheme="minorEastAsia" w:cstheme="minorEastAsia"/>
                <w:b/>
                <w:color w:val="auto"/>
                <w:sz w:val="24"/>
                <w:szCs w:val="24"/>
                <w:highlight w:val="none"/>
              </w:rPr>
              <w:t>语音庭审</w:t>
            </w:r>
          </w:p>
        </w:tc>
      </w:tr>
      <w:tr w14:paraId="716FB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67C3FC9D">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3</w:t>
            </w:r>
          </w:p>
        </w:tc>
        <w:tc>
          <w:tcPr>
            <w:tcW w:w="1080" w:type="dxa"/>
            <w:tcMar>
              <w:top w:w="15" w:type="dxa"/>
              <w:left w:w="15" w:type="dxa"/>
              <w:bottom w:w="0" w:type="dxa"/>
              <w:right w:w="15" w:type="dxa"/>
            </w:tcMar>
            <w:vAlign w:val="center"/>
          </w:tcPr>
          <w:p w14:paraId="119EB7D0">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智能语音庭审系统国产化改造</w:t>
            </w:r>
          </w:p>
        </w:tc>
        <w:tc>
          <w:tcPr>
            <w:tcW w:w="6474" w:type="dxa"/>
            <w:vAlign w:val="center"/>
          </w:tcPr>
          <w:p w14:paraId="33B7AC17">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需支持国产化部署，支持语音转写笔录、材料自学习、法庭纪律播报等功能，辅助法官、书记员进行庭审笔录智能记录，从而降低笔录记录与编辑时间，提高庭审记录效率。</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1、案件资料绑定与训练：需支持案件资源和案号绑定；需支持导入案件资料进行训练，提高笔录转写准确率。</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2、笔录模板导入：需支持导入庭前准备的笔录模板（需支持doc/docx格式），延续了书记员之前的记录习惯，减少书记员庭审过程中记录量，辅助生成完整笔录，提升记录效率；需支持书记员保存修改后新的笔录模板，以便下次开庭直接使用。</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3、个性化词语配置：需支持书记员将庭审中出现的个性化词语添加到系统中；支持自动修正转写结果，防止庭审过程中转写的某些个性化词语（例如人名、公司名、地名等）出现错误。</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4、麦克风配置：需支持法庭麦克风配置对应的陈述人角色信息，实现庭中区分多角色的说话内容；同时支持书记员直接在客户端修改麦克风，在配置中心修改麦克风后，修改数据会更新到数据库，同时在庭审页面麦克风名称会发生同步变化；需支持一次性修改，如果单纯在庭审页面修改麦克风，此次修改只针对此次庭审有效。</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5、庭审笔录转写：系统需支持分角色语音转写笔录，可在笔录中插入实时转写结果与实时修正转写结果。</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6、庭审笔录智能修正：需支持书记员对庭审笔录进行实时修订、保存，并且支持文本文档操作，实现庭审记录的快速修正、生成。</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7、庭审信息语音播报：需支持开庭法庭纪律、审判人员入庭、证人出庭等内容自动播报。</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8、保存/导出/打印/打印预览：需支持书记员庭后在系统客户端保存和导出庭审笔录Word文档，也支持在客户端中进行打印预览或者直接进行打印操作。</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9、笔录电子签名：系统需支持笔录电子签名发起；支持线下诉讼参与人于电子签名捺印板上完成签名操作；支持法庭外的诉讼参与人进行线上签名；支持原被告签名信息可传输到客户端，客户端加密保存签名内容；支持在笔录打印时将笔录签名打印到笔录文本中，从而提升现场的效率。</w:t>
            </w:r>
          </w:p>
        </w:tc>
        <w:tc>
          <w:tcPr>
            <w:tcW w:w="683" w:type="dxa"/>
            <w:vAlign w:val="center"/>
          </w:tcPr>
          <w:p w14:paraId="538CABFE">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15套</w:t>
            </w:r>
          </w:p>
        </w:tc>
        <w:tc>
          <w:tcPr>
            <w:tcW w:w="850" w:type="dxa"/>
            <w:vAlign w:val="center"/>
          </w:tcPr>
          <w:p w14:paraId="0819E1B5">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软件和信息技术服务业</w:t>
            </w:r>
          </w:p>
        </w:tc>
      </w:tr>
      <w:tr w14:paraId="18A7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2A1A1C54">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4</w:t>
            </w:r>
          </w:p>
        </w:tc>
        <w:tc>
          <w:tcPr>
            <w:tcW w:w="1080" w:type="dxa"/>
            <w:tcMar>
              <w:top w:w="15" w:type="dxa"/>
              <w:left w:w="15" w:type="dxa"/>
              <w:bottom w:w="0" w:type="dxa"/>
              <w:right w:w="15" w:type="dxa"/>
            </w:tcMar>
            <w:vAlign w:val="center"/>
          </w:tcPr>
          <w:p w14:paraId="102E1642">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新建智能语音庭审系统</w:t>
            </w:r>
          </w:p>
        </w:tc>
        <w:tc>
          <w:tcPr>
            <w:tcW w:w="6474" w:type="dxa"/>
            <w:vAlign w:val="center"/>
          </w:tcPr>
          <w:p w14:paraId="00844272">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需支持国产化部署，支持语音转写笔录、材料自学习、法庭纪律播报等功能，辅助法官、书记员进行庭审笔录智能记录，从而降低笔录记录与编辑时间，提高庭审记录效率。</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1、案件资料绑定与训练：需支持案件资源和案号绑定；需支持导入案件资料进行训练，提高笔录转写准确率。</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2、笔录模板导入：需支持导入庭前准备的笔录模板（需支持doc/docx格式），延续了书记员之前的记录习惯，减少书记员庭审过程中记录量，辅助生成完整笔录，提升记录效率；需支持书记员保存修改后新的笔录模板，以便下次开庭直接使用。</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3、个性化词语配置：需支持书记员将庭审中出现的个性化词语添加到系统中；支持自动修正转写结果，防止庭审过程中转写的某些个性化词语（例如人名、公司名、地名等）出现错误。</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4、麦克风配置：需支持法庭麦克风配置对应的陈述人角色信息，实现庭中区分多角色的说话内容；同时支持书记员直接在客户端修改麦克风，在配置中心修改麦克风后，修改数据会更新到数据库，同时在庭审页面麦克风名称会发生同步变化；需支持一次性修改，如果单纯在庭审页面修改麦克风，此次修改只针对此次庭审有效。</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5、庭审笔录转写：系统需支持分角色语音转写笔录，可在笔录中插入实时转写结果与实时修正转写结果。</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6、庭审笔录智能修正：需支持书记员对庭审笔录进行实时修订、保存，并且支持文本文档操作，实现庭审记录的快速修正、生成。</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7、庭审信息语音播报：需支持开庭法庭纪律、审判人员入庭、证人出庭等内容自动播报。</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8、保存/导出/打印/打印预览：需支持书记员庭后在系统客户端保存和导出庭审笔录Word文档，也支持在客户端中进行打印预览或者直接进行打印操作。</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9、笔录电子签名：系统需支持笔录电子签名发起；支持线下诉讼参与人于电子签名捺印板上完成签名操作；支持法庭外的诉讼参与人进行线上签名；支持原被告签名信息可传输到客户端，客户端加密保存签名内容；支持在笔录打印时将笔录签名打印到笔录文本中，从而提升现场的效率。</w:t>
            </w:r>
          </w:p>
        </w:tc>
        <w:tc>
          <w:tcPr>
            <w:tcW w:w="683" w:type="dxa"/>
            <w:vAlign w:val="center"/>
          </w:tcPr>
          <w:p w14:paraId="4904B26F">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3套</w:t>
            </w:r>
          </w:p>
        </w:tc>
        <w:tc>
          <w:tcPr>
            <w:tcW w:w="850" w:type="dxa"/>
            <w:vAlign w:val="center"/>
          </w:tcPr>
          <w:p w14:paraId="030E09B8">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软件和信息技术服务业</w:t>
            </w:r>
          </w:p>
        </w:tc>
      </w:tr>
      <w:tr w14:paraId="2194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54424E15">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5</w:t>
            </w:r>
          </w:p>
        </w:tc>
        <w:tc>
          <w:tcPr>
            <w:tcW w:w="1080" w:type="dxa"/>
            <w:tcMar>
              <w:top w:w="15" w:type="dxa"/>
              <w:left w:w="15" w:type="dxa"/>
              <w:bottom w:w="0" w:type="dxa"/>
              <w:right w:w="15" w:type="dxa"/>
            </w:tcMar>
            <w:vAlign w:val="center"/>
          </w:tcPr>
          <w:p w14:paraId="1D0B69EA">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新一代智能媒体主机</w:t>
            </w:r>
          </w:p>
        </w:tc>
        <w:tc>
          <w:tcPr>
            <w:tcW w:w="6474" w:type="dxa"/>
            <w:vAlign w:val="center"/>
          </w:tcPr>
          <w:p w14:paraId="1F83A528">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b w:val="0"/>
                <w:bCs w:val="0"/>
                <w:color w:val="auto"/>
                <w:kern w:val="0"/>
                <w:sz w:val="24"/>
                <w:szCs w:val="24"/>
                <w:highlight w:val="none"/>
                <w:lang w:eastAsia="zh-CN"/>
              </w:rPr>
            </w:pPr>
            <w:r>
              <w:rPr>
                <w:rFonts w:hint="eastAsia" w:ascii="宋体" w:hAnsi="宋体" w:eastAsia="宋体" w:cs="宋体"/>
                <w:i w:val="0"/>
                <w:iCs w:val="0"/>
                <w:color w:val="auto"/>
                <w:kern w:val="0"/>
                <w:sz w:val="24"/>
                <w:szCs w:val="24"/>
                <w:highlight w:val="none"/>
                <w:u w:val="none"/>
                <w:lang w:val="en-US" w:eastAsia="zh-CN" w:bidi="ar"/>
              </w:rPr>
              <w:t>★</w:t>
            </w:r>
            <w:r>
              <w:rPr>
                <w:rFonts w:hint="eastAsia" w:asciiTheme="minorEastAsia" w:hAnsiTheme="minorEastAsia" w:eastAsiaTheme="minorEastAsia" w:cstheme="minorEastAsia"/>
                <w:b w:val="0"/>
                <w:bCs w:val="0"/>
                <w:color w:val="auto"/>
                <w:kern w:val="0"/>
                <w:sz w:val="24"/>
                <w:szCs w:val="24"/>
                <w:highlight w:val="none"/>
              </w:rPr>
              <w:t>1、CPU：国产≥8核处理器</w:t>
            </w:r>
            <w:r>
              <w:rPr>
                <w:rFonts w:hint="eastAsia" w:asciiTheme="minorEastAsia" w:hAnsiTheme="minorEastAsia" w:eastAsiaTheme="minorEastAsia" w:cstheme="minorEastAsia"/>
                <w:b w:val="0"/>
                <w:bCs w:val="0"/>
                <w:color w:val="auto"/>
                <w:kern w:val="0"/>
                <w:sz w:val="24"/>
                <w:szCs w:val="24"/>
                <w:highlight w:val="none"/>
                <w:lang w:eastAsia="zh-CN"/>
              </w:rPr>
              <w:t>，</w:t>
            </w:r>
            <w:r>
              <w:rPr>
                <w:rFonts w:hint="eastAsia" w:asciiTheme="minorEastAsia" w:hAnsiTheme="minorEastAsia" w:eastAsiaTheme="minorEastAsia" w:cstheme="minorEastAsia"/>
                <w:b w:val="0"/>
                <w:bCs w:val="0"/>
                <w:color w:val="auto"/>
                <w:kern w:val="0"/>
                <w:sz w:val="24"/>
                <w:szCs w:val="24"/>
                <w:highlight w:val="none"/>
              </w:rPr>
              <w:t>ROM≥32G；RAM≥4G</w:t>
            </w:r>
            <w:r>
              <w:rPr>
                <w:rFonts w:hint="eastAsia" w:asciiTheme="minorEastAsia" w:hAnsiTheme="minorEastAsia" w:eastAsiaTheme="minorEastAsia" w:cstheme="minorEastAsia"/>
                <w:b w:val="0"/>
                <w:bCs w:val="0"/>
                <w:color w:val="auto"/>
                <w:kern w:val="0"/>
                <w:sz w:val="24"/>
                <w:szCs w:val="24"/>
                <w:highlight w:val="none"/>
                <w:lang w:eastAsia="zh-CN"/>
              </w:rPr>
              <w:t>。</w:t>
            </w:r>
            <w:r>
              <w:rPr>
                <w:rFonts w:hint="eastAsia" w:asciiTheme="minorEastAsia" w:hAnsiTheme="minorEastAsia" w:eastAsiaTheme="minorEastAsia" w:cstheme="minorEastAsia"/>
                <w:b w:val="0"/>
                <w:bCs w:val="0"/>
                <w:color w:val="auto"/>
                <w:kern w:val="0"/>
                <w:sz w:val="24"/>
                <w:szCs w:val="24"/>
                <w:highlight w:val="none"/>
              </w:rPr>
              <w:br w:type="textWrapping"/>
            </w:r>
            <w:r>
              <w:rPr>
                <w:rFonts w:hint="eastAsia" w:asciiTheme="minorEastAsia" w:hAnsiTheme="minorEastAsia" w:eastAsiaTheme="minorEastAsia" w:cstheme="minorEastAsia"/>
                <w:b w:val="0"/>
                <w:bCs w:val="0"/>
                <w:color w:val="auto"/>
                <w:kern w:val="0"/>
                <w:sz w:val="24"/>
                <w:szCs w:val="24"/>
                <w:highlight w:val="none"/>
              </w:rPr>
              <w:t>2、安装方式：≤1U机架式安装</w:t>
            </w:r>
            <w:r>
              <w:rPr>
                <w:rFonts w:hint="eastAsia" w:asciiTheme="minorEastAsia" w:hAnsiTheme="minorEastAsia" w:eastAsiaTheme="minorEastAsia" w:cstheme="minorEastAsia"/>
                <w:b w:val="0"/>
                <w:bCs w:val="0"/>
                <w:color w:val="auto"/>
                <w:kern w:val="0"/>
                <w:sz w:val="24"/>
                <w:szCs w:val="24"/>
                <w:highlight w:val="none"/>
              </w:rPr>
              <w:br w:type="textWrapping"/>
            </w:r>
            <w:r>
              <w:rPr>
                <w:rFonts w:hint="eastAsia" w:ascii="宋体" w:hAnsi="宋体" w:eastAsia="宋体" w:cs="宋体"/>
                <w:i w:val="0"/>
                <w:iCs w:val="0"/>
                <w:color w:val="auto"/>
                <w:kern w:val="0"/>
                <w:sz w:val="24"/>
                <w:szCs w:val="24"/>
                <w:highlight w:val="none"/>
                <w:u w:val="none"/>
                <w:lang w:val="en-US" w:eastAsia="zh-CN" w:bidi="ar"/>
              </w:rPr>
              <w:t>★</w:t>
            </w:r>
            <w:r>
              <w:rPr>
                <w:rFonts w:hint="eastAsia" w:asciiTheme="minorEastAsia" w:hAnsiTheme="minorEastAsia" w:eastAsiaTheme="minorEastAsia" w:cstheme="minorEastAsia"/>
                <w:b w:val="0"/>
                <w:bCs w:val="0"/>
                <w:color w:val="auto"/>
                <w:kern w:val="0"/>
                <w:sz w:val="24"/>
                <w:szCs w:val="24"/>
                <w:highlight w:val="none"/>
              </w:rPr>
              <w:t>3、NPU：内置≥6TOPS（int8）NPU加速器</w:t>
            </w:r>
            <w:r>
              <w:rPr>
                <w:rFonts w:hint="eastAsia" w:asciiTheme="minorEastAsia" w:hAnsiTheme="minorEastAsia" w:eastAsiaTheme="minorEastAsia" w:cstheme="minorEastAsia"/>
                <w:b w:val="0"/>
                <w:bCs w:val="0"/>
                <w:color w:val="auto"/>
                <w:kern w:val="0"/>
                <w:sz w:val="24"/>
                <w:szCs w:val="24"/>
                <w:highlight w:val="none"/>
                <w:lang w:eastAsia="zh-CN"/>
              </w:rPr>
              <w:t>。</w:t>
            </w:r>
          </w:p>
          <w:p w14:paraId="43DAF81C">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b w:val="0"/>
                <w:bCs w:val="0"/>
                <w:color w:val="auto"/>
                <w:kern w:val="0"/>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rPr>
              <w:t>4</w:t>
            </w:r>
            <w:r>
              <w:rPr>
                <w:rFonts w:hint="eastAsia" w:asciiTheme="minorEastAsia" w:hAnsiTheme="minorEastAsia" w:eastAsiaTheme="minorEastAsia" w:cstheme="minorEastAsia"/>
                <w:b w:val="0"/>
                <w:bCs w:val="0"/>
                <w:color w:val="auto"/>
                <w:kern w:val="0"/>
                <w:sz w:val="24"/>
                <w:szCs w:val="24"/>
                <w:highlight w:val="none"/>
              </w:rPr>
              <w:t>、控制面板：具备≥2.0寸液晶显示屏，支持显示不少于名称、主网、备网IP地址、固件版本等；具备≥5个功能控制按键，提供快速、直观的本地化操作与功能管理模式；具备USB2.0≥1，支持固件离线本地升级</w:t>
            </w:r>
            <w:r>
              <w:rPr>
                <w:rFonts w:hint="eastAsia" w:asciiTheme="minorEastAsia" w:hAnsiTheme="minorEastAsia" w:eastAsiaTheme="minorEastAsia" w:cstheme="minorEastAsia"/>
                <w:b w:val="0"/>
                <w:bCs w:val="0"/>
                <w:color w:val="auto"/>
                <w:kern w:val="0"/>
                <w:sz w:val="24"/>
                <w:szCs w:val="24"/>
                <w:highlight w:val="none"/>
                <w:lang w:eastAsia="zh-CN"/>
              </w:rPr>
              <w:t>。</w:t>
            </w:r>
            <w:r>
              <w:rPr>
                <w:rFonts w:hint="eastAsia" w:asciiTheme="minorEastAsia" w:hAnsiTheme="minorEastAsia" w:eastAsiaTheme="minorEastAsia" w:cstheme="minorEastAsia"/>
                <w:b w:val="0"/>
                <w:bCs w:val="0"/>
                <w:color w:val="auto"/>
                <w:kern w:val="0"/>
                <w:sz w:val="24"/>
                <w:szCs w:val="24"/>
                <w:highlight w:val="none"/>
              </w:rPr>
              <w:br w:type="textWrapping"/>
            </w:r>
            <w:r>
              <w:rPr>
                <w:rFonts w:hint="eastAsia" w:asciiTheme="minorEastAsia" w:hAnsiTheme="minorEastAsia" w:eastAsiaTheme="minorEastAsia" w:cstheme="minorEastAsia"/>
                <w:b w:val="0"/>
                <w:bCs w:val="0"/>
                <w:color w:val="auto"/>
                <w:kern w:val="0"/>
                <w:sz w:val="24"/>
                <w:szCs w:val="24"/>
                <w:highlight w:val="none"/>
                <w:lang w:val="en-US" w:eastAsia="zh-CN"/>
              </w:rPr>
              <w:t>5</w:t>
            </w:r>
            <w:r>
              <w:rPr>
                <w:rFonts w:hint="eastAsia" w:asciiTheme="minorEastAsia" w:hAnsiTheme="minorEastAsia" w:eastAsiaTheme="minorEastAsia" w:cstheme="minorEastAsia"/>
                <w:b w:val="0"/>
                <w:bCs w:val="0"/>
                <w:color w:val="auto"/>
                <w:kern w:val="0"/>
                <w:sz w:val="24"/>
                <w:szCs w:val="24"/>
                <w:highlight w:val="none"/>
              </w:rPr>
              <w:t>、模拟音频输入/输出通道数：≥16路</w:t>
            </w:r>
          </w:p>
          <w:p w14:paraId="4C7C3FA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rPr>
            </w:pPr>
            <w:r>
              <w:rPr>
                <w:rFonts w:hint="eastAsia" w:ascii="宋体" w:hAnsi="宋体" w:eastAsia="宋体" w:cs="宋体"/>
                <w:b w:val="0"/>
                <w:bCs w:val="0"/>
                <w:i w:val="0"/>
                <w:iCs w:val="0"/>
                <w:color w:val="auto"/>
                <w:kern w:val="0"/>
                <w:sz w:val="24"/>
                <w:szCs w:val="24"/>
                <w:highlight w:val="none"/>
                <w:u w:val="none"/>
                <w:lang w:val="en-US" w:eastAsia="zh-CN" w:bidi="ar"/>
              </w:rPr>
              <w:t>★</w:t>
            </w:r>
            <w:r>
              <w:rPr>
                <w:rFonts w:hint="eastAsia" w:asciiTheme="minorEastAsia" w:hAnsiTheme="minorEastAsia" w:eastAsiaTheme="minorEastAsia" w:cstheme="minorEastAsia"/>
                <w:b w:val="0"/>
                <w:bCs w:val="0"/>
                <w:color w:val="auto"/>
                <w:kern w:val="0"/>
                <w:sz w:val="24"/>
                <w:szCs w:val="24"/>
                <w:highlight w:val="none"/>
                <w:lang w:val="en-US" w:eastAsia="zh-CN"/>
              </w:rPr>
              <w:t>6、数字音频参数需不低于如下配置：</w:t>
            </w:r>
          </w:p>
          <w:p w14:paraId="08B29E9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rPr>
            </w:pPr>
            <w:r>
              <w:rPr>
                <w:rFonts w:hint="eastAsia" w:asciiTheme="minorEastAsia" w:hAnsiTheme="minorEastAsia" w:eastAsiaTheme="minorEastAsia" w:cstheme="minorEastAsia"/>
                <w:b w:val="0"/>
                <w:bCs w:val="0"/>
                <w:color w:val="auto"/>
                <w:kern w:val="0"/>
                <w:sz w:val="24"/>
                <w:szCs w:val="24"/>
                <w:highlight w:val="none"/>
                <w:lang w:val="en-US" w:eastAsia="zh-CN"/>
              </w:rPr>
              <w:t>1）位深：16bit超线性位深</w:t>
            </w:r>
          </w:p>
          <w:p w14:paraId="0BD37348">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rPr>
            </w:pPr>
            <w:r>
              <w:rPr>
                <w:rFonts w:hint="eastAsia" w:asciiTheme="minorEastAsia" w:hAnsiTheme="minorEastAsia" w:eastAsiaTheme="minorEastAsia" w:cstheme="minorEastAsia"/>
                <w:b w:val="0"/>
                <w:bCs w:val="0"/>
                <w:color w:val="auto"/>
                <w:kern w:val="0"/>
                <w:sz w:val="24"/>
                <w:szCs w:val="24"/>
                <w:highlight w:val="none"/>
                <w:lang w:val="en-US" w:eastAsia="zh-CN"/>
              </w:rPr>
              <w:t>2）采样率：16k/48k自适应采样率</w:t>
            </w:r>
          </w:p>
          <w:p w14:paraId="6E55FF4C">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val="0"/>
                <w:bCs w:val="0"/>
                <w:color w:val="auto"/>
                <w:kern w:val="0"/>
                <w:sz w:val="24"/>
                <w:szCs w:val="24"/>
                <w:highlight w:val="none"/>
                <w:lang w:val="en-US" w:eastAsia="zh-CN"/>
              </w:rPr>
              <w:t>3）可调节增益范围：0-51LV宽范围数字调节增益。</w:t>
            </w:r>
            <w:r>
              <w:rPr>
                <w:rFonts w:hint="eastAsia" w:asciiTheme="minorEastAsia" w:hAnsiTheme="minorEastAsia" w:eastAsiaTheme="minorEastAsia" w:cstheme="minorEastAsia"/>
                <w:b w:val="0"/>
                <w:bCs w:val="0"/>
                <w:color w:val="auto"/>
                <w:kern w:val="0"/>
                <w:sz w:val="24"/>
                <w:szCs w:val="24"/>
                <w:highlight w:val="none"/>
              </w:rPr>
              <w:br w:type="textWrapping"/>
            </w:r>
            <w:r>
              <w:rPr>
                <w:rFonts w:hint="eastAsia" w:ascii="宋体" w:hAnsi="宋体" w:eastAsia="宋体" w:cs="宋体"/>
                <w:b w:val="0"/>
                <w:bCs w:val="0"/>
                <w:i w:val="0"/>
                <w:iCs w:val="0"/>
                <w:color w:val="auto"/>
                <w:kern w:val="0"/>
                <w:sz w:val="24"/>
                <w:szCs w:val="24"/>
                <w:highlight w:val="none"/>
                <w:u w:val="none"/>
                <w:lang w:val="en-US" w:eastAsia="zh-CN" w:bidi="ar"/>
              </w:rPr>
              <w:t>★</w:t>
            </w:r>
            <w:r>
              <w:rPr>
                <w:rFonts w:hint="eastAsia" w:asciiTheme="minorEastAsia" w:hAnsiTheme="minorEastAsia" w:eastAsiaTheme="minorEastAsia" w:cstheme="minorEastAsia"/>
                <w:b w:val="0"/>
                <w:bCs w:val="0"/>
                <w:color w:val="auto"/>
                <w:kern w:val="0"/>
                <w:sz w:val="24"/>
                <w:szCs w:val="24"/>
                <w:highlight w:val="none"/>
              </w:rPr>
              <w:t>7、集成多维度智能音频处理算法套件，包括：AI精准防串音算法(切麦准确率≥98%)、EQ、混音、反馈消除、回声消除、噪声抑制、自动增益控制</w:t>
            </w:r>
            <w:r>
              <w:rPr>
                <w:rFonts w:hint="eastAsia" w:asciiTheme="minorEastAsia" w:hAnsiTheme="minorEastAsia" w:eastAsiaTheme="minorEastAsia" w:cstheme="minorEastAsia"/>
                <w:b w:val="0"/>
                <w:bCs w:val="0"/>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8、中控接口：GPI≥8、GPO≥8、RS485≥1、RS232≥1，开放中控接口支持读写</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9、网络接口：1000M自适应以太网接口≥2，支持双网主备连接，零延迟无缝切换</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10、电源：设备需支持双电源备份</w:t>
            </w:r>
            <w:r>
              <w:rPr>
                <w:rFonts w:hint="eastAsia" w:asciiTheme="minorEastAsia" w:hAnsiTheme="minorEastAsia" w:eastAsiaTheme="minorEastAsia" w:cstheme="minorEastAsia"/>
                <w:color w:val="auto"/>
                <w:kern w:val="0"/>
                <w:sz w:val="24"/>
                <w:szCs w:val="24"/>
                <w:highlight w:val="none"/>
                <w:lang w:eastAsia="zh-CN"/>
              </w:rPr>
              <w:t>。</w:t>
            </w:r>
          </w:p>
        </w:tc>
        <w:tc>
          <w:tcPr>
            <w:tcW w:w="683" w:type="dxa"/>
            <w:vAlign w:val="center"/>
          </w:tcPr>
          <w:p w14:paraId="221CE908">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rPr>
              <w:t>18</w:t>
            </w:r>
            <w:r>
              <w:rPr>
                <w:rFonts w:hint="eastAsia" w:asciiTheme="minorEastAsia" w:hAnsiTheme="minorEastAsia" w:eastAsiaTheme="minorEastAsia" w:cstheme="minorEastAsia"/>
                <w:color w:val="auto"/>
                <w:kern w:val="0"/>
                <w:sz w:val="24"/>
                <w:szCs w:val="24"/>
                <w:highlight w:val="none"/>
              </w:rPr>
              <w:t>台</w:t>
            </w:r>
          </w:p>
        </w:tc>
        <w:tc>
          <w:tcPr>
            <w:tcW w:w="850" w:type="dxa"/>
            <w:vAlign w:val="center"/>
          </w:tcPr>
          <w:p w14:paraId="60C94755">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工业</w:t>
            </w:r>
          </w:p>
        </w:tc>
      </w:tr>
      <w:tr w14:paraId="05180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9398" w:type="dxa"/>
            <w:gridSpan w:val="5"/>
            <w:vAlign w:val="center"/>
          </w:tcPr>
          <w:p w14:paraId="05A09DED">
            <w:pPr>
              <w:keepNext w:val="0"/>
              <w:keepLines w:val="0"/>
              <w:pageBreakBefore w:val="0"/>
              <w:widowControl/>
              <w:kinsoku/>
              <w:wordWrap/>
              <w:overflowPunct/>
              <w:topLinePunct w:val="0"/>
              <w:autoSpaceDE/>
              <w:autoSpaceDN/>
              <w:bidi w:val="0"/>
              <w:adjustRightInd/>
              <w:snapToGrid w:val="0"/>
              <w:spacing w:line="30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（三）</w:t>
            </w:r>
            <w:r>
              <w:rPr>
                <w:rFonts w:hint="eastAsia" w:asciiTheme="minorEastAsia" w:hAnsiTheme="minorEastAsia" w:eastAsiaTheme="minorEastAsia" w:cstheme="minorEastAsia"/>
                <w:b/>
                <w:color w:val="auto"/>
                <w:sz w:val="24"/>
                <w:szCs w:val="24"/>
                <w:highlight w:val="none"/>
              </w:rPr>
              <w:t>科技法庭</w:t>
            </w:r>
          </w:p>
        </w:tc>
      </w:tr>
      <w:tr w14:paraId="50A01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41D0B768">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6</w:t>
            </w:r>
          </w:p>
        </w:tc>
        <w:tc>
          <w:tcPr>
            <w:tcW w:w="1080" w:type="dxa"/>
            <w:tcMar>
              <w:top w:w="15" w:type="dxa"/>
              <w:left w:w="15" w:type="dxa"/>
              <w:bottom w:w="0" w:type="dxa"/>
              <w:right w:w="15" w:type="dxa"/>
            </w:tcMar>
            <w:vAlign w:val="center"/>
          </w:tcPr>
          <w:p w14:paraId="77FEA21E">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刑事庭审主机</w:t>
            </w:r>
          </w:p>
        </w:tc>
        <w:tc>
          <w:tcPr>
            <w:tcW w:w="6474" w:type="dxa"/>
            <w:vAlign w:val="center"/>
          </w:tcPr>
          <w:p w14:paraId="3D1ED356">
            <w:pPr>
              <w:keepNext w:val="0"/>
              <w:keepLines w:val="0"/>
              <w:pageBreakBefore w:val="0"/>
              <w:widowControl/>
              <w:numPr>
                <w:ilvl w:val="0"/>
                <w:numId w:val="0"/>
              </w:numPr>
              <w:kinsoku/>
              <w:wordWrap/>
              <w:overflowPunct/>
              <w:topLinePunct w:val="0"/>
              <w:autoSpaceDE/>
              <w:autoSpaceDN/>
              <w:bidi w:val="0"/>
              <w:adjustRightInd/>
              <w:snapToGrid/>
              <w:spacing w:line="300" w:lineRule="auto"/>
              <w:ind w:leftChars="0"/>
              <w:rPr>
                <w:rFonts w:hint="eastAsia"/>
                <w:color w:val="auto"/>
                <w:sz w:val="24"/>
                <w:szCs w:val="24"/>
                <w:highlight w:val="none"/>
                <w:lang w:val="en-US" w:eastAsia="zh-CN"/>
              </w:rPr>
            </w:pPr>
            <w:r>
              <w:rPr>
                <w:rFonts w:hint="eastAsia"/>
                <w:color w:val="auto"/>
                <w:sz w:val="24"/>
                <w:szCs w:val="24"/>
                <w:highlight w:val="none"/>
                <w:lang w:val="en-US" w:eastAsia="zh-CN"/>
              </w:rPr>
              <w:t>1、安全稳定：采用工业级系统架构，基于嵌入式系统开发，无病毒侵扰。</w:t>
            </w:r>
          </w:p>
          <w:p w14:paraId="1C785C88">
            <w:pPr>
              <w:keepNext w:val="0"/>
              <w:keepLines w:val="0"/>
              <w:pageBreakBefore w:val="0"/>
              <w:widowControl/>
              <w:numPr>
                <w:ilvl w:val="0"/>
                <w:numId w:val="0"/>
              </w:numPr>
              <w:kinsoku/>
              <w:wordWrap/>
              <w:overflowPunct/>
              <w:topLinePunct w:val="0"/>
              <w:autoSpaceDE/>
              <w:autoSpaceDN/>
              <w:bidi w:val="0"/>
              <w:adjustRightInd/>
              <w:snapToGrid/>
              <w:spacing w:line="300" w:lineRule="auto"/>
              <w:ind w:leftChars="0"/>
              <w:rPr>
                <w:rFonts w:hint="eastAsia"/>
                <w:color w:val="auto"/>
                <w:sz w:val="24"/>
                <w:szCs w:val="24"/>
                <w:highlight w:val="none"/>
                <w:lang w:val="en-US" w:eastAsia="zh-CN"/>
              </w:rPr>
            </w:pPr>
            <w:r>
              <w:rPr>
                <w:rFonts w:hint="eastAsia"/>
                <w:color w:val="auto"/>
                <w:sz w:val="24"/>
                <w:szCs w:val="24"/>
                <w:highlight w:val="none"/>
                <w:lang w:val="en-US" w:eastAsia="zh-CN"/>
              </w:rPr>
              <w:t>2、网络摄像机：需支持本地网络摄像机接入≥10路，网络音视频转发≥8路。</w:t>
            </w:r>
          </w:p>
          <w:p w14:paraId="1155B5AB">
            <w:pPr>
              <w:keepNext w:val="0"/>
              <w:keepLines w:val="0"/>
              <w:pageBreakBefore w:val="0"/>
              <w:widowControl/>
              <w:numPr>
                <w:ilvl w:val="0"/>
                <w:numId w:val="0"/>
              </w:numPr>
              <w:kinsoku/>
              <w:wordWrap/>
              <w:overflowPunct/>
              <w:topLinePunct w:val="0"/>
              <w:autoSpaceDE/>
              <w:autoSpaceDN/>
              <w:bidi w:val="0"/>
              <w:adjustRightInd/>
              <w:snapToGrid/>
              <w:spacing w:line="300" w:lineRule="auto"/>
              <w:ind w:leftChars="0"/>
              <w:rPr>
                <w:rFonts w:hint="eastAsia"/>
                <w:color w:val="auto"/>
                <w:sz w:val="24"/>
                <w:szCs w:val="24"/>
                <w:highlight w:val="none"/>
                <w:lang w:val="en-US" w:eastAsia="zh-CN"/>
              </w:rPr>
            </w:pPr>
            <w:r>
              <w:rPr>
                <w:rFonts w:hint="eastAsia"/>
                <w:color w:val="auto"/>
                <w:sz w:val="24"/>
                <w:szCs w:val="24"/>
                <w:highlight w:val="none"/>
                <w:lang w:val="en-US" w:eastAsia="zh-CN"/>
              </w:rPr>
              <w:t>3、视频编解码：需支持≥2路4K30编码和≥2路4K30解码，或者≥4路1080P60编码和≥4路1080P60解码，或者≥8路1080P@30编码和≥8路1080P@30解码。</w:t>
            </w:r>
          </w:p>
          <w:p w14:paraId="026D4EF6">
            <w:pPr>
              <w:keepNext w:val="0"/>
              <w:keepLines w:val="0"/>
              <w:pageBreakBefore w:val="0"/>
              <w:widowControl/>
              <w:numPr>
                <w:ilvl w:val="0"/>
                <w:numId w:val="0"/>
              </w:numPr>
              <w:kinsoku/>
              <w:wordWrap/>
              <w:overflowPunct/>
              <w:topLinePunct w:val="0"/>
              <w:autoSpaceDE/>
              <w:autoSpaceDN/>
              <w:bidi w:val="0"/>
              <w:adjustRightInd/>
              <w:snapToGrid/>
              <w:spacing w:line="300" w:lineRule="auto"/>
              <w:ind w:leftChars="0"/>
              <w:rPr>
                <w:rFonts w:hint="eastAsia"/>
                <w:color w:val="auto"/>
                <w:sz w:val="24"/>
                <w:szCs w:val="24"/>
                <w:highlight w:val="none"/>
                <w:lang w:val="en-US" w:eastAsia="zh-CN"/>
              </w:rPr>
            </w:pPr>
            <w:r>
              <w:rPr>
                <w:rFonts w:hint="eastAsia"/>
                <w:color w:val="auto"/>
                <w:sz w:val="24"/>
                <w:szCs w:val="24"/>
                <w:highlight w:val="none"/>
                <w:lang w:val="en-US" w:eastAsia="zh-CN"/>
              </w:rPr>
              <w:t>4、音视频协议：音频需至少支持G.711、G.722、G722.1、G722.1C、AAC，支持解码音频码流，视频需至少支持H.264HP、MP、BP，H265HP。</w:t>
            </w:r>
          </w:p>
          <w:p w14:paraId="32455B50">
            <w:pPr>
              <w:keepNext w:val="0"/>
              <w:keepLines w:val="0"/>
              <w:pageBreakBefore w:val="0"/>
              <w:widowControl/>
              <w:numPr>
                <w:ilvl w:val="0"/>
                <w:numId w:val="0"/>
              </w:numPr>
              <w:kinsoku/>
              <w:wordWrap/>
              <w:overflowPunct/>
              <w:topLinePunct w:val="0"/>
              <w:autoSpaceDE/>
              <w:autoSpaceDN/>
              <w:bidi w:val="0"/>
              <w:adjustRightInd/>
              <w:snapToGrid/>
              <w:spacing w:line="300" w:lineRule="auto"/>
              <w:ind w:leftChars="0"/>
              <w:rPr>
                <w:rFonts w:hint="eastAsia"/>
                <w:color w:val="auto"/>
                <w:sz w:val="24"/>
                <w:szCs w:val="24"/>
                <w:highlight w:val="none"/>
                <w:lang w:val="en-US" w:eastAsia="zh-CN"/>
              </w:rPr>
            </w:pPr>
            <w:r>
              <w:rPr>
                <w:rFonts w:hint="eastAsia"/>
                <w:color w:val="auto"/>
                <w:sz w:val="24"/>
                <w:szCs w:val="24"/>
                <w:highlight w:val="none"/>
                <w:lang w:val="en-US" w:eastAsia="zh-CN"/>
              </w:rPr>
              <w:t>5、编解码率：需支持≥4路4K30编解码，或者≥8路1080P60编解码，或者≥16路1080P编解码，每路128Kbps~8Mbps。</w:t>
            </w:r>
          </w:p>
          <w:p w14:paraId="060BFB63">
            <w:pPr>
              <w:keepNext w:val="0"/>
              <w:keepLines w:val="0"/>
              <w:pageBreakBefore w:val="0"/>
              <w:widowControl/>
              <w:numPr>
                <w:ilvl w:val="0"/>
                <w:numId w:val="0"/>
              </w:numPr>
              <w:kinsoku/>
              <w:wordWrap/>
              <w:overflowPunct/>
              <w:topLinePunct w:val="0"/>
              <w:autoSpaceDE/>
              <w:autoSpaceDN/>
              <w:bidi w:val="0"/>
              <w:adjustRightInd/>
              <w:snapToGrid/>
              <w:spacing w:line="300" w:lineRule="auto"/>
              <w:ind w:leftChars="0"/>
              <w:rPr>
                <w:rFonts w:hint="eastAsia"/>
                <w:color w:val="auto"/>
                <w:sz w:val="24"/>
                <w:szCs w:val="24"/>
                <w:highlight w:val="none"/>
                <w:lang w:val="en-US" w:eastAsia="zh-CN"/>
              </w:rPr>
            </w:pPr>
            <w:r>
              <w:rPr>
                <w:rFonts w:hint="eastAsia"/>
                <w:color w:val="auto"/>
                <w:sz w:val="24"/>
                <w:szCs w:val="24"/>
                <w:highlight w:val="none"/>
                <w:lang w:val="en-US" w:eastAsia="zh-CN"/>
              </w:rPr>
              <w:t>6、音频输入：需支持≥8路凤凰端子音频输入（同时支持48V幻像供电MIC输入或line in线性输入）+≥8路凤凰端子音频输入（音频扩展板，支持48V幻像供电MIC输入）；</w:t>
            </w:r>
          </w:p>
          <w:p w14:paraId="2380612F">
            <w:pPr>
              <w:keepNext w:val="0"/>
              <w:keepLines w:val="0"/>
              <w:pageBreakBefore w:val="0"/>
              <w:widowControl/>
              <w:numPr>
                <w:ilvl w:val="0"/>
                <w:numId w:val="0"/>
              </w:numPr>
              <w:kinsoku/>
              <w:wordWrap/>
              <w:overflowPunct/>
              <w:topLinePunct w:val="0"/>
              <w:autoSpaceDE/>
              <w:autoSpaceDN/>
              <w:bidi w:val="0"/>
              <w:adjustRightInd/>
              <w:snapToGrid/>
              <w:spacing w:line="300" w:lineRule="auto"/>
              <w:ind w:leftChars="0"/>
              <w:rPr>
                <w:rFonts w:hint="eastAsia"/>
                <w:color w:val="auto"/>
                <w:sz w:val="24"/>
                <w:szCs w:val="24"/>
                <w:highlight w:val="none"/>
                <w:lang w:val="en-US" w:eastAsia="zh-CN"/>
              </w:rPr>
            </w:pPr>
            <w:r>
              <w:rPr>
                <w:rFonts w:hint="eastAsia"/>
                <w:color w:val="auto"/>
                <w:sz w:val="24"/>
                <w:szCs w:val="24"/>
                <w:highlight w:val="none"/>
                <w:lang w:val="en-US" w:eastAsia="zh-CN"/>
              </w:rPr>
              <w:t>7、音频输出：需支持≥4路line out音频输出、≥4路200W@8欧姆的数字功放输出，≥8路HDMI内嵌音频输出，≥10路DSP；支持音量调节，音频支持同步和混音两种方式；≥8路凤凰端子音频环出（对应音频扩展板音频输入的环出）。</w:t>
            </w:r>
          </w:p>
          <w:p w14:paraId="35D64EB5">
            <w:pPr>
              <w:keepNext w:val="0"/>
              <w:keepLines w:val="0"/>
              <w:pageBreakBefore w:val="0"/>
              <w:widowControl/>
              <w:numPr>
                <w:ilvl w:val="0"/>
                <w:numId w:val="0"/>
              </w:numPr>
              <w:kinsoku/>
              <w:wordWrap/>
              <w:overflowPunct/>
              <w:topLinePunct w:val="0"/>
              <w:autoSpaceDE/>
              <w:autoSpaceDN/>
              <w:bidi w:val="0"/>
              <w:adjustRightInd/>
              <w:snapToGrid/>
              <w:spacing w:line="300" w:lineRule="auto"/>
              <w:ind w:leftChars="0"/>
              <w:rPr>
                <w:rFonts w:hint="eastAsia"/>
                <w:color w:val="auto"/>
                <w:sz w:val="24"/>
                <w:szCs w:val="24"/>
                <w:highlight w:val="none"/>
                <w:lang w:val="en-US" w:eastAsia="zh-CN"/>
              </w:rPr>
            </w:pPr>
            <w:r>
              <w:rPr>
                <w:rFonts w:hint="eastAsia"/>
                <w:b w:val="0"/>
                <w:bCs w:val="0"/>
                <w:color w:val="auto"/>
                <w:sz w:val="24"/>
                <w:szCs w:val="24"/>
                <w:highlight w:val="none"/>
                <w:lang w:val="en-US" w:eastAsia="zh-CN"/>
              </w:rPr>
              <w:t>8、视频输入：需支持≥8路4K30 HDMI输入接口，≥16路IP网络摄像机输入。</w:t>
            </w:r>
          </w:p>
          <w:p w14:paraId="26176FFF">
            <w:pPr>
              <w:keepNext w:val="0"/>
              <w:keepLines w:val="0"/>
              <w:pageBreakBefore w:val="0"/>
              <w:widowControl/>
              <w:numPr>
                <w:ilvl w:val="0"/>
                <w:numId w:val="0"/>
              </w:numPr>
              <w:kinsoku/>
              <w:wordWrap/>
              <w:overflowPunct/>
              <w:topLinePunct w:val="0"/>
              <w:autoSpaceDE/>
              <w:autoSpaceDN/>
              <w:bidi w:val="0"/>
              <w:adjustRightInd/>
              <w:snapToGrid/>
              <w:spacing w:line="300" w:lineRule="auto"/>
              <w:ind w:leftChars="0"/>
              <w:rPr>
                <w:rFonts w:hint="eastAsia"/>
                <w:color w:val="auto"/>
                <w:sz w:val="24"/>
                <w:szCs w:val="24"/>
                <w:highlight w:val="none"/>
                <w:lang w:val="en-US" w:eastAsia="zh-CN"/>
              </w:rPr>
            </w:pPr>
            <w:r>
              <w:rPr>
                <w:rFonts w:hint="eastAsia"/>
                <w:color w:val="auto"/>
                <w:sz w:val="24"/>
                <w:szCs w:val="24"/>
                <w:highlight w:val="none"/>
                <w:lang w:val="en-US" w:eastAsia="zh-CN"/>
              </w:rPr>
              <w:t>9、视频输出：需支持≥8路4K30 HDMI输出接口，≥8路RTMP推流，支持HDMI输出音频跟随切换。</w:t>
            </w:r>
          </w:p>
          <w:p w14:paraId="359D01CB">
            <w:pPr>
              <w:keepNext w:val="0"/>
              <w:keepLines w:val="0"/>
              <w:pageBreakBefore w:val="0"/>
              <w:widowControl/>
              <w:numPr>
                <w:ilvl w:val="0"/>
                <w:numId w:val="0"/>
              </w:numPr>
              <w:kinsoku/>
              <w:wordWrap/>
              <w:overflowPunct/>
              <w:topLinePunct w:val="0"/>
              <w:autoSpaceDE/>
              <w:autoSpaceDN/>
              <w:bidi w:val="0"/>
              <w:adjustRightInd/>
              <w:snapToGrid/>
              <w:spacing w:line="300" w:lineRule="auto"/>
              <w:ind w:leftChars="0"/>
              <w:rPr>
                <w:rFonts w:hint="eastAsia"/>
                <w:color w:val="auto"/>
                <w:sz w:val="24"/>
                <w:szCs w:val="24"/>
                <w:highlight w:val="none"/>
                <w:lang w:val="en-US" w:eastAsia="zh-CN"/>
              </w:rPr>
            </w:pPr>
            <w:r>
              <w:rPr>
                <w:rFonts w:hint="eastAsia"/>
                <w:color w:val="auto"/>
                <w:sz w:val="24"/>
                <w:szCs w:val="24"/>
                <w:highlight w:val="none"/>
                <w:lang w:val="en-US" w:eastAsia="zh-CN"/>
              </w:rPr>
              <w:t>10、音频处理：需至少支持自动回声消除(AEC)、自动增益控制(AGC)、自动噪声消除/抑制(ANC/ANS)、自动反馈消除(AFC)、混音矩阵(AM)、丢包补偿(PLC)。</w:t>
            </w:r>
          </w:p>
          <w:p w14:paraId="6C0206F1">
            <w:pPr>
              <w:keepNext w:val="0"/>
              <w:keepLines w:val="0"/>
              <w:pageBreakBefore w:val="0"/>
              <w:widowControl/>
              <w:numPr>
                <w:ilvl w:val="0"/>
                <w:numId w:val="0"/>
              </w:numPr>
              <w:kinsoku/>
              <w:wordWrap/>
              <w:overflowPunct/>
              <w:topLinePunct w:val="0"/>
              <w:autoSpaceDE/>
              <w:autoSpaceDN/>
              <w:bidi w:val="0"/>
              <w:adjustRightInd/>
              <w:snapToGrid/>
              <w:spacing w:line="300" w:lineRule="auto"/>
              <w:ind w:leftChars="0"/>
              <w:rPr>
                <w:rFonts w:hint="eastAsia"/>
                <w:color w:val="auto"/>
                <w:sz w:val="24"/>
                <w:szCs w:val="24"/>
                <w:highlight w:val="none"/>
                <w:lang w:val="en-US" w:eastAsia="zh-CN"/>
              </w:rPr>
            </w:pPr>
            <w:r>
              <w:rPr>
                <w:rFonts w:hint="eastAsia"/>
                <w:color w:val="auto"/>
                <w:sz w:val="24"/>
                <w:szCs w:val="24"/>
                <w:highlight w:val="none"/>
                <w:lang w:val="en-US" w:eastAsia="zh-CN"/>
              </w:rPr>
              <w:t>11、视频处理：需至少支持视频分辨率适配、切换、分配、画面分割、字幕叠加、图像参数调节。</w:t>
            </w:r>
          </w:p>
          <w:p w14:paraId="53EA0BD3">
            <w:pPr>
              <w:keepNext w:val="0"/>
              <w:keepLines w:val="0"/>
              <w:pageBreakBefore w:val="0"/>
              <w:widowControl/>
              <w:numPr>
                <w:ilvl w:val="0"/>
                <w:numId w:val="0"/>
              </w:numPr>
              <w:kinsoku/>
              <w:wordWrap/>
              <w:overflowPunct/>
              <w:topLinePunct w:val="0"/>
              <w:autoSpaceDE/>
              <w:autoSpaceDN/>
              <w:bidi w:val="0"/>
              <w:adjustRightInd/>
              <w:snapToGrid/>
              <w:spacing w:line="300" w:lineRule="auto"/>
              <w:ind w:leftChars="0"/>
              <w:rPr>
                <w:rFonts w:hint="eastAsia"/>
                <w:color w:val="auto"/>
                <w:sz w:val="24"/>
                <w:szCs w:val="24"/>
                <w:highlight w:val="none"/>
                <w:lang w:val="en-US" w:eastAsia="zh-CN"/>
              </w:rPr>
            </w:pPr>
            <w:r>
              <w:rPr>
                <w:rFonts w:hint="eastAsia"/>
                <w:color w:val="auto"/>
                <w:sz w:val="24"/>
                <w:szCs w:val="24"/>
                <w:highlight w:val="none"/>
                <w:lang w:val="en-US" w:eastAsia="zh-CN"/>
              </w:rPr>
              <w:t>12、混音功能：需支持本地音频、HDMI内嵌音频、远端音频RTSP网络接入流进入混音器，可动态选择混音。</w:t>
            </w:r>
          </w:p>
          <w:p w14:paraId="66EDFBCC">
            <w:pPr>
              <w:keepNext w:val="0"/>
              <w:keepLines w:val="0"/>
              <w:pageBreakBefore w:val="0"/>
              <w:widowControl/>
              <w:numPr>
                <w:ilvl w:val="0"/>
                <w:numId w:val="0"/>
              </w:numPr>
              <w:kinsoku/>
              <w:wordWrap/>
              <w:overflowPunct/>
              <w:topLinePunct w:val="0"/>
              <w:autoSpaceDE/>
              <w:autoSpaceDN/>
              <w:bidi w:val="0"/>
              <w:adjustRightInd/>
              <w:snapToGrid/>
              <w:spacing w:line="300" w:lineRule="auto"/>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color w:val="auto"/>
                <w:sz w:val="24"/>
                <w:szCs w:val="24"/>
                <w:highlight w:val="none"/>
                <w:lang w:val="en-US" w:eastAsia="zh-CN"/>
              </w:rPr>
              <w:t>13、中央控制：需至少支持一键式中央控制开关系统、调节输出音量、切换信号源、摄像机控制、录播控制、远程呼叫、环境控制。</w:t>
            </w:r>
          </w:p>
        </w:tc>
        <w:tc>
          <w:tcPr>
            <w:tcW w:w="683" w:type="dxa"/>
            <w:vAlign w:val="center"/>
          </w:tcPr>
          <w:p w14:paraId="59224C7E">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1台</w:t>
            </w:r>
          </w:p>
        </w:tc>
        <w:tc>
          <w:tcPr>
            <w:tcW w:w="850" w:type="dxa"/>
            <w:vMerge w:val="restart"/>
            <w:vAlign w:val="center"/>
          </w:tcPr>
          <w:p w14:paraId="13A087AE">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工业</w:t>
            </w:r>
          </w:p>
        </w:tc>
      </w:tr>
      <w:tr w14:paraId="330CD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1AC052FA">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7</w:t>
            </w:r>
          </w:p>
        </w:tc>
        <w:tc>
          <w:tcPr>
            <w:tcW w:w="1080" w:type="dxa"/>
            <w:tcMar>
              <w:top w:w="15" w:type="dxa"/>
              <w:left w:w="15" w:type="dxa"/>
              <w:bottom w:w="0" w:type="dxa"/>
              <w:right w:w="15" w:type="dxa"/>
            </w:tcMar>
            <w:vAlign w:val="center"/>
          </w:tcPr>
          <w:p w14:paraId="1FC05BFA">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民事</w:t>
            </w:r>
            <w:r>
              <w:rPr>
                <w:rFonts w:hint="eastAsia" w:asciiTheme="minorEastAsia" w:hAnsiTheme="minorEastAsia" w:eastAsiaTheme="minorEastAsia" w:cstheme="minorEastAsia"/>
                <w:color w:val="auto"/>
                <w:kern w:val="0"/>
                <w:sz w:val="24"/>
                <w:szCs w:val="24"/>
                <w:highlight w:val="none"/>
              </w:rPr>
              <w:t>庭审主机</w:t>
            </w:r>
          </w:p>
        </w:tc>
        <w:tc>
          <w:tcPr>
            <w:tcW w:w="6474" w:type="dxa"/>
            <w:vAlign w:val="center"/>
          </w:tcPr>
          <w:p w14:paraId="31781827">
            <w:pPr>
              <w:keepNext w:val="0"/>
              <w:keepLines w:val="0"/>
              <w:pageBreakBefore w:val="0"/>
              <w:widowControl/>
              <w:kinsoku/>
              <w:wordWrap/>
              <w:overflowPunct/>
              <w:topLinePunct w:val="0"/>
              <w:autoSpaceDE/>
              <w:autoSpaceDN/>
              <w:bidi w:val="0"/>
              <w:adjustRightInd/>
              <w:snapToGrid/>
              <w:spacing w:line="300" w:lineRule="auto"/>
              <w:rPr>
                <w:rFonts w:hint="default" w:ascii="宋体" w:hAnsi="宋体" w:eastAsia="宋体" w:cs="宋体"/>
                <w:b w:val="0"/>
                <w:bCs w:val="0"/>
                <w:i w:val="0"/>
                <w:iCs w:val="0"/>
                <w:color w:val="auto"/>
                <w:kern w:val="0"/>
                <w:sz w:val="24"/>
                <w:szCs w:val="24"/>
                <w:highlight w:val="none"/>
                <w:u w:val="none"/>
                <w:lang w:val="en-US" w:eastAsia="zh-CN" w:bidi="ar"/>
              </w:rPr>
            </w:pPr>
            <w:r>
              <w:rPr>
                <w:rFonts w:hint="default" w:ascii="宋体" w:hAnsi="宋体" w:eastAsia="宋体" w:cs="宋体"/>
                <w:b w:val="0"/>
                <w:bCs w:val="0"/>
                <w:i w:val="0"/>
                <w:iCs w:val="0"/>
                <w:color w:val="auto"/>
                <w:kern w:val="0"/>
                <w:sz w:val="24"/>
                <w:szCs w:val="24"/>
                <w:highlight w:val="none"/>
                <w:u w:val="none"/>
                <w:lang w:val="en-US" w:eastAsia="zh-CN" w:bidi="ar"/>
              </w:rPr>
              <w:t>1、安全稳定：采用工业级系统架构，基于LINUX系统开发，无病毒侵扰。</w:t>
            </w:r>
          </w:p>
          <w:p w14:paraId="60024CE0">
            <w:pPr>
              <w:keepNext w:val="0"/>
              <w:keepLines w:val="0"/>
              <w:pageBreakBefore w:val="0"/>
              <w:widowControl/>
              <w:kinsoku/>
              <w:wordWrap/>
              <w:overflowPunct/>
              <w:topLinePunct w:val="0"/>
              <w:autoSpaceDE/>
              <w:autoSpaceDN/>
              <w:bidi w:val="0"/>
              <w:adjustRightInd/>
              <w:snapToGrid/>
              <w:spacing w:line="300" w:lineRule="auto"/>
              <w:rPr>
                <w:rFonts w:hint="default" w:ascii="宋体" w:hAnsi="宋体" w:eastAsia="宋体" w:cs="宋体"/>
                <w:b w:val="0"/>
                <w:bCs w:val="0"/>
                <w:i w:val="0"/>
                <w:iCs w:val="0"/>
                <w:color w:val="auto"/>
                <w:kern w:val="0"/>
                <w:sz w:val="24"/>
                <w:szCs w:val="24"/>
                <w:highlight w:val="none"/>
                <w:u w:val="none"/>
                <w:lang w:val="en-US" w:eastAsia="zh-CN" w:bidi="ar"/>
              </w:rPr>
            </w:pPr>
            <w:r>
              <w:rPr>
                <w:rFonts w:hint="default" w:ascii="宋体" w:hAnsi="宋体" w:eastAsia="宋体" w:cs="宋体"/>
                <w:b w:val="0"/>
                <w:bCs w:val="0"/>
                <w:i w:val="0"/>
                <w:iCs w:val="0"/>
                <w:color w:val="auto"/>
                <w:kern w:val="0"/>
                <w:sz w:val="24"/>
                <w:szCs w:val="24"/>
                <w:highlight w:val="none"/>
                <w:u w:val="none"/>
                <w:lang w:val="en-US" w:eastAsia="zh-CN" w:bidi="ar"/>
              </w:rPr>
              <w:t>2、网络摄像机：需支持本地网络摄像机接入≥1</w:t>
            </w:r>
            <w:r>
              <w:rPr>
                <w:rFonts w:hint="eastAsia" w:ascii="宋体" w:hAnsi="宋体" w:eastAsia="宋体" w:cs="宋体"/>
                <w:b w:val="0"/>
                <w:bCs w:val="0"/>
                <w:i w:val="0"/>
                <w:iCs w:val="0"/>
                <w:color w:val="auto"/>
                <w:kern w:val="0"/>
                <w:sz w:val="24"/>
                <w:szCs w:val="24"/>
                <w:highlight w:val="none"/>
                <w:u w:val="none"/>
                <w:lang w:val="en-US" w:eastAsia="zh-CN" w:bidi="ar"/>
              </w:rPr>
              <w:t>0</w:t>
            </w:r>
            <w:r>
              <w:rPr>
                <w:rFonts w:hint="default" w:ascii="宋体" w:hAnsi="宋体" w:eastAsia="宋体" w:cs="宋体"/>
                <w:b w:val="0"/>
                <w:bCs w:val="0"/>
                <w:i w:val="0"/>
                <w:iCs w:val="0"/>
                <w:color w:val="auto"/>
                <w:kern w:val="0"/>
                <w:sz w:val="24"/>
                <w:szCs w:val="24"/>
                <w:highlight w:val="none"/>
                <w:u w:val="none"/>
                <w:lang w:val="en-US" w:eastAsia="zh-CN" w:bidi="ar"/>
              </w:rPr>
              <w:t>路，网络转发≥4路。</w:t>
            </w:r>
          </w:p>
          <w:p w14:paraId="7915E3A2">
            <w:pPr>
              <w:keepNext w:val="0"/>
              <w:keepLines w:val="0"/>
              <w:pageBreakBefore w:val="0"/>
              <w:widowControl/>
              <w:kinsoku/>
              <w:wordWrap/>
              <w:overflowPunct/>
              <w:topLinePunct w:val="0"/>
              <w:autoSpaceDE/>
              <w:autoSpaceDN/>
              <w:bidi w:val="0"/>
              <w:adjustRightInd/>
              <w:snapToGrid/>
              <w:spacing w:line="300" w:lineRule="auto"/>
              <w:rPr>
                <w:rFonts w:hint="default" w:ascii="宋体" w:hAnsi="宋体" w:eastAsia="宋体" w:cs="宋体"/>
                <w:b w:val="0"/>
                <w:bCs w:val="0"/>
                <w:i w:val="0"/>
                <w:iCs w:val="0"/>
                <w:color w:val="auto"/>
                <w:kern w:val="0"/>
                <w:sz w:val="24"/>
                <w:szCs w:val="24"/>
                <w:highlight w:val="none"/>
                <w:u w:val="none"/>
                <w:lang w:val="en-US" w:eastAsia="zh-CN" w:bidi="ar"/>
              </w:rPr>
            </w:pPr>
            <w:r>
              <w:rPr>
                <w:rFonts w:hint="default" w:ascii="宋体" w:hAnsi="宋体" w:eastAsia="宋体" w:cs="宋体"/>
                <w:b w:val="0"/>
                <w:bCs w:val="0"/>
                <w:i w:val="0"/>
                <w:iCs w:val="0"/>
                <w:color w:val="auto"/>
                <w:kern w:val="0"/>
                <w:sz w:val="24"/>
                <w:szCs w:val="24"/>
                <w:highlight w:val="none"/>
                <w:u w:val="none"/>
                <w:lang w:val="en-US" w:eastAsia="zh-CN" w:bidi="ar"/>
              </w:rPr>
              <w:t>3、视频编解码：需支持≥2路4K30编码和≥2路4K30解码，或者≥4路1080P60编码和≥4路1080P60解码，或者≥8路1080P@30编码和≥8路1080P@30解码。</w:t>
            </w:r>
          </w:p>
          <w:p w14:paraId="2B5D5C1C">
            <w:pPr>
              <w:keepNext w:val="0"/>
              <w:keepLines w:val="0"/>
              <w:pageBreakBefore w:val="0"/>
              <w:widowControl/>
              <w:kinsoku/>
              <w:wordWrap/>
              <w:overflowPunct/>
              <w:topLinePunct w:val="0"/>
              <w:autoSpaceDE/>
              <w:autoSpaceDN/>
              <w:bidi w:val="0"/>
              <w:adjustRightInd/>
              <w:snapToGrid/>
              <w:spacing w:line="300" w:lineRule="auto"/>
              <w:rPr>
                <w:rFonts w:hint="default" w:ascii="宋体" w:hAnsi="宋体" w:eastAsia="宋体" w:cs="宋体"/>
                <w:b w:val="0"/>
                <w:bCs w:val="0"/>
                <w:i w:val="0"/>
                <w:iCs w:val="0"/>
                <w:color w:val="auto"/>
                <w:kern w:val="0"/>
                <w:sz w:val="24"/>
                <w:szCs w:val="24"/>
                <w:highlight w:val="none"/>
                <w:u w:val="none"/>
                <w:lang w:val="en-US" w:eastAsia="zh-CN" w:bidi="ar"/>
              </w:rPr>
            </w:pPr>
            <w:r>
              <w:rPr>
                <w:rFonts w:hint="default" w:ascii="宋体" w:hAnsi="宋体" w:eastAsia="宋体" w:cs="宋体"/>
                <w:b w:val="0"/>
                <w:bCs w:val="0"/>
                <w:i w:val="0"/>
                <w:iCs w:val="0"/>
                <w:color w:val="auto"/>
                <w:kern w:val="0"/>
                <w:sz w:val="24"/>
                <w:szCs w:val="24"/>
                <w:highlight w:val="none"/>
                <w:u w:val="none"/>
                <w:lang w:val="en-US" w:eastAsia="zh-CN" w:bidi="ar"/>
              </w:rPr>
              <w:t>4、音视频协议：音频需至少支持G.711、G.722、G722.1、G722.1C、AAC，支持解码音频码流，视频支持H.264HP、MP、BP，H265HP。</w:t>
            </w:r>
          </w:p>
          <w:p w14:paraId="6C311FCD">
            <w:pPr>
              <w:keepNext w:val="0"/>
              <w:keepLines w:val="0"/>
              <w:pageBreakBefore w:val="0"/>
              <w:widowControl/>
              <w:kinsoku/>
              <w:wordWrap/>
              <w:overflowPunct/>
              <w:topLinePunct w:val="0"/>
              <w:autoSpaceDE/>
              <w:autoSpaceDN/>
              <w:bidi w:val="0"/>
              <w:adjustRightInd/>
              <w:snapToGrid/>
              <w:spacing w:line="300" w:lineRule="auto"/>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5</w:t>
            </w:r>
            <w:r>
              <w:rPr>
                <w:rFonts w:hint="default" w:ascii="宋体" w:hAnsi="宋体" w:eastAsia="宋体" w:cs="宋体"/>
                <w:b w:val="0"/>
                <w:bCs w:val="0"/>
                <w:i w:val="0"/>
                <w:iCs w:val="0"/>
                <w:color w:val="auto"/>
                <w:kern w:val="0"/>
                <w:sz w:val="24"/>
                <w:szCs w:val="24"/>
                <w:highlight w:val="none"/>
                <w:u w:val="none"/>
                <w:lang w:val="en-US" w:eastAsia="zh-CN" w:bidi="ar"/>
              </w:rPr>
              <w:t>、编解码率：需支持≥4路4K30编解码或≥8路1080P60编解码或≥16路1080P30编解码，每路128Kbps~20Mbps。</w:t>
            </w:r>
          </w:p>
          <w:p w14:paraId="15BF942C">
            <w:pPr>
              <w:keepNext w:val="0"/>
              <w:keepLines w:val="0"/>
              <w:pageBreakBefore w:val="0"/>
              <w:widowControl/>
              <w:kinsoku/>
              <w:wordWrap/>
              <w:overflowPunct/>
              <w:topLinePunct w:val="0"/>
              <w:autoSpaceDE/>
              <w:autoSpaceDN/>
              <w:bidi w:val="0"/>
              <w:adjustRightInd/>
              <w:snapToGrid/>
              <w:spacing w:line="300" w:lineRule="auto"/>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6</w:t>
            </w:r>
            <w:r>
              <w:rPr>
                <w:rFonts w:hint="default" w:ascii="宋体" w:hAnsi="宋体" w:eastAsia="宋体" w:cs="宋体"/>
                <w:b w:val="0"/>
                <w:bCs w:val="0"/>
                <w:i w:val="0"/>
                <w:iCs w:val="0"/>
                <w:color w:val="auto"/>
                <w:kern w:val="0"/>
                <w:sz w:val="24"/>
                <w:szCs w:val="24"/>
                <w:highlight w:val="none"/>
                <w:u w:val="none"/>
                <w:lang w:val="en-US" w:eastAsia="zh-CN" w:bidi="ar"/>
              </w:rPr>
              <w:t>、音频输入：需支持≥8路凤凰端子输入（同时支持48V幻像供电MIC输入或line in线性输入）、≥4路HDMI内嵌音频输入。</w:t>
            </w:r>
          </w:p>
          <w:p w14:paraId="05C8DFC2">
            <w:pPr>
              <w:keepNext w:val="0"/>
              <w:keepLines w:val="0"/>
              <w:pageBreakBefore w:val="0"/>
              <w:widowControl/>
              <w:kinsoku/>
              <w:wordWrap/>
              <w:overflowPunct/>
              <w:topLinePunct w:val="0"/>
              <w:autoSpaceDE/>
              <w:autoSpaceDN/>
              <w:bidi w:val="0"/>
              <w:adjustRightInd/>
              <w:snapToGrid/>
              <w:spacing w:line="300" w:lineRule="auto"/>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7</w:t>
            </w:r>
            <w:r>
              <w:rPr>
                <w:rFonts w:hint="default" w:ascii="宋体" w:hAnsi="宋体" w:eastAsia="宋体" w:cs="宋体"/>
                <w:b w:val="0"/>
                <w:bCs w:val="0"/>
                <w:i w:val="0"/>
                <w:iCs w:val="0"/>
                <w:color w:val="auto"/>
                <w:kern w:val="0"/>
                <w:sz w:val="24"/>
                <w:szCs w:val="24"/>
                <w:highlight w:val="none"/>
                <w:u w:val="none"/>
                <w:lang w:val="en-US" w:eastAsia="zh-CN" w:bidi="ar"/>
              </w:rPr>
              <w:t>、音频输出：需支持≥4路line out音频输出（或2对L/R凤凰端子立体声输出）、≥2路100W@8欧姆的数字功放输出（或者≥2路150W@4欧姆的数字功放输出），≥2路HDMI内嵌音频输出；支持音量调节，音频支持同步和混音两种方式。</w:t>
            </w:r>
          </w:p>
          <w:p w14:paraId="79722B62">
            <w:pPr>
              <w:keepNext w:val="0"/>
              <w:keepLines w:val="0"/>
              <w:pageBreakBefore w:val="0"/>
              <w:widowControl/>
              <w:kinsoku/>
              <w:wordWrap/>
              <w:overflowPunct/>
              <w:topLinePunct w:val="0"/>
              <w:autoSpaceDE/>
              <w:autoSpaceDN/>
              <w:bidi w:val="0"/>
              <w:adjustRightInd/>
              <w:snapToGrid/>
              <w:spacing w:line="300" w:lineRule="auto"/>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8</w:t>
            </w:r>
            <w:r>
              <w:rPr>
                <w:rFonts w:hint="default" w:ascii="宋体" w:hAnsi="宋体" w:eastAsia="宋体" w:cs="宋体"/>
                <w:b w:val="0"/>
                <w:bCs w:val="0"/>
                <w:i w:val="0"/>
                <w:iCs w:val="0"/>
                <w:color w:val="auto"/>
                <w:kern w:val="0"/>
                <w:sz w:val="24"/>
                <w:szCs w:val="24"/>
                <w:highlight w:val="none"/>
                <w:u w:val="none"/>
                <w:lang w:val="en-US" w:eastAsia="zh-CN" w:bidi="ar"/>
              </w:rPr>
              <w:t>、视频输入：需支持≥4路HDMI输入接口，≥16路IP网络摄像机输入。</w:t>
            </w:r>
          </w:p>
          <w:p w14:paraId="05E3860F">
            <w:pPr>
              <w:keepNext w:val="0"/>
              <w:keepLines w:val="0"/>
              <w:pageBreakBefore w:val="0"/>
              <w:widowControl/>
              <w:kinsoku/>
              <w:wordWrap/>
              <w:overflowPunct/>
              <w:topLinePunct w:val="0"/>
              <w:autoSpaceDE/>
              <w:autoSpaceDN/>
              <w:bidi w:val="0"/>
              <w:adjustRightInd/>
              <w:snapToGrid/>
              <w:spacing w:line="300" w:lineRule="auto"/>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9</w:t>
            </w:r>
            <w:r>
              <w:rPr>
                <w:rFonts w:hint="default" w:ascii="宋体" w:hAnsi="宋体" w:eastAsia="宋体" w:cs="宋体"/>
                <w:b w:val="0"/>
                <w:bCs w:val="0"/>
                <w:i w:val="0"/>
                <w:iCs w:val="0"/>
                <w:color w:val="auto"/>
                <w:kern w:val="0"/>
                <w:sz w:val="24"/>
                <w:szCs w:val="24"/>
                <w:highlight w:val="none"/>
                <w:u w:val="none"/>
                <w:lang w:val="en-US" w:eastAsia="zh-CN" w:bidi="ar"/>
              </w:rPr>
              <w:t>、视频输出：需支持≥2路HDMI输出接口，HDMI OUT1和HDMI OUT2支持最大分辨率4K30输出。</w:t>
            </w:r>
          </w:p>
          <w:p w14:paraId="27B81114">
            <w:pPr>
              <w:keepNext w:val="0"/>
              <w:keepLines w:val="0"/>
              <w:pageBreakBefore w:val="0"/>
              <w:widowControl/>
              <w:kinsoku/>
              <w:wordWrap/>
              <w:overflowPunct/>
              <w:topLinePunct w:val="0"/>
              <w:autoSpaceDE/>
              <w:autoSpaceDN/>
              <w:bidi w:val="0"/>
              <w:adjustRightInd/>
              <w:snapToGrid/>
              <w:spacing w:line="300" w:lineRule="auto"/>
              <w:rPr>
                <w:rFonts w:hint="default" w:ascii="宋体" w:hAnsi="宋体" w:eastAsia="宋体" w:cs="宋体"/>
                <w:b w:val="0"/>
                <w:bCs w:val="0"/>
                <w:i w:val="0"/>
                <w:iCs w:val="0"/>
                <w:color w:val="auto"/>
                <w:kern w:val="0"/>
                <w:sz w:val="24"/>
                <w:szCs w:val="24"/>
                <w:highlight w:val="none"/>
                <w:u w:val="none"/>
                <w:lang w:val="en-US" w:eastAsia="zh-CN" w:bidi="ar"/>
              </w:rPr>
            </w:pPr>
            <w:r>
              <w:rPr>
                <w:rFonts w:hint="default" w:ascii="宋体" w:hAnsi="宋体" w:eastAsia="宋体" w:cs="宋体"/>
                <w:b w:val="0"/>
                <w:bCs w:val="0"/>
                <w:i w:val="0"/>
                <w:iCs w:val="0"/>
                <w:color w:val="auto"/>
                <w:kern w:val="0"/>
                <w:sz w:val="24"/>
                <w:szCs w:val="24"/>
                <w:highlight w:val="none"/>
                <w:u w:val="none"/>
                <w:lang w:val="en-US" w:eastAsia="zh-CN" w:bidi="ar"/>
              </w:rPr>
              <w:t>1</w:t>
            </w:r>
            <w:r>
              <w:rPr>
                <w:rFonts w:hint="eastAsia" w:ascii="宋体" w:hAnsi="宋体" w:eastAsia="宋体" w:cs="宋体"/>
                <w:b w:val="0"/>
                <w:bCs w:val="0"/>
                <w:i w:val="0"/>
                <w:iCs w:val="0"/>
                <w:color w:val="auto"/>
                <w:kern w:val="0"/>
                <w:sz w:val="24"/>
                <w:szCs w:val="24"/>
                <w:highlight w:val="none"/>
                <w:u w:val="none"/>
                <w:lang w:val="en-US" w:eastAsia="zh-CN" w:bidi="ar"/>
              </w:rPr>
              <w:t>0</w:t>
            </w:r>
            <w:r>
              <w:rPr>
                <w:rFonts w:hint="default" w:ascii="宋体" w:hAnsi="宋体" w:eastAsia="宋体" w:cs="宋体"/>
                <w:b w:val="0"/>
                <w:bCs w:val="0"/>
                <w:i w:val="0"/>
                <w:iCs w:val="0"/>
                <w:color w:val="auto"/>
                <w:kern w:val="0"/>
                <w:sz w:val="24"/>
                <w:szCs w:val="24"/>
                <w:highlight w:val="none"/>
                <w:u w:val="none"/>
                <w:lang w:val="en-US" w:eastAsia="zh-CN" w:bidi="ar"/>
              </w:rPr>
              <w:t>、音频处理：需至少支持自动回声消除(AEC)、自动增益控制(AGC)、自动噪声消除/抑制(ANC/ANS)、自动反馈消除(AFC)、混音矩阵(AM)、丢包补偿(PLC)。</w:t>
            </w:r>
          </w:p>
          <w:p w14:paraId="558F0E30">
            <w:pPr>
              <w:keepNext w:val="0"/>
              <w:keepLines w:val="0"/>
              <w:pageBreakBefore w:val="0"/>
              <w:widowControl/>
              <w:kinsoku/>
              <w:wordWrap/>
              <w:overflowPunct/>
              <w:topLinePunct w:val="0"/>
              <w:autoSpaceDE/>
              <w:autoSpaceDN/>
              <w:bidi w:val="0"/>
              <w:adjustRightInd/>
              <w:snapToGrid/>
              <w:spacing w:line="300" w:lineRule="auto"/>
              <w:rPr>
                <w:rFonts w:hint="default" w:ascii="宋体" w:hAnsi="宋体" w:eastAsia="宋体" w:cs="宋体"/>
                <w:b w:val="0"/>
                <w:bCs w:val="0"/>
                <w:i w:val="0"/>
                <w:iCs w:val="0"/>
                <w:color w:val="auto"/>
                <w:kern w:val="0"/>
                <w:sz w:val="24"/>
                <w:szCs w:val="24"/>
                <w:highlight w:val="none"/>
                <w:u w:val="none"/>
                <w:lang w:val="en-US" w:eastAsia="zh-CN" w:bidi="ar"/>
              </w:rPr>
            </w:pPr>
            <w:r>
              <w:rPr>
                <w:rFonts w:hint="default" w:ascii="宋体" w:hAnsi="宋体" w:eastAsia="宋体" w:cs="宋体"/>
                <w:b w:val="0"/>
                <w:bCs w:val="0"/>
                <w:i w:val="0"/>
                <w:iCs w:val="0"/>
                <w:color w:val="auto"/>
                <w:kern w:val="0"/>
                <w:sz w:val="24"/>
                <w:szCs w:val="24"/>
                <w:highlight w:val="none"/>
                <w:u w:val="none"/>
                <w:lang w:val="en-US" w:eastAsia="zh-CN" w:bidi="ar"/>
              </w:rPr>
              <w:t>1</w:t>
            </w:r>
            <w:r>
              <w:rPr>
                <w:rFonts w:hint="eastAsia" w:ascii="宋体" w:hAnsi="宋体" w:eastAsia="宋体" w:cs="宋体"/>
                <w:b w:val="0"/>
                <w:bCs w:val="0"/>
                <w:i w:val="0"/>
                <w:iCs w:val="0"/>
                <w:color w:val="auto"/>
                <w:kern w:val="0"/>
                <w:sz w:val="24"/>
                <w:szCs w:val="24"/>
                <w:highlight w:val="none"/>
                <w:u w:val="none"/>
                <w:lang w:val="en-US" w:eastAsia="zh-CN" w:bidi="ar"/>
              </w:rPr>
              <w:t>1</w:t>
            </w:r>
            <w:r>
              <w:rPr>
                <w:rFonts w:hint="default" w:ascii="宋体" w:hAnsi="宋体" w:eastAsia="宋体" w:cs="宋体"/>
                <w:b w:val="0"/>
                <w:bCs w:val="0"/>
                <w:i w:val="0"/>
                <w:iCs w:val="0"/>
                <w:color w:val="auto"/>
                <w:kern w:val="0"/>
                <w:sz w:val="24"/>
                <w:szCs w:val="24"/>
                <w:highlight w:val="none"/>
                <w:u w:val="none"/>
                <w:lang w:val="en-US" w:eastAsia="zh-CN" w:bidi="ar"/>
              </w:rPr>
              <w:t>、视频处理：需至少支持视频分辨率适配、切换、分配、画面分割、字幕叠加、终端名叠加、图像参数调节，字幕终端名支持任意位置调整，支持透明度显示调节。</w:t>
            </w:r>
          </w:p>
          <w:p w14:paraId="516FA613">
            <w:pPr>
              <w:keepNext w:val="0"/>
              <w:keepLines w:val="0"/>
              <w:pageBreakBefore w:val="0"/>
              <w:widowControl/>
              <w:kinsoku/>
              <w:wordWrap/>
              <w:overflowPunct/>
              <w:topLinePunct w:val="0"/>
              <w:autoSpaceDE/>
              <w:autoSpaceDN/>
              <w:bidi w:val="0"/>
              <w:adjustRightInd/>
              <w:snapToGrid/>
              <w:spacing w:line="300" w:lineRule="auto"/>
              <w:rPr>
                <w:rFonts w:hint="default" w:ascii="宋体" w:hAnsi="宋体" w:eastAsia="宋体" w:cs="宋体"/>
                <w:b w:val="0"/>
                <w:bCs w:val="0"/>
                <w:i w:val="0"/>
                <w:iCs w:val="0"/>
                <w:color w:val="auto"/>
                <w:kern w:val="0"/>
                <w:sz w:val="24"/>
                <w:szCs w:val="24"/>
                <w:highlight w:val="none"/>
                <w:u w:val="none"/>
                <w:lang w:val="en-US" w:eastAsia="zh-CN" w:bidi="ar"/>
              </w:rPr>
            </w:pPr>
            <w:r>
              <w:rPr>
                <w:rFonts w:hint="default" w:ascii="宋体" w:hAnsi="宋体" w:eastAsia="宋体" w:cs="宋体"/>
                <w:b w:val="0"/>
                <w:bCs w:val="0"/>
                <w:i w:val="0"/>
                <w:iCs w:val="0"/>
                <w:color w:val="auto"/>
                <w:kern w:val="0"/>
                <w:sz w:val="24"/>
                <w:szCs w:val="24"/>
                <w:highlight w:val="none"/>
                <w:u w:val="none"/>
                <w:lang w:val="en-US" w:eastAsia="zh-CN" w:bidi="ar"/>
              </w:rPr>
              <w:t>1</w:t>
            </w:r>
            <w:r>
              <w:rPr>
                <w:rFonts w:hint="eastAsia" w:ascii="宋体" w:hAnsi="宋体" w:eastAsia="宋体" w:cs="宋体"/>
                <w:b w:val="0"/>
                <w:bCs w:val="0"/>
                <w:i w:val="0"/>
                <w:iCs w:val="0"/>
                <w:color w:val="auto"/>
                <w:kern w:val="0"/>
                <w:sz w:val="24"/>
                <w:szCs w:val="24"/>
                <w:highlight w:val="none"/>
                <w:u w:val="none"/>
                <w:lang w:val="en-US" w:eastAsia="zh-CN" w:bidi="ar"/>
              </w:rPr>
              <w:t>2</w:t>
            </w:r>
            <w:r>
              <w:rPr>
                <w:rFonts w:hint="default" w:ascii="宋体" w:hAnsi="宋体" w:eastAsia="宋体" w:cs="宋体"/>
                <w:b w:val="0"/>
                <w:bCs w:val="0"/>
                <w:i w:val="0"/>
                <w:iCs w:val="0"/>
                <w:color w:val="auto"/>
                <w:kern w:val="0"/>
                <w:sz w:val="24"/>
                <w:szCs w:val="24"/>
                <w:highlight w:val="none"/>
                <w:u w:val="none"/>
                <w:lang w:val="en-US" w:eastAsia="zh-CN" w:bidi="ar"/>
              </w:rPr>
              <w:t>、混音功能：需同时支持本地音频、HDMI内嵌音频、远端音频RTSP网络接入流进入混音器，可动态选择混音。</w:t>
            </w:r>
          </w:p>
          <w:p w14:paraId="6CDB9FB5">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sz w:val="24"/>
                <w:szCs w:val="24"/>
                <w:highlight w:val="none"/>
                <w:lang w:eastAsia="zh-CN"/>
              </w:rPr>
            </w:pPr>
            <w:r>
              <w:rPr>
                <w:rFonts w:hint="default" w:ascii="宋体" w:hAnsi="宋体" w:eastAsia="宋体" w:cs="宋体"/>
                <w:b w:val="0"/>
                <w:bCs w:val="0"/>
                <w:i w:val="0"/>
                <w:iCs w:val="0"/>
                <w:color w:val="auto"/>
                <w:kern w:val="0"/>
                <w:sz w:val="24"/>
                <w:szCs w:val="24"/>
                <w:highlight w:val="none"/>
                <w:u w:val="none"/>
                <w:lang w:val="en-US" w:eastAsia="zh-CN" w:bidi="ar"/>
              </w:rPr>
              <w:t>1</w:t>
            </w:r>
            <w:r>
              <w:rPr>
                <w:rFonts w:hint="eastAsia" w:ascii="宋体" w:hAnsi="宋体" w:eastAsia="宋体" w:cs="宋体"/>
                <w:b w:val="0"/>
                <w:bCs w:val="0"/>
                <w:i w:val="0"/>
                <w:iCs w:val="0"/>
                <w:color w:val="auto"/>
                <w:kern w:val="0"/>
                <w:sz w:val="24"/>
                <w:szCs w:val="24"/>
                <w:highlight w:val="none"/>
                <w:u w:val="none"/>
                <w:lang w:val="en-US" w:eastAsia="zh-CN" w:bidi="ar"/>
              </w:rPr>
              <w:t>3</w:t>
            </w:r>
            <w:r>
              <w:rPr>
                <w:rFonts w:hint="default" w:ascii="宋体" w:hAnsi="宋体" w:eastAsia="宋体" w:cs="宋体"/>
                <w:b w:val="0"/>
                <w:bCs w:val="0"/>
                <w:i w:val="0"/>
                <w:iCs w:val="0"/>
                <w:color w:val="auto"/>
                <w:kern w:val="0"/>
                <w:sz w:val="24"/>
                <w:szCs w:val="24"/>
                <w:highlight w:val="none"/>
                <w:u w:val="none"/>
                <w:lang w:val="en-US" w:eastAsia="zh-CN" w:bidi="ar"/>
              </w:rPr>
              <w:t>、中央控制：需至少支持一键式中央控制开关系统、调节输出音量、切换信号源、摄像机控制、录播控制、远程呼叫、环境控制。</w:t>
            </w:r>
          </w:p>
        </w:tc>
        <w:tc>
          <w:tcPr>
            <w:tcW w:w="683" w:type="dxa"/>
            <w:vAlign w:val="center"/>
          </w:tcPr>
          <w:p w14:paraId="242FCC72">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7台</w:t>
            </w:r>
          </w:p>
        </w:tc>
        <w:tc>
          <w:tcPr>
            <w:tcW w:w="850" w:type="dxa"/>
            <w:vMerge w:val="continue"/>
          </w:tcPr>
          <w:p w14:paraId="4D78A493">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rPr>
            </w:pPr>
          </w:p>
        </w:tc>
      </w:tr>
      <w:tr w14:paraId="24E0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4B367303">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8</w:t>
            </w:r>
          </w:p>
        </w:tc>
        <w:tc>
          <w:tcPr>
            <w:tcW w:w="1080" w:type="dxa"/>
            <w:tcMar>
              <w:top w:w="15" w:type="dxa"/>
              <w:left w:w="15" w:type="dxa"/>
              <w:bottom w:w="0" w:type="dxa"/>
              <w:right w:w="15" w:type="dxa"/>
            </w:tcMar>
            <w:vAlign w:val="center"/>
          </w:tcPr>
          <w:p w14:paraId="454EC838">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桌面话筒</w:t>
            </w:r>
          </w:p>
        </w:tc>
        <w:tc>
          <w:tcPr>
            <w:tcW w:w="6474" w:type="dxa"/>
            <w:vAlign w:val="center"/>
          </w:tcPr>
          <w:p w14:paraId="259C5C4C">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1、频率响应：范围不低于35Hz-18000Hz</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2、灵敏度：不低于-25±3dB（0dB=1V/Pa，@1kHz）</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3、指向性：腔体需经过精心调校，提供超心形指向性，有利于声音的精准拾取</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4、最大声压级：不低于122dB（@THD≤1%，1KHz）</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5、输出阻抗：≤100Ω</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6、有效使用距离：不小于30cm-60cm</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7、幻象供电：12V-48V（4mA）</w:t>
            </w:r>
            <w:r>
              <w:rPr>
                <w:rFonts w:hint="eastAsia" w:asciiTheme="minorEastAsia" w:hAnsiTheme="minorEastAsia" w:eastAsiaTheme="minorEastAsia" w:cstheme="minorEastAsia"/>
                <w:color w:val="auto"/>
                <w:kern w:val="0"/>
                <w:sz w:val="24"/>
                <w:szCs w:val="24"/>
                <w:highlight w:val="none"/>
                <w:lang w:eastAsia="zh-CN"/>
              </w:rPr>
              <w:t>。</w:t>
            </w:r>
          </w:p>
        </w:tc>
        <w:tc>
          <w:tcPr>
            <w:tcW w:w="683" w:type="dxa"/>
            <w:vAlign w:val="center"/>
          </w:tcPr>
          <w:p w14:paraId="48EA88DC">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64支</w:t>
            </w:r>
          </w:p>
        </w:tc>
        <w:tc>
          <w:tcPr>
            <w:tcW w:w="850" w:type="dxa"/>
            <w:vMerge w:val="continue"/>
          </w:tcPr>
          <w:p w14:paraId="335498D8">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rPr>
            </w:pPr>
          </w:p>
        </w:tc>
      </w:tr>
      <w:tr w14:paraId="704F3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576BB85E">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9</w:t>
            </w:r>
          </w:p>
        </w:tc>
        <w:tc>
          <w:tcPr>
            <w:tcW w:w="1080" w:type="dxa"/>
            <w:tcMar>
              <w:top w:w="15" w:type="dxa"/>
              <w:left w:w="15" w:type="dxa"/>
              <w:bottom w:w="0" w:type="dxa"/>
              <w:right w:w="15" w:type="dxa"/>
            </w:tcMar>
            <w:vAlign w:val="center"/>
          </w:tcPr>
          <w:p w14:paraId="17DF3EFC">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刑事被告麦克风</w:t>
            </w:r>
          </w:p>
        </w:tc>
        <w:tc>
          <w:tcPr>
            <w:tcW w:w="6474" w:type="dxa"/>
            <w:vAlign w:val="center"/>
          </w:tcPr>
          <w:p w14:paraId="3829205C">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rPr>
              <w:t>1、</w:t>
            </w:r>
            <w:r>
              <w:rPr>
                <w:rFonts w:hint="eastAsia" w:asciiTheme="minorEastAsia" w:hAnsiTheme="minorEastAsia" w:eastAsiaTheme="minorEastAsia" w:cstheme="minorEastAsia"/>
                <w:color w:val="auto"/>
                <w:kern w:val="0"/>
                <w:sz w:val="24"/>
                <w:szCs w:val="24"/>
                <w:highlight w:val="none"/>
              </w:rPr>
              <w:t>换能方式 ：双电容式（单线输出）</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lang w:val="en-US" w:eastAsia="zh-CN"/>
              </w:rPr>
              <w:t>2、</w:t>
            </w:r>
            <w:r>
              <w:rPr>
                <w:rFonts w:hint="eastAsia" w:asciiTheme="minorEastAsia" w:hAnsiTheme="minorEastAsia" w:eastAsiaTheme="minorEastAsia" w:cstheme="minorEastAsia"/>
                <w:color w:val="auto"/>
                <w:kern w:val="0"/>
                <w:sz w:val="24"/>
                <w:szCs w:val="24"/>
                <w:highlight w:val="none"/>
              </w:rPr>
              <w:t>频率响应 (Hz) ：30Hz-16kHz</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lang w:val="en-US" w:eastAsia="zh-CN"/>
              </w:rPr>
              <w:t>3、</w:t>
            </w:r>
            <w:r>
              <w:rPr>
                <w:rFonts w:hint="eastAsia" w:asciiTheme="minorEastAsia" w:hAnsiTheme="minorEastAsia" w:eastAsiaTheme="minorEastAsia" w:cstheme="minorEastAsia"/>
                <w:color w:val="auto"/>
                <w:kern w:val="0"/>
                <w:sz w:val="24"/>
                <w:szCs w:val="24"/>
                <w:highlight w:val="none"/>
              </w:rPr>
              <w:t>指向性：超心型指向</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lang w:val="en-US" w:eastAsia="zh-CN"/>
              </w:rPr>
              <w:t>4、</w:t>
            </w:r>
            <w:r>
              <w:rPr>
                <w:rFonts w:hint="eastAsia" w:asciiTheme="minorEastAsia" w:hAnsiTheme="minorEastAsia" w:eastAsiaTheme="minorEastAsia" w:cstheme="minorEastAsia"/>
                <w:color w:val="auto"/>
                <w:kern w:val="0"/>
                <w:sz w:val="24"/>
                <w:szCs w:val="24"/>
                <w:highlight w:val="none"/>
              </w:rPr>
              <w:t>输出阻抗（欧姆） ：平衡 75Ω，不平衡200Ω</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lang w:val="en-US" w:eastAsia="zh-CN"/>
              </w:rPr>
              <w:t>5、</w:t>
            </w:r>
            <w:r>
              <w:rPr>
                <w:rFonts w:hint="eastAsia" w:asciiTheme="minorEastAsia" w:hAnsiTheme="minorEastAsia" w:eastAsiaTheme="minorEastAsia" w:cstheme="minorEastAsia"/>
                <w:color w:val="auto"/>
                <w:kern w:val="0"/>
                <w:sz w:val="24"/>
                <w:szCs w:val="24"/>
                <w:highlight w:val="none"/>
              </w:rPr>
              <w:t>灵敏度： -43dB±2dB</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lang w:val="en-US" w:eastAsia="zh-CN"/>
              </w:rPr>
              <w:t>6、</w:t>
            </w:r>
            <w:r>
              <w:rPr>
                <w:rFonts w:hint="eastAsia" w:asciiTheme="minorEastAsia" w:hAnsiTheme="minorEastAsia" w:eastAsiaTheme="minorEastAsia" w:cstheme="minorEastAsia"/>
                <w:color w:val="auto"/>
                <w:kern w:val="0"/>
                <w:sz w:val="24"/>
                <w:szCs w:val="24"/>
                <w:highlight w:val="none"/>
              </w:rPr>
              <w:t>供电电压 (V) ：幻象48V</w:t>
            </w:r>
          </w:p>
        </w:tc>
        <w:tc>
          <w:tcPr>
            <w:tcW w:w="683" w:type="dxa"/>
            <w:vAlign w:val="center"/>
          </w:tcPr>
          <w:p w14:paraId="12B90283">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1支</w:t>
            </w:r>
          </w:p>
        </w:tc>
        <w:tc>
          <w:tcPr>
            <w:tcW w:w="850" w:type="dxa"/>
            <w:vMerge w:val="continue"/>
          </w:tcPr>
          <w:p w14:paraId="2ED487E2">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rPr>
            </w:pPr>
          </w:p>
        </w:tc>
      </w:tr>
      <w:tr w14:paraId="42572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08656246">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10</w:t>
            </w:r>
          </w:p>
        </w:tc>
        <w:tc>
          <w:tcPr>
            <w:tcW w:w="1080" w:type="dxa"/>
            <w:tcMar>
              <w:top w:w="15" w:type="dxa"/>
              <w:left w:w="15" w:type="dxa"/>
              <w:bottom w:w="0" w:type="dxa"/>
              <w:right w:w="15" w:type="dxa"/>
            </w:tcMar>
            <w:vAlign w:val="center"/>
          </w:tcPr>
          <w:p w14:paraId="357DDD1A">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4K全景摄像机</w:t>
            </w:r>
          </w:p>
        </w:tc>
        <w:tc>
          <w:tcPr>
            <w:tcW w:w="6474" w:type="dxa"/>
            <w:vAlign w:val="center"/>
          </w:tcPr>
          <w:p w14:paraId="2D0600AF">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1、</w:t>
            </w:r>
            <w:r>
              <w:rPr>
                <w:rFonts w:hint="eastAsia" w:asciiTheme="minorEastAsia" w:hAnsiTheme="minorEastAsia" w:eastAsiaTheme="minorEastAsia" w:cstheme="minorEastAsia"/>
                <w:color w:val="auto"/>
                <w:kern w:val="0"/>
                <w:sz w:val="24"/>
                <w:szCs w:val="24"/>
                <w:highlight w:val="none"/>
              </w:rPr>
              <w:t>需支持采用不低于1/1.8”星光级大靶面CMOS，最大支持3840*2160@30fps高清画面输出</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lang w:val="en-US" w:eastAsia="zh-CN"/>
              </w:rPr>
              <w:t>2、</w:t>
            </w:r>
            <w:r>
              <w:rPr>
                <w:rFonts w:hint="eastAsia" w:asciiTheme="minorEastAsia" w:hAnsiTheme="minorEastAsia" w:eastAsiaTheme="minorEastAsia" w:cstheme="minorEastAsia"/>
                <w:color w:val="auto"/>
                <w:kern w:val="0"/>
                <w:sz w:val="24"/>
                <w:szCs w:val="24"/>
                <w:highlight w:val="none"/>
              </w:rPr>
              <w:t>支持深度学习智能周界，支持开启目标入侵后自动跟随功能</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lang w:val="en-US" w:eastAsia="zh-CN"/>
              </w:rPr>
              <w:t>3、</w:t>
            </w:r>
            <w:r>
              <w:rPr>
                <w:rFonts w:hint="eastAsia" w:asciiTheme="minorEastAsia" w:hAnsiTheme="minorEastAsia" w:eastAsiaTheme="minorEastAsia" w:cstheme="minorEastAsia"/>
                <w:color w:val="auto"/>
                <w:kern w:val="0"/>
                <w:sz w:val="24"/>
                <w:szCs w:val="24"/>
                <w:highlight w:val="none"/>
              </w:rPr>
              <w:t>最低照度：彩色：≤0.005Lux @ (F1.6，AGC ON)；黑白：≤0.001Lux @(F1.6，AGC ON)</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lang w:val="en-US" w:eastAsia="zh-CN"/>
              </w:rPr>
              <w:t>4、</w:t>
            </w:r>
            <w:r>
              <w:rPr>
                <w:rFonts w:hint="eastAsia" w:asciiTheme="minorEastAsia" w:hAnsiTheme="minorEastAsia" w:eastAsiaTheme="minorEastAsia" w:cstheme="minorEastAsia"/>
                <w:color w:val="auto"/>
                <w:kern w:val="0"/>
                <w:sz w:val="24"/>
                <w:szCs w:val="24"/>
                <w:highlight w:val="none"/>
              </w:rPr>
              <w:t>光学变倍：不低于25倍光学变倍，16倍数字变倍</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lang w:val="en-US" w:eastAsia="zh-CN"/>
              </w:rPr>
              <w:t>5、</w:t>
            </w:r>
            <w:r>
              <w:rPr>
                <w:rFonts w:hint="eastAsia" w:asciiTheme="minorEastAsia" w:hAnsiTheme="minorEastAsia" w:eastAsiaTheme="minorEastAsia" w:cstheme="minorEastAsia"/>
                <w:color w:val="auto"/>
                <w:kern w:val="0"/>
                <w:sz w:val="24"/>
                <w:szCs w:val="24"/>
                <w:highlight w:val="none"/>
              </w:rPr>
              <w:t>焦距：范围≥6.5~162.5 mm</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lang w:val="en-US" w:eastAsia="zh-CN"/>
              </w:rPr>
              <w:t>6、</w:t>
            </w:r>
            <w:r>
              <w:rPr>
                <w:rFonts w:hint="eastAsia" w:asciiTheme="minorEastAsia" w:hAnsiTheme="minorEastAsia" w:eastAsiaTheme="minorEastAsia" w:cstheme="minorEastAsia"/>
                <w:color w:val="auto"/>
                <w:kern w:val="0"/>
                <w:sz w:val="24"/>
                <w:szCs w:val="24"/>
                <w:highlight w:val="none"/>
              </w:rPr>
              <w:t>视场角：水平视场角：范围≥58.5°~3.7°（广角~望远）；</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lang w:val="en-US" w:eastAsia="zh-CN"/>
              </w:rPr>
              <w:t>7、</w:t>
            </w:r>
            <w:r>
              <w:rPr>
                <w:rFonts w:hint="eastAsia" w:asciiTheme="minorEastAsia" w:hAnsiTheme="minorEastAsia" w:eastAsiaTheme="minorEastAsia" w:cstheme="minorEastAsia"/>
                <w:color w:val="auto"/>
                <w:kern w:val="0"/>
                <w:sz w:val="24"/>
                <w:szCs w:val="24"/>
                <w:highlight w:val="none"/>
              </w:rPr>
              <w:t>垂直视场角：范围≥ 35°~2.1°（广角~望远）；</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lang w:val="en-US" w:eastAsia="zh-CN"/>
              </w:rPr>
              <w:t>8、</w:t>
            </w:r>
            <w:r>
              <w:rPr>
                <w:rFonts w:hint="eastAsia" w:asciiTheme="minorEastAsia" w:hAnsiTheme="minorEastAsia" w:eastAsiaTheme="minorEastAsia" w:cstheme="minorEastAsia"/>
                <w:color w:val="auto"/>
                <w:kern w:val="0"/>
                <w:sz w:val="24"/>
                <w:szCs w:val="24"/>
                <w:highlight w:val="none"/>
              </w:rPr>
              <w:t>对角线视场角：范围≥ 65.3°~4.2°（广角~望远）</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lang w:val="en-US" w:eastAsia="zh-CN"/>
              </w:rPr>
              <w:t>9、</w:t>
            </w:r>
            <w:r>
              <w:rPr>
                <w:rFonts w:hint="eastAsia" w:asciiTheme="minorEastAsia" w:hAnsiTheme="minorEastAsia" w:eastAsiaTheme="minorEastAsia" w:cstheme="minorEastAsia"/>
                <w:color w:val="auto"/>
                <w:kern w:val="0"/>
                <w:sz w:val="24"/>
                <w:szCs w:val="24"/>
                <w:highlight w:val="none"/>
              </w:rPr>
              <w:t>水平范围：范围≥360°</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lang w:val="en-US" w:eastAsia="zh-CN"/>
              </w:rPr>
              <w:t>10、</w:t>
            </w:r>
            <w:r>
              <w:rPr>
                <w:rFonts w:hint="eastAsia" w:asciiTheme="minorEastAsia" w:hAnsiTheme="minorEastAsia" w:eastAsiaTheme="minorEastAsia" w:cstheme="minorEastAsia"/>
                <w:color w:val="auto"/>
                <w:kern w:val="0"/>
                <w:sz w:val="24"/>
                <w:szCs w:val="24"/>
                <w:highlight w:val="none"/>
              </w:rPr>
              <w:t>垂直范围：范围≥10°~90° （自动翻转）</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lang w:val="en-US" w:eastAsia="zh-CN"/>
              </w:rPr>
              <w:t>11、</w:t>
            </w:r>
            <w:r>
              <w:rPr>
                <w:rFonts w:hint="eastAsia" w:asciiTheme="minorEastAsia" w:hAnsiTheme="minorEastAsia" w:eastAsiaTheme="minorEastAsia" w:cstheme="minorEastAsia"/>
                <w:color w:val="auto"/>
                <w:kern w:val="0"/>
                <w:sz w:val="24"/>
                <w:szCs w:val="24"/>
                <w:highlight w:val="none"/>
              </w:rPr>
              <w:t>主码流帧率分辨率：需至少支持50 Hz：25 fps（3840 × 2160，2560 × 1440，1920 × 1080，1280 × 960，1280 × 720）60 Hz：30 fps（3840 × 2160，2560 × 1440，1920 × 1080，1280 × 960，1280 × 720）</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lang w:val="en-US" w:eastAsia="zh-CN"/>
              </w:rPr>
              <w:t>12、</w:t>
            </w:r>
            <w:r>
              <w:rPr>
                <w:rFonts w:hint="eastAsia" w:asciiTheme="minorEastAsia" w:hAnsiTheme="minorEastAsia" w:eastAsiaTheme="minorEastAsia" w:cstheme="minorEastAsia"/>
                <w:color w:val="auto"/>
                <w:kern w:val="0"/>
                <w:sz w:val="24"/>
                <w:szCs w:val="24"/>
                <w:highlight w:val="none"/>
              </w:rPr>
              <w:t>支持三码流技术，每路码流可独立配置分辨率及帧率</w:t>
            </w:r>
            <w:r>
              <w:rPr>
                <w:rFonts w:hint="eastAsia" w:asciiTheme="minorEastAsia" w:hAnsiTheme="minorEastAsia" w:eastAsiaTheme="minorEastAsia" w:cstheme="minorEastAsia"/>
                <w:color w:val="auto"/>
                <w:kern w:val="0"/>
                <w:sz w:val="24"/>
                <w:szCs w:val="24"/>
                <w:highlight w:val="none"/>
                <w:lang w:eastAsia="zh-CN"/>
              </w:rPr>
              <w:t>。</w:t>
            </w:r>
          </w:p>
        </w:tc>
        <w:tc>
          <w:tcPr>
            <w:tcW w:w="683" w:type="dxa"/>
            <w:vAlign w:val="center"/>
          </w:tcPr>
          <w:p w14:paraId="106FD5B5">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33台</w:t>
            </w:r>
          </w:p>
        </w:tc>
        <w:tc>
          <w:tcPr>
            <w:tcW w:w="850" w:type="dxa"/>
            <w:vMerge w:val="continue"/>
          </w:tcPr>
          <w:p w14:paraId="12978AA6">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rPr>
            </w:pPr>
          </w:p>
        </w:tc>
      </w:tr>
      <w:tr w14:paraId="0B7A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0FAD10B9">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11</w:t>
            </w:r>
          </w:p>
        </w:tc>
        <w:tc>
          <w:tcPr>
            <w:tcW w:w="1080" w:type="dxa"/>
            <w:tcMar>
              <w:top w:w="15" w:type="dxa"/>
              <w:left w:w="15" w:type="dxa"/>
              <w:bottom w:w="0" w:type="dxa"/>
              <w:right w:w="15" w:type="dxa"/>
            </w:tcMar>
            <w:vAlign w:val="center"/>
          </w:tcPr>
          <w:p w14:paraId="3C2A9BE9">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公示大屏</w:t>
            </w:r>
          </w:p>
        </w:tc>
        <w:tc>
          <w:tcPr>
            <w:tcW w:w="6474" w:type="dxa"/>
            <w:vAlign w:val="center"/>
          </w:tcPr>
          <w:p w14:paraId="23A75B59">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≥75寸液晶电视，接口丰富，扩展性强,4K分辨率</w:t>
            </w:r>
          </w:p>
        </w:tc>
        <w:tc>
          <w:tcPr>
            <w:tcW w:w="683" w:type="dxa"/>
            <w:vAlign w:val="center"/>
          </w:tcPr>
          <w:p w14:paraId="06DA0553">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16个</w:t>
            </w:r>
          </w:p>
        </w:tc>
        <w:tc>
          <w:tcPr>
            <w:tcW w:w="850" w:type="dxa"/>
            <w:vMerge w:val="continue"/>
          </w:tcPr>
          <w:p w14:paraId="473F4482">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rPr>
            </w:pPr>
          </w:p>
        </w:tc>
      </w:tr>
      <w:tr w14:paraId="6E3BD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69D9D393">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12</w:t>
            </w:r>
          </w:p>
        </w:tc>
        <w:tc>
          <w:tcPr>
            <w:tcW w:w="1080" w:type="dxa"/>
            <w:tcMar>
              <w:top w:w="15" w:type="dxa"/>
              <w:left w:w="15" w:type="dxa"/>
              <w:bottom w:w="0" w:type="dxa"/>
              <w:right w:w="15" w:type="dxa"/>
            </w:tcMar>
            <w:vAlign w:val="center"/>
          </w:tcPr>
          <w:p w14:paraId="17EC8A50">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大屏支架</w:t>
            </w:r>
          </w:p>
        </w:tc>
        <w:tc>
          <w:tcPr>
            <w:tcW w:w="6474" w:type="dxa"/>
            <w:vAlign w:val="center"/>
          </w:tcPr>
          <w:p w14:paraId="53773D1F">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壁挂安装≥75寸电视</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支持伸缩、左右旋转</w:t>
            </w:r>
          </w:p>
        </w:tc>
        <w:tc>
          <w:tcPr>
            <w:tcW w:w="683" w:type="dxa"/>
            <w:vAlign w:val="center"/>
          </w:tcPr>
          <w:p w14:paraId="096FC668">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16个</w:t>
            </w:r>
          </w:p>
        </w:tc>
        <w:tc>
          <w:tcPr>
            <w:tcW w:w="850" w:type="dxa"/>
            <w:vMerge w:val="continue"/>
          </w:tcPr>
          <w:p w14:paraId="2D86F9D5">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rPr>
            </w:pPr>
          </w:p>
        </w:tc>
      </w:tr>
      <w:tr w14:paraId="225B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5ECA03AF">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13</w:t>
            </w:r>
          </w:p>
        </w:tc>
        <w:tc>
          <w:tcPr>
            <w:tcW w:w="1080" w:type="dxa"/>
            <w:tcMar>
              <w:top w:w="15" w:type="dxa"/>
              <w:left w:w="15" w:type="dxa"/>
              <w:bottom w:w="0" w:type="dxa"/>
              <w:right w:w="15" w:type="dxa"/>
            </w:tcMar>
            <w:vAlign w:val="center"/>
          </w:tcPr>
          <w:p w14:paraId="5207AA08">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音箱</w:t>
            </w:r>
          </w:p>
        </w:tc>
        <w:tc>
          <w:tcPr>
            <w:tcW w:w="6474" w:type="dxa"/>
            <w:vAlign w:val="center"/>
          </w:tcPr>
          <w:p w14:paraId="69DFD26F">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频率范围</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不小于80Hz-20KHz</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2</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灵敏度</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≥93dB</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3</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阻抗</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8Ω</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4</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最大声压级</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≥119dB</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5</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额定功率</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≥100W</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6</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峰值功率</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≥400W</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7</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覆盖角度</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≥H60°×V50°</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8</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低频单元</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≥1*6.5寸中低音单元</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9</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高频单元</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≥1*1寸号角高音单元</w:t>
            </w:r>
            <w:r>
              <w:rPr>
                <w:rFonts w:hint="eastAsia" w:asciiTheme="minorEastAsia" w:hAnsiTheme="minorEastAsia" w:eastAsiaTheme="minorEastAsia" w:cstheme="minorEastAsia"/>
                <w:color w:val="auto"/>
                <w:kern w:val="0"/>
                <w:sz w:val="24"/>
                <w:szCs w:val="24"/>
                <w:highlight w:val="none"/>
                <w:lang w:eastAsia="zh-CN"/>
              </w:rPr>
              <w:t>；</w:t>
            </w:r>
          </w:p>
        </w:tc>
        <w:tc>
          <w:tcPr>
            <w:tcW w:w="683" w:type="dxa"/>
            <w:vAlign w:val="center"/>
          </w:tcPr>
          <w:p w14:paraId="7AD1F3CB">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8对</w:t>
            </w:r>
          </w:p>
        </w:tc>
        <w:tc>
          <w:tcPr>
            <w:tcW w:w="850" w:type="dxa"/>
            <w:vMerge w:val="continue"/>
          </w:tcPr>
          <w:p w14:paraId="71C35B9E">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rPr>
            </w:pPr>
          </w:p>
        </w:tc>
      </w:tr>
      <w:tr w14:paraId="29246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68FA6E0C">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14</w:t>
            </w:r>
          </w:p>
        </w:tc>
        <w:tc>
          <w:tcPr>
            <w:tcW w:w="1080" w:type="dxa"/>
            <w:tcMar>
              <w:top w:w="15" w:type="dxa"/>
              <w:left w:w="15" w:type="dxa"/>
              <w:bottom w:w="0" w:type="dxa"/>
              <w:right w:w="15" w:type="dxa"/>
            </w:tcMar>
            <w:vAlign w:val="center"/>
          </w:tcPr>
          <w:p w14:paraId="6313BF85">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电源时序器</w:t>
            </w:r>
          </w:p>
        </w:tc>
        <w:tc>
          <w:tcPr>
            <w:tcW w:w="6474" w:type="dxa"/>
            <w:vAlign w:val="center"/>
          </w:tcPr>
          <w:p w14:paraId="4995491A">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需支持≤1U电信标准机柜安装、拉丝铝面板搭配≥2寸中英文智能显示窗，可实时显示当前电压、日期时间、通道开关状态。</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2</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标配电源EMI滤波器，可有效抑制电磁噪声，减小对设备音质的干扰。</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3</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支持面板Lock锁定功能，防止误操作。</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4</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内置时钟芯片，可根据日期时间定时设置自动开关机,不须人为操作，支持脱机模式，在脱离服务器时，也能保证定时任务按时执行。</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5</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配置485凤凰端子串口，支持≧16台设备级联顺序控制，级联自动检测设置。</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6</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具有≥1个10M/100M网口，支持网络远程固件升级，多台设备通过级联后只需一路网口即可接入局域网通过软件控制。</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7</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具有≥1路RS232接口，支持TCP/IP、RS232协议在电脑上控制，具有开放的第三方接口协议，支持第三方设备对接控制。</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8</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在延时设置页面下，当开延时选项设成无穷大，即表示此通道永远不会接通，当关延时选项设成无穷大，即表示此通道永远不会关闭。</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9</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≥8组设备开关场景数据保存/调用，场景管理应用简单便捷。</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10</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 xml:space="preserve"> 跨平台开发平台，支持 Windows、Linux、macOS、Android、iOS 主流操作系统全功能控制软件。</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11</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输出通道延时</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0到999秒。</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12</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输出电流</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单路额定输出电流≥13A。</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lang w:val="en-US" w:eastAsia="zh-CN"/>
              </w:rPr>
              <w:t>13、</w:t>
            </w:r>
            <w:r>
              <w:rPr>
                <w:rFonts w:hint="eastAsia" w:asciiTheme="minorEastAsia" w:hAnsiTheme="minorEastAsia" w:eastAsiaTheme="minorEastAsia" w:cstheme="minorEastAsia"/>
                <w:color w:val="auto"/>
                <w:kern w:val="0"/>
                <w:sz w:val="24"/>
                <w:szCs w:val="24"/>
                <w:highlight w:val="none"/>
              </w:rPr>
              <w:t>额定总输出</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电流≥30A。</w:t>
            </w:r>
          </w:p>
        </w:tc>
        <w:tc>
          <w:tcPr>
            <w:tcW w:w="683" w:type="dxa"/>
            <w:vAlign w:val="center"/>
          </w:tcPr>
          <w:p w14:paraId="13FDB480">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8台</w:t>
            </w:r>
          </w:p>
        </w:tc>
        <w:tc>
          <w:tcPr>
            <w:tcW w:w="850" w:type="dxa"/>
            <w:vMerge w:val="continue"/>
          </w:tcPr>
          <w:p w14:paraId="0DEEB3E1">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rPr>
            </w:pPr>
          </w:p>
        </w:tc>
      </w:tr>
      <w:tr w14:paraId="7ADAD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56EF5CA7">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eastAsiaTheme="minorEastAsia" w:cstheme="minorEastAsia"/>
                <w:color w:val="auto"/>
                <w:kern w:val="0"/>
                <w:sz w:val="24"/>
                <w:szCs w:val="24"/>
                <w:highlight w:val="none"/>
                <w:lang w:val="en-US" w:eastAsia="zh-CN"/>
              </w:rPr>
              <w:t>5</w:t>
            </w:r>
          </w:p>
        </w:tc>
        <w:tc>
          <w:tcPr>
            <w:tcW w:w="1080" w:type="dxa"/>
            <w:tcMar>
              <w:top w:w="15" w:type="dxa"/>
              <w:left w:w="15" w:type="dxa"/>
              <w:bottom w:w="0" w:type="dxa"/>
              <w:right w:w="15" w:type="dxa"/>
            </w:tcMar>
            <w:vAlign w:val="center"/>
          </w:tcPr>
          <w:p w14:paraId="31C84025">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交换机</w:t>
            </w:r>
          </w:p>
        </w:tc>
        <w:tc>
          <w:tcPr>
            <w:tcW w:w="6474" w:type="dxa"/>
            <w:vAlign w:val="center"/>
          </w:tcPr>
          <w:p w14:paraId="1D816E83">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千兆交换机；≥16口；</w:t>
            </w:r>
          </w:p>
        </w:tc>
        <w:tc>
          <w:tcPr>
            <w:tcW w:w="683" w:type="dxa"/>
            <w:vAlign w:val="center"/>
          </w:tcPr>
          <w:p w14:paraId="56C05B85">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8台</w:t>
            </w:r>
          </w:p>
        </w:tc>
        <w:tc>
          <w:tcPr>
            <w:tcW w:w="850" w:type="dxa"/>
            <w:vMerge w:val="continue"/>
          </w:tcPr>
          <w:p w14:paraId="6AAF80BD">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rPr>
            </w:pPr>
          </w:p>
        </w:tc>
      </w:tr>
      <w:tr w14:paraId="2AF2A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32D6A4F7">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16</w:t>
            </w:r>
          </w:p>
        </w:tc>
        <w:tc>
          <w:tcPr>
            <w:tcW w:w="1080" w:type="dxa"/>
            <w:tcMar>
              <w:top w:w="15" w:type="dxa"/>
              <w:left w:w="15" w:type="dxa"/>
              <w:bottom w:w="0" w:type="dxa"/>
              <w:right w:w="15" w:type="dxa"/>
            </w:tcMar>
            <w:vAlign w:val="center"/>
          </w:tcPr>
          <w:p w14:paraId="7B092DEF">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机柜</w:t>
            </w:r>
          </w:p>
        </w:tc>
        <w:tc>
          <w:tcPr>
            <w:tcW w:w="6474" w:type="dxa"/>
            <w:vAlign w:val="center"/>
          </w:tcPr>
          <w:p w14:paraId="5B87217E">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不小于24U标准机柜，六孔电源接线板≥1个，静音风扇≥2只，含防雷PDU≥1个</w:t>
            </w:r>
            <w:r>
              <w:rPr>
                <w:rFonts w:hint="eastAsia" w:asciiTheme="minorEastAsia" w:hAnsiTheme="minorEastAsia" w:eastAsiaTheme="minorEastAsia" w:cstheme="minorEastAsia"/>
                <w:color w:val="auto"/>
                <w:kern w:val="0"/>
                <w:sz w:val="24"/>
                <w:szCs w:val="24"/>
                <w:highlight w:val="none"/>
                <w:lang w:eastAsia="zh-CN"/>
              </w:rPr>
              <w:t>。</w:t>
            </w:r>
          </w:p>
        </w:tc>
        <w:tc>
          <w:tcPr>
            <w:tcW w:w="683" w:type="dxa"/>
            <w:vAlign w:val="center"/>
          </w:tcPr>
          <w:p w14:paraId="24BF342B">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8台</w:t>
            </w:r>
          </w:p>
        </w:tc>
        <w:tc>
          <w:tcPr>
            <w:tcW w:w="850" w:type="dxa"/>
            <w:vMerge w:val="continue"/>
          </w:tcPr>
          <w:p w14:paraId="79A13B21">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rPr>
            </w:pPr>
          </w:p>
        </w:tc>
      </w:tr>
      <w:tr w14:paraId="21025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9398" w:type="dxa"/>
            <w:gridSpan w:val="5"/>
            <w:vAlign w:val="center"/>
          </w:tcPr>
          <w:p w14:paraId="3B16C3F2">
            <w:pPr>
              <w:keepNext w:val="0"/>
              <w:keepLines w:val="0"/>
              <w:pageBreakBefore w:val="0"/>
              <w:widowControl/>
              <w:kinsoku/>
              <w:wordWrap/>
              <w:overflowPunct/>
              <w:topLinePunct w:val="0"/>
              <w:autoSpaceDE/>
              <w:autoSpaceDN/>
              <w:bidi w:val="0"/>
              <w:adjustRightInd/>
              <w:snapToGrid w:val="0"/>
              <w:spacing w:line="30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（四）</w:t>
            </w:r>
            <w:r>
              <w:rPr>
                <w:rFonts w:hint="eastAsia" w:asciiTheme="minorEastAsia" w:hAnsiTheme="minorEastAsia" w:eastAsiaTheme="minorEastAsia" w:cstheme="minorEastAsia"/>
                <w:b/>
                <w:color w:val="auto"/>
                <w:sz w:val="24"/>
                <w:szCs w:val="24"/>
                <w:highlight w:val="none"/>
              </w:rPr>
              <w:t>无书记员模式</w:t>
            </w:r>
          </w:p>
        </w:tc>
      </w:tr>
      <w:tr w14:paraId="23741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0934C1C0">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eastAsiaTheme="minorEastAsia" w:cstheme="minorEastAsia"/>
                <w:color w:val="auto"/>
                <w:kern w:val="0"/>
                <w:sz w:val="24"/>
                <w:szCs w:val="24"/>
                <w:highlight w:val="none"/>
                <w:lang w:val="en-US" w:eastAsia="zh-CN"/>
              </w:rPr>
              <w:t>7</w:t>
            </w:r>
          </w:p>
        </w:tc>
        <w:tc>
          <w:tcPr>
            <w:tcW w:w="1080" w:type="dxa"/>
            <w:tcMar>
              <w:top w:w="15" w:type="dxa"/>
              <w:left w:w="15" w:type="dxa"/>
              <w:bottom w:w="0" w:type="dxa"/>
              <w:right w:w="15" w:type="dxa"/>
            </w:tcMar>
            <w:vAlign w:val="center"/>
          </w:tcPr>
          <w:p w14:paraId="37B1305C">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法官终端</w:t>
            </w:r>
          </w:p>
        </w:tc>
        <w:tc>
          <w:tcPr>
            <w:tcW w:w="6474" w:type="dxa"/>
            <w:vAlign w:val="center"/>
          </w:tcPr>
          <w:p w14:paraId="48F940A8">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一、硬件配置：</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尺寸：≥29英寸</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2</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分辨率：≥2560×1080dpi</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3</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 xml:space="preserve">对比度：≥1000：1 </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4</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可视角度：≥89/89/89/89 (Typ.)</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5</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刷新频率：≥60HZ</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6</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亮度：≥300 cd/m²</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7</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触摸点数：≥10点</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8</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感应力度：≥10g</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lang w:val="en-US" w:eastAsia="zh-CN"/>
              </w:rPr>
              <w:t>9</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触摸反应时间：≥5ms</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10</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动态对比度：≥100000：1</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11</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处理器：国产≥8核处理器，主频≥2.0GHz</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12</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内存：≥8G</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13</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硬盘：≥256G</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14</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操作系统：国产操作系统</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15</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触摸性能：触摸屏表面需镀光滑膜，便于触摸笔书写，笔写顺畅无断点，定位精度高</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16</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外观设计：缘弧形倒角平整，设备需采用可折叠式设计，屏体和底座需采用高强度支撑阻尼，屏体可0-90度可固定悬空</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17</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网络接口：需支持≥1*1Gbps RJ45以太网接口</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18</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视频接口：需支持≥1*VGA输出接口、≥1*HDMI输出接口、≥1*HDMI输入接口</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19</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音频接口：需支持≥1*LINE-OUT，用于连接耳机或喇叭等音频设备，需支持≥1*MIC-IN，用于连接麦克风</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20</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USB接口：需支持≥2*USB2.0、≥2*USB3.0</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二、一体化集成模块：</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摄像头</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1）像素：≥500万</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2）默静态图片分辨率：≥2592*1944</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3）DSP：需支持不少于自动增益/曝光/白平衡</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4）光圈（F）：≤2.8</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5）对焦方式：需支持不少于自动对焦、固定焦距</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6）可视角度：≥68°</w:t>
            </w:r>
            <w:r>
              <w:rPr>
                <w:rFonts w:hint="eastAsia" w:asciiTheme="minorEastAsia" w:hAnsiTheme="minorEastAsia" w:eastAsiaTheme="minorEastAsia" w:cstheme="minorEastAsia"/>
                <w:color w:val="auto"/>
                <w:kern w:val="0"/>
                <w:sz w:val="24"/>
                <w:szCs w:val="24"/>
                <w:highlight w:val="none"/>
                <w:lang w:eastAsia="zh-CN"/>
              </w:rPr>
              <w:t>。</w:t>
            </w:r>
          </w:p>
        </w:tc>
        <w:tc>
          <w:tcPr>
            <w:tcW w:w="683" w:type="dxa"/>
            <w:vAlign w:val="center"/>
          </w:tcPr>
          <w:p w14:paraId="36068CB8">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15台</w:t>
            </w:r>
          </w:p>
        </w:tc>
        <w:tc>
          <w:tcPr>
            <w:tcW w:w="850" w:type="dxa"/>
            <w:vMerge w:val="restart"/>
            <w:vAlign w:val="center"/>
          </w:tcPr>
          <w:p w14:paraId="4C67E1F9">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工业</w:t>
            </w:r>
          </w:p>
        </w:tc>
      </w:tr>
      <w:tr w14:paraId="56A2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3BA3BE35">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18</w:t>
            </w:r>
          </w:p>
        </w:tc>
        <w:tc>
          <w:tcPr>
            <w:tcW w:w="1080" w:type="dxa"/>
            <w:tcMar>
              <w:top w:w="15" w:type="dxa"/>
              <w:left w:w="15" w:type="dxa"/>
              <w:bottom w:w="0" w:type="dxa"/>
              <w:right w:w="15" w:type="dxa"/>
            </w:tcMar>
            <w:vAlign w:val="center"/>
          </w:tcPr>
          <w:p w14:paraId="5B8CE79D">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当事人终端</w:t>
            </w:r>
          </w:p>
        </w:tc>
        <w:tc>
          <w:tcPr>
            <w:tcW w:w="6474" w:type="dxa"/>
            <w:vAlign w:val="center"/>
          </w:tcPr>
          <w:p w14:paraId="39F1E2BD">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一、硬件配置：</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尺寸：≥29英寸</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2</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分辨率：≥2560×1080dpi</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3</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 xml:space="preserve">对比度：≥1000：1 </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4</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可视角度：≥89/89/89/89 (Typ.)</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5</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刷新频率：≥60HZ</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6</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亮度：≥300 cd/m²</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7</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触摸点数：≥10点</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8</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感应力度：≥10g</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9</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触摸反应时间：≥5ms</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10</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动态对比度：≥100000：1</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11</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处理器：国产≥8核处理器，主频≥2.0GHz</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12</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内存：≥8G</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13</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硬盘：≥256G</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14</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操作系统：国产操作系统</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15</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触摸性能：触摸屏表面需镀光滑膜，便于触摸笔书写，笔写顺畅无断点，定位精度高</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16</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外观设计：缘弧形倒角平整，设备需采用可折叠式设计，屏体和底座需采用高强度支撑阻尼，屏体可0-90度可固定悬空</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17</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网络接口：需支持≥1*1Gbps RJ45以太网接口</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18</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视频接口：需支持≥1*VGA输出接口、≥1*HDMI输出接口、≥1*HDMI输入接口</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19</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音频接口：需支持≥1*LINE-OUT，用于连接耳机或喇叭等音频设备，需支持≥1*MIC-IN，用于连接麦克风</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20</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USB接口：需支持≥2*USB2.0、≥2*USB3.0</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二、一体化集成模块：</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摄像头</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1）像素：≥500万</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2）默静态图片分辨率：≥2592*1944</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3）DSP：需支持不少于自动增益/曝光/白平衡</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4）光圈（F）：≤2.8</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5）对焦方式：需支持不少于自动对焦、固定焦距</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6）可视角度：≥68°</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2</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身份证读卡器</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1）通讯接口：需至少支持USB</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2）工作频率：13.56MHz±7kHz(fc)</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3）调制方式：需至少支持ASK调制</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3）感应距离：距离范围≥0-30mm</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4）读卡时间：＜1.5秒</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5）MTBF：＞5000小时</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6）标准：符合《GA450-2013台式居民身份证阅读器通用技术要求》，兼容IS014443 TYPE A/B标准</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3</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高拍仪</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1）扫描时间：≤1秒</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2）像素：≥800万像素</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3）分辨率：最大分辨率≥3264*2448</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4）速度：动态2.5FPS扫描速度≤3秒</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5）图像色彩：≥24位</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6）输出格式：需至少支持JPG、BMP、GIF</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7）扫描功能：需至少支持OCR文字识别、实物扫描、图片处理</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8）补光灯：需支持LED补光灯，支持控制三档调光</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9）扫描高度：≥26cm</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10）白平衡：自动</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11）图像控制：需至少支持亮度调整、曝光长度调整、锐利度调整、色彩调整、增益控制</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12）曝光：自动</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4</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指纹仪</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1）传感器类型：半导体电容传感器</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2）传感器寿命：≥100万次</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3）采集窗口尺寸：≥32mm*20mm</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4）有效图像尺寸：≥13.54mm*18.81mm</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5）图像大小：≥256*360pixel</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6）分辨率：≥500DPI（误差范围-1%~+2%）</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7）采集速度：≤6帧/秒</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8）图像畸变：≤2%</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9）灰色动态范围：≥150级</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10）图像背景灰色不均度：≤10%</w:t>
            </w:r>
          </w:p>
        </w:tc>
        <w:tc>
          <w:tcPr>
            <w:tcW w:w="683" w:type="dxa"/>
            <w:vAlign w:val="center"/>
          </w:tcPr>
          <w:p w14:paraId="7E9F1E4F">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30台</w:t>
            </w:r>
          </w:p>
        </w:tc>
        <w:tc>
          <w:tcPr>
            <w:tcW w:w="850" w:type="dxa"/>
            <w:vMerge w:val="continue"/>
          </w:tcPr>
          <w:p w14:paraId="0DE8E61C">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rPr>
            </w:pPr>
          </w:p>
        </w:tc>
      </w:tr>
      <w:tr w14:paraId="39819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9398" w:type="dxa"/>
            <w:gridSpan w:val="5"/>
            <w:vAlign w:val="center"/>
          </w:tcPr>
          <w:p w14:paraId="76558D47">
            <w:pPr>
              <w:keepNext w:val="0"/>
              <w:keepLines w:val="0"/>
              <w:pageBreakBefore w:val="0"/>
              <w:widowControl/>
              <w:kinsoku/>
              <w:wordWrap/>
              <w:overflowPunct/>
              <w:topLinePunct w:val="0"/>
              <w:autoSpaceDE/>
              <w:autoSpaceDN/>
              <w:bidi w:val="0"/>
              <w:adjustRightInd/>
              <w:snapToGrid w:val="0"/>
              <w:spacing w:line="30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（五）</w:t>
            </w:r>
            <w:r>
              <w:rPr>
                <w:rFonts w:hint="eastAsia" w:asciiTheme="minorEastAsia" w:hAnsiTheme="minorEastAsia" w:eastAsiaTheme="minorEastAsia" w:cstheme="minorEastAsia"/>
                <w:b/>
                <w:color w:val="auto"/>
                <w:sz w:val="24"/>
                <w:szCs w:val="24"/>
                <w:highlight w:val="none"/>
              </w:rPr>
              <w:t>智慧笔录助手系统</w:t>
            </w:r>
          </w:p>
        </w:tc>
      </w:tr>
      <w:tr w14:paraId="16A6F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5D436906">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19</w:t>
            </w:r>
          </w:p>
        </w:tc>
        <w:tc>
          <w:tcPr>
            <w:tcW w:w="1080" w:type="dxa"/>
            <w:tcMar>
              <w:top w:w="15" w:type="dxa"/>
              <w:left w:w="15" w:type="dxa"/>
              <w:bottom w:w="0" w:type="dxa"/>
              <w:right w:w="15" w:type="dxa"/>
            </w:tcMar>
            <w:vAlign w:val="center"/>
          </w:tcPr>
          <w:p w14:paraId="089BED10">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智慧笔录助手系统</w:t>
            </w:r>
          </w:p>
        </w:tc>
        <w:tc>
          <w:tcPr>
            <w:tcW w:w="6474" w:type="dxa"/>
            <w:vAlign w:val="center"/>
          </w:tcPr>
          <w:p w14:paraId="0A20AD56">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利用大模型语音理解及文本归纳能力，可对庭审中的语音识别结果分阶段自动进行归纳、校对，实现全文笔录分阶段的自动精简和规整，最终自动汇总生成规整版的庭审笔录，书记员对规整笔录进行细节核对及调整即可，大幅度减轻书记员在笔录制作上的工作量。</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1、系统登录：支持法官或书记员灵活使用系统账号及密码登录系统，可查看名下的已开庭案件列表。</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2、音视频在线回溯：支持庭审音频/视频播放并提供灵活的播放控制功能，支持自由调节音视频播放速度、快进快退、支持从慢速逐帧回顾到快速浏览等多种倍速选项，满足庭后精准案件复盘、证据核查等多样化场景需求，让庭审过程回溯更加高效、便捷，有效提升信息处理效率。</w:t>
            </w:r>
            <w:r>
              <w:rPr>
                <w:rFonts w:hint="eastAsia" w:asciiTheme="minorEastAsia" w:hAnsiTheme="minorEastAsia" w:eastAsiaTheme="minorEastAsia" w:cstheme="minorEastAsia"/>
                <w:b/>
                <w:bCs/>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3、原始笔录编辑：支持原始笔录二次编辑，用户将鼠标光标移至原始笔录文本，界面展示编辑按钮，支持用户对原始笔录进行内容扩充和调整，支持对发言角色名称进行一键更新替换。</w:t>
            </w:r>
            <w:r>
              <w:rPr>
                <w:rFonts w:hint="eastAsia" w:asciiTheme="minorEastAsia" w:hAnsiTheme="minorEastAsia" w:eastAsiaTheme="minorEastAsia" w:cstheme="minorEastAsia"/>
                <w:color w:val="auto"/>
                <w:kern w:val="0"/>
                <w:sz w:val="24"/>
                <w:szCs w:val="24"/>
                <w:highlight w:val="none"/>
              </w:rPr>
              <w:br w:type="textWrapping"/>
            </w:r>
            <w:r>
              <w:rPr>
                <w:rFonts w:hint="eastAsia" w:ascii="宋体" w:hAnsi="宋体" w:eastAsia="宋体" w:cs="宋体"/>
                <w:i w:val="0"/>
                <w:iCs w:val="0"/>
                <w:color w:val="auto"/>
                <w:kern w:val="0"/>
                <w:sz w:val="24"/>
                <w:szCs w:val="24"/>
                <w:highlight w:val="none"/>
                <w:u w:val="none"/>
                <w:lang w:val="en-US" w:eastAsia="zh-CN" w:bidi="ar"/>
              </w:rPr>
              <w:t>★</w:t>
            </w:r>
            <w:r>
              <w:rPr>
                <w:rFonts w:hint="eastAsia" w:asciiTheme="minorEastAsia" w:hAnsiTheme="minorEastAsia" w:eastAsiaTheme="minorEastAsia" w:cstheme="minorEastAsia"/>
                <w:color w:val="auto"/>
                <w:kern w:val="0"/>
                <w:sz w:val="24"/>
                <w:szCs w:val="24"/>
                <w:highlight w:val="none"/>
              </w:rPr>
              <w:t>4、智能笔录规整：系统支持基于多次训练的规整大模型，对语音识别结果进行笔录规整，规整时支持根据原文进行智能归纳、总结、修改，生成一篇与原文意思相近、描述更书面化的全新规整笔录，便于用户进行笔录查阅和判决文书制作。系统规整范围需支持不少于如下三大类：1）格式规整，自动纠偏错别字和标点符号；2）无效语句删除，剔除口语词、重复词以及案件无关信息；3）多轮精简，对发言内容进行归纳，对多轮对话进行总结整合。</w:t>
            </w:r>
            <w:r>
              <w:rPr>
                <w:rFonts w:hint="eastAsia" w:asciiTheme="minorEastAsia" w:hAnsiTheme="minorEastAsia" w:eastAsiaTheme="minorEastAsia" w:cstheme="minorEastAsia"/>
                <w:b w:val="0"/>
                <w:bCs w:val="0"/>
                <w:color w:val="auto"/>
                <w:kern w:val="0"/>
                <w:sz w:val="24"/>
                <w:szCs w:val="24"/>
                <w:highlight w:val="none"/>
              </w:rPr>
              <w:br w:type="textWrapping"/>
            </w:r>
            <w:r>
              <w:rPr>
                <w:rFonts w:hint="eastAsia" w:asciiTheme="minorEastAsia" w:hAnsiTheme="minorEastAsia" w:eastAsiaTheme="minorEastAsia" w:cstheme="minorEastAsia"/>
                <w:b w:val="0"/>
                <w:bCs w:val="0"/>
                <w:color w:val="auto"/>
                <w:kern w:val="0"/>
                <w:sz w:val="24"/>
                <w:szCs w:val="24"/>
                <w:highlight w:val="none"/>
              </w:rPr>
              <w:t>5、规整过程展示：系统支持显示笔录规整的过程，并支持对新增、删除内容进行标识区分</w:t>
            </w:r>
            <w:r>
              <w:rPr>
                <w:rFonts w:hint="eastAsia" w:asciiTheme="minorEastAsia" w:hAnsiTheme="minorEastAsia" w:eastAsiaTheme="minorEastAsia" w:cstheme="minorEastAsia"/>
                <w:b w:val="0"/>
                <w:bCs w:val="0"/>
                <w:color w:val="auto"/>
                <w:kern w:val="0"/>
                <w:sz w:val="24"/>
                <w:szCs w:val="24"/>
                <w:highlight w:val="none"/>
                <w:lang w:eastAsia="zh-CN"/>
              </w:rPr>
              <w:t>。</w:t>
            </w:r>
            <w:r>
              <w:rPr>
                <w:rFonts w:hint="eastAsia" w:asciiTheme="minorEastAsia" w:hAnsiTheme="minorEastAsia" w:eastAsiaTheme="minorEastAsia" w:cstheme="minorEastAsia"/>
                <w:b w:val="0"/>
                <w:bCs w:val="0"/>
                <w:color w:val="auto"/>
                <w:kern w:val="0"/>
                <w:sz w:val="24"/>
                <w:szCs w:val="24"/>
                <w:highlight w:val="none"/>
              </w:rPr>
              <w:br w:type="textWrapping"/>
            </w:r>
            <w:r>
              <w:rPr>
                <w:rFonts w:hint="eastAsia" w:ascii="宋体" w:hAnsi="宋体" w:eastAsia="宋体" w:cs="宋体"/>
                <w:b w:val="0"/>
                <w:bCs w:val="0"/>
                <w:i w:val="0"/>
                <w:iCs w:val="0"/>
                <w:color w:val="auto"/>
                <w:kern w:val="0"/>
                <w:sz w:val="24"/>
                <w:szCs w:val="24"/>
                <w:highlight w:val="none"/>
                <w:u w:val="none"/>
                <w:lang w:val="en-US" w:eastAsia="zh-CN" w:bidi="ar"/>
              </w:rPr>
              <w:t>★</w:t>
            </w:r>
            <w:r>
              <w:rPr>
                <w:rFonts w:hint="eastAsia" w:asciiTheme="minorEastAsia" w:hAnsiTheme="minorEastAsia" w:eastAsiaTheme="minorEastAsia" w:cstheme="minorEastAsia"/>
                <w:b w:val="0"/>
                <w:bCs w:val="0"/>
                <w:color w:val="auto"/>
                <w:kern w:val="0"/>
                <w:sz w:val="24"/>
                <w:szCs w:val="24"/>
                <w:highlight w:val="none"/>
              </w:rPr>
              <w:t>6、笔录重新规整：系统需支持在规整完成后，用户可根据规整笔录生成情况和实际需求，对原始笔录进行重新规整，在重新规整过程中，系统支持随时中断，查阅规整详情</w:t>
            </w:r>
            <w:r>
              <w:rPr>
                <w:rFonts w:hint="eastAsia" w:asciiTheme="minorEastAsia" w:hAnsiTheme="minorEastAsia" w:eastAsiaTheme="minorEastAsia" w:cstheme="minorEastAsia"/>
                <w:b w:val="0"/>
                <w:bCs w:val="0"/>
                <w:color w:val="auto"/>
                <w:kern w:val="0"/>
                <w:sz w:val="24"/>
                <w:szCs w:val="24"/>
                <w:highlight w:val="none"/>
                <w:lang w:eastAsia="zh-CN"/>
              </w:rPr>
              <w:t>。</w:t>
            </w:r>
            <w:r>
              <w:rPr>
                <w:rFonts w:hint="eastAsia" w:asciiTheme="minorEastAsia" w:hAnsiTheme="minorEastAsia" w:eastAsiaTheme="minorEastAsia" w:cstheme="minorEastAsia"/>
                <w:b w:val="0"/>
                <w:bCs w:val="0"/>
                <w:color w:val="auto"/>
                <w:kern w:val="0"/>
                <w:sz w:val="24"/>
                <w:szCs w:val="24"/>
                <w:highlight w:val="none"/>
              </w:rPr>
              <w:br w:type="textWrapping"/>
            </w:r>
            <w:r>
              <w:rPr>
                <w:rFonts w:hint="eastAsia" w:asciiTheme="minorEastAsia" w:hAnsiTheme="minorEastAsia" w:eastAsiaTheme="minorEastAsia" w:cstheme="minorEastAsia"/>
                <w:b w:val="0"/>
                <w:bCs w:val="0"/>
                <w:color w:val="auto"/>
                <w:kern w:val="0"/>
                <w:sz w:val="24"/>
                <w:szCs w:val="24"/>
                <w:highlight w:val="none"/>
              </w:rPr>
              <w:t>7、同屏查阅：支持将原始笔录与规整笔录左右分屏展示，左侧展示音视频和原始笔录，右侧展示规整笔录，可一屏查阅两种笔录，简化用户操作，提升使用体验。</w:t>
            </w:r>
            <w:r>
              <w:rPr>
                <w:rFonts w:hint="eastAsia" w:asciiTheme="minorEastAsia" w:hAnsiTheme="minorEastAsia" w:eastAsiaTheme="minorEastAsia" w:cstheme="minorEastAsia"/>
                <w:color w:val="auto"/>
                <w:kern w:val="0"/>
                <w:sz w:val="24"/>
                <w:szCs w:val="24"/>
                <w:highlight w:val="none"/>
              </w:rPr>
              <w:br w:type="textWrapping"/>
            </w:r>
            <w:r>
              <w:rPr>
                <w:rFonts w:hint="eastAsia" w:ascii="宋体" w:hAnsi="宋体" w:eastAsia="宋体" w:cs="宋体"/>
                <w:i w:val="0"/>
                <w:iCs w:val="0"/>
                <w:color w:val="auto"/>
                <w:kern w:val="0"/>
                <w:sz w:val="24"/>
                <w:szCs w:val="24"/>
                <w:highlight w:val="none"/>
                <w:u w:val="none"/>
                <w:lang w:val="en-US" w:eastAsia="zh-CN" w:bidi="ar"/>
              </w:rPr>
              <w:t>★</w:t>
            </w:r>
            <w:r>
              <w:rPr>
                <w:rFonts w:hint="eastAsia" w:asciiTheme="minorEastAsia" w:hAnsiTheme="minorEastAsia" w:eastAsiaTheme="minorEastAsia" w:cstheme="minorEastAsia"/>
                <w:color w:val="auto"/>
                <w:kern w:val="0"/>
                <w:sz w:val="24"/>
                <w:szCs w:val="24"/>
                <w:highlight w:val="none"/>
              </w:rPr>
              <w:t>8、音视频文字四同步回溯：系统需支持建立规整笔录、原始笔录、庭审音频、庭审视频的四维度回溯关联。用户查阅规整笔录时，点击段落即可触发跨文档定位，跳转至原始笔录对应段落实现对照查阅。系统需支持音视频溯源，定位笔录内容可同步跳转音频时间轴，实现 “即点即听”精准定位，进一步回溯视频时，系统自动关联时间戳并定位画面，实现视频、音频、原始笔录、规整笔录四同步回溯校验链路。</w:t>
            </w:r>
            <w:r>
              <w:rPr>
                <w:rFonts w:hint="eastAsia" w:asciiTheme="minorEastAsia" w:hAnsiTheme="minorEastAsia" w:eastAsiaTheme="minorEastAsia" w:cstheme="minorEastAsia"/>
                <w:b w:val="0"/>
                <w:bCs w:val="0"/>
                <w:color w:val="auto"/>
                <w:kern w:val="0"/>
                <w:sz w:val="24"/>
                <w:szCs w:val="24"/>
                <w:highlight w:val="none"/>
              </w:rPr>
              <w:br w:type="textWrapping"/>
            </w:r>
            <w:r>
              <w:rPr>
                <w:rFonts w:hint="eastAsia" w:ascii="宋体" w:hAnsi="宋体" w:eastAsia="宋体" w:cs="宋体"/>
                <w:i w:val="0"/>
                <w:iCs w:val="0"/>
                <w:color w:val="auto"/>
                <w:kern w:val="0"/>
                <w:sz w:val="24"/>
                <w:szCs w:val="24"/>
                <w:highlight w:val="none"/>
                <w:u w:val="none"/>
                <w:lang w:val="en-US" w:eastAsia="zh-CN" w:bidi="ar"/>
              </w:rPr>
              <w:t>★</w:t>
            </w:r>
            <w:r>
              <w:rPr>
                <w:rFonts w:hint="eastAsia" w:asciiTheme="minorEastAsia" w:hAnsiTheme="minorEastAsia" w:eastAsiaTheme="minorEastAsia" w:cstheme="minorEastAsia"/>
                <w:b w:val="0"/>
                <w:bCs w:val="0"/>
                <w:color w:val="auto"/>
                <w:kern w:val="0"/>
                <w:sz w:val="24"/>
                <w:szCs w:val="24"/>
                <w:highlight w:val="none"/>
              </w:rPr>
              <w:t>9、精简力度：为保障精简效果，系统需支持30%以上无关信息内容精简。</w:t>
            </w:r>
            <w:r>
              <w:rPr>
                <w:rFonts w:hint="eastAsia" w:asciiTheme="minorEastAsia" w:hAnsiTheme="minorEastAsia" w:eastAsiaTheme="minorEastAsia" w:cstheme="minorEastAsia"/>
                <w:b w:val="0"/>
                <w:bCs w:val="0"/>
                <w:color w:val="auto"/>
                <w:kern w:val="0"/>
                <w:sz w:val="24"/>
                <w:szCs w:val="24"/>
                <w:highlight w:val="none"/>
              </w:rPr>
              <w:br w:type="textWrapping"/>
            </w:r>
            <w:r>
              <w:rPr>
                <w:rFonts w:hint="eastAsia" w:ascii="宋体" w:hAnsi="宋体" w:eastAsia="宋体" w:cs="宋体"/>
                <w:b w:val="0"/>
                <w:bCs w:val="0"/>
                <w:i w:val="0"/>
                <w:iCs w:val="0"/>
                <w:color w:val="auto"/>
                <w:kern w:val="0"/>
                <w:sz w:val="24"/>
                <w:szCs w:val="24"/>
                <w:highlight w:val="none"/>
                <w:u w:val="none"/>
                <w:lang w:val="en-US" w:eastAsia="zh-CN" w:bidi="ar"/>
              </w:rPr>
              <w:t>★</w:t>
            </w:r>
            <w:r>
              <w:rPr>
                <w:rFonts w:hint="eastAsia" w:asciiTheme="minorEastAsia" w:hAnsiTheme="minorEastAsia" w:eastAsiaTheme="minorEastAsia" w:cstheme="minorEastAsia"/>
                <w:b w:val="0"/>
                <w:bCs w:val="0"/>
                <w:color w:val="auto"/>
                <w:kern w:val="0"/>
                <w:sz w:val="24"/>
                <w:szCs w:val="24"/>
                <w:highlight w:val="none"/>
              </w:rPr>
              <w:t>10、重点信息留存率：为保障本次采购产品的可用度，系统需保留与庭审相关的95%以上重点信息。</w:t>
            </w:r>
          </w:p>
        </w:tc>
        <w:tc>
          <w:tcPr>
            <w:tcW w:w="683" w:type="dxa"/>
            <w:vAlign w:val="center"/>
          </w:tcPr>
          <w:p w14:paraId="7E1A7EB6">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15套</w:t>
            </w:r>
          </w:p>
        </w:tc>
        <w:tc>
          <w:tcPr>
            <w:tcW w:w="850" w:type="dxa"/>
            <w:vAlign w:val="center"/>
          </w:tcPr>
          <w:p w14:paraId="7768510C">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软件和信息技术服务业</w:t>
            </w:r>
          </w:p>
        </w:tc>
      </w:tr>
      <w:tr w14:paraId="3C613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9398" w:type="dxa"/>
            <w:gridSpan w:val="5"/>
            <w:vAlign w:val="center"/>
          </w:tcPr>
          <w:p w14:paraId="5F40599E">
            <w:pPr>
              <w:keepNext w:val="0"/>
              <w:keepLines w:val="0"/>
              <w:pageBreakBefore w:val="0"/>
              <w:widowControl/>
              <w:kinsoku/>
              <w:wordWrap/>
              <w:overflowPunct/>
              <w:topLinePunct w:val="0"/>
              <w:autoSpaceDE/>
              <w:autoSpaceDN/>
              <w:bidi w:val="0"/>
              <w:adjustRightInd/>
              <w:snapToGrid w:val="0"/>
              <w:spacing w:line="30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（六）</w:t>
            </w:r>
            <w:r>
              <w:rPr>
                <w:rFonts w:hint="eastAsia" w:asciiTheme="minorEastAsia" w:hAnsiTheme="minorEastAsia" w:eastAsiaTheme="minorEastAsia" w:cstheme="minorEastAsia"/>
                <w:b/>
                <w:color w:val="auto"/>
                <w:sz w:val="24"/>
                <w:szCs w:val="24"/>
                <w:highlight w:val="none"/>
              </w:rPr>
              <w:t>开庭公告屏</w:t>
            </w:r>
          </w:p>
        </w:tc>
      </w:tr>
      <w:tr w14:paraId="2B6B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311" w:type="dxa"/>
            <w:vAlign w:val="center"/>
          </w:tcPr>
          <w:p w14:paraId="6B649FF8">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kern w:val="0"/>
                <w:sz w:val="24"/>
                <w:szCs w:val="24"/>
                <w:highlight w:val="none"/>
                <w:lang w:val="en-US" w:eastAsia="zh-CN"/>
              </w:rPr>
              <w:t>20</w:t>
            </w:r>
          </w:p>
        </w:tc>
        <w:tc>
          <w:tcPr>
            <w:tcW w:w="1080" w:type="dxa"/>
            <w:tcMar>
              <w:top w:w="15" w:type="dxa"/>
              <w:left w:w="15" w:type="dxa"/>
              <w:bottom w:w="0" w:type="dxa"/>
              <w:right w:w="15" w:type="dxa"/>
            </w:tcMar>
            <w:vAlign w:val="center"/>
          </w:tcPr>
          <w:p w14:paraId="1E1979D3">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开庭公告屏</w:t>
            </w:r>
          </w:p>
        </w:tc>
        <w:tc>
          <w:tcPr>
            <w:tcW w:w="6474" w:type="dxa"/>
            <w:vAlign w:val="center"/>
          </w:tcPr>
          <w:p w14:paraId="17BD1214">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1、屏幕尺寸：≥32英寸</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2、屏幕类型：LED液晶屏</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3、分辨率：≥1920*1080</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4、刷新频率：≥60Hz</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5、显示比例：16</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9</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6、工作寿命：≥50000小时</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7、CPU：采用国产≥4核处理器，主频≥1.8GHz</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8、内存：≥4G</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9、存储：≥32G</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10、多语言：需支持英语、中文等OSD</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11、断电记忆：需支持永久性断电记忆功能</w:t>
            </w:r>
            <w:r>
              <w:rPr>
                <w:rFonts w:hint="eastAsia" w:asciiTheme="minorEastAsia" w:hAnsiTheme="minorEastAsia" w:eastAsiaTheme="minorEastAsia" w:cstheme="minorEastAsia"/>
                <w:color w:val="auto"/>
                <w:kern w:val="0"/>
                <w:sz w:val="24"/>
                <w:szCs w:val="24"/>
                <w:highlight w:val="none"/>
              </w:rPr>
              <w:br w:type="textWrapping"/>
            </w:r>
            <w:r>
              <w:rPr>
                <w:rFonts w:hint="eastAsia" w:asciiTheme="minorEastAsia" w:hAnsiTheme="minorEastAsia" w:eastAsiaTheme="minorEastAsia" w:cstheme="minorEastAsia"/>
                <w:color w:val="auto"/>
                <w:kern w:val="0"/>
                <w:sz w:val="24"/>
                <w:szCs w:val="24"/>
                <w:highlight w:val="none"/>
              </w:rPr>
              <w:t>12、显示模式：需支持竖屏和横屏两种模式</w:t>
            </w:r>
            <w:r>
              <w:rPr>
                <w:rFonts w:hint="eastAsia" w:asciiTheme="minorEastAsia" w:hAnsiTheme="minorEastAsia" w:eastAsiaTheme="minorEastAsia" w:cstheme="minorEastAsia"/>
                <w:color w:val="auto"/>
                <w:kern w:val="0"/>
                <w:sz w:val="24"/>
                <w:szCs w:val="24"/>
                <w:highlight w:val="none"/>
                <w:lang w:eastAsia="zh-CN"/>
              </w:rPr>
              <w:t>。</w:t>
            </w:r>
          </w:p>
        </w:tc>
        <w:tc>
          <w:tcPr>
            <w:tcW w:w="683" w:type="dxa"/>
            <w:vAlign w:val="center"/>
          </w:tcPr>
          <w:p w14:paraId="0876CBB5">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15台</w:t>
            </w:r>
          </w:p>
        </w:tc>
        <w:tc>
          <w:tcPr>
            <w:tcW w:w="850" w:type="dxa"/>
            <w:vAlign w:val="center"/>
          </w:tcPr>
          <w:p w14:paraId="09B0DCD8">
            <w:pPr>
              <w:keepNext w:val="0"/>
              <w:keepLines w:val="0"/>
              <w:pageBreakBefore w:val="0"/>
              <w:widowControl/>
              <w:kinsoku/>
              <w:wordWrap/>
              <w:overflowPunct/>
              <w:topLinePunct w:val="0"/>
              <w:autoSpaceDE/>
              <w:autoSpaceDN/>
              <w:bidi w:val="0"/>
              <w:adjustRightInd/>
              <w:spacing w:line="30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工业</w:t>
            </w:r>
          </w:p>
        </w:tc>
      </w:tr>
    </w:tbl>
    <w:p w14:paraId="34C9D343">
      <w:pPr>
        <w:widowControl w:val="0"/>
        <w:adjustRightInd w:val="0"/>
        <w:snapToGrid w:val="0"/>
        <w:spacing w:before="156" w:beforeLines="50" w:line="300" w:lineRule="auto"/>
        <w:ind w:firstLine="460" w:firstLineChars="192"/>
        <w:rPr>
          <w:color w:val="auto"/>
          <w:sz w:val="24"/>
          <w:szCs w:val="24"/>
          <w:highlight w:val="none"/>
        </w:rPr>
      </w:pPr>
      <w:r>
        <w:rPr>
          <w:rFonts w:hint="eastAsia"/>
          <w:color w:val="auto"/>
          <w:sz w:val="24"/>
          <w:szCs w:val="24"/>
          <w:highlight w:val="none"/>
        </w:rPr>
        <w:t>注：1、投标人按照上述各产品（货物）所对应标明的所属行业，判断所投标的各产品（货物）的</w:t>
      </w:r>
      <w:r>
        <w:rPr>
          <w:rFonts w:hint="eastAsia" w:ascii="宋体" w:hAnsi="宋体"/>
          <w:color w:val="auto"/>
          <w:sz w:val="24"/>
          <w:szCs w:val="24"/>
          <w:highlight w:val="none"/>
        </w:rPr>
        <w:t>制造企业</w:t>
      </w:r>
      <w:r>
        <w:rPr>
          <w:rFonts w:hint="eastAsia"/>
          <w:color w:val="auto"/>
          <w:sz w:val="24"/>
          <w:szCs w:val="24"/>
          <w:highlight w:val="none"/>
        </w:rPr>
        <w:t>是否属该行业（采购文件标明的）的小微企业。</w:t>
      </w:r>
    </w:p>
    <w:p w14:paraId="19CA99E2">
      <w:pPr>
        <w:widowControl w:val="0"/>
        <w:adjustRightInd w:val="0"/>
        <w:snapToGrid w:val="0"/>
        <w:spacing w:before="156" w:beforeLines="50" w:line="300" w:lineRule="auto"/>
        <w:ind w:firstLine="460" w:firstLineChars="192"/>
        <w:rPr>
          <w:rFonts w:hint="eastAsia"/>
          <w:color w:val="auto"/>
          <w:sz w:val="24"/>
          <w:szCs w:val="24"/>
          <w:highlight w:val="none"/>
        </w:rPr>
      </w:pPr>
      <w:r>
        <w:rPr>
          <w:rFonts w:hint="eastAsia"/>
          <w:color w:val="auto"/>
          <w:sz w:val="24"/>
          <w:szCs w:val="24"/>
          <w:highlight w:val="none"/>
        </w:rPr>
        <w:t>提醒：产品(货物）的</w:t>
      </w:r>
      <w:r>
        <w:rPr>
          <w:rFonts w:hint="eastAsia" w:ascii="宋体" w:hAnsi="宋体"/>
          <w:color w:val="auto"/>
          <w:sz w:val="24"/>
          <w:szCs w:val="24"/>
          <w:highlight w:val="none"/>
        </w:rPr>
        <w:t>制造企业</w:t>
      </w:r>
      <w:r>
        <w:rPr>
          <w:rFonts w:hint="eastAsia"/>
          <w:color w:val="auto"/>
          <w:sz w:val="24"/>
          <w:szCs w:val="24"/>
          <w:highlight w:val="none"/>
        </w:rPr>
        <w:t>不应按照自身的行业属性作为小微企业的判断标准（应按采购文件标明的产品所属行业进行判断）。</w:t>
      </w:r>
    </w:p>
    <w:p w14:paraId="721BE479">
      <w:pPr>
        <w:widowControl w:val="0"/>
        <w:adjustRightInd w:val="0"/>
        <w:snapToGrid w:val="0"/>
        <w:spacing w:before="156" w:beforeLines="50" w:line="300" w:lineRule="auto"/>
        <w:ind w:firstLine="480" w:firstLineChars="200"/>
        <w:rPr>
          <w:rFonts w:hint="eastAsia" w:ascii="宋体" w:eastAsia="宋体" w:cs="宋体"/>
          <w:color w:val="auto"/>
          <w:sz w:val="24"/>
          <w:szCs w:val="24"/>
          <w:highlight w:val="none"/>
          <w:lang w:eastAsia="zh-CN"/>
        </w:rPr>
      </w:pPr>
      <w:r>
        <w:rPr>
          <w:rFonts w:hint="eastAsia"/>
          <w:color w:val="auto"/>
          <w:sz w:val="24"/>
          <w:szCs w:val="24"/>
          <w:highlight w:val="none"/>
        </w:rPr>
        <w:t>2、</w:t>
      </w:r>
      <w:r>
        <w:rPr>
          <w:rFonts w:hint="eastAsia" w:ascii="宋体" w:cs="宋体"/>
          <w:color w:val="auto"/>
          <w:sz w:val="24"/>
          <w:szCs w:val="24"/>
          <w:highlight w:val="none"/>
        </w:rPr>
        <w:t>本标段（包）核心产品为：刑事庭审主机</w:t>
      </w:r>
      <w:r>
        <w:rPr>
          <w:rFonts w:hint="eastAsia" w:ascii="宋体" w:cs="宋体"/>
          <w:color w:val="auto"/>
          <w:sz w:val="24"/>
          <w:szCs w:val="24"/>
          <w:highlight w:val="none"/>
          <w:lang w:eastAsia="zh-CN"/>
        </w:rPr>
        <w:t>、</w:t>
      </w:r>
      <w:r>
        <w:rPr>
          <w:rFonts w:hint="eastAsia" w:ascii="宋体" w:cs="宋体"/>
          <w:color w:val="auto"/>
          <w:sz w:val="24"/>
          <w:szCs w:val="24"/>
          <w:highlight w:val="none"/>
        </w:rPr>
        <w:t>民事庭审主机</w:t>
      </w:r>
      <w:r>
        <w:rPr>
          <w:rFonts w:hint="eastAsia" w:ascii="宋体" w:cs="宋体"/>
          <w:color w:val="auto"/>
          <w:sz w:val="24"/>
          <w:szCs w:val="24"/>
          <w:highlight w:val="none"/>
          <w:lang w:eastAsia="zh-CN"/>
        </w:rPr>
        <w:t>。</w:t>
      </w:r>
    </w:p>
    <w:p w14:paraId="065087EC">
      <w:pPr>
        <w:widowControl w:val="0"/>
        <w:adjustRightInd w:val="0"/>
        <w:snapToGrid w:val="0"/>
        <w:spacing w:before="156" w:beforeLines="50" w:line="300" w:lineRule="auto"/>
        <w:ind w:firstLine="460" w:firstLineChars="192"/>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3、如涉及台式计算机、便携式计算机、一体式计算机、工作站、通用服务器、操作系统、数据库的，按第六章10-2附件要求执行。</w:t>
      </w:r>
    </w:p>
    <w:p w14:paraId="4B2516F9">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2" w:firstLineChars="200"/>
        <w:textAlignment w:val="auto"/>
        <w:rPr>
          <w:rFonts w:hint="eastAsia" w:ascii="Times New Roman" w:hAnsi="Times New Roman" w:cs="Times New Roman"/>
          <w:b/>
          <w:bCs/>
          <w:color w:val="auto"/>
          <w:sz w:val="24"/>
          <w:szCs w:val="22"/>
          <w:highlight w:val="none"/>
          <w:lang w:val="en-US" w:eastAsia="zh-CN"/>
        </w:rPr>
      </w:pPr>
    </w:p>
    <w:p w14:paraId="5AD09D39">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2" w:firstLineChars="200"/>
        <w:textAlignment w:val="auto"/>
        <w:rPr>
          <w:rFonts w:hint="eastAsia" w:ascii="Times New Roman" w:hAnsi="Times New Roman" w:cs="Times New Roman"/>
          <w:b/>
          <w:bCs/>
          <w:color w:val="auto"/>
          <w:sz w:val="24"/>
          <w:szCs w:val="22"/>
          <w:highlight w:val="none"/>
          <w:lang w:val="en-US" w:eastAsia="zh-CN"/>
        </w:rPr>
      </w:pPr>
      <w:r>
        <w:rPr>
          <w:rFonts w:hint="eastAsia" w:ascii="Times New Roman" w:hAnsi="Times New Roman" w:cs="Times New Roman"/>
          <w:b/>
          <w:bCs/>
          <w:color w:val="auto"/>
          <w:sz w:val="24"/>
          <w:szCs w:val="22"/>
          <w:highlight w:val="none"/>
          <w:lang w:val="en-US" w:eastAsia="zh-CN"/>
        </w:rPr>
        <w:t>五、质保期及运行维护要求</w:t>
      </w:r>
    </w:p>
    <w:p w14:paraId="3AA45F16">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（一）质保期：三年</w:t>
      </w:r>
    </w:p>
    <w:p w14:paraId="160ABFFF">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（二）建设期运维：中标人驻场技术团队，全程配合部署、调试、试运行。</w:t>
      </w:r>
    </w:p>
    <w:p w14:paraId="5255E6EC">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（三）竣工后运维：中标人提供专业运维服务，提供三年7×12小时驻场运维；含涉及的全部软件升级、维护，不得具有任何限制性要求。</w:t>
      </w:r>
    </w:p>
    <w:p w14:paraId="3655D614">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2" w:firstLineChars="200"/>
        <w:textAlignment w:val="auto"/>
        <w:rPr>
          <w:rFonts w:hint="eastAsia" w:ascii="Times New Roman" w:hAnsi="Times New Roman" w:cs="Times New Roman"/>
          <w:b/>
          <w:bCs/>
          <w:color w:val="auto"/>
          <w:sz w:val="24"/>
          <w:szCs w:val="22"/>
          <w:highlight w:val="none"/>
          <w:lang w:val="en-US" w:eastAsia="zh-CN"/>
        </w:rPr>
      </w:pPr>
      <w:r>
        <w:rPr>
          <w:rFonts w:hint="eastAsia" w:ascii="Times New Roman" w:hAnsi="Times New Roman" w:cs="Times New Roman"/>
          <w:b/>
          <w:bCs/>
          <w:color w:val="auto"/>
          <w:sz w:val="24"/>
          <w:szCs w:val="22"/>
          <w:highlight w:val="none"/>
          <w:lang w:val="en-US" w:eastAsia="zh-CN"/>
        </w:rPr>
        <w:t>六、培训要求</w:t>
      </w:r>
    </w:p>
    <w:p w14:paraId="20A52C8D">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（一）</w:t>
      </w:r>
      <w:r>
        <w:rPr>
          <w:rFonts w:hint="default" w:ascii="Times New Roman" w:hAnsi="Times New Roman" w:cs="Times New Roman"/>
          <w:color w:val="auto"/>
          <w:sz w:val="24"/>
          <w:szCs w:val="22"/>
          <w:highlight w:val="none"/>
          <w:lang w:val="en-US" w:eastAsia="zh-CN"/>
        </w:rPr>
        <w:t>设计培训科目和授课内容，通过理论和实践相结合的培训方式，结合本项目的重要时间节点要求，有序开展培训工作，通过培训使用户能够更好的理解业务、管理业务、以及本项目培训内容主要是系统的日常操作方法。培训要根据不同的对象和角色制定不同的培训内容，具体对象分为：领导层；业务承办层；系统管理员；子系统操作员；参与的相关业务部门。</w:t>
      </w:r>
    </w:p>
    <w:p w14:paraId="5677A982">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（二）</w:t>
      </w:r>
      <w:r>
        <w:rPr>
          <w:rFonts w:hint="default" w:ascii="Times New Roman" w:hAnsi="Times New Roman" w:cs="Times New Roman"/>
          <w:color w:val="auto"/>
          <w:sz w:val="24"/>
          <w:szCs w:val="22"/>
          <w:highlight w:val="none"/>
          <w:lang w:val="en-US" w:eastAsia="zh-CN"/>
        </w:rPr>
        <w:t>培训方式</w:t>
      </w:r>
    </w:p>
    <w:p w14:paraId="407836D6">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color w:val="auto"/>
          <w:sz w:val="24"/>
          <w:szCs w:val="22"/>
          <w:highlight w:val="none"/>
          <w:lang w:val="en-US" w:eastAsia="zh-CN"/>
        </w:rPr>
      </w:pPr>
      <w:r>
        <w:rPr>
          <w:rFonts w:hint="default" w:ascii="Times New Roman" w:hAnsi="Times New Roman" w:cs="Times New Roman"/>
          <w:color w:val="auto"/>
          <w:sz w:val="24"/>
          <w:szCs w:val="22"/>
          <w:highlight w:val="none"/>
          <w:lang w:val="en-US" w:eastAsia="zh-CN"/>
        </w:rPr>
        <w:t>培训分为理论知识培训和实践技能培训两个方面。</w:t>
      </w:r>
    </w:p>
    <w:p w14:paraId="262653F0">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color w:val="auto"/>
          <w:sz w:val="24"/>
          <w:szCs w:val="22"/>
          <w:highlight w:val="none"/>
          <w:lang w:val="en-US" w:eastAsia="zh-CN"/>
        </w:rPr>
      </w:pPr>
      <w:r>
        <w:rPr>
          <w:rFonts w:hint="default" w:ascii="Times New Roman" w:hAnsi="Times New Roman" w:cs="Times New Roman"/>
          <w:color w:val="auto"/>
          <w:sz w:val="24"/>
          <w:szCs w:val="22"/>
          <w:highlight w:val="none"/>
          <w:lang w:val="en-US" w:eastAsia="zh-CN"/>
        </w:rPr>
        <w:t>培训以集中培训为主，在固定时间段、固定地点、分批次培训。部分不能参加现场培训的人员，可以通过远程视频会议方式参加培训。现场讲解配有幻灯片投影放映，充分运用多媒体手段促进教学质量。</w:t>
      </w:r>
    </w:p>
    <w:p w14:paraId="28225B29">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（三）</w:t>
      </w:r>
      <w:r>
        <w:rPr>
          <w:rFonts w:hint="default" w:ascii="Times New Roman" w:hAnsi="Times New Roman" w:cs="Times New Roman"/>
          <w:color w:val="auto"/>
          <w:sz w:val="24"/>
          <w:szCs w:val="22"/>
          <w:highlight w:val="none"/>
          <w:lang w:val="en-US" w:eastAsia="zh-CN"/>
        </w:rPr>
        <w:t>培训内容</w:t>
      </w:r>
    </w:p>
    <w:p w14:paraId="4B685050">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color w:val="auto"/>
          <w:sz w:val="24"/>
          <w:szCs w:val="22"/>
          <w:highlight w:val="none"/>
          <w:lang w:val="en-US" w:eastAsia="zh-CN"/>
        </w:rPr>
      </w:pPr>
      <w:r>
        <w:rPr>
          <w:rFonts w:hint="default" w:ascii="Times New Roman" w:hAnsi="Times New Roman" w:cs="Times New Roman"/>
          <w:color w:val="auto"/>
          <w:sz w:val="24"/>
          <w:szCs w:val="22"/>
          <w:highlight w:val="none"/>
          <w:lang w:val="en-US" w:eastAsia="zh-CN"/>
        </w:rPr>
        <w:t>培训主要内容：系统应用、软硬件的运行与维护、网络和安全管理等。熟练使用各项业务系统，从而确保本项目安全、稳定、高效的运行。</w:t>
      </w:r>
    </w:p>
    <w:p w14:paraId="655B6D67">
      <w:pPr>
        <w:pStyle w:val="2"/>
        <w:keepNext w:val="0"/>
        <w:keepLines w:val="0"/>
        <w:pageBreakBefore w:val="0"/>
        <w:widowControl/>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rPr>
          <w:rFonts w:hint="eastAsia" w:ascii="Times New Roman" w:hAnsi="Times New Roman" w:cs="Times New Roman"/>
          <w:b/>
          <w:bCs/>
          <w:color w:val="auto"/>
          <w:sz w:val="24"/>
          <w:szCs w:val="22"/>
          <w:highlight w:val="none"/>
          <w:lang w:val="en-US" w:eastAsia="zh-CN"/>
        </w:rPr>
      </w:pPr>
      <w:r>
        <w:rPr>
          <w:rFonts w:hint="eastAsia" w:ascii="Times New Roman" w:hAnsi="Times New Roman" w:cs="Times New Roman"/>
          <w:b/>
          <w:bCs/>
          <w:color w:val="auto"/>
          <w:kern w:val="0"/>
          <w:sz w:val="24"/>
          <w:szCs w:val="22"/>
          <w:highlight w:val="none"/>
          <w:u w:color="000000"/>
          <w:lang w:val="en-US" w:eastAsia="zh-CN" w:bidi="en-US"/>
        </w:rPr>
        <w:t>七</w:t>
      </w:r>
      <w:r>
        <w:rPr>
          <w:rFonts w:hint="eastAsia" w:ascii="Times New Roman" w:hAnsi="Times New Roman" w:eastAsia="宋体" w:cs="Times New Roman"/>
          <w:b/>
          <w:bCs/>
          <w:color w:val="auto"/>
          <w:kern w:val="0"/>
          <w:sz w:val="24"/>
          <w:szCs w:val="22"/>
          <w:highlight w:val="none"/>
          <w:u w:color="000000"/>
          <w:lang w:val="en-US" w:eastAsia="zh-CN" w:bidi="en-US"/>
        </w:rPr>
        <w:t>、</w:t>
      </w:r>
      <w:r>
        <w:rPr>
          <w:rFonts w:hint="eastAsia" w:ascii="Times New Roman" w:hAnsi="Times New Roman" w:cs="Times New Roman"/>
          <w:b/>
          <w:bCs/>
          <w:color w:val="auto"/>
          <w:sz w:val="24"/>
          <w:szCs w:val="22"/>
          <w:highlight w:val="none"/>
          <w:lang w:val="en-US" w:eastAsia="zh-CN"/>
        </w:rPr>
        <w:t>其他要求</w:t>
      </w:r>
    </w:p>
    <w:p w14:paraId="7F73C660">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Times New Roman" w:hAnsi="Times New Roman" w:cs="Times New Roman"/>
          <w:color w:val="auto"/>
          <w:sz w:val="24"/>
          <w:szCs w:val="22"/>
          <w:highlight w:val="none"/>
          <w:lang w:val="en-US" w:eastAsia="zh-CN"/>
        </w:rPr>
      </w:pPr>
      <w:r>
        <w:rPr>
          <w:rFonts w:hint="eastAsia" w:ascii="Times New Roman" w:hAnsi="Times New Roman" w:cs="Times New Roman"/>
          <w:color w:val="auto"/>
          <w:sz w:val="24"/>
          <w:szCs w:val="22"/>
          <w:highlight w:val="none"/>
          <w:lang w:val="en-US" w:eastAsia="zh-CN"/>
        </w:rPr>
        <w:t>采购人将在中标结果公告之日起5个工作日内、签订合同前，对中标候选人所投产品涉及的全部带“★”项功能及技术参数进行核验（含资料核查、功能演示、实物测试等方式）。中标候选人应予配合并如实提供核验材料。核验结果与投标文件承诺不符的，采购人不予签订合同；同时上报政府采购监督管理部门，按照以虚假材料谋取中标依法处理，并列入不良行为记录名单，由此产生的责任和损失由该中标候选人自行承担。</w:t>
      </w:r>
    </w:p>
    <w:p w14:paraId="2E2F5954">
      <w:pPr>
        <w:widowControl w:val="0"/>
        <w:adjustRightInd w:val="0"/>
        <w:snapToGrid w:val="0"/>
        <w:spacing w:before="156" w:beforeLines="50" w:line="300" w:lineRule="auto"/>
        <w:ind w:firstLine="460" w:firstLineChars="192"/>
        <w:rPr>
          <w:rFonts w:hint="eastAsia" w:ascii="Times New Roman" w:hAnsi="Times New Roman" w:eastAsia="宋体" w:cs="Times New Roman"/>
          <w:color w:val="auto"/>
          <w:sz w:val="24"/>
          <w:szCs w:val="24"/>
          <w:highlight w:val="none"/>
        </w:rPr>
      </w:pPr>
    </w:p>
    <w:p w14:paraId="167308BB">
      <w:pPr>
        <w:widowControl w:val="0"/>
        <w:adjustRightInd w:val="0"/>
        <w:snapToGrid w:val="0"/>
        <w:spacing w:before="156" w:beforeLines="50" w:line="300" w:lineRule="auto"/>
        <w:ind w:firstLine="460" w:firstLineChars="192"/>
        <w:rPr>
          <w:color w:val="auto"/>
          <w:sz w:val="24"/>
          <w:szCs w:val="24"/>
          <w:highlight w:val="none"/>
        </w:rPr>
      </w:pPr>
      <w:r>
        <w:rPr>
          <w:color w:val="auto"/>
          <w:sz w:val="24"/>
          <w:szCs w:val="24"/>
          <w:highlight w:val="none"/>
        </w:rPr>
        <w:t>2.</w:t>
      </w:r>
      <w:r>
        <w:rPr>
          <w:rFonts w:hint="eastAsia"/>
          <w:color w:val="auto"/>
          <w:sz w:val="24"/>
          <w:szCs w:val="24"/>
          <w:highlight w:val="none"/>
        </w:rPr>
        <w:t>4</w:t>
      </w:r>
      <w:r>
        <w:rPr>
          <w:color w:val="auto"/>
          <w:sz w:val="24"/>
          <w:szCs w:val="24"/>
          <w:highlight w:val="none"/>
        </w:rPr>
        <w:t xml:space="preserve">.1 </w:t>
      </w:r>
      <w:r>
        <w:rPr>
          <w:rFonts w:hint="eastAsia"/>
          <w:color w:val="auto"/>
          <w:sz w:val="24"/>
          <w:szCs w:val="24"/>
          <w:highlight w:val="none"/>
        </w:rPr>
        <w:t>应遵循第三章投标人须知</w:t>
      </w:r>
      <w:r>
        <w:rPr>
          <w:color w:val="auto"/>
          <w:sz w:val="24"/>
          <w:szCs w:val="24"/>
          <w:highlight w:val="none"/>
        </w:rPr>
        <w:t>3.7.</w:t>
      </w:r>
      <w:r>
        <w:rPr>
          <w:rFonts w:hint="eastAsia"/>
          <w:color w:val="auto"/>
          <w:sz w:val="24"/>
          <w:szCs w:val="24"/>
          <w:highlight w:val="none"/>
        </w:rPr>
        <w:t>5项规定。</w:t>
      </w:r>
    </w:p>
    <w:p w14:paraId="420B23F1">
      <w:pPr>
        <w:widowControl w:val="0"/>
        <w:adjustRightInd w:val="0"/>
        <w:snapToGrid w:val="0"/>
        <w:spacing w:before="156" w:beforeLines="50" w:line="300" w:lineRule="auto"/>
        <w:ind w:firstLine="460" w:firstLineChars="192"/>
        <w:rPr>
          <w:color w:val="auto"/>
          <w:sz w:val="24"/>
          <w:szCs w:val="24"/>
          <w:highlight w:val="none"/>
        </w:rPr>
      </w:pPr>
      <w:r>
        <w:rPr>
          <w:color w:val="auto"/>
          <w:sz w:val="24"/>
          <w:szCs w:val="24"/>
          <w:highlight w:val="none"/>
        </w:rPr>
        <w:t>2.</w:t>
      </w:r>
      <w:r>
        <w:rPr>
          <w:rFonts w:hint="eastAsia"/>
          <w:color w:val="auto"/>
          <w:sz w:val="24"/>
          <w:szCs w:val="24"/>
          <w:highlight w:val="none"/>
        </w:rPr>
        <w:t>4</w:t>
      </w:r>
      <w:r>
        <w:rPr>
          <w:color w:val="auto"/>
          <w:sz w:val="24"/>
          <w:szCs w:val="24"/>
          <w:highlight w:val="none"/>
        </w:rPr>
        <w:t xml:space="preserve">.2 </w:t>
      </w:r>
      <w:r>
        <w:rPr>
          <w:rFonts w:hint="eastAsia"/>
          <w:color w:val="auto"/>
          <w:sz w:val="24"/>
          <w:szCs w:val="24"/>
          <w:highlight w:val="none"/>
        </w:rPr>
        <w:t>中标人负责设备的安装、调试，并具备正常使用条件。</w:t>
      </w:r>
    </w:p>
    <w:p w14:paraId="659115D1">
      <w:pPr>
        <w:adjustRightInd w:val="0"/>
        <w:snapToGrid w:val="0"/>
        <w:spacing w:before="156" w:beforeLines="50" w:line="300" w:lineRule="auto"/>
        <w:ind w:firstLine="482" w:firstLineChars="200"/>
        <w:rPr>
          <w:rFonts w:ascii="黑体" w:hAnsi="黑体" w:eastAsia="黑体"/>
          <w:b/>
          <w:color w:val="auto"/>
          <w:sz w:val="24"/>
          <w:szCs w:val="24"/>
          <w:highlight w:val="none"/>
        </w:rPr>
      </w:pPr>
    </w:p>
    <w:p w14:paraId="18180EB1">
      <w:pPr>
        <w:adjustRightInd w:val="0"/>
        <w:snapToGrid w:val="0"/>
        <w:spacing w:before="156" w:beforeLines="50" w:line="300" w:lineRule="auto"/>
        <w:ind w:firstLine="482" w:firstLineChars="200"/>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rPr>
        <w:t>5</w:t>
      </w:r>
      <w:r>
        <w:rPr>
          <w:rFonts w:ascii="黑体" w:hAnsi="黑体" w:eastAsia="黑体"/>
          <w:b/>
          <w:color w:val="auto"/>
          <w:sz w:val="24"/>
          <w:szCs w:val="24"/>
          <w:highlight w:val="none"/>
        </w:rPr>
        <w:t xml:space="preserve"> </w:t>
      </w:r>
      <w:r>
        <w:rPr>
          <w:rFonts w:hint="eastAsia" w:ascii="黑体" w:hAnsi="黑体" w:eastAsia="黑体"/>
          <w:b/>
          <w:color w:val="auto"/>
          <w:sz w:val="24"/>
          <w:szCs w:val="24"/>
          <w:highlight w:val="none"/>
        </w:rPr>
        <w:t>安</w:t>
      </w:r>
      <w:r>
        <w:rPr>
          <w:rFonts w:ascii="黑体" w:hAnsi="黑体" w:eastAsia="黑体"/>
          <w:b/>
          <w:color w:val="auto"/>
          <w:sz w:val="24"/>
          <w:szCs w:val="24"/>
          <w:highlight w:val="none"/>
        </w:rPr>
        <w:t>全</w:t>
      </w:r>
    </w:p>
    <w:p w14:paraId="05BEB685">
      <w:pPr>
        <w:widowControl w:val="0"/>
        <w:adjustRightInd w:val="0"/>
        <w:snapToGrid w:val="0"/>
        <w:spacing w:before="156" w:beforeLines="50" w:line="300" w:lineRule="auto"/>
        <w:ind w:left="22" w:firstLine="555"/>
        <w:jc w:val="left"/>
        <w:rPr>
          <w:rFonts w:ascii="黑体" w:hAnsi="黑体" w:eastAsia="黑体"/>
          <w:b/>
          <w:color w:val="auto"/>
          <w:sz w:val="24"/>
          <w:szCs w:val="24"/>
          <w:highlight w:val="none"/>
        </w:rPr>
      </w:pPr>
      <w:r>
        <w:rPr>
          <w:rFonts w:hint="eastAsia"/>
          <w:color w:val="auto"/>
          <w:sz w:val="24"/>
          <w:szCs w:val="24"/>
          <w:highlight w:val="none"/>
        </w:rPr>
        <w:t>投标产品应符合国家、行业的各</w:t>
      </w:r>
      <w:r>
        <w:rPr>
          <w:color w:val="auto"/>
          <w:sz w:val="24"/>
          <w:szCs w:val="24"/>
          <w:highlight w:val="none"/>
        </w:rPr>
        <w:t>项</w:t>
      </w:r>
      <w:r>
        <w:rPr>
          <w:rFonts w:hint="eastAsia"/>
          <w:color w:val="auto"/>
          <w:sz w:val="24"/>
          <w:szCs w:val="24"/>
          <w:highlight w:val="none"/>
        </w:rPr>
        <w:t>安全标准，投</w:t>
      </w:r>
      <w:r>
        <w:rPr>
          <w:color w:val="auto"/>
          <w:sz w:val="24"/>
          <w:szCs w:val="24"/>
          <w:highlight w:val="none"/>
        </w:rPr>
        <w:t>标</w:t>
      </w:r>
      <w:r>
        <w:rPr>
          <w:rFonts w:hint="eastAsia"/>
          <w:color w:val="auto"/>
          <w:sz w:val="24"/>
          <w:szCs w:val="24"/>
          <w:highlight w:val="none"/>
        </w:rPr>
        <w:t>人</w:t>
      </w:r>
      <w:r>
        <w:rPr>
          <w:color w:val="auto"/>
          <w:sz w:val="24"/>
          <w:szCs w:val="24"/>
          <w:highlight w:val="none"/>
        </w:rPr>
        <w:t>对</w:t>
      </w:r>
      <w:r>
        <w:rPr>
          <w:rFonts w:hint="eastAsia"/>
          <w:color w:val="auto"/>
          <w:sz w:val="24"/>
          <w:szCs w:val="24"/>
          <w:highlight w:val="none"/>
        </w:rPr>
        <w:t>投标产品的</w:t>
      </w:r>
      <w:r>
        <w:rPr>
          <w:color w:val="auto"/>
          <w:sz w:val="24"/>
          <w:szCs w:val="24"/>
          <w:highlight w:val="none"/>
        </w:rPr>
        <w:t>安全性承担全部责任。</w:t>
      </w:r>
      <w:r>
        <w:rPr>
          <w:rFonts w:hint="eastAsia"/>
          <w:color w:val="auto"/>
          <w:sz w:val="24"/>
          <w:szCs w:val="24"/>
          <w:highlight w:val="none"/>
        </w:rPr>
        <w:t>生产或销售不符合保障人身、财产安全的国家标准、行业标准的产品，将</w:t>
      </w:r>
      <w:r>
        <w:rPr>
          <w:color w:val="auto"/>
          <w:sz w:val="24"/>
          <w:szCs w:val="24"/>
          <w:highlight w:val="none"/>
        </w:rPr>
        <w:t>依法承担民事及相应刑事责任</w:t>
      </w:r>
      <w:r>
        <w:rPr>
          <w:rFonts w:hint="eastAsia"/>
          <w:color w:val="auto"/>
          <w:sz w:val="24"/>
          <w:szCs w:val="24"/>
          <w:highlight w:val="none"/>
        </w:rPr>
        <w:t>。合</w:t>
      </w:r>
      <w:r>
        <w:rPr>
          <w:color w:val="auto"/>
          <w:sz w:val="24"/>
          <w:szCs w:val="24"/>
          <w:highlight w:val="none"/>
        </w:rPr>
        <w:t>同履行中的安全责任由中标人承担全部责任。</w:t>
      </w:r>
    </w:p>
    <w:p w14:paraId="14C74F61">
      <w:pPr>
        <w:adjustRightInd w:val="0"/>
        <w:snapToGrid w:val="0"/>
        <w:spacing w:before="156" w:beforeLines="50" w:line="300" w:lineRule="auto"/>
        <w:ind w:firstLine="482" w:firstLineChars="200"/>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rPr>
        <w:t>6</w:t>
      </w:r>
      <w:r>
        <w:rPr>
          <w:rFonts w:ascii="黑体" w:hAnsi="黑体" w:eastAsia="黑体"/>
          <w:b/>
          <w:color w:val="auto"/>
          <w:sz w:val="24"/>
          <w:szCs w:val="24"/>
          <w:highlight w:val="none"/>
        </w:rPr>
        <w:t xml:space="preserve"> </w:t>
      </w:r>
      <w:r>
        <w:rPr>
          <w:rFonts w:hint="eastAsia" w:ascii="黑体" w:hAnsi="黑体" w:eastAsia="黑体"/>
          <w:b/>
          <w:color w:val="auto"/>
          <w:sz w:val="24"/>
          <w:szCs w:val="24"/>
          <w:highlight w:val="none"/>
        </w:rPr>
        <w:t>投</w:t>
      </w:r>
      <w:r>
        <w:rPr>
          <w:rFonts w:ascii="黑体" w:hAnsi="黑体" w:eastAsia="黑体"/>
          <w:b/>
          <w:color w:val="auto"/>
          <w:sz w:val="24"/>
          <w:szCs w:val="24"/>
          <w:highlight w:val="none"/>
        </w:rPr>
        <w:t>标文件</w:t>
      </w:r>
      <w:r>
        <w:rPr>
          <w:rFonts w:hint="eastAsia" w:ascii="黑体" w:hAnsi="黑体" w:eastAsia="黑体"/>
          <w:b/>
          <w:color w:val="auto"/>
          <w:sz w:val="24"/>
          <w:szCs w:val="24"/>
          <w:highlight w:val="none"/>
        </w:rPr>
        <w:t>对“基本技术要求”的</w:t>
      </w:r>
      <w:r>
        <w:rPr>
          <w:rFonts w:ascii="黑体" w:hAnsi="黑体" w:eastAsia="黑体"/>
          <w:b/>
          <w:color w:val="auto"/>
          <w:sz w:val="24"/>
          <w:szCs w:val="24"/>
          <w:highlight w:val="none"/>
        </w:rPr>
        <w:t>响应</w:t>
      </w:r>
    </w:p>
    <w:p w14:paraId="0DB25C59">
      <w:pPr>
        <w:widowControl w:val="0"/>
        <w:adjustRightInd w:val="0"/>
        <w:snapToGrid w:val="0"/>
        <w:spacing w:before="156" w:beforeLines="50" w:line="300" w:lineRule="auto"/>
        <w:ind w:left="22" w:firstLine="555"/>
        <w:jc w:val="left"/>
        <w:rPr>
          <w:rFonts w:ascii="宋体" w:cs="宋体"/>
          <w:color w:val="auto"/>
          <w:sz w:val="24"/>
          <w:szCs w:val="24"/>
          <w:highlight w:val="none"/>
        </w:rPr>
      </w:pPr>
      <w:r>
        <w:rPr>
          <w:rFonts w:hint="eastAsia"/>
          <w:color w:val="auto"/>
          <w:sz w:val="24"/>
          <w:szCs w:val="24"/>
          <w:highlight w:val="none"/>
        </w:rPr>
        <w:t>“基本技术要求”为采购</w:t>
      </w:r>
      <w:r>
        <w:rPr>
          <w:color w:val="auto"/>
          <w:sz w:val="24"/>
          <w:szCs w:val="24"/>
          <w:highlight w:val="none"/>
        </w:rPr>
        <w:t>需求的</w:t>
      </w:r>
      <w:r>
        <w:rPr>
          <w:rFonts w:hint="eastAsia"/>
          <w:color w:val="auto"/>
          <w:sz w:val="24"/>
          <w:szCs w:val="24"/>
          <w:highlight w:val="none"/>
        </w:rPr>
        <w:t>基础</w:t>
      </w:r>
      <w:r>
        <w:rPr>
          <w:color w:val="auto"/>
          <w:sz w:val="24"/>
          <w:szCs w:val="24"/>
          <w:highlight w:val="none"/>
        </w:rPr>
        <w:t>性</w:t>
      </w:r>
      <w:r>
        <w:rPr>
          <w:rFonts w:hint="eastAsia"/>
          <w:color w:val="auto"/>
          <w:sz w:val="24"/>
          <w:szCs w:val="24"/>
          <w:highlight w:val="none"/>
        </w:rPr>
        <w:t>要求，投</w:t>
      </w:r>
      <w:r>
        <w:rPr>
          <w:color w:val="auto"/>
          <w:sz w:val="24"/>
          <w:szCs w:val="24"/>
          <w:highlight w:val="none"/>
        </w:rPr>
        <w:t>标产品应当明确，</w:t>
      </w:r>
      <w:r>
        <w:rPr>
          <w:rFonts w:hint="eastAsia"/>
          <w:color w:val="auto"/>
          <w:sz w:val="24"/>
          <w:szCs w:val="24"/>
          <w:highlight w:val="none"/>
        </w:rPr>
        <w:t>投</w:t>
      </w:r>
      <w:r>
        <w:rPr>
          <w:color w:val="auto"/>
          <w:sz w:val="24"/>
          <w:szCs w:val="24"/>
          <w:highlight w:val="none"/>
        </w:rPr>
        <w:t>标</w:t>
      </w:r>
      <w:r>
        <w:rPr>
          <w:rFonts w:hint="eastAsia"/>
          <w:color w:val="auto"/>
          <w:sz w:val="24"/>
          <w:szCs w:val="24"/>
          <w:highlight w:val="none"/>
        </w:rPr>
        <w:t>技术参数应最</w:t>
      </w:r>
      <w:r>
        <w:rPr>
          <w:color w:val="auto"/>
          <w:sz w:val="24"/>
          <w:szCs w:val="24"/>
          <w:highlight w:val="none"/>
        </w:rPr>
        <w:t>终指向具体明确的产</w:t>
      </w:r>
      <w:r>
        <w:rPr>
          <w:rFonts w:hint="eastAsia"/>
          <w:color w:val="auto"/>
          <w:sz w:val="24"/>
          <w:szCs w:val="24"/>
          <w:highlight w:val="none"/>
        </w:rPr>
        <w:t>品。投</w:t>
      </w:r>
      <w:r>
        <w:rPr>
          <w:color w:val="auto"/>
          <w:sz w:val="24"/>
          <w:szCs w:val="24"/>
          <w:highlight w:val="none"/>
        </w:rPr>
        <w:t>标</w:t>
      </w:r>
      <w:r>
        <w:rPr>
          <w:rFonts w:hint="eastAsia"/>
          <w:color w:val="auto"/>
          <w:sz w:val="24"/>
          <w:szCs w:val="24"/>
          <w:highlight w:val="none"/>
        </w:rPr>
        <w:t>文</w:t>
      </w:r>
      <w:r>
        <w:rPr>
          <w:color w:val="auto"/>
          <w:sz w:val="24"/>
          <w:szCs w:val="24"/>
          <w:highlight w:val="none"/>
        </w:rPr>
        <w:t>件</w:t>
      </w:r>
      <w:r>
        <w:rPr>
          <w:rFonts w:hint="eastAsia"/>
          <w:color w:val="auto"/>
          <w:sz w:val="24"/>
          <w:szCs w:val="24"/>
          <w:highlight w:val="none"/>
        </w:rPr>
        <w:t>技术参数抄袭招标文件“基本技术要求”，投</w:t>
      </w:r>
      <w:r>
        <w:rPr>
          <w:color w:val="auto"/>
          <w:sz w:val="24"/>
          <w:szCs w:val="24"/>
          <w:highlight w:val="none"/>
        </w:rPr>
        <w:t>标产品</w:t>
      </w:r>
      <w:r>
        <w:rPr>
          <w:rFonts w:hint="eastAsia"/>
          <w:color w:val="auto"/>
          <w:sz w:val="24"/>
          <w:szCs w:val="24"/>
          <w:highlight w:val="none"/>
        </w:rPr>
        <w:t>不</w:t>
      </w:r>
      <w:r>
        <w:rPr>
          <w:color w:val="auto"/>
          <w:sz w:val="24"/>
          <w:szCs w:val="24"/>
          <w:highlight w:val="none"/>
        </w:rPr>
        <w:t>明确</w:t>
      </w:r>
      <w:r>
        <w:rPr>
          <w:rFonts w:hint="eastAsia"/>
          <w:color w:val="auto"/>
          <w:sz w:val="24"/>
          <w:szCs w:val="24"/>
          <w:highlight w:val="none"/>
        </w:rPr>
        <w:t>的</w:t>
      </w:r>
      <w:r>
        <w:rPr>
          <w:color w:val="auto"/>
          <w:sz w:val="24"/>
          <w:szCs w:val="24"/>
          <w:highlight w:val="none"/>
        </w:rPr>
        <w:t>、或</w:t>
      </w:r>
      <w:r>
        <w:rPr>
          <w:rFonts w:hint="eastAsia"/>
          <w:color w:val="auto"/>
          <w:sz w:val="24"/>
          <w:szCs w:val="24"/>
          <w:highlight w:val="none"/>
        </w:rPr>
        <w:t>与投</w:t>
      </w:r>
      <w:r>
        <w:rPr>
          <w:color w:val="auto"/>
          <w:sz w:val="24"/>
          <w:szCs w:val="24"/>
          <w:highlight w:val="none"/>
        </w:rPr>
        <w:t>标产品</w:t>
      </w:r>
      <w:r>
        <w:rPr>
          <w:rFonts w:hint="eastAsia"/>
          <w:color w:val="auto"/>
          <w:sz w:val="24"/>
          <w:szCs w:val="24"/>
          <w:highlight w:val="none"/>
        </w:rPr>
        <w:t>不</w:t>
      </w:r>
      <w:r>
        <w:rPr>
          <w:color w:val="auto"/>
          <w:sz w:val="24"/>
          <w:szCs w:val="24"/>
          <w:highlight w:val="none"/>
        </w:rPr>
        <w:t>一致</w:t>
      </w:r>
      <w:r>
        <w:rPr>
          <w:rFonts w:hint="eastAsia"/>
          <w:color w:val="auto"/>
          <w:sz w:val="24"/>
          <w:szCs w:val="24"/>
          <w:highlight w:val="none"/>
        </w:rPr>
        <w:t>的</w:t>
      </w:r>
      <w:r>
        <w:rPr>
          <w:color w:val="auto"/>
          <w:sz w:val="24"/>
          <w:szCs w:val="24"/>
          <w:highlight w:val="none"/>
        </w:rPr>
        <w:t>，</w:t>
      </w:r>
      <w:r>
        <w:rPr>
          <w:rFonts w:hint="eastAsia"/>
          <w:color w:val="auto"/>
          <w:sz w:val="24"/>
          <w:szCs w:val="24"/>
          <w:highlight w:val="none"/>
        </w:rPr>
        <w:t>评标委员会有权按照实质性判断原则评定其为无效投标。</w:t>
      </w:r>
    </w:p>
    <w:p w14:paraId="360216F2">
      <w:pPr>
        <w:adjustRightInd w:val="0"/>
        <w:snapToGrid w:val="0"/>
        <w:spacing w:before="156" w:beforeLines="50" w:line="300" w:lineRule="auto"/>
        <w:ind w:firstLine="482" w:firstLineChars="200"/>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rPr>
        <w:t>7技术偏离</w:t>
      </w:r>
    </w:p>
    <w:p w14:paraId="625930A8">
      <w:pPr>
        <w:widowControl w:val="0"/>
        <w:adjustRightInd w:val="0"/>
        <w:snapToGrid w:val="0"/>
        <w:spacing w:before="156" w:beforeLines="50" w:line="300" w:lineRule="auto"/>
        <w:ind w:left="22" w:firstLine="555"/>
        <w:jc w:val="left"/>
        <w:rPr>
          <w:color w:val="auto"/>
          <w:sz w:val="24"/>
          <w:szCs w:val="24"/>
          <w:highlight w:val="none"/>
        </w:rPr>
      </w:pPr>
      <w:r>
        <w:rPr>
          <w:color w:val="auto"/>
          <w:sz w:val="24"/>
          <w:szCs w:val="24"/>
          <w:highlight w:val="none"/>
        </w:rPr>
        <w:t>2.</w:t>
      </w:r>
      <w:r>
        <w:rPr>
          <w:rFonts w:hint="eastAsia"/>
          <w:color w:val="auto"/>
          <w:sz w:val="24"/>
          <w:szCs w:val="24"/>
          <w:highlight w:val="none"/>
        </w:rPr>
        <w:t>7</w:t>
      </w:r>
      <w:r>
        <w:rPr>
          <w:color w:val="auto"/>
          <w:sz w:val="24"/>
          <w:szCs w:val="24"/>
          <w:highlight w:val="none"/>
        </w:rPr>
        <w:t xml:space="preserve">.1 </w:t>
      </w:r>
      <w:r>
        <w:rPr>
          <w:rFonts w:hint="eastAsia"/>
          <w:color w:val="auto"/>
          <w:sz w:val="24"/>
          <w:szCs w:val="24"/>
          <w:highlight w:val="none"/>
        </w:rPr>
        <w:t>“基本技术要求”列示的参数、规格为基础</w:t>
      </w:r>
      <w:r>
        <w:rPr>
          <w:color w:val="auto"/>
          <w:sz w:val="24"/>
          <w:szCs w:val="24"/>
          <w:highlight w:val="none"/>
        </w:rPr>
        <w:t>性</w:t>
      </w:r>
      <w:r>
        <w:rPr>
          <w:rFonts w:hint="eastAsia"/>
          <w:color w:val="auto"/>
          <w:sz w:val="24"/>
          <w:szCs w:val="24"/>
          <w:highlight w:val="none"/>
        </w:rPr>
        <w:t>要求，投标人可提供质量性能参数相等或优于的其他产品；投</w:t>
      </w:r>
      <w:r>
        <w:rPr>
          <w:color w:val="auto"/>
          <w:sz w:val="24"/>
          <w:szCs w:val="24"/>
          <w:highlight w:val="none"/>
        </w:rPr>
        <w:t>标产品的</w:t>
      </w:r>
      <w:r>
        <w:rPr>
          <w:rFonts w:hint="eastAsia"/>
          <w:color w:val="auto"/>
          <w:sz w:val="24"/>
          <w:szCs w:val="24"/>
          <w:highlight w:val="none"/>
        </w:rPr>
        <w:t>规格参数与“基本技术要求”不</w:t>
      </w:r>
      <w:r>
        <w:rPr>
          <w:color w:val="auto"/>
          <w:sz w:val="24"/>
          <w:szCs w:val="24"/>
          <w:highlight w:val="none"/>
        </w:rPr>
        <w:t>同</w:t>
      </w:r>
      <w:r>
        <w:rPr>
          <w:rFonts w:hint="eastAsia"/>
          <w:color w:val="auto"/>
          <w:sz w:val="24"/>
          <w:szCs w:val="24"/>
          <w:highlight w:val="none"/>
        </w:rPr>
        <w:t>、</w:t>
      </w:r>
      <w:r>
        <w:rPr>
          <w:color w:val="auto"/>
          <w:sz w:val="24"/>
          <w:szCs w:val="24"/>
          <w:highlight w:val="none"/>
        </w:rPr>
        <w:t>且</w:t>
      </w:r>
      <w:r>
        <w:rPr>
          <w:rFonts w:hint="eastAsia"/>
          <w:color w:val="auto"/>
          <w:sz w:val="24"/>
          <w:szCs w:val="24"/>
          <w:highlight w:val="none"/>
        </w:rPr>
        <w:t>投标人认</w:t>
      </w:r>
      <w:r>
        <w:rPr>
          <w:color w:val="auto"/>
          <w:sz w:val="24"/>
          <w:szCs w:val="24"/>
          <w:highlight w:val="none"/>
        </w:rPr>
        <w:t>为</w:t>
      </w:r>
      <w:r>
        <w:rPr>
          <w:rFonts w:hint="eastAsia"/>
          <w:color w:val="auto"/>
          <w:sz w:val="24"/>
          <w:szCs w:val="24"/>
          <w:highlight w:val="none"/>
        </w:rPr>
        <w:t>投</w:t>
      </w:r>
      <w:r>
        <w:rPr>
          <w:color w:val="auto"/>
          <w:sz w:val="24"/>
          <w:szCs w:val="24"/>
          <w:highlight w:val="none"/>
        </w:rPr>
        <w:t>标产品的</w:t>
      </w:r>
      <w:r>
        <w:rPr>
          <w:rFonts w:hint="eastAsia"/>
          <w:color w:val="auto"/>
          <w:sz w:val="24"/>
          <w:szCs w:val="24"/>
          <w:highlight w:val="none"/>
        </w:rPr>
        <w:t>规格参数等</w:t>
      </w:r>
      <w:r>
        <w:rPr>
          <w:color w:val="auto"/>
          <w:sz w:val="24"/>
          <w:szCs w:val="24"/>
          <w:highlight w:val="none"/>
        </w:rPr>
        <w:t>于或优于</w:t>
      </w:r>
      <w:r>
        <w:rPr>
          <w:rFonts w:hint="eastAsia"/>
          <w:color w:val="auto"/>
          <w:sz w:val="24"/>
          <w:szCs w:val="24"/>
          <w:highlight w:val="none"/>
        </w:rPr>
        <w:t>“基本技术要求”的</w:t>
      </w:r>
      <w:r>
        <w:rPr>
          <w:color w:val="auto"/>
          <w:sz w:val="24"/>
          <w:szCs w:val="24"/>
          <w:highlight w:val="none"/>
        </w:rPr>
        <w:t>，</w:t>
      </w:r>
      <w:r>
        <w:rPr>
          <w:rFonts w:hint="eastAsia"/>
          <w:color w:val="auto"/>
          <w:sz w:val="24"/>
          <w:szCs w:val="24"/>
          <w:highlight w:val="none"/>
        </w:rPr>
        <w:t>投标人应提供相关证明材料（如权威评测资料、及印刷品产品说明书或印刷品图册等）以供评标委员会评审投标产品是</w:t>
      </w:r>
      <w:r>
        <w:rPr>
          <w:color w:val="auto"/>
          <w:sz w:val="24"/>
          <w:szCs w:val="24"/>
          <w:highlight w:val="none"/>
        </w:rPr>
        <w:t>否</w:t>
      </w:r>
      <w:r>
        <w:rPr>
          <w:rFonts w:hint="eastAsia"/>
          <w:color w:val="auto"/>
          <w:sz w:val="24"/>
          <w:szCs w:val="24"/>
          <w:highlight w:val="none"/>
        </w:rPr>
        <w:t>等于或优于“基本技术要求”、从而</w:t>
      </w:r>
      <w:r>
        <w:rPr>
          <w:color w:val="auto"/>
          <w:sz w:val="24"/>
          <w:szCs w:val="24"/>
          <w:highlight w:val="none"/>
        </w:rPr>
        <w:t>评定</w:t>
      </w:r>
      <w:r>
        <w:rPr>
          <w:rFonts w:hint="eastAsia"/>
          <w:color w:val="auto"/>
          <w:sz w:val="24"/>
          <w:szCs w:val="24"/>
          <w:highlight w:val="none"/>
        </w:rPr>
        <w:t>投标产品是</w:t>
      </w:r>
      <w:r>
        <w:rPr>
          <w:color w:val="auto"/>
          <w:sz w:val="24"/>
          <w:szCs w:val="24"/>
          <w:highlight w:val="none"/>
        </w:rPr>
        <w:t>否</w:t>
      </w:r>
      <w:r>
        <w:rPr>
          <w:rFonts w:hint="eastAsia"/>
          <w:color w:val="auto"/>
          <w:sz w:val="24"/>
          <w:szCs w:val="24"/>
          <w:highlight w:val="none"/>
        </w:rPr>
        <w:t>满</w:t>
      </w:r>
      <w:r>
        <w:rPr>
          <w:color w:val="auto"/>
          <w:sz w:val="24"/>
          <w:szCs w:val="24"/>
          <w:highlight w:val="none"/>
        </w:rPr>
        <w:t>足</w:t>
      </w:r>
      <w:r>
        <w:rPr>
          <w:rFonts w:hint="eastAsia"/>
          <w:color w:val="auto"/>
          <w:sz w:val="24"/>
          <w:szCs w:val="24"/>
          <w:highlight w:val="none"/>
        </w:rPr>
        <w:t>“基本技术要求”。</w:t>
      </w:r>
    </w:p>
    <w:p w14:paraId="5CA0F949">
      <w:pPr>
        <w:widowControl w:val="0"/>
        <w:adjustRightInd w:val="0"/>
        <w:snapToGrid w:val="0"/>
        <w:spacing w:before="156" w:beforeLines="50" w:line="300" w:lineRule="auto"/>
        <w:ind w:left="22" w:firstLine="555"/>
        <w:jc w:val="left"/>
        <w:rPr>
          <w:color w:val="auto"/>
          <w:sz w:val="24"/>
          <w:szCs w:val="24"/>
          <w:highlight w:val="none"/>
        </w:rPr>
      </w:pPr>
      <w:r>
        <w:rPr>
          <w:rFonts w:hint="eastAsia"/>
          <w:color w:val="auto"/>
          <w:sz w:val="24"/>
          <w:szCs w:val="24"/>
          <w:highlight w:val="none"/>
        </w:rPr>
        <w:t>“基本技术要求”列示的参数、规格为区</w:t>
      </w:r>
      <w:r>
        <w:rPr>
          <w:color w:val="auto"/>
          <w:sz w:val="24"/>
          <w:szCs w:val="24"/>
          <w:highlight w:val="none"/>
        </w:rPr>
        <w:t>间性描述的，</w:t>
      </w:r>
      <w:r>
        <w:rPr>
          <w:rFonts w:hint="eastAsia"/>
          <w:color w:val="auto"/>
          <w:sz w:val="24"/>
          <w:szCs w:val="24"/>
          <w:highlight w:val="none"/>
        </w:rPr>
        <w:t>投</w:t>
      </w:r>
      <w:r>
        <w:rPr>
          <w:color w:val="auto"/>
          <w:sz w:val="24"/>
          <w:szCs w:val="24"/>
          <w:highlight w:val="none"/>
        </w:rPr>
        <w:t>标产品</w:t>
      </w:r>
      <w:r>
        <w:rPr>
          <w:rFonts w:hint="eastAsia"/>
          <w:color w:val="auto"/>
          <w:sz w:val="24"/>
          <w:szCs w:val="24"/>
          <w:highlight w:val="none"/>
        </w:rPr>
        <w:t>参数规格</w:t>
      </w:r>
      <w:r>
        <w:rPr>
          <w:color w:val="auto"/>
          <w:sz w:val="24"/>
          <w:szCs w:val="24"/>
          <w:highlight w:val="none"/>
        </w:rPr>
        <w:t>在此区间内的</w:t>
      </w:r>
      <w:r>
        <w:rPr>
          <w:rFonts w:hint="eastAsia"/>
          <w:color w:val="auto"/>
          <w:sz w:val="24"/>
          <w:szCs w:val="24"/>
          <w:highlight w:val="none"/>
        </w:rPr>
        <w:t>、则</w:t>
      </w:r>
      <w:r>
        <w:rPr>
          <w:color w:val="auto"/>
          <w:sz w:val="24"/>
          <w:szCs w:val="24"/>
          <w:highlight w:val="none"/>
        </w:rPr>
        <w:t>显见的为</w:t>
      </w:r>
      <w:r>
        <w:rPr>
          <w:rFonts w:hint="eastAsia"/>
          <w:color w:val="auto"/>
          <w:sz w:val="24"/>
          <w:szCs w:val="24"/>
          <w:highlight w:val="none"/>
        </w:rPr>
        <w:t>符</w:t>
      </w:r>
      <w:r>
        <w:rPr>
          <w:color w:val="auto"/>
          <w:sz w:val="24"/>
          <w:szCs w:val="24"/>
          <w:highlight w:val="none"/>
        </w:rPr>
        <w:t>合</w:t>
      </w:r>
      <w:r>
        <w:rPr>
          <w:rFonts w:hint="eastAsia"/>
          <w:color w:val="auto"/>
          <w:sz w:val="24"/>
          <w:szCs w:val="24"/>
          <w:highlight w:val="none"/>
        </w:rPr>
        <w:t>“基本技术要求”。</w:t>
      </w:r>
    </w:p>
    <w:p w14:paraId="56268C00">
      <w:pPr>
        <w:widowControl w:val="0"/>
        <w:adjustRightInd w:val="0"/>
        <w:snapToGrid w:val="0"/>
        <w:spacing w:before="156" w:beforeLines="50" w:line="300" w:lineRule="auto"/>
        <w:ind w:left="22" w:firstLine="555"/>
        <w:jc w:val="left"/>
        <w:rPr>
          <w:color w:val="auto"/>
          <w:sz w:val="24"/>
          <w:szCs w:val="24"/>
          <w:highlight w:val="none"/>
        </w:rPr>
      </w:pPr>
      <w:r>
        <w:rPr>
          <w:color w:val="auto"/>
          <w:sz w:val="24"/>
          <w:szCs w:val="24"/>
          <w:highlight w:val="none"/>
        </w:rPr>
        <w:t>如</w:t>
      </w:r>
      <w:r>
        <w:rPr>
          <w:rFonts w:hint="eastAsia"/>
          <w:color w:val="auto"/>
          <w:sz w:val="24"/>
          <w:szCs w:val="24"/>
          <w:highlight w:val="none"/>
        </w:rPr>
        <w:t>“基本技术要求”中列示有品牌</w:t>
      </w:r>
      <w:r>
        <w:rPr>
          <w:color w:val="auto"/>
          <w:sz w:val="24"/>
          <w:szCs w:val="24"/>
          <w:highlight w:val="none"/>
        </w:rPr>
        <w:t>、</w:t>
      </w:r>
      <w:r>
        <w:rPr>
          <w:rFonts w:hint="eastAsia"/>
          <w:color w:val="auto"/>
          <w:sz w:val="24"/>
          <w:szCs w:val="24"/>
          <w:highlight w:val="none"/>
        </w:rPr>
        <w:t>型号、生</w:t>
      </w:r>
      <w:r>
        <w:rPr>
          <w:color w:val="auto"/>
          <w:sz w:val="24"/>
          <w:szCs w:val="24"/>
          <w:highlight w:val="none"/>
        </w:rPr>
        <w:t>产供应商名称</w:t>
      </w:r>
      <w:r>
        <w:rPr>
          <w:rFonts w:hint="eastAsia"/>
          <w:color w:val="auto"/>
          <w:sz w:val="24"/>
          <w:szCs w:val="24"/>
          <w:highlight w:val="none"/>
        </w:rPr>
        <w:t>、</w:t>
      </w:r>
      <w:r>
        <w:rPr>
          <w:color w:val="auto"/>
          <w:sz w:val="24"/>
          <w:szCs w:val="24"/>
          <w:highlight w:val="none"/>
        </w:rPr>
        <w:t>专利、商标</w:t>
      </w:r>
      <w:r>
        <w:rPr>
          <w:rFonts w:hint="eastAsia"/>
          <w:color w:val="auto"/>
          <w:sz w:val="24"/>
          <w:szCs w:val="24"/>
          <w:highlight w:val="none"/>
        </w:rPr>
        <w:t>的</w:t>
      </w:r>
      <w:r>
        <w:rPr>
          <w:color w:val="auto"/>
          <w:sz w:val="24"/>
          <w:szCs w:val="24"/>
          <w:highlight w:val="none"/>
        </w:rPr>
        <w:t>，</w:t>
      </w:r>
      <w:r>
        <w:rPr>
          <w:rFonts w:hint="eastAsia"/>
          <w:color w:val="auto"/>
          <w:sz w:val="24"/>
          <w:szCs w:val="24"/>
          <w:highlight w:val="none"/>
        </w:rPr>
        <w:t>均为“参</w:t>
      </w:r>
      <w:r>
        <w:rPr>
          <w:color w:val="auto"/>
          <w:sz w:val="24"/>
          <w:szCs w:val="24"/>
          <w:highlight w:val="none"/>
        </w:rPr>
        <w:t>照或相当于</w:t>
      </w:r>
      <w:r>
        <w:rPr>
          <w:rFonts w:hint="eastAsia"/>
          <w:color w:val="auto"/>
          <w:sz w:val="24"/>
          <w:szCs w:val="24"/>
          <w:highlight w:val="none"/>
        </w:rPr>
        <w:t>”的</w:t>
      </w:r>
      <w:r>
        <w:rPr>
          <w:color w:val="auto"/>
          <w:sz w:val="24"/>
          <w:szCs w:val="24"/>
          <w:highlight w:val="none"/>
        </w:rPr>
        <w:t>技术标准</w:t>
      </w:r>
      <w:r>
        <w:rPr>
          <w:rFonts w:hint="eastAsia"/>
          <w:color w:val="auto"/>
          <w:sz w:val="24"/>
          <w:szCs w:val="24"/>
          <w:highlight w:val="none"/>
        </w:rPr>
        <w:t>，投标人可提供等于或优于的其他产品（其他</w:t>
      </w:r>
      <w:r>
        <w:rPr>
          <w:color w:val="auto"/>
          <w:sz w:val="24"/>
          <w:szCs w:val="24"/>
          <w:highlight w:val="none"/>
        </w:rPr>
        <w:t>的</w:t>
      </w:r>
      <w:r>
        <w:rPr>
          <w:rFonts w:hint="eastAsia"/>
          <w:color w:val="auto"/>
          <w:sz w:val="24"/>
          <w:szCs w:val="24"/>
          <w:highlight w:val="none"/>
        </w:rPr>
        <w:t>品牌、型号、生产供应商、专利、商标</w:t>
      </w:r>
      <w:r>
        <w:rPr>
          <w:color w:val="auto"/>
          <w:sz w:val="24"/>
          <w:szCs w:val="24"/>
          <w:highlight w:val="none"/>
        </w:rPr>
        <w:t>）</w:t>
      </w:r>
      <w:r>
        <w:rPr>
          <w:rFonts w:hint="eastAsia"/>
          <w:color w:val="auto"/>
          <w:sz w:val="24"/>
          <w:szCs w:val="24"/>
          <w:highlight w:val="none"/>
        </w:rPr>
        <w:t>；投标人应提供相关证明材料（如权威评测资料、及印刷品产品说明书或印刷品图册等）以供评标委员会评审投标产品是否等于或优于“基本技术要求”、从而评定投标产品是否满足“基本技术要求”。</w:t>
      </w:r>
    </w:p>
    <w:p w14:paraId="24BDF6F0">
      <w:pPr>
        <w:widowControl w:val="0"/>
        <w:adjustRightInd w:val="0"/>
        <w:snapToGrid w:val="0"/>
        <w:spacing w:before="156" w:beforeLines="50" w:line="300" w:lineRule="auto"/>
        <w:ind w:left="22" w:firstLine="555"/>
        <w:jc w:val="left"/>
        <w:rPr>
          <w:rFonts w:hint="default" w:ascii="宋体" w:hAnsi="宋体" w:eastAsia="黑体"/>
          <w:color w:val="auto"/>
          <w:sz w:val="24"/>
          <w:szCs w:val="24"/>
          <w:highlight w:val="none"/>
          <w:lang w:val="en-US" w:eastAsia="zh-CN"/>
        </w:rPr>
      </w:pPr>
      <w:r>
        <w:rPr>
          <w:color w:val="auto"/>
          <w:sz w:val="24"/>
          <w:szCs w:val="24"/>
          <w:highlight w:val="none"/>
        </w:rPr>
        <w:t>2.</w:t>
      </w:r>
      <w:r>
        <w:rPr>
          <w:rFonts w:hint="eastAsia"/>
          <w:color w:val="auto"/>
          <w:sz w:val="24"/>
          <w:szCs w:val="24"/>
          <w:highlight w:val="none"/>
        </w:rPr>
        <w:t>7</w:t>
      </w:r>
      <w:r>
        <w:rPr>
          <w:color w:val="auto"/>
          <w:sz w:val="24"/>
          <w:szCs w:val="24"/>
          <w:highlight w:val="none"/>
        </w:rPr>
        <w:t>.2</w:t>
      </w:r>
      <w:r>
        <w:rPr>
          <w:rFonts w:hint="eastAsia"/>
          <w:color w:val="auto"/>
          <w:sz w:val="24"/>
          <w:szCs w:val="24"/>
          <w:highlight w:val="none"/>
        </w:rPr>
        <w:t>“基本技术要求”中带</w:t>
      </w:r>
      <w:r>
        <w:rPr>
          <w:rFonts w:hint="eastAsia"/>
          <w:color w:val="auto"/>
          <w:sz w:val="24"/>
          <w:szCs w:val="24"/>
          <w:highlight w:val="none"/>
          <w:lang w:val="en-US" w:eastAsia="zh-CN"/>
        </w:rPr>
        <w:t>星号</w:t>
      </w:r>
      <w:r>
        <w:rPr>
          <w:rFonts w:hint="eastAsia"/>
          <w:color w:val="auto"/>
          <w:sz w:val="24"/>
          <w:szCs w:val="24"/>
          <w:highlight w:val="none"/>
        </w:rPr>
        <w:t>（★）的为重要性的技术参数指标，未标注符号的为一般性的技术参数指标，如有“负偏离”的，评标委员会将按照第四章评分因素--技术项要求进行扣分。</w:t>
      </w:r>
    </w:p>
    <w:p w14:paraId="11299036">
      <w:pPr>
        <w:widowControl w:val="0"/>
        <w:adjustRightInd w:val="0"/>
        <w:snapToGrid w:val="0"/>
        <w:spacing w:before="156" w:beforeLines="50" w:line="300" w:lineRule="auto"/>
        <w:ind w:left="22" w:firstLine="555"/>
        <w:jc w:val="left"/>
        <w:rPr>
          <w:color w:val="auto"/>
          <w:sz w:val="24"/>
          <w:szCs w:val="24"/>
          <w:highlight w:val="none"/>
        </w:rPr>
      </w:pPr>
      <w:r>
        <w:rPr>
          <w:color w:val="auto"/>
          <w:sz w:val="24"/>
          <w:szCs w:val="24"/>
          <w:highlight w:val="none"/>
        </w:rPr>
        <w:t>2.</w:t>
      </w:r>
      <w:r>
        <w:rPr>
          <w:rFonts w:hint="eastAsia"/>
          <w:color w:val="auto"/>
          <w:sz w:val="24"/>
          <w:szCs w:val="24"/>
          <w:highlight w:val="none"/>
        </w:rPr>
        <w:t>7</w:t>
      </w:r>
      <w:r>
        <w:rPr>
          <w:color w:val="auto"/>
          <w:sz w:val="24"/>
          <w:szCs w:val="24"/>
          <w:highlight w:val="none"/>
        </w:rPr>
        <w:t>.</w:t>
      </w:r>
      <w:r>
        <w:rPr>
          <w:rFonts w:hint="eastAsia"/>
          <w:color w:val="auto"/>
          <w:sz w:val="24"/>
          <w:szCs w:val="24"/>
          <w:highlight w:val="none"/>
        </w:rPr>
        <w:t>3</w:t>
      </w:r>
      <w:r>
        <w:rPr>
          <w:color w:val="auto"/>
          <w:sz w:val="24"/>
          <w:szCs w:val="24"/>
          <w:highlight w:val="none"/>
        </w:rPr>
        <w:t xml:space="preserve"> </w:t>
      </w:r>
      <w:r>
        <w:rPr>
          <w:rFonts w:hint="eastAsia"/>
          <w:color w:val="auto"/>
          <w:sz w:val="24"/>
          <w:szCs w:val="24"/>
          <w:highlight w:val="none"/>
        </w:rPr>
        <w:t>除招标文件“基本技术要求”有明确说明外，投标人所投标的各项设备均应为该设备的标准配置、不应改变或调换厂家的出厂标准配置；如确因市场因素无法按上述规格产品进行投标，应提供优于“基本技术要求”的同类产品进行投标，投标人应提供印刷品产品说明书或印刷品图册等予以佐证（电子档）。</w:t>
      </w:r>
    </w:p>
    <w:p w14:paraId="285B163C">
      <w:pPr>
        <w:widowControl w:val="0"/>
        <w:adjustRightInd w:val="0"/>
        <w:snapToGrid w:val="0"/>
        <w:spacing w:before="156" w:beforeLines="50" w:line="300" w:lineRule="auto"/>
        <w:ind w:firstLine="540"/>
        <w:rPr>
          <w:color w:val="auto"/>
          <w:sz w:val="24"/>
          <w:szCs w:val="24"/>
          <w:highlight w:val="none"/>
        </w:rPr>
      </w:pPr>
      <w:r>
        <w:rPr>
          <w:color w:val="auto"/>
          <w:sz w:val="24"/>
          <w:szCs w:val="24"/>
          <w:highlight w:val="none"/>
        </w:rPr>
        <w:t>2.</w:t>
      </w:r>
      <w:r>
        <w:rPr>
          <w:rFonts w:hint="eastAsia"/>
          <w:color w:val="auto"/>
          <w:sz w:val="24"/>
          <w:szCs w:val="24"/>
          <w:highlight w:val="none"/>
        </w:rPr>
        <w:t>7</w:t>
      </w:r>
      <w:r>
        <w:rPr>
          <w:color w:val="auto"/>
          <w:sz w:val="24"/>
          <w:szCs w:val="24"/>
          <w:highlight w:val="none"/>
        </w:rPr>
        <w:t>.</w:t>
      </w:r>
      <w:r>
        <w:rPr>
          <w:rFonts w:hint="eastAsia"/>
          <w:color w:val="auto"/>
          <w:sz w:val="24"/>
          <w:szCs w:val="24"/>
          <w:highlight w:val="none"/>
        </w:rPr>
        <w:t>4投标文件对技术偏差的描述要求：见第三章投标人须知</w:t>
      </w:r>
      <w:r>
        <w:rPr>
          <w:color w:val="auto"/>
          <w:sz w:val="24"/>
          <w:szCs w:val="24"/>
          <w:highlight w:val="none"/>
        </w:rPr>
        <w:t>3.7.3</w:t>
      </w:r>
      <w:r>
        <w:rPr>
          <w:rFonts w:hint="eastAsia"/>
          <w:color w:val="auto"/>
          <w:sz w:val="24"/>
          <w:szCs w:val="24"/>
          <w:highlight w:val="none"/>
        </w:rPr>
        <w:t>项。</w:t>
      </w:r>
    </w:p>
    <w:p w14:paraId="5A06174D">
      <w:pPr>
        <w:adjustRightInd w:val="0"/>
        <w:snapToGrid w:val="0"/>
        <w:spacing w:line="300" w:lineRule="auto"/>
        <w:ind w:firstLine="566" w:firstLineChars="235"/>
        <w:jc w:val="left"/>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rPr>
        <w:t>8</w:t>
      </w:r>
      <w:r>
        <w:rPr>
          <w:rFonts w:ascii="黑体" w:hAnsi="黑体" w:eastAsia="黑体"/>
          <w:b/>
          <w:color w:val="auto"/>
          <w:sz w:val="24"/>
          <w:szCs w:val="24"/>
          <w:highlight w:val="none"/>
        </w:rPr>
        <w:t xml:space="preserve"> </w:t>
      </w:r>
      <w:r>
        <w:rPr>
          <w:rFonts w:hint="eastAsia" w:ascii="黑体" w:hAnsi="黑体" w:eastAsia="黑体"/>
          <w:b/>
          <w:color w:val="auto"/>
          <w:sz w:val="24"/>
          <w:szCs w:val="24"/>
          <w:highlight w:val="none"/>
        </w:rPr>
        <w:t>售后服务（采购标的需满足的服务标准、期限、效率等要求）</w:t>
      </w:r>
    </w:p>
    <w:p w14:paraId="52DCEADB">
      <w:pPr>
        <w:widowControl w:val="0"/>
        <w:adjustRightInd w:val="0"/>
        <w:snapToGrid w:val="0"/>
        <w:spacing w:before="156" w:beforeLines="50" w:line="300" w:lineRule="auto"/>
        <w:ind w:firstLine="538"/>
        <w:rPr>
          <w:color w:val="auto"/>
          <w:sz w:val="24"/>
          <w:szCs w:val="24"/>
          <w:highlight w:val="none"/>
        </w:rPr>
      </w:pPr>
      <w:r>
        <w:rPr>
          <w:color w:val="auto"/>
          <w:sz w:val="24"/>
          <w:szCs w:val="24"/>
          <w:highlight w:val="none"/>
        </w:rPr>
        <w:t>2.</w:t>
      </w:r>
      <w:r>
        <w:rPr>
          <w:rFonts w:hint="eastAsia"/>
          <w:color w:val="auto"/>
          <w:sz w:val="24"/>
          <w:szCs w:val="24"/>
          <w:highlight w:val="none"/>
        </w:rPr>
        <w:t>8</w:t>
      </w:r>
      <w:r>
        <w:rPr>
          <w:color w:val="auto"/>
          <w:sz w:val="24"/>
          <w:szCs w:val="24"/>
          <w:highlight w:val="none"/>
        </w:rPr>
        <w:t>.1</w:t>
      </w:r>
      <w:r>
        <w:rPr>
          <w:rFonts w:hint="eastAsia"/>
          <w:color w:val="auto"/>
          <w:sz w:val="24"/>
          <w:szCs w:val="24"/>
          <w:highlight w:val="none"/>
        </w:rPr>
        <w:t>货物的保修除按国家有关规定、各产品生产厂家规定及项目特殊要求处理外，还应满足下述条款：</w:t>
      </w:r>
    </w:p>
    <w:p w14:paraId="10A7E93E">
      <w:pPr>
        <w:widowControl w:val="0"/>
        <w:adjustRightInd w:val="0"/>
        <w:snapToGrid w:val="0"/>
        <w:spacing w:before="156" w:beforeLines="50" w:line="300" w:lineRule="auto"/>
        <w:ind w:firstLine="538"/>
        <w:rPr>
          <w:color w:val="auto"/>
          <w:sz w:val="24"/>
          <w:szCs w:val="24"/>
          <w:highlight w:val="none"/>
        </w:rPr>
      </w:pPr>
      <w:r>
        <w:rPr>
          <w:rFonts w:hint="eastAsia"/>
          <w:color w:val="auto"/>
          <w:sz w:val="24"/>
          <w:szCs w:val="24"/>
          <w:highlight w:val="none"/>
        </w:rPr>
        <w:t>（</w:t>
      </w:r>
      <w:r>
        <w:rPr>
          <w:color w:val="auto"/>
          <w:sz w:val="24"/>
          <w:szCs w:val="24"/>
          <w:highlight w:val="none"/>
        </w:rPr>
        <w:t>1</w:t>
      </w:r>
      <w:r>
        <w:rPr>
          <w:rFonts w:hint="eastAsia"/>
          <w:color w:val="auto"/>
          <w:sz w:val="24"/>
          <w:szCs w:val="24"/>
          <w:highlight w:val="none"/>
        </w:rPr>
        <w:t>）招标文件中未明确列明保修条款的设备，均需提供至少</w:t>
      </w:r>
      <w:r>
        <w:rPr>
          <w:rFonts w:hint="eastAsia"/>
          <w:color w:val="auto"/>
          <w:sz w:val="24"/>
          <w:szCs w:val="24"/>
          <w:highlight w:val="none"/>
          <w:lang w:eastAsia="zh-CN"/>
        </w:rPr>
        <w:t>三</w:t>
      </w:r>
      <w:r>
        <w:rPr>
          <w:rFonts w:hint="eastAsia"/>
          <w:color w:val="auto"/>
          <w:sz w:val="24"/>
          <w:szCs w:val="24"/>
          <w:highlight w:val="none"/>
        </w:rPr>
        <w:t>年的免费保修；国家规定或产品生产厂家规定大于</w:t>
      </w:r>
      <w:r>
        <w:rPr>
          <w:rFonts w:hint="eastAsia"/>
          <w:color w:val="auto"/>
          <w:sz w:val="24"/>
          <w:szCs w:val="24"/>
          <w:highlight w:val="none"/>
          <w:lang w:eastAsia="zh-CN"/>
        </w:rPr>
        <w:t>三</w:t>
      </w:r>
      <w:r>
        <w:rPr>
          <w:rFonts w:hint="eastAsia"/>
          <w:color w:val="auto"/>
          <w:sz w:val="24"/>
          <w:szCs w:val="24"/>
          <w:highlight w:val="none"/>
        </w:rPr>
        <w:t>年的，按国家规定与厂家规定最有利于采购人原则执行；招标文件已明确列明大于</w:t>
      </w:r>
      <w:r>
        <w:rPr>
          <w:rFonts w:hint="eastAsia"/>
          <w:color w:val="auto"/>
          <w:sz w:val="24"/>
          <w:szCs w:val="24"/>
          <w:highlight w:val="none"/>
          <w:lang w:eastAsia="zh-CN"/>
        </w:rPr>
        <w:t>三</w:t>
      </w:r>
      <w:r>
        <w:rPr>
          <w:rFonts w:hint="eastAsia"/>
          <w:color w:val="auto"/>
          <w:sz w:val="24"/>
          <w:szCs w:val="24"/>
          <w:highlight w:val="none"/>
        </w:rPr>
        <w:t>年保修的，按该条款及其响应执行，并终身维护；</w:t>
      </w:r>
    </w:p>
    <w:p w14:paraId="55634196">
      <w:pPr>
        <w:widowControl w:val="0"/>
        <w:adjustRightInd w:val="0"/>
        <w:snapToGrid w:val="0"/>
        <w:spacing w:before="156" w:beforeLines="50" w:line="300" w:lineRule="auto"/>
        <w:ind w:left="22" w:firstLine="538"/>
        <w:rPr>
          <w:color w:val="auto"/>
          <w:sz w:val="24"/>
          <w:szCs w:val="24"/>
          <w:highlight w:val="none"/>
        </w:rPr>
      </w:pPr>
      <w:r>
        <w:rPr>
          <w:rFonts w:hint="eastAsia"/>
          <w:color w:val="auto"/>
          <w:sz w:val="24"/>
          <w:szCs w:val="24"/>
          <w:highlight w:val="none"/>
        </w:rPr>
        <w:t>（</w:t>
      </w:r>
      <w:r>
        <w:rPr>
          <w:color w:val="auto"/>
          <w:sz w:val="24"/>
          <w:szCs w:val="24"/>
          <w:highlight w:val="none"/>
        </w:rPr>
        <w:t>2</w:t>
      </w:r>
      <w:r>
        <w:rPr>
          <w:rFonts w:hint="eastAsia"/>
          <w:color w:val="auto"/>
          <w:sz w:val="24"/>
          <w:szCs w:val="24"/>
          <w:highlight w:val="none"/>
        </w:rPr>
        <w:t>）保修期内货物发生故障系货物出现质量问题，必须无偿更换；</w:t>
      </w:r>
    </w:p>
    <w:p w14:paraId="4FB79FCF">
      <w:pPr>
        <w:widowControl w:val="0"/>
        <w:adjustRightInd w:val="0"/>
        <w:snapToGrid w:val="0"/>
        <w:spacing w:before="156" w:beforeLines="50" w:line="300" w:lineRule="auto"/>
        <w:ind w:firstLine="538"/>
        <w:rPr>
          <w:color w:val="auto"/>
          <w:sz w:val="24"/>
          <w:szCs w:val="24"/>
          <w:highlight w:val="none"/>
        </w:rPr>
      </w:pPr>
      <w:r>
        <w:rPr>
          <w:rFonts w:hint="eastAsia"/>
          <w:color w:val="auto"/>
          <w:sz w:val="24"/>
          <w:szCs w:val="24"/>
          <w:highlight w:val="none"/>
        </w:rPr>
        <w:t>（</w:t>
      </w:r>
      <w:r>
        <w:rPr>
          <w:color w:val="auto"/>
          <w:sz w:val="24"/>
          <w:szCs w:val="24"/>
          <w:highlight w:val="none"/>
        </w:rPr>
        <w:t>3</w:t>
      </w:r>
      <w:r>
        <w:rPr>
          <w:rFonts w:hint="eastAsia"/>
          <w:color w:val="auto"/>
          <w:sz w:val="24"/>
          <w:szCs w:val="24"/>
          <w:highlight w:val="none"/>
        </w:rPr>
        <w:t>）货物超过保修期发生故障，采购人可自由选择维修单位，如委托给中标人，中标人不得借故推诿，且维修费优于市场价格；</w:t>
      </w:r>
    </w:p>
    <w:p w14:paraId="02C90EA3">
      <w:pPr>
        <w:widowControl w:val="0"/>
        <w:adjustRightInd w:val="0"/>
        <w:snapToGrid w:val="0"/>
        <w:spacing w:before="156" w:beforeLines="50" w:line="300" w:lineRule="auto"/>
        <w:ind w:firstLine="538"/>
        <w:rPr>
          <w:color w:val="auto"/>
          <w:sz w:val="24"/>
          <w:szCs w:val="24"/>
          <w:highlight w:val="none"/>
        </w:rPr>
      </w:pPr>
      <w:r>
        <w:rPr>
          <w:rFonts w:hint="eastAsia"/>
          <w:color w:val="auto"/>
          <w:sz w:val="24"/>
          <w:szCs w:val="24"/>
          <w:highlight w:val="none"/>
        </w:rPr>
        <w:t>（</w:t>
      </w:r>
      <w:r>
        <w:rPr>
          <w:color w:val="auto"/>
          <w:sz w:val="24"/>
          <w:szCs w:val="24"/>
          <w:highlight w:val="none"/>
        </w:rPr>
        <w:t>4</w:t>
      </w:r>
      <w:r>
        <w:rPr>
          <w:rFonts w:hint="eastAsia"/>
          <w:color w:val="auto"/>
          <w:sz w:val="24"/>
          <w:szCs w:val="24"/>
          <w:highlight w:val="none"/>
        </w:rPr>
        <w:t>）如货物发生故障，接到通知后需尽快做出响应，并在</w:t>
      </w:r>
      <w:r>
        <w:rPr>
          <w:color w:val="auto"/>
          <w:sz w:val="24"/>
          <w:szCs w:val="24"/>
          <w:highlight w:val="none"/>
        </w:rPr>
        <w:t>24</w:t>
      </w:r>
      <w:r>
        <w:rPr>
          <w:rFonts w:hint="eastAsia"/>
          <w:color w:val="auto"/>
          <w:sz w:val="24"/>
          <w:szCs w:val="24"/>
          <w:highlight w:val="none"/>
        </w:rPr>
        <w:t>小时内及时赶到现场，负责故障原因的诊断，尽快排除故障。</w:t>
      </w:r>
    </w:p>
    <w:p w14:paraId="74306CFB">
      <w:pPr>
        <w:widowControl w:val="0"/>
        <w:adjustRightInd w:val="0"/>
        <w:snapToGrid w:val="0"/>
        <w:spacing w:before="156" w:beforeLines="50" w:line="300" w:lineRule="auto"/>
        <w:ind w:firstLine="538"/>
        <w:rPr>
          <w:color w:val="auto"/>
          <w:sz w:val="24"/>
          <w:szCs w:val="24"/>
          <w:highlight w:val="none"/>
        </w:rPr>
      </w:pPr>
      <w:r>
        <w:rPr>
          <w:color w:val="auto"/>
          <w:sz w:val="24"/>
          <w:szCs w:val="24"/>
          <w:highlight w:val="none"/>
        </w:rPr>
        <w:t>2.</w:t>
      </w:r>
      <w:r>
        <w:rPr>
          <w:rFonts w:hint="eastAsia"/>
          <w:color w:val="auto"/>
          <w:sz w:val="24"/>
          <w:szCs w:val="24"/>
          <w:highlight w:val="none"/>
        </w:rPr>
        <w:t>8</w:t>
      </w:r>
      <w:r>
        <w:rPr>
          <w:color w:val="auto"/>
          <w:sz w:val="24"/>
          <w:szCs w:val="24"/>
          <w:highlight w:val="none"/>
        </w:rPr>
        <w:t xml:space="preserve">.2 </w:t>
      </w:r>
      <w:r>
        <w:rPr>
          <w:rFonts w:hint="eastAsia"/>
          <w:color w:val="auto"/>
          <w:sz w:val="24"/>
          <w:szCs w:val="24"/>
          <w:highlight w:val="none"/>
        </w:rPr>
        <w:t>在中标人未按照合同规定的地点交验前，货物毁坏或灭失，由中标人承担责任。</w:t>
      </w:r>
    </w:p>
    <w:p w14:paraId="3E11C301">
      <w:pPr>
        <w:widowControl w:val="0"/>
        <w:adjustRightInd w:val="0"/>
        <w:snapToGrid w:val="0"/>
        <w:spacing w:before="156" w:beforeLines="50" w:line="300" w:lineRule="auto"/>
        <w:ind w:firstLine="538"/>
        <w:rPr>
          <w:color w:val="auto"/>
          <w:highlight w:val="none"/>
        </w:rPr>
      </w:pPr>
      <w:r>
        <w:rPr>
          <w:color w:val="auto"/>
          <w:sz w:val="24"/>
          <w:szCs w:val="24"/>
          <w:highlight w:val="none"/>
        </w:rPr>
        <w:t>2.</w:t>
      </w:r>
      <w:r>
        <w:rPr>
          <w:rFonts w:hint="eastAsia"/>
          <w:color w:val="auto"/>
          <w:sz w:val="24"/>
          <w:szCs w:val="24"/>
          <w:highlight w:val="none"/>
        </w:rPr>
        <w:t>8</w:t>
      </w:r>
      <w:r>
        <w:rPr>
          <w:color w:val="auto"/>
          <w:sz w:val="24"/>
          <w:szCs w:val="24"/>
          <w:highlight w:val="none"/>
        </w:rPr>
        <w:t>.3</w:t>
      </w:r>
      <w:r>
        <w:rPr>
          <w:rFonts w:hint="eastAsia" w:ascii="宋体" w:hAnsi="宋体"/>
          <w:color w:val="auto"/>
          <w:sz w:val="24"/>
          <w:szCs w:val="24"/>
          <w:highlight w:val="none"/>
        </w:rPr>
        <w:t>投标人需提供详尽的售后服务承诺；如由产品生产厂家提供相关售后服务的，投标人负有连带售后服</w:t>
      </w:r>
      <w:r>
        <w:rPr>
          <w:rFonts w:hint="eastAsia"/>
          <w:color w:val="auto"/>
          <w:sz w:val="24"/>
          <w:szCs w:val="24"/>
          <w:highlight w:val="none"/>
        </w:rPr>
        <w:t>务责任。</w:t>
      </w:r>
    </w:p>
    <w:p w14:paraId="597E8A35">
      <w:pPr>
        <w:adjustRightInd w:val="0"/>
        <w:snapToGrid w:val="0"/>
        <w:spacing w:line="300" w:lineRule="auto"/>
        <w:ind w:firstLine="566" w:firstLineChars="235"/>
        <w:jc w:val="left"/>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rPr>
        <w:t>9保险、货物包装</w:t>
      </w:r>
    </w:p>
    <w:p w14:paraId="3407DED1">
      <w:pPr>
        <w:adjustRightInd w:val="0"/>
        <w:snapToGrid w:val="0"/>
        <w:spacing w:line="300" w:lineRule="auto"/>
        <w:ind w:firstLine="564" w:firstLineChars="235"/>
        <w:jc w:val="left"/>
        <w:rPr>
          <w:color w:val="auto"/>
          <w:sz w:val="24"/>
          <w:szCs w:val="24"/>
          <w:highlight w:val="none"/>
        </w:rPr>
      </w:pPr>
      <w:r>
        <w:rPr>
          <w:rFonts w:hint="eastAsia"/>
          <w:color w:val="auto"/>
          <w:sz w:val="24"/>
          <w:szCs w:val="24"/>
          <w:highlight w:val="none"/>
        </w:rPr>
        <w:t>2.9.1保险（如需）：</w:t>
      </w:r>
    </w:p>
    <w:p w14:paraId="2116D238">
      <w:pPr>
        <w:adjustRightInd w:val="0"/>
        <w:snapToGrid w:val="0"/>
        <w:spacing w:line="300" w:lineRule="auto"/>
        <w:ind w:firstLine="564" w:firstLineChars="235"/>
        <w:jc w:val="left"/>
        <w:rPr>
          <w:color w:val="auto"/>
          <w:sz w:val="24"/>
          <w:szCs w:val="24"/>
          <w:highlight w:val="none"/>
        </w:rPr>
      </w:pPr>
      <w:r>
        <w:rPr>
          <w:rFonts w:hint="eastAsia"/>
          <w:color w:val="auto"/>
          <w:sz w:val="24"/>
          <w:szCs w:val="24"/>
          <w:highlight w:val="none"/>
        </w:rPr>
        <w:t>投标人应遵循国家相关保险的规定，依法办理采购需求范围内的相关法定保险，相关保险费用及相应责任由中标人承担。</w:t>
      </w:r>
    </w:p>
    <w:p w14:paraId="36220885">
      <w:pPr>
        <w:adjustRightInd w:val="0"/>
        <w:snapToGrid w:val="0"/>
        <w:spacing w:line="300" w:lineRule="auto"/>
        <w:ind w:firstLine="564" w:firstLineChars="235"/>
        <w:jc w:val="left"/>
        <w:rPr>
          <w:color w:val="auto"/>
          <w:sz w:val="24"/>
          <w:szCs w:val="24"/>
          <w:highlight w:val="none"/>
        </w:rPr>
      </w:pPr>
      <w:r>
        <w:rPr>
          <w:rFonts w:hint="eastAsia"/>
          <w:color w:val="auto"/>
          <w:sz w:val="24"/>
          <w:szCs w:val="24"/>
          <w:highlight w:val="none"/>
        </w:rPr>
        <w:t>在中标人未按照合同规定的地点交验前，货物毁坏或灭失，人身、安全责任，均由中标人承担责任。投标人可以按照最有利于项目风险控制的原则，为项目办理货物、人身及第三方公众责任险。</w:t>
      </w:r>
    </w:p>
    <w:p w14:paraId="68A9D391">
      <w:pPr>
        <w:adjustRightInd w:val="0"/>
        <w:snapToGrid w:val="0"/>
        <w:spacing w:line="300" w:lineRule="auto"/>
        <w:ind w:firstLine="564" w:firstLineChars="235"/>
        <w:jc w:val="left"/>
        <w:rPr>
          <w:color w:val="auto"/>
          <w:sz w:val="24"/>
          <w:szCs w:val="24"/>
          <w:highlight w:val="none"/>
        </w:rPr>
      </w:pPr>
      <w:r>
        <w:rPr>
          <w:rFonts w:hint="eastAsia"/>
          <w:color w:val="auto"/>
          <w:sz w:val="24"/>
          <w:szCs w:val="24"/>
          <w:highlight w:val="none"/>
        </w:rPr>
        <w:t>2.9.2货物包装：</w:t>
      </w:r>
    </w:p>
    <w:p w14:paraId="15456A58">
      <w:pPr>
        <w:adjustRightInd w:val="0"/>
        <w:snapToGrid w:val="0"/>
        <w:spacing w:line="300" w:lineRule="auto"/>
        <w:ind w:firstLine="564" w:firstLineChars="235"/>
        <w:jc w:val="left"/>
        <w:rPr>
          <w:color w:val="auto"/>
          <w:sz w:val="24"/>
          <w:szCs w:val="24"/>
          <w:highlight w:val="none"/>
        </w:rPr>
      </w:pPr>
      <w:r>
        <w:rPr>
          <w:rFonts w:hint="eastAsia"/>
          <w:color w:val="auto"/>
          <w:sz w:val="24"/>
          <w:szCs w:val="24"/>
          <w:highlight w:val="none"/>
        </w:rPr>
        <w:t>中标人负责按国家相关标准进行货物包装，设备的包装均应有良好的防湿、防锈、防潮、防雨、防腐及防碰撞的措施，凡由于包装不良造成的损失和由此产生的费用均由中标人承担。</w:t>
      </w:r>
    </w:p>
    <w:p w14:paraId="40E5831B">
      <w:pPr>
        <w:adjustRightInd w:val="0"/>
        <w:snapToGrid w:val="0"/>
        <w:spacing w:line="300" w:lineRule="auto"/>
        <w:ind w:firstLine="566" w:firstLineChars="235"/>
        <w:jc w:val="left"/>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rPr>
        <w:t>10采购标的的验收标准</w:t>
      </w:r>
    </w:p>
    <w:p w14:paraId="4ABAC3E3">
      <w:pPr>
        <w:adjustRightInd w:val="0"/>
        <w:snapToGrid w:val="0"/>
        <w:spacing w:line="300" w:lineRule="auto"/>
        <w:ind w:firstLine="564" w:firstLineChars="235"/>
        <w:jc w:val="left"/>
        <w:rPr>
          <w:rFonts w:ascii="黑体" w:hAnsi="黑体" w:eastAsia="黑体"/>
          <w:b/>
          <w:color w:val="auto"/>
          <w:sz w:val="24"/>
          <w:szCs w:val="24"/>
          <w:highlight w:val="none"/>
        </w:rPr>
      </w:pPr>
      <w:r>
        <w:rPr>
          <w:rFonts w:hint="eastAsia" w:ascii="宋体" w:hAnsi="宋体" w:cs="楷体_GB2312"/>
          <w:color w:val="auto"/>
          <w:sz w:val="24"/>
          <w:highlight w:val="none"/>
          <w:lang w:val="zh-CN"/>
        </w:rPr>
        <w:t>见“第三章</w:t>
      </w:r>
      <w:r>
        <w:rPr>
          <w:rFonts w:ascii="宋体" w:hAnsi="宋体" w:cs="楷体_GB2312"/>
          <w:color w:val="auto"/>
          <w:sz w:val="24"/>
          <w:highlight w:val="none"/>
          <w:lang w:val="zh-CN"/>
        </w:rPr>
        <w:t xml:space="preserve"> </w:t>
      </w:r>
      <w:r>
        <w:rPr>
          <w:rFonts w:hint="eastAsia" w:ascii="宋体" w:hAnsi="宋体" w:cs="楷体_GB2312"/>
          <w:color w:val="auto"/>
          <w:sz w:val="24"/>
          <w:highlight w:val="none"/>
          <w:lang w:val="zh-CN"/>
        </w:rPr>
        <w:t>投标人须知”</w:t>
      </w:r>
      <w:r>
        <w:rPr>
          <w:rFonts w:ascii="宋体" w:hAnsi="宋体" w:cs="楷体_GB2312"/>
          <w:color w:val="auto"/>
          <w:sz w:val="24"/>
          <w:highlight w:val="none"/>
          <w:lang w:val="zh-CN"/>
        </w:rPr>
        <w:t xml:space="preserve"> </w:t>
      </w:r>
      <w:r>
        <w:rPr>
          <w:rFonts w:hint="eastAsia" w:ascii="宋体" w:hAnsi="宋体" w:cs="楷体_GB2312"/>
          <w:color w:val="auto"/>
          <w:sz w:val="24"/>
          <w:highlight w:val="none"/>
          <w:lang w:val="zh-CN"/>
        </w:rPr>
        <w:t>第9条“验收”条款。</w:t>
      </w:r>
    </w:p>
    <w:p w14:paraId="4B84B307">
      <w:pPr>
        <w:adjustRightInd w:val="0"/>
        <w:snapToGrid w:val="0"/>
        <w:spacing w:before="156" w:beforeLines="50" w:line="300" w:lineRule="auto"/>
        <w:ind w:firstLine="566" w:firstLineChars="235"/>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rPr>
        <w:t>11采购标的的其他技术、服务等要求</w:t>
      </w:r>
    </w:p>
    <w:p w14:paraId="48E3F188">
      <w:pPr>
        <w:adjustRightInd w:val="0"/>
        <w:snapToGrid w:val="0"/>
        <w:spacing w:line="300" w:lineRule="auto"/>
        <w:ind w:firstLine="564" w:firstLineChars="235"/>
        <w:jc w:val="left"/>
        <w:rPr>
          <w:rFonts w:hint="eastAsia" w:eastAsia="宋体"/>
          <w:color w:val="auto"/>
          <w:sz w:val="24"/>
          <w:szCs w:val="24"/>
          <w:highlight w:val="none"/>
          <w:lang w:eastAsia="zh-CN"/>
        </w:rPr>
      </w:pPr>
      <w:r>
        <w:rPr>
          <w:rFonts w:hint="eastAsia" w:eastAsia="宋体"/>
          <w:color w:val="auto"/>
          <w:sz w:val="24"/>
          <w:szCs w:val="24"/>
          <w:highlight w:val="none"/>
          <w:lang w:eastAsia="zh-CN"/>
        </w:rPr>
        <w:t>无</w:t>
      </w:r>
    </w:p>
    <w:p w14:paraId="4B4E6027">
      <w:pPr>
        <w:adjustRightInd w:val="0"/>
        <w:snapToGrid w:val="0"/>
        <w:spacing w:before="156" w:beforeLines="50" w:line="300" w:lineRule="auto"/>
        <w:ind w:firstLine="562" w:firstLineChars="200"/>
        <w:outlineLvl w:val="1"/>
        <w:rPr>
          <w:rFonts w:ascii="黑体" w:hAnsi="黑体" w:eastAsia="黑体"/>
          <w:b/>
          <w:color w:val="auto"/>
          <w:sz w:val="28"/>
          <w:highlight w:val="none"/>
        </w:rPr>
      </w:pPr>
      <w:bookmarkStart w:id="1" w:name="_Toc24155"/>
    </w:p>
    <w:p w14:paraId="5FC66951">
      <w:pPr>
        <w:adjustRightInd w:val="0"/>
        <w:snapToGrid w:val="0"/>
        <w:spacing w:before="156" w:beforeLines="50" w:line="300" w:lineRule="auto"/>
        <w:ind w:firstLine="562" w:firstLineChars="200"/>
        <w:outlineLvl w:val="1"/>
        <w:rPr>
          <w:rFonts w:ascii="黑体" w:hAnsi="黑体" w:eastAsia="黑体"/>
          <w:b/>
          <w:color w:val="auto"/>
          <w:sz w:val="28"/>
          <w:highlight w:val="none"/>
        </w:rPr>
      </w:pPr>
      <w:r>
        <w:rPr>
          <w:rFonts w:ascii="黑体" w:hAnsi="黑体" w:eastAsia="黑体"/>
          <w:b/>
          <w:color w:val="auto"/>
          <w:sz w:val="28"/>
          <w:highlight w:val="none"/>
        </w:rPr>
        <w:t xml:space="preserve">3. </w:t>
      </w:r>
      <w:r>
        <w:rPr>
          <w:rFonts w:hint="eastAsia" w:ascii="黑体" w:hAnsi="黑体" w:eastAsia="黑体"/>
          <w:b/>
          <w:color w:val="auto"/>
          <w:sz w:val="28"/>
          <w:highlight w:val="none"/>
        </w:rPr>
        <w:t>项目其他要求</w:t>
      </w:r>
      <w:bookmarkEnd w:id="1"/>
    </w:p>
    <w:p w14:paraId="129D1D89">
      <w:pPr>
        <w:adjustRightInd w:val="0"/>
        <w:snapToGrid w:val="0"/>
        <w:spacing w:line="300" w:lineRule="auto"/>
        <w:ind w:firstLine="564" w:firstLineChars="235"/>
        <w:jc w:val="left"/>
        <w:rPr>
          <w:rFonts w:hint="eastAsia" w:eastAsia="宋体"/>
          <w:color w:val="auto"/>
          <w:sz w:val="24"/>
          <w:szCs w:val="24"/>
          <w:highlight w:val="none"/>
          <w:lang w:eastAsia="zh-CN"/>
        </w:rPr>
      </w:pPr>
      <w:r>
        <w:rPr>
          <w:rFonts w:hint="eastAsia" w:eastAsia="宋体"/>
          <w:color w:val="auto"/>
          <w:sz w:val="24"/>
          <w:szCs w:val="24"/>
          <w:highlight w:val="none"/>
          <w:lang w:eastAsia="zh-CN"/>
        </w:rPr>
        <w:t>无</w:t>
      </w:r>
    </w:p>
    <w:p w14:paraId="3807D05F">
      <w:bookmarkStart w:id="2" w:name="_GoBack"/>
      <w:bookmarkEnd w:id="2"/>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简体">
    <w:altName w:val="微软雅黑"/>
    <w:panose1 w:val="02010601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206463"/>
    <w:rsid w:val="32206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57" w:lineRule="atLeast"/>
      <w:jc w:val="both"/>
      <w:textAlignment w:val="baseline"/>
    </w:pPr>
    <w:rPr>
      <w:rFonts w:ascii="Times New Roman" w:hAnsi="Times New Roman" w:eastAsia="宋体" w:cs="Times New Roman"/>
      <w:color w:val="000000"/>
      <w:sz w:val="21"/>
      <w:u w:color="000000"/>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99"/>
    <w:pPr>
      <w:widowControl/>
      <w:spacing w:after="200" w:line="276" w:lineRule="auto"/>
      <w:ind w:firstLine="560"/>
      <w:jc w:val="left"/>
    </w:pPr>
    <w:rPr>
      <w:rFonts w:ascii="Calibri" w:hAnsi="Calibri" w:eastAsia="宋体"/>
      <w:kern w:val="0"/>
      <w:sz w:val="28"/>
      <w:szCs w:val="20"/>
      <w:lang w:eastAsia="en-US" w:bidi="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2026-09-21T03:59:00Z</dcterms:created>
  <dc:creator>Administrator</dc:creator>
  <cp:lastModifiedBy>Administrator</cp:lastModifiedBy>
  <dcterms:modified xsi:type="dcterms:W3CDTF">2026-09-21T03:59:44Z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2185523EB69E42C1975498B5850DF4D1_11</vt:lpwstr>
  </property>
  <property fmtid="{D5CDD505-2E9C-101B-9397-08002B2CF9AE}" pid="4" name="KSOTemplateDocerSaveRecord">
    <vt:lpwstr>eyJoZGlkIjoiYzRlYzE4NmFkNWE4NGFlNjlkMjJmNTIzODdmN2JjZGIiLCJ1c2VySWQiOiI0Mjg5NzQzNDUifQ==</vt:lpwstr>
  </property>
</Properties>
</file>