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4A7C63">
      <w:pPr>
        <w:jc w:val="center"/>
        <w:rPr>
          <w:rFonts w:hint="default" w:ascii="Times New Roman" w:hAnsi="Times New Roman" w:eastAsia="宋体" w:cs="Times New Roman"/>
          <w:b/>
          <w:color w:val="auto"/>
          <w:sz w:val="72"/>
          <w:szCs w:val="72"/>
          <w:lang w:val="en-US" w:eastAsia="zh-CN"/>
        </w:rPr>
      </w:pPr>
      <w:r>
        <w:rPr>
          <w:rFonts w:ascii="Times New Roman" w:hAnsi="Times New Roman" w:eastAsia="宋体" w:cs="Times New Roman"/>
          <w:b/>
          <w:color w:val="auto"/>
          <w:sz w:val="72"/>
          <w:szCs w:val="72"/>
          <w:lang w:val="en" w:eastAsia="zh-CN"/>
        </w:rPr>
        <w:t>郑州铁路职业技术学院工科基础实训室项目</w:t>
      </w:r>
    </w:p>
    <w:p w14:paraId="4E92A639">
      <w:pPr>
        <w:tabs>
          <w:tab w:val="left" w:pos="1950"/>
        </w:tabs>
        <w:jc w:val="left"/>
        <w:rPr>
          <w:rFonts w:hint="default" w:ascii="Times New Roman" w:hAnsi="Times New Roman" w:eastAsia="宋体" w:cs="Times New Roman"/>
          <w:b/>
          <w:bCs/>
          <w:color w:val="auto"/>
          <w:lang w:val="en-US" w:eastAsia="zh-CN"/>
        </w:rPr>
      </w:pPr>
      <w:r>
        <w:rPr>
          <w:rFonts w:hint="default" w:ascii="Times New Roman" w:hAnsi="Times New Roman" w:eastAsia="宋体" w:cs="Times New Roman"/>
          <w:b/>
          <w:bCs/>
          <w:color w:val="auto"/>
          <w:lang w:val="en-US" w:eastAsia="zh-CN"/>
        </w:rPr>
        <w:t xml:space="preserve"> </w:t>
      </w:r>
    </w:p>
    <w:p w14:paraId="6AFFC4C0">
      <w:pPr>
        <w:pStyle w:val="72"/>
        <w:ind w:firstLine="318"/>
        <w:rPr>
          <w:rFonts w:hint="default" w:ascii="Times New Roman" w:hAnsi="Times New Roman" w:cs="Times New Roman"/>
          <w:color w:val="auto"/>
          <w:lang w:val="en-US" w:eastAsia="zh-CN"/>
        </w:rPr>
      </w:pPr>
    </w:p>
    <w:p w14:paraId="712BF71A">
      <w:pPr>
        <w:tabs>
          <w:tab w:val="left" w:pos="1950"/>
        </w:tabs>
        <w:jc w:val="left"/>
        <w:rPr>
          <w:rFonts w:hint="default" w:ascii="Times New Roman" w:hAnsi="Times New Roman" w:eastAsia="宋体" w:cs="Times New Roman"/>
          <w:b/>
          <w:bCs/>
          <w:color w:val="auto"/>
          <w:lang w:val="en-US" w:eastAsia="zh-CN"/>
        </w:rPr>
      </w:pPr>
    </w:p>
    <w:p w14:paraId="3EB39C4D">
      <w:pPr>
        <w:jc w:val="center"/>
        <w:rPr>
          <w:rFonts w:hint="default" w:ascii="Times New Roman" w:hAnsi="Times New Roman" w:eastAsia="宋体" w:cs="Times New Roman"/>
          <w:b/>
          <w:bCs/>
          <w:color w:val="auto"/>
          <w:sz w:val="112"/>
          <w:szCs w:val="112"/>
          <w:lang w:val="en" w:eastAsia="zh-CN"/>
        </w:rPr>
      </w:pPr>
      <w:r>
        <w:rPr>
          <w:rFonts w:hint="default" w:ascii="Times New Roman" w:hAnsi="Times New Roman" w:eastAsia="宋体" w:cs="Times New Roman"/>
          <w:b/>
          <w:color w:val="auto"/>
          <w:sz w:val="112"/>
          <w:szCs w:val="112"/>
          <w:lang w:val="en" w:eastAsia="zh-CN"/>
        </w:rPr>
        <w:t>竞争性磋商文件</w:t>
      </w:r>
    </w:p>
    <w:p w14:paraId="0B80198E">
      <w:pPr>
        <w:jc w:val="center"/>
        <w:rPr>
          <w:rFonts w:hint="default" w:ascii="Times New Roman" w:hAnsi="Times New Roman" w:eastAsia="宋体" w:cs="Times New Roman"/>
          <w:b/>
          <w:color w:val="auto"/>
          <w:sz w:val="36"/>
          <w:szCs w:val="36"/>
          <w:lang w:eastAsia="zh-CN"/>
        </w:rPr>
      </w:pPr>
    </w:p>
    <w:p w14:paraId="4C611F6C">
      <w:pPr>
        <w:jc w:val="center"/>
        <w:rPr>
          <w:rFonts w:hint="default" w:ascii="Times New Roman" w:hAnsi="Times New Roman" w:eastAsia="宋体" w:cs="Times New Roman"/>
          <w:b/>
          <w:color w:val="auto"/>
          <w:sz w:val="36"/>
          <w:szCs w:val="36"/>
          <w:lang w:val="en-US" w:eastAsia="zh-CN"/>
        </w:rPr>
      </w:pPr>
      <w:r>
        <w:rPr>
          <w:rFonts w:hint="default" w:ascii="Times New Roman" w:hAnsi="Times New Roman" w:eastAsia="宋体" w:cs="Times New Roman"/>
          <w:b/>
          <w:color w:val="auto"/>
          <w:sz w:val="36"/>
          <w:szCs w:val="36"/>
          <w:lang w:eastAsia="zh-CN"/>
        </w:rPr>
        <w:t>采购编号：</w:t>
      </w:r>
      <w:r>
        <w:rPr>
          <w:rFonts w:ascii="Times New Roman" w:hAnsi="Times New Roman" w:eastAsia="宋体" w:cs="Times New Roman"/>
          <w:b/>
          <w:color w:val="auto"/>
          <w:sz w:val="36"/>
          <w:szCs w:val="36"/>
          <w:lang w:val="en-US" w:eastAsia="zh-CN"/>
        </w:rPr>
        <w:t>豫财磋商采购-2026-853</w:t>
      </w:r>
    </w:p>
    <w:p w14:paraId="44FF4CF9">
      <w:pPr>
        <w:pStyle w:val="73"/>
        <w:rPr>
          <w:rFonts w:hint="default" w:ascii="Times New Roman" w:hAnsi="Times New Roman" w:eastAsia="宋体" w:cs="Times New Roman"/>
          <w:b/>
          <w:color w:val="auto"/>
          <w:sz w:val="36"/>
          <w:szCs w:val="36"/>
          <w:lang w:val="en-US" w:eastAsia="zh-CN"/>
        </w:rPr>
      </w:pPr>
    </w:p>
    <w:p w14:paraId="1138C507">
      <w:pPr>
        <w:pStyle w:val="70"/>
        <w:rPr>
          <w:rFonts w:ascii="Times New Roman" w:hAnsi="Times New Roman" w:cs="Times New Roman"/>
          <w:b/>
          <w:color w:val="auto"/>
          <w:sz w:val="36"/>
          <w:szCs w:val="36"/>
        </w:rPr>
      </w:pPr>
      <w:bookmarkStart w:id="326" w:name="_GoBack"/>
      <w:bookmarkEnd w:id="326"/>
    </w:p>
    <w:p w14:paraId="49EB457B">
      <w:pPr>
        <w:spacing w:line="240" w:lineRule="atLeast"/>
        <w:ind w:left="1080" w:hanging="540"/>
        <w:jc w:val="center"/>
        <w:rPr>
          <w:rFonts w:hint="default" w:ascii="Times New Roman" w:hAnsi="Times New Roman" w:eastAsia="宋体" w:cs="Times New Roman"/>
          <w:b/>
          <w:bCs/>
          <w:color w:val="auto"/>
          <w:sz w:val="28"/>
          <w:szCs w:val="28"/>
        </w:rPr>
      </w:pPr>
      <w:r>
        <w:rPr>
          <w:rFonts w:hint="default" w:ascii="Times New Roman" w:hAnsi="Times New Roman" w:eastAsia="宋体" w:cs="Times New Roman"/>
          <w:color w:val="auto"/>
          <w:lang w:val="en-US" w:eastAsia="zh-CN"/>
        </w:rPr>
        <w:t xml:space="preserve"> </w:t>
      </w:r>
      <w:r>
        <w:rPr>
          <w:rFonts w:hint="default" w:ascii="Times New Roman" w:hAnsi="Times New Roman" w:eastAsia="宋体" w:cs="Times New Roman"/>
          <w:color w:val="auto"/>
          <w:lang w:val="en-US" w:eastAsia="zh-CN"/>
        </w:rPr>
        <w:drawing>
          <wp:inline distT="0" distB="0" distL="114300" distR="114300">
            <wp:extent cx="1401445" cy="1401445"/>
            <wp:effectExtent l="0" t="0" r="8255" b="825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7"/>
                    <a:stretch>
                      <a:fillRect/>
                    </a:stretch>
                  </pic:blipFill>
                  <pic:spPr>
                    <a:xfrm>
                      <a:off x="0" y="0"/>
                      <a:ext cx="1401445" cy="1401445"/>
                    </a:xfrm>
                    <a:prstGeom prst="rect">
                      <a:avLst/>
                    </a:prstGeom>
                    <a:noFill/>
                    <a:ln>
                      <a:noFill/>
                    </a:ln>
                  </pic:spPr>
                </pic:pic>
              </a:graphicData>
            </a:graphic>
          </wp:inline>
        </w:drawing>
      </w:r>
    </w:p>
    <w:p w14:paraId="61D55267">
      <w:pPr>
        <w:spacing w:line="240" w:lineRule="atLeast"/>
        <w:ind w:left="1080" w:hanging="540"/>
        <w:jc w:val="center"/>
        <w:rPr>
          <w:rFonts w:hint="default" w:ascii="Times New Roman" w:hAnsi="Times New Roman" w:eastAsia="宋体" w:cs="Times New Roman"/>
          <w:b/>
          <w:bCs/>
          <w:color w:val="auto"/>
          <w:sz w:val="28"/>
          <w:szCs w:val="28"/>
          <w:lang w:val="en-US"/>
        </w:rPr>
      </w:pPr>
    </w:p>
    <w:p w14:paraId="4FC727A3">
      <w:pPr>
        <w:spacing w:line="240" w:lineRule="atLeast"/>
        <w:ind w:left="1080" w:hanging="540"/>
        <w:jc w:val="center"/>
        <w:rPr>
          <w:rFonts w:hint="default" w:ascii="Times New Roman" w:hAnsi="Times New Roman" w:eastAsia="宋体" w:cs="Times New Roman"/>
          <w:b/>
          <w:bCs/>
          <w:color w:val="auto"/>
          <w:sz w:val="28"/>
          <w:szCs w:val="28"/>
          <w:lang w:val="en-US"/>
        </w:rPr>
      </w:pPr>
    </w:p>
    <w:p w14:paraId="26487979">
      <w:pPr>
        <w:tabs>
          <w:tab w:val="left" w:pos="360"/>
        </w:tabs>
        <w:spacing w:line="360" w:lineRule="auto"/>
        <w:ind w:firstLine="723" w:firstLineChars="200"/>
        <w:rPr>
          <w:rFonts w:hint="default" w:ascii="Times New Roman" w:hAnsi="Times New Roman" w:eastAsia="CESI宋体-GB2312" w:cs="Times New Roman"/>
          <w:b/>
          <w:color w:val="auto"/>
          <w:sz w:val="36"/>
          <w:szCs w:val="36"/>
          <w:lang w:val="en-US" w:eastAsia="zh-CN"/>
        </w:rPr>
      </w:pPr>
      <w:r>
        <w:rPr>
          <w:rFonts w:hint="default" w:ascii="Times New Roman" w:hAnsi="Times New Roman" w:eastAsia="CESI宋体-GB2312" w:cs="Times New Roman"/>
          <w:b/>
          <w:color w:val="auto"/>
          <w:sz w:val="36"/>
          <w:szCs w:val="36"/>
          <w:lang w:eastAsia="zh-CN"/>
        </w:rPr>
        <w:t>采   购   人：</w:t>
      </w:r>
      <w:r>
        <w:rPr>
          <w:rFonts w:ascii="Times New Roman" w:hAnsi="Times New Roman" w:eastAsia="宋体" w:cs="Times New Roman"/>
          <w:b/>
          <w:color w:val="auto"/>
          <w:sz w:val="36"/>
          <w:szCs w:val="36"/>
          <w:lang w:val="en-US" w:eastAsia="zh-CN"/>
        </w:rPr>
        <w:t>郑州铁路职业技术学院</w:t>
      </w:r>
    </w:p>
    <w:p w14:paraId="4568E7F4">
      <w:pPr>
        <w:tabs>
          <w:tab w:val="left" w:pos="360"/>
        </w:tabs>
        <w:spacing w:line="360" w:lineRule="auto"/>
        <w:ind w:firstLine="723" w:firstLineChars="200"/>
        <w:rPr>
          <w:rFonts w:hint="default" w:ascii="Times New Roman" w:hAnsi="Times New Roman" w:eastAsia="宋体" w:cs="Times New Roman"/>
          <w:b/>
          <w:color w:val="auto"/>
          <w:sz w:val="36"/>
          <w:szCs w:val="36"/>
          <w:lang w:val="en-US" w:eastAsia="zh-CN"/>
        </w:rPr>
      </w:pPr>
      <w:r>
        <w:rPr>
          <w:rFonts w:hint="default" w:ascii="Times New Roman" w:hAnsi="Times New Roman" w:eastAsia="CESI宋体-GB2312" w:cs="Times New Roman"/>
          <w:b/>
          <w:color w:val="auto"/>
          <w:sz w:val="36"/>
          <w:szCs w:val="36"/>
          <w:lang w:eastAsia="zh-CN"/>
        </w:rPr>
        <w:t>集中采购机构：</w:t>
      </w:r>
      <w:r>
        <w:rPr>
          <w:rFonts w:hint="default" w:ascii="Times New Roman" w:hAnsi="Times New Roman" w:eastAsia="宋体" w:cs="Times New Roman"/>
          <w:b/>
          <w:color w:val="auto"/>
          <w:sz w:val="36"/>
          <w:szCs w:val="36"/>
          <w:lang w:val="en-US" w:eastAsia="zh-CN"/>
        </w:rPr>
        <w:t>河南省公共资源交易中心</w:t>
      </w:r>
    </w:p>
    <w:p w14:paraId="6497630A">
      <w:pPr>
        <w:spacing w:line="360" w:lineRule="auto"/>
        <w:jc w:val="center"/>
        <w:rPr>
          <w:rFonts w:hint="default" w:ascii="Times New Roman" w:hAnsi="Times New Roman" w:eastAsia="CESI宋体-GB2312" w:cs="Times New Roman"/>
          <w:b/>
          <w:color w:val="auto"/>
          <w:sz w:val="36"/>
          <w:szCs w:val="36"/>
          <w:lang w:val="en-US"/>
        </w:rPr>
      </w:pPr>
      <w:r>
        <w:rPr>
          <w:rFonts w:hint="default" w:ascii="Times New Roman" w:hAnsi="Times New Roman" w:eastAsia="CESI宋体-GB2312" w:cs="Times New Roman"/>
          <w:b/>
          <w:color w:val="auto"/>
          <w:sz w:val="36"/>
          <w:szCs w:val="36"/>
          <w:lang w:val="en-US"/>
        </w:rPr>
        <w:t>202</w:t>
      </w:r>
      <w:r>
        <w:rPr>
          <w:rFonts w:ascii="Times New Roman" w:hAnsi="Times New Roman" w:eastAsia="CESI宋体-GB2312" w:cs="Times New Roman"/>
          <w:b/>
          <w:color w:val="auto"/>
          <w:sz w:val="36"/>
          <w:szCs w:val="36"/>
          <w:lang w:val="en-US" w:eastAsia="zh-CN"/>
        </w:rPr>
        <w:t>6</w:t>
      </w:r>
      <w:r>
        <w:rPr>
          <w:rFonts w:hint="default" w:ascii="Times New Roman" w:hAnsi="Times New Roman" w:eastAsia="CESI宋体-GB2312" w:cs="Times New Roman"/>
          <w:b/>
          <w:color w:val="auto"/>
          <w:sz w:val="36"/>
          <w:szCs w:val="36"/>
          <w:lang w:val="en-US"/>
        </w:rPr>
        <w:t>年</w:t>
      </w:r>
      <w:r>
        <w:rPr>
          <w:rFonts w:ascii="Cambria" w:hAnsi="Cambria" w:eastAsia="CESI宋体-GB2312" w:cs="Times New Roman"/>
          <w:b/>
          <w:color w:val="auto"/>
          <w:sz w:val="36"/>
          <w:szCs w:val="36"/>
          <w:lang w:val="en-US" w:eastAsia="zh-CN"/>
        </w:rPr>
        <w:t>10</w:t>
      </w:r>
      <w:r>
        <w:rPr>
          <w:rFonts w:hint="default" w:ascii="Times New Roman" w:hAnsi="Times New Roman" w:eastAsia="CESI宋体-GB2312" w:cs="Times New Roman"/>
          <w:b/>
          <w:color w:val="auto"/>
          <w:sz w:val="36"/>
          <w:szCs w:val="36"/>
          <w:lang w:val="en-US"/>
        </w:rPr>
        <w:t>月</w:t>
      </w:r>
    </w:p>
    <w:p w14:paraId="1EBF69F3">
      <w:pPr>
        <w:keepNext/>
        <w:keepLines/>
        <w:jc w:val="center"/>
        <w:rPr>
          <w:rFonts w:hint="default" w:ascii="Times New Roman" w:hAnsi="Times New Roman" w:eastAsia="宋体" w:cs="Times New Roman"/>
          <w:b/>
          <w:bCs/>
          <w:color w:val="auto"/>
          <w:sz w:val="48"/>
          <w:szCs w:val="48"/>
          <w:lang w:val="en-US" w:eastAsia="zh-CN"/>
        </w:rPr>
        <w:sectPr>
          <w:pgSz w:w="11900" w:h="16840"/>
          <w:pgMar w:top="1440" w:right="1797" w:bottom="1440" w:left="1797" w:header="851" w:footer="992" w:gutter="0"/>
          <w:pgNumType w:start="0"/>
          <w:cols w:space="720" w:num="1"/>
        </w:sectPr>
      </w:pPr>
    </w:p>
    <w:p w14:paraId="305057A9">
      <w:pPr>
        <w:keepNext/>
        <w:keepLines/>
        <w:jc w:val="center"/>
        <w:rPr>
          <w:rFonts w:hint="default" w:ascii="Times New Roman" w:hAnsi="Times New Roman" w:eastAsia="宋体" w:cs="Times New Roman"/>
          <w:b/>
          <w:bCs/>
          <w:color w:val="auto"/>
          <w:sz w:val="52"/>
          <w:szCs w:val="52"/>
          <w:lang w:val="en-US" w:eastAsia="zh-CN"/>
        </w:rPr>
      </w:pPr>
      <w:r>
        <w:rPr>
          <w:rFonts w:hint="default" w:ascii="Times New Roman" w:hAnsi="Times New Roman" w:eastAsia="宋体" w:cs="Times New Roman"/>
          <w:b/>
          <w:bCs/>
          <w:color w:val="auto"/>
          <w:sz w:val="48"/>
          <w:szCs w:val="48"/>
          <w:lang w:val="en-US" w:eastAsia="zh-CN"/>
        </w:rPr>
        <w:t>目 录</w:t>
      </w:r>
    </w:p>
    <w:p w14:paraId="153FB3B5">
      <w:pPr>
        <w:pStyle w:val="31"/>
        <w:tabs>
          <w:tab w:val="right" w:leader="dot" w:pos="8306"/>
        </w:tabs>
        <w:spacing w:line="480" w:lineRule="auto"/>
        <w:rPr>
          <w:rFonts w:hint="eastAsia" w:ascii="仿宋_GB2312" w:hAnsi="仿宋_GB2312" w:eastAsia="仿宋_GB2312" w:cs="仿宋_GB2312"/>
          <w:sz w:val="32"/>
          <w:szCs w:val="32"/>
        </w:rPr>
      </w:pPr>
      <w:bookmarkStart w:id="0" w:name="_Toc349457307"/>
    </w:p>
    <w:p w14:paraId="47DDDAE7">
      <w:pPr>
        <w:pStyle w:val="31"/>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"1-1" \h \u </w:instrText>
      </w:r>
      <w:r>
        <w:rPr>
          <w:rFonts w:hint="eastAsia" w:ascii="仿宋_GB2312" w:hAnsi="仿宋_GB2312" w:eastAsia="仿宋_GB2312" w:cs="仿宋_GB2312"/>
          <w:sz w:val="32"/>
          <w:szCs w:val="32"/>
        </w:rPr>
        <w:fldChar w:fldCharType="separate"/>
      </w:r>
      <w:r>
        <w:fldChar w:fldCharType="begin"/>
      </w:r>
      <w:r>
        <w:instrText xml:space="preserve"> HYPERLINK \l "_Toc13414" </w:instrText>
      </w:r>
      <w:r>
        <w:fldChar w:fldCharType="separate"/>
      </w:r>
      <w:r>
        <w:rPr>
          <w:rFonts w:hint="eastAsia" w:ascii="仿宋_GB2312" w:hAnsi="仿宋_GB2312" w:eastAsia="仿宋_GB2312" w:cs="仿宋_GB2312"/>
          <w:sz w:val="32"/>
          <w:szCs w:val="32"/>
        </w:rPr>
        <w:t>第一章 竞争性磋商邀请</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_Toc13414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523B9F2">
      <w:pPr>
        <w:pStyle w:val="31"/>
        <w:tabs>
          <w:tab w:val="right" w:leader="dot" w:pos="8306"/>
        </w:tabs>
        <w:rPr>
          <w:rFonts w:hint="eastAsia" w:ascii="仿宋_GB2312" w:hAnsi="仿宋_GB2312" w:eastAsia="仿宋_GB2312" w:cs="仿宋_GB2312"/>
          <w:sz w:val="32"/>
          <w:szCs w:val="32"/>
        </w:rPr>
      </w:pPr>
      <w:r>
        <w:fldChar w:fldCharType="begin"/>
      </w:r>
      <w:r>
        <w:instrText xml:space="preserve"> HYPERLINK \l "_Toc31156" </w:instrText>
      </w:r>
      <w:r>
        <w:fldChar w:fldCharType="separate"/>
      </w:r>
      <w:r>
        <w:rPr>
          <w:rFonts w:hint="eastAsia" w:ascii="仿宋_GB2312" w:hAnsi="仿宋_GB2312" w:eastAsia="仿宋_GB2312" w:cs="仿宋_GB2312"/>
          <w:bCs/>
          <w:sz w:val="32"/>
          <w:szCs w:val="32"/>
        </w:rPr>
        <w:t>第二章 供应商须知前附表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_Toc31156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6A12D36">
      <w:pPr>
        <w:pStyle w:val="31"/>
        <w:tabs>
          <w:tab w:val="right" w:leader="dot" w:pos="8306"/>
        </w:tabs>
        <w:rPr>
          <w:rFonts w:hint="eastAsia" w:ascii="仿宋_GB2312" w:hAnsi="仿宋_GB2312" w:eastAsia="仿宋_GB2312" w:cs="仿宋_GB2312"/>
          <w:sz w:val="32"/>
          <w:szCs w:val="32"/>
        </w:rPr>
      </w:pPr>
      <w:r>
        <w:fldChar w:fldCharType="begin"/>
      </w:r>
      <w:r>
        <w:instrText xml:space="preserve"> HYPERLINK \l "_Toc4600" </w:instrText>
      </w:r>
      <w:r>
        <w:fldChar w:fldCharType="separate"/>
      </w:r>
      <w:r>
        <w:rPr>
          <w:rFonts w:hint="eastAsia" w:ascii="仿宋_GB2312" w:hAnsi="仿宋_GB2312" w:eastAsia="仿宋_GB2312" w:cs="仿宋_GB2312"/>
          <w:bCs/>
          <w:sz w:val="32"/>
          <w:szCs w:val="32"/>
        </w:rPr>
        <w:t>第三章 供应商须知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_Toc4600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0506894">
      <w:pPr>
        <w:pStyle w:val="31"/>
        <w:tabs>
          <w:tab w:val="right" w:leader="dot" w:pos="8306"/>
        </w:tabs>
        <w:rPr>
          <w:rFonts w:hint="eastAsia" w:ascii="仿宋_GB2312" w:hAnsi="仿宋_GB2312" w:eastAsia="仿宋_GB2312" w:cs="仿宋_GB2312"/>
          <w:sz w:val="32"/>
          <w:szCs w:val="32"/>
        </w:rPr>
      </w:pPr>
      <w:r>
        <w:fldChar w:fldCharType="begin"/>
      </w:r>
      <w:r>
        <w:instrText xml:space="preserve"> HYPERLINK \l "_Toc26582" </w:instrText>
      </w:r>
      <w:r>
        <w:fldChar w:fldCharType="separate"/>
      </w:r>
      <w:r>
        <w:rPr>
          <w:rFonts w:hint="eastAsia" w:ascii="仿宋_GB2312" w:hAnsi="仿宋_GB2312" w:eastAsia="仿宋_GB2312" w:cs="仿宋_GB2312"/>
          <w:sz w:val="32"/>
          <w:szCs w:val="32"/>
        </w:rPr>
        <w:t>第四章 竞争性磋商响应文件格式</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_Toc26582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7C8C830">
      <w:pPr>
        <w:pStyle w:val="31"/>
        <w:tabs>
          <w:tab w:val="right" w:leader="dot" w:pos="8306"/>
        </w:tabs>
        <w:rPr>
          <w:rFonts w:hint="eastAsia" w:ascii="仿宋_GB2312" w:hAnsi="仿宋_GB2312" w:eastAsia="仿宋_GB2312" w:cs="仿宋_GB2312"/>
          <w:sz w:val="32"/>
          <w:szCs w:val="32"/>
        </w:rPr>
      </w:pPr>
      <w:r>
        <w:fldChar w:fldCharType="begin"/>
      </w:r>
      <w:r>
        <w:instrText xml:space="preserve"> HYPERLINK \l "_Toc17577" </w:instrText>
      </w:r>
      <w:r>
        <w:fldChar w:fldCharType="separate"/>
      </w:r>
      <w:r>
        <w:rPr>
          <w:rFonts w:hint="eastAsia" w:ascii="仿宋_GB2312" w:hAnsi="仿宋_GB2312" w:eastAsia="仿宋_GB2312" w:cs="仿宋_GB2312"/>
          <w:sz w:val="32"/>
          <w:szCs w:val="32"/>
        </w:rPr>
        <w:t>第五章 项目需求及技术要求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_Toc17577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CB4ABC9">
      <w:pPr>
        <w:pStyle w:val="31"/>
        <w:tabs>
          <w:tab w:val="right" w:leader="dot" w:pos="8306"/>
        </w:tabs>
        <w:rPr>
          <w:rFonts w:hint="eastAsia" w:ascii="仿宋_GB2312" w:hAnsi="仿宋_GB2312" w:eastAsia="仿宋_GB2312" w:cs="仿宋_GB2312"/>
          <w:sz w:val="32"/>
          <w:szCs w:val="32"/>
        </w:rPr>
      </w:pPr>
      <w:r>
        <w:fldChar w:fldCharType="begin"/>
      </w:r>
      <w:r>
        <w:instrText xml:space="preserve"> HYPERLINK \l "_Toc9116" </w:instrText>
      </w:r>
      <w:r>
        <w:fldChar w:fldCharType="separate"/>
      </w:r>
      <w:r>
        <w:rPr>
          <w:rFonts w:hint="eastAsia" w:ascii="仿宋_GB2312" w:hAnsi="仿宋_GB2312" w:eastAsia="仿宋_GB2312" w:cs="仿宋_GB2312"/>
          <w:bCs/>
          <w:kern w:val="44"/>
          <w:sz w:val="32"/>
          <w:szCs w:val="32"/>
        </w:rPr>
        <w:t>第六章 磋商方法和标准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_Toc9116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129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A2F0966">
      <w:pPr>
        <w:pStyle w:val="31"/>
        <w:tabs>
          <w:tab w:val="right" w:leader="dot" w:pos="8306"/>
        </w:tabs>
        <w:rPr>
          <w:rFonts w:hint="eastAsia" w:ascii="仿宋_GB2312" w:hAnsi="仿宋_GB2312" w:eastAsia="仿宋_GB2312" w:cs="仿宋_GB2312"/>
          <w:sz w:val="32"/>
          <w:szCs w:val="32"/>
        </w:rPr>
      </w:pPr>
      <w:r>
        <w:fldChar w:fldCharType="begin"/>
      </w:r>
      <w:r>
        <w:instrText xml:space="preserve"> HYPERLINK \l "_Toc13426" </w:instrText>
      </w:r>
      <w:r>
        <w:fldChar w:fldCharType="separate"/>
      </w:r>
      <w:r>
        <w:rPr>
          <w:rFonts w:hint="eastAsia" w:ascii="仿宋_GB2312" w:hAnsi="仿宋_GB2312" w:eastAsia="仿宋_GB2312" w:cs="仿宋_GB2312"/>
          <w:bCs/>
          <w:kern w:val="44"/>
          <w:sz w:val="32"/>
          <w:szCs w:val="32"/>
        </w:rPr>
        <w:t>第七章 政府采购合同</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_Toc13426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136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9885D8D">
      <w:pPr>
        <w:spacing w:line="480" w:lineRule="auto"/>
        <w:rPr>
          <w:rFonts w:hint="default" w:ascii="Times New Roman" w:hAnsi="Times New Roman" w:eastAsia="仿宋_GB2312" w:cs="Times New Roman"/>
          <w:color w:val="auto"/>
          <w:sz w:val="28"/>
          <w:szCs w:val="28"/>
        </w:rPr>
      </w:pPr>
      <w:r>
        <w:rPr>
          <w:rFonts w:ascii="仿宋_GB2312" w:hAnsi="仿宋_GB2312" w:eastAsia="仿宋_GB2312" w:cs="仿宋_GB2312"/>
          <w:color w:val="auto"/>
          <w:sz w:val="32"/>
          <w:szCs w:val="32"/>
        </w:rPr>
        <w:fldChar w:fldCharType="end"/>
      </w:r>
    </w:p>
    <w:bookmarkEnd w:id="0"/>
    <w:p w14:paraId="2F79DFB6">
      <w:pPr>
        <w:pStyle w:val="2"/>
        <w:spacing w:before="0" w:after="0" w:line="360" w:lineRule="auto"/>
        <w:jc w:val="center"/>
        <w:rPr>
          <w:rFonts w:hint="default" w:ascii="Times New Roman" w:hAnsi="Times New Roman" w:eastAsia="宋体" w:cs="Times New Roman"/>
          <w:color w:val="auto"/>
          <w:sz w:val="36"/>
          <w:szCs w:val="36"/>
          <w:lang w:eastAsia="zh-CN"/>
        </w:rPr>
        <w:sectPr>
          <w:footerReference r:id="rId3" w:type="default"/>
          <w:pgSz w:w="11900" w:h="16840"/>
          <w:pgMar w:top="1440" w:right="1797" w:bottom="1440" w:left="1797" w:header="851" w:footer="992" w:gutter="0"/>
          <w:pgNumType w:start="1"/>
          <w:cols w:space="720" w:num="1"/>
        </w:sectPr>
      </w:pPr>
      <w:bookmarkStart w:id="1" w:name="_Toc1390283293"/>
    </w:p>
    <w:p w14:paraId="71881BC3">
      <w:pPr>
        <w:pStyle w:val="2"/>
        <w:spacing w:before="0" w:after="0" w:line="360" w:lineRule="auto"/>
        <w:jc w:val="center"/>
        <w:rPr>
          <w:rFonts w:hint="default" w:ascii="Times New Roman" w:hAnsi="Times New Roman" w:eastAsia="宋体" w:cs="Times New Roman"/>
          <w:color w:val="auto"/>
          <w:sz w:val="36"/>
          <w:szCs w:val="36"/>
          <w:lang w:eastAsia="zh-CN"/>
        </w:rPr>
      </w:pPr>
      <w:bookmarkStart w:id="2" w:name="_Toc13414"/>
      <w:r>
        <w:rPr>
          <w:rFonts w:hint="default" w:ascii="Times New Roman" w:hAnsi="Times New Roman" w:eastAsia="宋体" w:cs="Times New Roman"/>
          <w:color w:val="auto"/>
          <w:sz w:val="36"/>
          <w:szCs w:val="36"/>
          <w:lang w:eastAsia="zh-CN"/>
        </w:rPr>
        <w:t>第一章</w:t>
      </w:r>
      <w:r>
        <w:rPr>
          <w:rFonts w:hint="default" w:ascii="Times New Roman" w:hAnsi="Times New Roman" w:eastAsia="宋体" w:cs="Times New Roman"/>
          <w:color w:val="auto"/>
          <w:sz w:val="36"/>
          <w:szCs w:val="36"/>
          <w:lang w:val="en-US" w:eastAsia="zh-CN"/>
        </w:rPr>
        <w:t xml:space="preserve"> </w:t>
      </w:r>
      <w:r>
        <w:rPr>
          <w:rFonts w:hint="default" w:ascii="Times New Roman" w:hAnsi="Times New Roman" w:eastAsia="宋体" w:cs="Times New Roman"/>
          <w:color w:val="auto"/>
          <w:sz w:val="36"/>
          <w:szCs w:val="36"/>
          <w:lang w:eastAsia="zh-CN"/>
        </w:rPr>
        <w:t>竞争性磋商邀请</w:t>
      </w:r>
      <w:bookmarkEnd w:id="1"/>
      <w:bookmarkEnd w:id="2"/>
    </w:p>
    <w:p w14:paraId="0D9DEF18">
      <w:pPr>
        <w:spacing w:before="240" w:beforeLines="100" w:line="400" w:lineRule="exact"/>
        <w:jc w:val="center"/>
        <w:rPr>
          <w:rFonts w:hint="default" w:ascii="Times New Roman" w:hAnsi="Times New Roman" w:cs="Times New Roman"/>
          <w:b/>
          <w:color w:val="auto"/>
          <w:kern w:val="0"/>
          <w:sz w:val="32"/>
          <w:szCs w:val="32"/>
          <w:lang w:eastAsia="zh-CN"/>
        </w:rPr>
      </w:pPr>
      <w:bookmarkStart w:id="3" w:name="OLE_LINK4"/>
      <w:bookmarkStart w:id="4" w:name="OLE_LINK2"/>
      <w:r>
        <w:rPr>
          <w:rFonts w:ascii="Times New Roman" w:hAnsi="Times New Roman" w:eastAsia="仿宋_GB2312" w:cs="Times New Roman"/>
          <w:b/>
          <w:color w:val="auto"/>
          <w:sz w:val="32"/>
          <w:szCs w:val="32"/>
          <w:lang w:val="en" w:eastAsia="zh-CN"/>
        </w:rPr>
        <w:t>郑州铁路职业技术学院工科基础实训室项目－</w:t>
      </w:r>
      <w:r>
        <w:rPr>
          <w:rFonts w:hint="default" w:ascii="黑体" w:hAnsi="黑体" w:eastAsia="黑体" w:cs="Times New Roman"/>
          <w:bCs/>
          <w:color w:val="auto"/>
          <w:kern w:val="0"/>
          <w:sz w:val="32"/>
          <w:szCs w:val="32"/>
          <w:lang w:eastAsia="zh-CN"/>
        </w:rPr>
        <w:t>竞争性磋商公告</w:t>
      </w:r>
    </w:p>
    <w:bookmarkEnd w:id="3"/>
    <w:bookmarkEnd w:id="4"/>
    <w:p w14:paraId="7EEA2AE1">
      <w:pPr>
        <w:rPr>
          <w:rFonts w:hint="default" w:ascii="Times New Roman" w:hAnsi="Times New Roman" w:cs="Times New Roman"/>
          <w:color w:val="auto"/>
          <w:lang w:eastAsia="zh-CN"/>
        </w:rPr>
      </w:pPr>
      <w:r>
        <w:rPr>
          <w:rFonts w:hint="default" w:ascii="Times New Roman" w:hAnsi="Times New Roman" w:cs="Times New Roman"/>
          <w:color w:val="auto"/>
          <w:u w:val="single"/>
          <w:lang w:val="en-US" w:eastAsia="zh-CN"/>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50800</wp:posOffset>
                </wp:positionV>
                <wp:extent cx="5495925" cy="1870710"/>
                <wp:effectExtent l="0" t="0" r="28575" b="15240"/>
                <wp:wrapNone/>
                <wp:docPr id="3" name="文本框 2"/>
                <wp:cNvGraphicFramePr/>
                <a:graphic xmlns:a="http://schemas.openxmlformats.org/drawingml/2006/main">
                  <a:graphicData uri="http://schemas.microsoft.com/office/word/2010/wordprocessingShape">
                    <wps:wsp>
                      <wps:cNvSpPr txBox="1"/>
                      <wps:spPr>
                        <a:xfrm>
                          <a:off x="0" y="0"/>
                          <a:ext cx="5495925" cy="1870710"/>
                        </a:xfrm>
                        <a:prstGeom prst="rect">
                          <a:avLst/>
                        </a:prstGeom>
                        <a:noFill/>
                        <a:ln w="9525" cap="flat" cmpd="sng">
                          <a:solidFill>
                            <a:srgbClr val="000000"/>
                          </a:solidFill>
                          <a:prstDash val="solid"/>
                          <a:miter/>
                          <a:headEnd type="none" w="med" len="med"/>
                          <a:tailEnd type="none" w="med" len="med"/>
                        </a:ln>
                      </wps:spPr>
                      <wps:txbx>
                        <w:txbxContent>
                          <w:p w14:paraId="63556F5B">
                            <w:pPr>
                              <w:pStyle w:val="223"/>
                              <w:spacing w:line="360" w:lineRule="auto"/>
                              <w:ind w:firstLine="562" w:firstLineChars="200"/>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项目概况</w:t>
                            </w:r>
                          </w:p>
                          <w:p w14:paraId="5F9DE1A7">
                            <w:pPr>
                              <w:pStyle w:val="223"/>
                              <w:spacing w:line="360" w:lineRule="auto"/>
                              <w:ind w:firstLine="562" w:firstLineChars="200"/>
                              <w:jc w:val="both"/>
                              <w:rPr>
                                <w:rFonts w:ascii="Times New Roman" w:hAnsi="Times New Roman" w:cs="Times New Roman"/>
                              </w:rPr>
                            </w:pPr>
                            <w:r>
                              <w:rPr>
                                <w:rFonts w:hint="eastAsia" w:ascii="Times New Roman" w:hAnsi="Times New Roman" w:eastAsia="仿宋_GB2312" w:cs="Times New Roman"/>
                                <w:b/>
                                <w:bCs/>
                                <w:sz w:val="28"/>
                                <w:szCs w:val="28"/>
                                <w:u w:val="single"/>
                                <w:lang w:val="en"/>
                              </w:rPr>
                              <w:t>郑州铁路职业技术学院工科基础实训室项目</w:t>
                            </w:r>
                            <w:r>
                              <w:rPr>
                                <w:rFonts w:ascii="Times New Roman" w:hAnsi="Times New Roman" w:eastAsia="仿宋_GB2312" w:cs="Times New Roman"/>
                                <w:sz w:val="28"/>
                                <w:szCs w:val="28"/>
                              </w:rPr>
                              <w:t>的潜在供应商应在</w:t>
                            </w:r>
                            <w:r>
                              <w:rPr>
                                <w:rFonts w:ascii="Times New Roman" w:hAnsi="Times New Roman" w:eastAsia="仿宋_GB2312" w:cs="Times New Roman"/>
                                <w:b/>
                                <w:bCs/>
                                <w:sz w:val="28"/>
                                <w:szCs w:val="28"/>
                                <w:u w:val="single"/>
                              </w:rPr>
                              <w:t>河南省公共资源交易中心网站（</w:t>
                            </w:r>
                            <w:r>
                              <w:rPr>
                                <w:rStyle w:val="63"/>
                                <w:rFonts w:ascii="Times New Roman" w:hAnsi="Times New Roman" w:eastAsia="仿宋_GB2312" w:cs="Times New Roman"/>
                                <w:b/>
                                <w:bCs/>
                                <w:sz w:val="28"/>
                                <w:szCs w:val="28"/>
                              </w:rPr>
                              <w:t>hnsggzyjy.henan.gov.cn</w:t>
                            </w:r>
                            <w:r>
                              <w:rPr>
                                <w:rFonts w:ascii="Times New Roman" w:hAnsi="Times New Roman" w:eastAsia="仿宋_GB2312" w:cs="Times New Roman"/>
                                <w:b/>
                                <w:bCs/>
                                <w:sz w:val="28"/>
                                <w:szCs w:val="28"/>
                                <w:u w:val="single"/>
                              </w:rPr>
                              <w:t>）</w:t>
                            </w:r>
                            <w:r>
                              <w:rPr>
                                <w:rFonts w:ascii="Times New Roman" w:hAnsi="Times New Roman" w:eastAsia="仿宋_GB2312" w:cs="Times New Roman"/>
                                <w:sz w:val="28"/>
                                <w:szCs w:val="28"/>
                              </w:rPr>
                              <w:t>获取招标文件，并于</w:t>
                            </w:r>
                            <w:r>
                              <w:rPr>
                                <w:rFonts w:ascii="Times New Roman" w:hAnsi="Times New Roman" w:eastAsia="仿宋_GB2312" w:cs="Times New Roman"/>
                                <w:b/>
                                <w:bCs/>
                                <w:color w:val="auto"/>
                                <w:sz w:val="28"/>
                                <w:szCs w:val="28"/>
                                <w:u w:val="single"/>
                              </w:rPr>
                              <w:t>202</w:t>
                            </w:r>
                            <w:r>
                              <w:rPr>
                                <w:rFonts w:hint="eastAsia" w:ascii="Times New Roman" w:hAnsi="Times New Roman" w:eastAsia="仿宋_GB2312" w:cs="Times New Roman"/>
                                <w:b/>
                                <w:bCs/>
                                <w:color w:val="auto"/>
                                <w:sz w:val="28"/>
                                <w:szCs w:val="28"/>
                                <w:u w:val="single"/>
                              </w:rPr>
                              <w:t>6</w:t>
                            </w:r>
                            <w:r>
                              <w:rPr>
                                <w:rFonts w:ascii="Times New Roman" w:hAnsi="Times New Roman" w:eastAsia="仿宋_GB2312" w:cs="Times New Roman"/>
                                <w:b/>
                                <w:bCs/>
                                <w:color w:val="auto"/>
                                <w:sz w:val="28"/>
                                <w:szCs w:val="28"/>
                                <w:u w:val="single"/>
                              </w:rPr>
                              <w:t>年</w:t>
                            </w:r>
                            <w:r>
                              <w:rPr>
                                <w:rFonts w:hint="eastAsia" w:ascii="Times New Roman" w:hAnsi="Times New Roman" w:eastAsia="仿宋_GB2312" w:cs="Times New Roman"/>
                                <w:b/>
                                <w:bCs/>
                                <w:color w:val="auto"/>
                                <w:sz w:val="28"/>
                                <w:szCs w:val="28"/>
                                <w:u w:val="single"/>
                              </w:rPr>
                              <w:t>10</w:t>
                            </w:r>
                            <w:r>
                              <w:rPr>
                                <w:rFonts w:ascii="Times New Roman" w:hAnsi="Times New Roman" w:eastAsia="仿宋_GB2312" w:cs="Times New Roman"/>
                                <w:b/>
                                <w:bCs/>
                                <w:color w:val="auto"/>
                                <w:sz w:val="28"/>
                                <w:szCs w:val="28"/>
                                <w:u w:val="single"/>
                              </w:rPr>
                              <w:t>月</w:t>
                            </w:r>
                            <w:r>
                              <w:rPr>
                                <w:rFonts w:hint="eastAsia" w:ascii="Times New Roman" w:hAnsi="Times New Roman" w:eastAsia="仿宋_GB2312" w:cs="Times New Roman"/>
                                <w:b/>
                                <w:bCs/>
                                <w:color w:val="auto"/>
                                <w:sz w:val="28"/>
                                <w:szCs w:val="28"/>
                                <w:u w:val="single"/>
                              </w:rPr>
                              <w:t>27</w:t>
                            </w:r>
                            <w:r>
                              <w:rPr>
                                <w:rFonts w:ascii="Times New Roman" w:hAnsi="Times New Roman" w:eastAsia="仿宋_GB2312" w:cs="Times New Roman"/>
                                <w:b/>
                                <w:bCs/>
                                <w:color w:val="auto"/>
                                <w:sz w:val="28"/>
                                <w:szCs w:val="28"/>
                                <w:u w:val="single"/>
                              </w:rPr>
                              <w:t>日09时00分</w:t>
                            </w:r>
                            <w:r>
                              <w:rPr>
                                <w:rFonts w:ascii="Times New Roman" w:hAnsi="Times New Roman" w:eastAsia="仿宋_GB2312" w:cs="Times New Roman"/>
                                <w:sz w:val="28"/>
                                <w:szCs w:val="28"/>
                              </w:rPr>
                              <w:t xml:space="preserve">（北京时间）前递交响应文件。 </w:t>
                            </w:r>
                          </w:p>
                        </w:txbxContent>
                      </wps:txbx>
                      <wps:bodyPr wrap="square" upright="1"/>
                    </wps:wsp>
                  </a:graphicData>
                </a:graphic>
              </wp:anchor>
            </w:drawing>
          </mc:Choice>
          <mc:Fallback>
            <w:pict>
              <v:shape id="文本框 2" o:spid="_x0000_s1026" o:spt="202" type="#_x0000_t202" style="position:absolute;left:0pt;margin-top:4pt;height:147.3pt;width:432.75pt;mso-position-horizontal:center;mso-position-horizontal-relative:margin;z-index:251667456;mso-width-relative:page;mso-height-relative:page;" filled="f" stroked="t" coordsize="21600,21600" o:gfxdata="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DwCIhdUAAAAGAQAADwAAAAAAAAABACAA&#10;AAAiAAAAZHJzL2Rvd25yZXYueG1sUEsBAhQAFAAAAAgAh07iQGTCxRUQAgAAHAQAAA4AAAAAAAAA&#10;AQAgAAAAJAEAAGRycy9lMm9Eb2MueG1sUEsFBgAAAAAGAAYAWQEAAKYFAAAAAA==&#10;">
                <v:fill on="f" focussize="0,0"/>
                <v:stroke color="#000000" joinstyle="miter"/>
                <v:imagedata o:title=""/>
                <o:lock v:ext="edit" aspectratio="f"/>
                <v:textbox>
                  <w:txbxContent>
                    <w:p w14:paraId="63556F5B">
                      <w:pPr>
                        <w:pStyle w:val="223"/>
                        <w:spacing w:line="360" w:lineRule="auto"/>
                        <w:ind w:firstLine="562" w:firstLineChars="200"/>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项目概况</w:t>
                      </w:r>
                    </w:p>
                    <w:p w14:paraId="5F9DE1A7">
                      <w:pPr>
                        <w:pStyle w:val="223"/>
                        <w:spacing w:line="360" w:lineRule="auto"/>
                        <w:ind w:firstLine="562" w:firstLineChars="200"/>
                        <w:jc w:val="both"/>
                        <w:rPr>
                          <w:rFonts w:ascii="Times New Roman" w:hAnsi="Times New Roman" w:cs="Times New Roman"/>
                        </w:rPr>
                      </w:pPr>
                      <w:r>
                        <w:rPr>
                          <w:rFonts w:hint="eastAsia" w:ascii="Times New Roman" w:hAnsi="Times New Roman" w:eastAsia="仿宋_GB2312" w:cs="Times New Roman"/>
                          <w:b/>
                          <w:bCs/>
                          <w:sz w:val="28"/>
                          <w:szCs w:val="28"/>
                          <w:u w:val="single"/>
                          <w:lang w:val="en"/>
                        </w:rPr>
                        <w:t>郑州铁路职业技术学院工科基础实训室项目</w:t>
                      </w:r>
                      <w:r>
                        <w:rPr>
                          <w:rFonts w:ascii="Times New Roman" w:hAnsi="Times New Roman" w:eastAsia="仿宋_GB2312" w:cs="Times New Roman"/>
                          <w:sz w:val="28"/>
                          <w:szCs w:val="28"/>
                        </w:rPr>
                        <w:t>的潜在供应商应在</w:t>
                      </w:r>
                      <w:r>
                        <w:rPr>
                          <w:rFonts w:ascii="Times New Roman" w:hAnsi="Times New Roman" w:eastAsia="仿宋_GB2312" w:cs="Times New Roman"/>
                          <w:b/>
                          <w:bCs/>
                          <w:sz w:val="28"/>
                          <w:szCs w:val="28"/>
                          <w:u w:val="single"/>
                        </w:rPr>
                        <w:t>河南省公共资源交易中心网站（</w:t>
                      </w:r>
                      <w:r>
                        <w:rPr>
                          <w:rStyle w:val="63"/>
                          <w:rFonts w:ascii="Times New Roman" w:hAnsi="Times New Roman" w:eastAsia="仿宋_GB2312" w:cs="Times New Roman"/>
                          <w:b/>
                          <w:bCs/>
                          <w:sz w:val="28"/>
                          <w:szCs w:val="28"/>
                        </w:rPr>
                        <w:t>hnsggzyjy.henan.gov.cn</w:t>
                      </w:r>
                      <w:r>
                        <w:rPr>
                          <w:rFonts w:ascii="Times New Roman" w:hAnsi="Times New Roman" w:eastAsia="仿宋_GB2312" w:cs="Times New Roman"/>
                          <w:b/>
                          <w:bCs/>
                          <w:sz w:val="28"/>
                          <w:szCs w:val="28"/>
                          <w:u w:val="single"/>
                        </w:rPr>
                        <w:t>）</w:t>
                      </w:r>
                      <w:r>
                        <w:rPr>
                          <w:rFonts w:ascii="Times New Roman" w:hAnsi="Times New Roman" w:eastAsia="仿宋_GB2312" w:cs="Times New Roman"/>
                          <w:sz w:val="28"/>
                          <w:szCs w:val="28"/>
                        </w:rPr>
                        <w:t>获取招标文件，并于</w:t>
                      </w:r>
                      <w:r>
                        <w:rPr>
                          <w:rFonts w:ascii="Times New Roman" w:hAnsi="Times New Roman" w:eastAsia="仿宋_GB2312" w:cs="Times New Roman"/>
                          <w:b/>
                          <w:bCs/>
                          <w:color w:val="auto"/>
                          <w:sz w:val="28"/>
                          <w:szCs w:val="28"/>
                          <w:u w:val="single"/>
                        </w:rPr>
                        <w:t>202</w:t>
                      </w:r>
                      <w:r>
                        <w:rPr>
                          <w:rFonts w:hint="eastAsia" w:ascii="Times New Roman" w:hAnsi="Times New Roman" w:eastAsia="仿宋_GB2312" w:cs="Times New Roman"/>
                          <w:b/>
                          <w:bCs/>
                          <w:color w:val="auto"/>
                          <w:sz w:val="28"/>
                          <w:szCs w:val="28"/>
                          <w:u w:val="single"/>
                        </w:rPr>
                        <w:t>6</w:t>
                      </w:r>
                      <w:r>
                        <w:rPr>
                          <w:rFonts w:ascii="Times New Roman" w:hAnsi="Times New Roman" w:eastAsia="仿宋_GB2312" w:cs="Times New Roman"/>
                          <w:b/>
                          <w:bCs/>
                          <w:color w:val="auto"/>
                          <w:sz w:val="28"/>
                          <w:szCs w:val="28"/>
                          <w:u w:val="single"/>
                        </w:rPr>
                        <w:t>年</w:t>
                      </w:r>
                      <w:r>
                        <w:rPr>
                          <w:rFonts w:hint="eastAsia" w:ascii="Times New Roman" w:hAnsi="Times New Roman" w:eastAsia="仿宋_GB2312" w:cs="Times New Roman"/>
                          <w:b/>
                          <w:bCs/>
                          <w:color w:val="auto"/>
                          <w:sz w:val="28"/>
                          <w:szCs w:val="28"/>
                          <w:u w:val="single"/>
                        </w:rPr>
                        <w:t>10</w:t>
                      </w:r>
                      <w:r>
                        <w:rPr>
                          <w:rFonts w:ascii="Times New Roman" w:hAnsi="Times New Roman" w:eastAsia="仿宋_GB2312" w:cs="Times New Roman"/>
                          <w:b/>
                          <w:bCs/>
                          <w:color w:val="auto"/>
                          <w:sz w:val="28"/>
                          <w:szCs w:val="28"/>
                          <w:u w:val="single"/>
                        </w:rPr>
                        <w:t>月</w:t>
                      </w:r>
                      <w:r>
                        <w:rPr>
                          <w:rFonts w:hint="eastAsia" w:ascii="Times New Roman" w:hAnsi="Times New Roman" w:eastAsia="仿宋_GB2312" w:cs="Times New Roman"/>
                          <w:b/>
                          <w:bCs/>
                          <w:color w:val="auto"/>
                          <w:sz w:val="28"/>
                          <w:szCs w:val="28"/>
                          <w:u w:val="single"/>
                        </w:rPr>
                        <w:t>27</w:t>
                      </w:r>
                      <w:r>
                        <w:rPr>
                          <w:rFonts w:ascii="Times New Roman" w:hAnsi="Times New Roman" w:eastAsia="仿宋_GB2312" w:cs="Times New Roman"/>
                          <w:b/>
                          <w:bCs/>
                          <w:color w:val="auto"/>
                          <w:sz w:val="28"/>
                          <w:szCs w:val="28"/>
                          <w:u w:val="single"/>
                        </w:rPr>
                        <w:t>日09时00分</w:t>
                      </w:r>
                      <w:r>
                        <w:rPr>
                          <w:rFonts w:ascii="Times New Roman" w:hAnsi="Times New Roman" w:eastAsia="仿宋_GB2312" w:cs="Times New Roman"/>
                          <w:sz w:val="28"/>
                          <w:szCs w:val="28"/>
                        </w:rPr>
                        <w:t xml:space="preserve">（北京时间）前递交响应文件。 </w:t>
                      </w:r>
                    </w:p>
                  </w:txbxContent>
                </v:textbox>
              </v:shape>
            </w:pict>
          </mc:Fallback>
        </mc:AlternateContent>
      </w:r>
    </w:p>
    <w:p w14:paraId="787BFEA8">
      <w:pPr>
        <w:spacing w:line="500" w:lineRule="exact"/>
        <w:ind w:firstLine="562"/>
        <w:jc w:val="center"/>
        <w:rPr>
          <w:rFonts w:hint="default" w:ascii="Times New Roman" w:hAnsi="Times New Roman" w:eastAsia="仿宋_GB2312" w:cs="Times New Roman"/>
          <w:b/>
          <w:color w:val="auto"/>
          <w:sz w:val="28"/>
          <w:szCs w:val="28"/>
          <w:lang w:eastAsia="zh-CN"/>
        </w:rPr>
      </w:pPr>
    </w:p>
    <w:p w14:paraId="47E57C3A">
      <w:pPr>
        <w:spacing w:line="500" w:lineRule="exact"/>
        <w:ind w:firstLine="562"/>
        <w:jc w:val="center"/>
        <w:rPr>
          <w:rFonts w:hint="default" w:ascii="Times New Roman" w:hAnsi="Times New Roman" w:eastAsia="仿宋_GB2312" w:cs="Times New Roman"/>
          <w:b/>
          <w:color w:val="auto"/>
          <w:sz w:val="28"/>
          <w:szCs w:val="28"/>
          <w:lang w:eastAsia="zh-CN"/>
        </w:rPr>
      </w:pPr>
    </w:p>
    <w:p w14:paraId="49DB8706">
      <w:pPr>
        <w:spacing w:line="500" w:lineRule="exact"/>
        <w:ind w:firstLine="562"/>
        <w:jc w:val="center"/>
        <w:rPr>
          <w:rFonts w:hint="default" w:ascii="Times New Roman" w:hAnsi="Times New Roman" w:eastAsia="仿宋_GB2312" w:cs="Times New Roman"/>
          <w:b/>
          <w:bCs/>
          <w:color w:val="auto"/>
          <w:sz w:val="28"/>
          <w:szCs w:val="28"/>
          <w:lang w:eastAsia="zh-CN"/>
        </w:rPr>
      </w:pPr>
    </w:p>
    <w:p w14:paraId="05D7D5BD">
      <w:pPr>
        <w:spacing w:line="500" w:lineRule="exact"/>
        <w:ind w:firstLine="480"/>
        <w:jc w:val="left"/>
        <w:rPr>
          <w:rFonts w:hint="default" w:ascii="Times New Roman" w:hAnsi="Times New Roman" w:eastAsia="仿宋_GB2312" w:cs="Times New Roman"/>
          <w:color w:val="auto"/>
          <w:sz w:val="28"/>
          <w:szCs w:val="28"/>
          <w:lang w:eastAsia="zh-CN"/>
        </w:rPr>
      </w:pPr>
    </w:p>
    <w:p w14:paraId="442F5DFF">
      <w:pPr>
        <w:spacing w:line="500" w:lineRule="exact"/>
        <w:jc w:val="left"/>
        <w:rPr>
          <w:rFonts w:hint="default" w:ascii="Times New Roman" w:hAnsi="Times New Roman" w:eastAsia="方正小标宋_GBK" w:cs="Times New Roman"/>
          <w:b/>
          <w:bCs/>
          <w:color w:val="auto"/>
          <w:sz w:val="28"/>
          <w:szCs w:val="28"/>
          <w:lang w:val="en-US" w:eastAsia="zh-CN"/>
        </w:rPr>
      </w:pPr>
      <w:bookmarkStart w:id="5" w:name="_Toc1853601844_WPSOffice_Level2"/>
      <w:bookmarkStart w:id="6" w:name="_Toc1456310841_WPSOffice_Level2"/>
      <w:bookmarkStart w:id="7" w:name="_Toc2031125453_WPSOffice_Level2"/>
      <w:r>
        <w:rPr>
          <w:rFonts w:hint="default" w:ascii="Times New Roman" w:hAnsi="Times New Roman" w:eastAsia="方正小标宋_GBK" w:cs="Times New Roman"/>
          <w:b/>
          <w:bCs/>
          <w:color w:val="auto"/>
          <w:sz w:val="28"/>
          <w:szCs w:val="28"/>
          <w:lang w:val="en-US" w:eastAsia="zh-CN"/>
        </w:rPr>
        <w:t xml:space="preserve">    </w:t>
      </w:r>
      <w:bookmarkStart w:id="8" w:name="_Toc1811351892_WPSOffice_Level2"/>
    </w:p>
    <w:p w14:paraId="6835CB2A">
      <w:pPr>
        <w:spacing w:line="500" w:lineRule="exact"/>
        <w:jc w:val="left"/>
        <w:rPr>
          <w:rFonts w:hint="default" w:ascii="Times New Roman" w:hAnsi="Times New Roman" w:eastAsia="方正小标宋_GBK" w:cs="Times New Roman"/>
          <w:b/>
          <w:bCs/>
          <w:color w:val="auto"/>
          <w:sz w:val="28"/>
          <w:szCs w:val="28"/>
          <w:lang w:val="en-US" w:eastAsia="zh-CN"/>
        </w:rPr>
      </w:pPr>
      <w:r>
        <w:rPr>
          <w:rFonts w:hint="default" w:ascii="Times New Roman" w:hAnsi="Times New Roman" w:eastAsia="方正小标宋_GBK" w:cs="Times New Roman"/>
          <w:b/>
          <w:bCs/>
          <w:color w:val="auto"/>
          <w:sz w:val="28"/>
          <w:szCs w:val="28"/>
          <w:lang w:val="en-US" w:eastAsia="zh-CN"/>
        </w:rPr>
        <w:t xml:space="preserve">   </w:t>
      </w:r>
    </w:p>
    <w:p w14:paraId="6BFBDA79">
      <w:pPr>
        <w:spacing w:line="500" w:lineRule="exact"/>
        <w:ind w:firstLine="560" w:firstLineChars="200"/>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一、项目基本情况</w:t>
      </w:r>
    </w:p>
    <w:p w14:paraId="47285E8C">
      <w:pPr>
        <w:spacing w:line="500" w:lineRule="exact"/>
        <w:ind w:firstLine="560" w:firstLineChars="200"/>
        <w:rPr>
          <w:rFonts w:hint="default" w:ascii="Times New Roman" w:hAnsi="Times New Roman" w:eastAsia="黑体" w:cs="Times New Roman"/>
          <w:color w:val="auto"/>
          <w:sz w:val="28"/>
          <w:szCs w:val="28"/>
          <w:lang w:val="en-US" w:eastAsia="zh-CN"/>
        </w:rPr>
      </w:pPr>
      <w:r>
        <w:rPr>
          <w:rFonts w:ascii="Times New Roman" w:hAnsi="Times New Roman" w:eastAsia="黑体" w:cs="Times New Roman"/>
          <w:color w:val="auto"/>
          <w:sz w:val="28"/>
          <w:szCs w:val="28"/>
          <w:lang w:val="en-US" w:eastAsia="zh-CN"/>
        </w:rPr>
        <w:t>1</w:t>
      </w:r>
      <w:r>
        <w:rPr>
          <w:rFonts w:hint="default" w:ascii="Times New Roman" w:hAnsi="Times New Roman" w:eastAsia="仿宋_GB2312" w:cs="Times New Roman"/>
          <w:color w:val="auto"/>
          <w:sz w:val="28"/>
          <w:szCs w:val="28"/>
          <w:lang w:val="en-US" w:eastAsia="zh-CN"/>
        </w:rPr>
        <w:t>、项目编号：</w:t>
      </w:r>
      <w:r>
        <w:rPr>
          <w:rFonts w:ascii="Times New Roman" w:hAnsi="Times New Roman" w:eastAsia="仿宋_GB2312" w:cs="Times New Roman"/>
          <w:color w:val="auto"/>
          <w:sz w:val="28"/>
          <w:szCs w:val="28"/>
          <w:lang w:val="en-US" w:eastAsia="zh-CN"/>
        </w:rPr>
        <w:t>豫财磋商采购-2026-853</w:t>
      </w:r>
    </w:p>
    <w:p w14:paraId="72BFF467">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2、项目名称：</w:t>
      </w:r>
      <w:r>
        <w:rPr>
          <w:rFonts w:ascii="Times New Roman" w:hAnsi="Times New Roman" w:eastAsia="仿宋_GB2312" w:cs="Times New Roman"/>
          <w:color w:val="auto"/>
          <w:sz w:val="28"/>
          <w:szCs w:val="28"/>
          <w:lang w:val="en" w:eastAsia="zh-CN"/>
        </w:rPr>
        <w:t>郑州铁路职业技术学院工科基础实训室项目</w:t>
      </w:r>
    </w:p>
    <w:p w14:paraId="49100190">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3、采购方式：竞争性磋商</w:t>
      </w:r>
    </w:p>
    <w:p w14:paraId="0618CBC1">
      <w:pPr>
        <w:spacing w:line="500" w:lineRule="exact"/>
        <w:ind w:firstLine="560" w:firstLineChars="200"/>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eastAsia="zh-CN"/>
        </w:rPr>
        <w:t>预算金额：</w:t>
      </w:r>
      <w:r>
        <w:rPr>
          <w:rFonts w:ascii="Times New Roman" w:hAnsi="Times New Roman" w:eastAsia="仿宋_GB2312" w:cs="Times New Roman"/>
          <w:color w:val="auto"/>
          <w:sz w:val="28"/>
          <w:szCs w:val="28"/>
          <w:lang w:val="en-US" w:eastAsia="zh-CN"/>
        </w:rPr>
        <w:t>160</w:t>
      </w:r>
      <w:r>
        <w:rPr>
          <w:rFonts w:ascii="Times New Roman" w:hAnsi="Times New Roman" w:eastAsia="仿宋" w:cs="Times New Roman"/>
          <w:color w:val="auto"/>
          <w:sz w:val="28"/>
          <w:szCs w:val="28"/>
          <w:lang w:eastAsia="zh-CN"/>
        </w:rPr>
        <w:t>0</w:t>
      </w:r>
      <w:r>
        <w:rPr>
          <w:rFonts w:ascii="Times New Roman" w:hAnsi="Times New Roman" w:eastAsia="仿宋" w:cs="Times New Roman"/>
          <w:color w:val="auto"/>
          <w:sz w:val="28"/>
          <w:szCs w:val="28"/>
          <w:lang w:val="en-US" w:eastAsia="zh-CN"/>
        </w:rPr>
        <w:t>0</w:t>
      </w:r>
      <w:r>
        <w:rPr>
          <w:rFonts w:ascii="Times New Roman" w:hAnsi="Times New Roman" w:eastAsia="仿宋" w:cs="Times New Roman"/>
          <w:color w:val="auto"/>
          <w:sz w:val="28"/>
          <w:szCs w:val="28"/>
          <w:lang w:eastAsia="zh-CN"/>
        </w:rPr>
        <w:t>00</w:t>
      </w:r>
      <w:r>
        <w:rPr>
          <w:rFonts w:hint="default" w:ascii="Times New Roman" w:hAnsi="Times New Roman" w:eastAsia="仿宋_GB2312" w:cs="Times New Roman"/>
          <w:color w:val="auto"/>
          <w:sz w:val="28"/>
          <w:szCs w:val="28"/>
          <w:lang w:eastAsia="zh-CN"/>
        </w:rPr>
        <w:t>元</w:t>
      </w:r>
    </w:p>
    <w:p w14:paraId="004D67CF">
      <w:pPr>
        <w:spacing w:line="500" w:lineRule="exact"/>
        <w:ind w:firstLine="977" w:firstLineChars="349"/>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最高限价：</w:t>
      </w:r>
      <w:r>
        <w:rPr>
          <w:rFonts w:ascii="Times New Roman" w:hAnsi="Times New Roman" w:eastAsia="仿宋" w:cs="Times New Roman"/>
          <w:color w:val="auto"/>
          <w:sz w:val="28"/>
          <w:szCs w:val="28"/>
          <w:lang w:val="en-US" w:eastAsia="zh-CN"/>
        </w:rPr>
        <w:t>1551482</w:t>
      </w:r>
      <w:r>
        <w:rPr>
          <w:rFonts w:hint="default" w:ascii="Times New Roman" w:hAnsi="Times New Roman" w:eastAsia="仿宋_GB2312" w:cs="Times New Roman"/>
          <w:color w:val="auto"/>
          <w:sz w:val="28"/>
          <w:szCs w:val="28"/>
          <w:lang w:eastAsia="zh-CN"/>
        </w:rPr>
        <w:t>元</w:t>
      </w:r>
    </w:p>
    <w:p w14:paraId="3494289F">
      <w:pPr>
        <w:spacing w:line="500" w:lineRule="exact"/>
        <w:ind w:firstLine="560" w:firstLineChars="200"/>
        <w:rPr>
          <w:rFonts w:hint="default" w:ascii="Times New Roman" w:hAnsi="Times New Roman" w:eastAsia="仿宋_GB2312" w:cs="Times New Roman"/>
          <w:color w:val="auto"/>
          <w:sz w:val="28"/>
          <w:szCs w:val="28"/>
          <w:lang w:val="en-US" w:eastAsia="zh-CN"/>
        </w:rPr>
      </w:pPr>
    </w:p>
    <w:tbl>
      <w:tblPr>
        <w:tblStyle w:val="52"/>
        <w:tblW w:w="9638" w:type="dxa"/>
        <w:jc w:val="center"/>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520"/>
        <w:gridCol w:w="2426"/>
        <w:gridCol w:w="2317"/>
        <w:gridCol w:w="2237"/>
        <w:gridCol w:w="2138"/>
      </w:tblGrid>
      <w:tr w14:paraId="4426050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30" w:hRule="atLeast"/>
          <w:tblCellSpacing w:w="0" w:type="dxa"/>
          <w:jc w:val="center"/>
        </w:trPr>
        <w:tc>
          <w:tcPr>
            <w:tcW w:w="520" w:type="dxa"/>
            <w:tcMar>
              <w:top w:w="120" w:type="dxa"/>
            </w:tcMar>
            <w:vAlign w:val="center"/>
          </w:tcPr>
          <w:p w14:paraId="32E72CFD">
            <w:pPr>
              <w:wordWrap w:val="0"/>
              <w:spacing w:line="420" w:lineRule="atLeas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kern w:val="0"/>
                <w:sz w:val="24"/>
                <w:szCs w:val="24"/>
                <w:lang w:val="en-US" w:eastAsia="zh-CN" w:bidi="ar"/>
              </w:rPr>
              <w:t>序号</w:t>
            </w:r>
          </w:p>
        </w:tc>
        <w:tc>
          <w:tcPr>
            <w:tcW w:w="2426" w:type="dxa"/>
            <w:tcMar>
              <w:top w:w="120" w:type="dxa"/>
            </w:tcMar>
            <w:vAlign w:val="center"/>
          </w:tcPr>
          <w:p w14:paraId="69B5A3E0">
            <w:pPr>
              <w:wordWrap w:val="0"/>
              <w:spacing w:line="420" w:lineRule="atLeas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kern w:val="0"/>
                <w:sz w:val="24"/>
                <w:szCs w:val="24"/>
                <w:lang w:val="en-US" w:eastAsia="zh-CN" w:bidi="ar"/>
              </w:rPr>
              <w:t>包号</w:t>
            </w:r>
          </w:p>
        </w:tc>
        <w:tc>
          <w:tcPr>
            <w:tcW w:w="2317" w:type="dxa"/>
            <w:tcMar>
              <w:top w:w="120" w:type="dxa"/>
            </w:tcMar>
            <w:vAlign w:val="center"/>
          </w:tcPr>
          <w:p w14:paraId="785CAA87">
            <w:pPr>
              <w:wordWrap w:val="0"/>
              <w:spacing w:line="420" w:lineRule="atLeas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kern w:val="0"/>
                <w:sz w:val="24"/>
                <w:szCs w:val="24"/>
                <w:lang w:val="en-US" w:eastAsia="zh-CN" w:bidi="ar"/>
              </w:rPr>
              <w:t>包名称</w:t>
            </w:r>
          </w:p>
        </w:tc>
        <w:tc>
          <w:tcPr>
            <w:tcW w:w="2237" w:type="dxa"/>
            <w:tcMar>
              <w:top w:w="120" w:type="dxa"/>
            </w:tcMar>
            <w:vAlign w:val="center"/>
          </w:tcPr>
          <w:p w14:paraId="1606FB4D">
            <w:pPr>
              <w:wordWrap w:val="0"/>
              <w:spacing w:line="420" w:lineRule="atLeas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kern w:val="0"/>
                <w:sz w:val="24"/>
                <w:szCs w:val="24"/>
                <w:lang w:val="en-US" w:eastAsia="zh-CN" w:bidi="ar"/>
              </w:rPr>
              <w:t>包预算（元）</w:t>
            </w:r>
          </w:p>
        </w:tc>
        <w:tc>
          <w:tcPr>
            <w:tcW w:w="2138" w:type="dxa"/>
            <w:tcMar>
              <w:top w:w="120" w:type="dxa"/>
            </w:tcMar>
            <w:vAlign w:val="center"/>
          </w:tcPr>
          <w:p w14:paraId="24E36EFF">
            <w:pPr>
              <w:wordWrap w:val="0"/>
              <w:spacing w:line="420" w:lineRule="atLeas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kern w:val="0"/>
                <w:sz w:val="24"/>
                <w:szCs w:val="24"/>
                <w:lang w:val="en-US" w:eastAsia="zh-CN" w:bidi="ar"/>
              </w:rPr>
              <w:t>包最高限价（元）</w:t>
            </w:r>
          </w:p>
        </w:tc>
      </w:tr>
      <w:tr w14:paraId="7046A4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137" w:hRule="atLeast"/>
          <w:tblCellSpacing w:w="0" w:type="dxa"/>
          <w:jc w:val="center"/>
        </w:trPr>
        <w:tc>
          <w:tcPr>
            <w:tcW w:w="520" w:type="dxa"/>
            <w:tcMar>
              <w:top w:w="120" w:type="dxa"/>
            </w:tcMar>
            <w:vAlign w:val="center"/>
          </w:tcPr>
          <w:p w14:paraId="019CAA74">
            <w:pPr>
              <w:wordWrap w:val="0"/>
              <w:spacing w:line="420" w:lineRule="atLeast"/>
              <w:jc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
              </w:rPr>
              <w:t>1</w:t>
            </w:r>
          </w:p>
        </w:tc>
        <w:tc>
          <w:tcPr>
            <w:tcW w:w="2426" w:type="dxa"/>
            <w:tcMar>
              <w:top w:w="120" w:type="dxa"/>
            </w:tcMar>
            <w:vAlign w:val="center"/>
          </w:tcPr>
          <w:p w14:paraId="7243D8BD">
            <w:pPr>
              <w:wordWrap w:val="0"/>
              <w:spacing w:line="420" w:lineRule="atLeast"/>
              <w:jc w:val="center"/>
              <w:rPr>
                <w:rFonts w:hint="default" w:ascii="Times New Roman" w:hAnsi="Times New Roman" w:eastAsia="仿宋_GB2312" w:cs="Times New Roman"/>
                <w:color w:val="auto"/>
                <w:kern w:val="0"/>
                <w:sz w:val="24"/>
                <w:szCs w:val="24"/>
                <w:lang w:val="en-US" w:eastAsia="zh-CN" w:bidi="ar"/>
              </w:rPr>
            </w:pPr>
            <w:r>
              <w:rPr>
                <w:rFonts w:ascii="Times New Roman" w:hAnsi="Times New Roman" w:eastAsia="仿宋_GB2312" w:cs="Times New Roman"/>
                <w:color w:val="auto"/>
                <w:kern w:val="0"/>
                <w:sz w:val="24"/>
                <w:szCs w:val="24"/>
                <w:lang w:val="en-US" w:eastAsia="zh-CN" w:bidi="ar"/>
              </w:rPr>
              <w:t>豫政采(1)20260264-1</w:t>
            </w:r>
          </w:p>
        </w:tc>
        <w:tc>
          <w:tcPr>
            <w:tcW w:w="2317" w:type="dxa"/>
            <w:tcMar>
              <w:top w:w="120" w:type="dxa"/>
            </w:tcMar>
            <w:vAlign w:val="center"/>
          </w:tcPr>
          <w:p w14:paraId="2FDEB822">
            <w:pPr>
              <w:wordWrap w:val="0"/>
              <w:spacing w:line="420" w:lineRule="atLeast"/>
              <w:jc w:val="center"/>
              <w:rPr>
                <w:rFonts w:hint="default" w:ascii="Times New Roman" w:hAnsi="Times New Roman" w:eastAsia="仿宋_GB2312" w:cs="Times New Roman"/>
                <w:color w:val="auto"/>
                <w:sz w:val="24"/>
                <w:szCs w:val="24"/>
                <w:lang w:val="en-US" w:eastAsia="zh-CN"/>
              </w:rPr>
            </w:pPr>
            <w:r>
              <w:rPr>
                <w:rFonts w:ascii="Times New Roman" w:hAnsi="Times New Roman" w:eastAsia="仿宋_GB2312" w:cs="Times New Roman"/>
                <w:color w:val="auto"/>
                <w:sz w:val="28"/>
                <w:szCs w:val="28"/>
                <w:lang w:val="en" w:eastAsia="zh-CN"/>
              </w:rPr>
              <w:t>郑州铁路职业技术学院工科基础实训室项目</w:t>
            </w:r>
          </w:p>
        </w:tc>
        <w:tc>
          <w:tcPr>
            <w:tcW w:w="2237" w:type="dxa"/>
            <w:tcMar>
              <w:top w:w="120" w:type="dxa"/>
            </w:tcMar>
            <w:vAlign w:val="center"/>
          </w:tcPr>
          <w:p w14:paraId="0E4ABDE8">
            <w:pPr>
              <w:wordWrap w:val="0"/>
              <w:spacing w:line="420" w:lineRule="atLeast"/>
              <w:jc w:val="center"/>
              <w:rPr>
                <w:rFonts w:hint="default" w:ascii="Times New Roman" w:hAnsi="Times New Roman" w:eastAsia="仿宋_GB2312" w:cs="Times New Roman"/>
                <w:color w:val="auto"/>
                <w:sz w:val="24"/>
                <w:szCs w:val="24"/>
                <w:lang w:val="en-US" w:eastAsia="zh-CN"/>
              </w:rPr>
            </w:pPr>
            <w:r>
              <w:rPr>
                <w:rFonts w:ascii="Times New Roman" w:hAnsi="Times New Roman" w:eastAsia="仿宋" w:cs="Times New Roman"/>
                <w:color w:val="auto"/>
                <w:sz w:val="28"/>
                <w:szCs w:val="28"/>
                <w:lang w:val="en-US" w:eastAsia="zh-CN"/>
              </w:rPr>
              <w:t>160</w:t>
            </w:r>
            <w:r>
              <w:rPr>
                <w:rFonts w:ascii="Times New Roman" w:hAnsi="Times New Roman" w:eastAsia="仿宋" w:cs="Times New Roman"/>
                <w:color w:val="auto"/>
                <w:sz w:val="28"/>
                <w:szCs w:val="28"/>
                <w:lang w:eastAsia="zh-CN"/>
              </w:rPr>
              <w:t>0000</w:t>
            </w:r>
          </w:p>
        </w:tc>
        <w:tc>
          <w:tcPr>
            <w:tcW w:w="2138" w:type="dxa"/>
            <w:tcMar>
              <w:top w:w="120" w:type="dxa"/>
            </w:tcMar>
            <w:vAlign w:val="center"/>
          </w:tcPr>
          <w:p w14:paraId="646420AE">
            <w:pPr>
              <w:wordWrap w:val="0"/>
              <w:spacing w:line="420" w:lineRule="atLeast"/>
              <w:jc w:val="center"/>
              <w:rPr>
                <w:rFonts w:hint="default" w:ascii="Times New Roman" w:hAnsi="Times New Roman" w:eastAsia="PMingLiU" w:cs="Times New Roman"/>
                <w:color w:val="auto"/>
                <w:sz w:val="24"/>
                <w:szCs w:val="24"/>
                <w:lang w:val="en-US"/>
              </w:rPr>
            </w:pPr>
            <w:r>
              <w:rPr>
                <w:rFonts w:ascii="Times New Roman" w:hAnsi="Times New Roman" w:eastAsia="仿宋" w:cs="Times New Roman"/>
                <w:color w:val="auto"/>
                <w:sz w:val="28"/>
                <w:szCs w:val="28"/>
                <w:lang w:val="en-US" w:eastAsia="zh-CN"/>
              </w:rPr>
              <w:t>1551482</w:t>
            </w:r>
          </w:p>
        </w:tc>
      </w:tr>
    </w:tbl>
    <w:p w14:paraId="6119154D">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5、采购需求（包括但不限于标的的名称、数量、简要技术需求或服务要求等）</w:t>
      </w:r>
    </w:p>
    <w:p w14:paraId="1A531F30">
      <w:pPr>
        <w:spacing w:line="500" w:lineRule="exact"/>
        <w:ind w:firstLine="560" w:firstLineChars="200"/>
        <w:rPr>
          <w:rFonts w:hint="default" w:ascii="Times New Roman" w:hAnsi="Times New Roman" w:eastAsia="仿宋_GB2312" w:cs="Times New Roman"/>
          <w:color w:val="auto"/>
          <w:sz w:val="28"/>
          <w:szCs w:val="28"/>
          <w:highlight w:val="cyan"/>
          <w:lang w:val="en-US" w:eastAsia="zh-CN"/>
        </w:rPr>
      </w:pPr>
      <w:r>
        <w:rPr>
          <w:rFonts w:hint="default" w:ascii="Times New Roman" w:hAnsi="Times New Roman" w:eastAsia="仿宋_GB2312" w:cs="Times New Roman"/>
          <w:color w:val="auto"/>
          <w:sz w:val="28"/>
          <w:szCs w:val="28"/>
          <w:lang w:val="en-US" w:eastAsia="zh-CN"/>
        </w:rPr>
        <w:t>（1）采购内容：</w:t>
      </w:r>
      <w:r>
        <w:rPr>
          <w:rFonts w:ascii="Times New Roman" w:hAnsi="Times New Roman" w:eastAsia="仿宋_GB2312" w:cs="Times New Roman"/>
          <w:color w:val="auto"/>
          <w:sz w:val="28"/>
          <w:szCs w:val="28"/>
          <w:lang w:val="en" w:eastAsia="zh-CN"/>
        </w:rPr>
        <w:t>郑州铁路职业技术学院工科基础实训室项目</w:t>
      </w:r>
      <w:r>
        <w:rPr>
          <w:rFonts w:hint="default" w:ascii="Times New Roman" w:hAnsi="Times New Roman" w:eastAsia="仿宋_GB2312" w:cs="Times New Roman"/>
          <w:color w:val="auto"/>
          <w:sz w:val="28"/>
          <w:szCs w:val="28"/>
          <w:lang w:val="en-US" w:eastAsia="zh-CN"/>
        </w:rPr>
        <w:t>，共1个包。主要包含：</w:t>
      </w:r>
      <w:r>
        <w:rPr>
          <w:rFonts w:ascii="Times New Roman" w:hAnsi="Times New Roman" w:eastAsia="仿宋_GB2312" w:cs="Times New Roman"/>
          <w:color w:val="auto"/>
          <w:sz w:val="28"/>
          <w:szCs w:val="28"/>
          <w:lang w:val="en-US" w:eastAsia="zh-CN"/>
        </w:rPr>
        <w:t>台式计算机150台、教师机3台、管理服务器1台、终端管理系统150点、多媒体教学软件3套、投影机5台、电动幕布5幅、多媒体智能终端5台、交互控制面板5台、数字无线系统主机5台、数字接收器5只、线列阵音柱10只、数字无线麦克风5台、接入交换机9台、机柜3套、陶瓷防静电地板500平方米、电工电子实训装置50套以及</w:t>
      </w:r>
      <w:r>
        <w:rPr>
          <w:rFonts w:ascii="仿宋_GB2312" w:hAnsi="Times New Roman" w:eastAsia="仿宋_GB2312" w:cs="Times New Roman"/>
          <w:color w:val="auto"/>
          <w:sz w:val="28"/>
          <w:szCs w:val="28"/>
          <w:lang w:val="en-US" w:eastAsia="zh-CN"/>
        </w:rPr>
        <w:t>安装、调试、验收、质保期内服务、与货物相关的运输和保险及其它伴随服务等。</w:t>
      </w:r>
    </w:p>
    <w:p w14:paraId="01E043B7">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（2）交货期：合同签订后</w:t>
      </w:r>
      <w:r>
        <w:rPr>
          <w:rFonts w:ascii="Times New Roman" w:hAnsi="Times New Roman" w:eastAsia="仿宋_GB2312" w:cs="Times New Roman"/>
          <w:color w:val="auto"/>
          <w:sz w:val="28"/>
          <w:szCs w:val="28"/>
          <w:lang w:val="en-US" w:eastAsia="zh-CN"/>
        </w:rPr>
        <w:t>10个</w:t>
      </w:r>
      <w:r>
        <w:rPr>
          <w:rFonts w:hint="default" w:ascii="Times New Roman" w:hAnsi="Times New Roman" w:eastAsia="仿宋_GB2312" w:cs="Times New Roman"/>
          <w:color w:val="auto"/>
          <w:sz w:val="28"/>
          <w:szCs w:val="28"/>
          <w:lang w:val="en-US" w:eastAsia="zh-CN"/>
        </w:rPr>
        <w:t>日历日内完成本项目的供货、安装及调试。</w:t>
      </w:r>
    </w:p>
    <w:p w14:paraId="13927DB4">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（3）交货地点：</w:t>
      </w:r>
      <w:r>
        <w:rPr>
          <w:rFonts w:ascii="Times New Roman" w:hAnsi="Times New Roman" w:eastAsia="仿宋_GB2312" w:cs="Times New Roman"/>
          <w:color w:val="auto"/>
          <w:sz w:val="28"/>
          <w:szCs w:val="28"/>
          <w:lang w:val="en-US" w:eastAsia="zh-CN"/>
        </w:rPr>
        <w:t>郑州铁路职业技术学院兰考校区（河南省开封市兰考县中州路与慧明路交叉口西460米）</w:t>
      </w:r>
    </w:p>
    <w:p w14:paraId="75ED1B09">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（4）质量标准：合格</w:t>
      </w:r>
    </w:p>
    <w:p w14:paraId="24332567">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（5）质量保证期：</w:t>
      </w:r>
      <w:r>
        <w:rPr>
          <w:rFonts w:ascii="Times New Roman" w:hAnsi="Times New Roman" w:eastAsia="仿宋" w:cs="Times New Roman"/>
          <w:color w:val="auto"/>
          <w:sz w:val="28"/>
          <w:szCs w:val="28"/>
          <w:lang w:val="en-US" w:eastAsia="zh-CN"/>
        </w:rPr>
        <w:t>5</w:t>
      </w:r>
      <w:r>
        <w:rPr>
          <w:rFonts w:hint="default" w:ascii="Times New Roman" w:hAnsi="Times New Roman" w:eastAsia="仿宋" w:cs="Times New Roman"/>
          <w:color w:val="auto"/>
          <w:sz w:val="28"/>
          <w:szCs w:val="28"/>
          <w:lang w:val="en-US" w:eastAsia="zh-CN"/>
        </w:rPr>
        <w:t>年，从验收合格之日起开始计算</w:t>
      </w:r>
    </w:p>
    <w:p w14:paraId="592EA114">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6、合同履行期限：同交货期</w:t>
      </w:r>
    </w:p>
    <w:p w14:paraId="6CE67319">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7、本项目是否接受联合体投标：否</w:t>
      </w:r>
    </w:p>
    <w:p w14:paraId="5FDA896E">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8、是否接受进口产品：否</w:t>
      </w:r>
    </w:p>
    <w:p w14:paraId="5DD72AD5">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9、是否专门面向中小企业：否</w:t>
      </w:r>
    </w:p>
    <w:p w14:paraId="22932079">
      <w:pPr>
        <w:spacing w:line="500" w:lineRule="exact"/>
        <w:ind w:firstLine="560" w:firstLineChars="200"/>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二、申请人资格要求：</w:t>
      </w:r>
    </w:p>
    <w:p w14:paraId="01517570">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1、满足《中华人民共和国政府采购法》第二十二条规定；</w:t>
      </w:r>
    </w:p>
    <w:p w14:paraId="2D12F4FF">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2、落实政府采购政策满足的资格要求：</w:t>
      </w:r>
    </w:p>
    <w:p w14:paraId="4B4DB407">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无</w:t>
      </w:r>
    </w:p>
    <w:p w14:paraId="7F004A44">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3、本项目的特定资格要求</w:t>
      </w:r>
    </w:p>
    <w:p w14:paraId="492E136E">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无</w:t>
      </w:r>
    </w:p>
    <w:p w14:paraId="07AC3F34">
      <w:pPr>
        <w:spacing w:line="500" w:lineRule="exact"/>
        <w:ind w:firstLine="560" w:firstLineChars="200"/>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三、获取采购文件</w:t>
      </w:r>
    </w:p>
    <w:p w14:paraId="76015201">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1.时间：202</w:t>
      </w:r>
      <w:r>
        <w:rPr>
          <w:rFonts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lang w:val="en-US" w:eastAsia="zh-CN"/>
        </w:rPr>
        <w:t>年</w:t>
      </w:r>
      <w:r>
        <w:rPr>
          <w:rFonts w:ascii="Times New Roman" w:hAnsi="Times New Roman" w:eastAsia="仿宋_GB2312" w:cs="Times New Roman"/>
          <w:color w:val="auto"/>
          <w:sz w:val="28"/>
          <w:szCs w:val="28"/>
          <w:lang w:val="en-US" w:eastAsia="zh-CN"/>
        </w:rPr>
        <w:t>10</w:t>
      </w:r>
      <w:r>
        <w:rPr>
          <w:rFonts w:hint="default" w:ascii="Times New Roman" w:hAnsi="Times New Roman" w:eastAsia="仿宋_GB2312" w:cs="Times New Roman"/>
          <w:color w:val="auto"/>
          <w:sz w:val="28"/>
          <w:szCs w:val="28"/>
          <w:lang w:val="en-US" w:eastAsia="zh-CN"/>
        </w:rPr>
        <w:t>月</w:t>
      </w:r>
      <w:r>
        <w:rPr>
          <w:rFonts w:ascii="Times New Roman" w:hAnsi="Times New Roman" w:eastAsia="仿宋_GB2312" w:cs="Times New Roman"/>
          <w:color w:val="auto"/>
          <w:sz w:val="28"/>
          <w:szCs w:val="28"/>
          <w:lang w:val="en-US" w:eastAsia="zh-CN"/>
        </w:rPr>
        <w:t>13</w:t>
      </w:r>
      <w:r>
        <w:rPr>
          <w:rFonts w:hint="default" w:ascii="Times New Roman" w:hAnsi="Times New Roman" w:eastAsia="仿宋_GB2312" w:cs="Times New Roman"/>
          <w:color w:val="auto"/>
          <w:sz w:val="28"/>
          <w:szCs w:val="28"/>
          <w:lang w:val="en-US" w:eastAsia="zh-CN"/>
        </w:rPr>
        <w:t>日至 202</w:t>
      </w:r>
      <w:r>
        <w:rPr>
          <w:rFonts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lang w:val="en-US" w:eastAsia="zh-CN"/>
        </w:rPr>
        <w:t>年</w:t>
      </w:r>
      <w:r>
        <w:rPr>
          <w:rFonts w:ascii="Times New Roman" w:hAnsi="Times New Roman" w:eastAsia="仿宋_GB2312" w:cs="Times New Roman"/>
          <w:color w:val="auto"/>
          <w:sz w:val="28"/>
          <w:szCs w:val="28"/>
          <w:lang w:val="en-US" w:eastAsia="zh-CN"/>
        </w:rPr>
        <w:t>10</w:t>
      </w:r>
      <w:r>
        <w:rPr>
          <w:rFonts w:hint="default" w:ascii="Times New Roman" w:hAnsi="Times New Roman" w:eastAsia="仿宋_GB2312" w:cs="Times New Roman"/>
          <w:color w:val="auto"/>
          <w:sz w:val="28"/>
          <w:szCs w:val="28"/>
          <w:lang w:val="en-US" w:eastAsia="zh-CN"/>
        </w:rPr>
        <w:t>月</w:t>
      </w:r>
      <w:r>
        <w:rPr>
          <w:rFonts w:ascii="Times New Roman" w:hAnsi="Times New Roman" w:eastAsia="仿宋_GB2312" w:cs="Times New Roman"/>
          <w:color w:val="auto"/>
          <w:sz w:val="28"/>
          <w:szCs w:val="28"/>
          <w:lang w:val="en-US" w:eastAsia="zh-CN"/>
        </w:rPr>
        <w:t>20</w:t>
      </w:r>
      <w:r>
        <w:rPr>
          <w:rFonts w:hint="default" w:ascii="Times New Roman" w:hAnsi="Times New Roman" w:eastAsia="仿宋_GB2312" w:cs="Times New Roman"/>
          <w:color w:val="auto"/>
          <w:sz w:val="28"/>
          <w:szCs w:val="28"/>
          <w:lang w:val="en-US" w:eastAsia="zh-CN"/>
        </w:rPr>
        <w:t>日，每天上午00：00至12：00，下午12：00至23：59（北京时间，法定节假日除外。）</w:t>
      </w:r>
    </w:p>
    <w:p w14:paraId="2BB3DF55">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2.地点：河南省公共资源交易中心网站（hnsggzyjy.henan.gov.cn）</w:t>
      </w:r>
    </w:p>
    <w:p w14:paraId="2E8B9A2B">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3.方式：供应商</w:t>
      </w:r>
      <w:r>
        <w:rPr>
          <w:rFonts w:hint="default" w:ascii="Times New Roman" w:hAnsi="Times New Roman" w:eastAsia="仿宋" w:cs="Times New Roman"/>
          <w:color w:val="auto"/>
          <w:sz w:val="28"/>
          <w:szCs w:val="28"/>
          <w:lang w:eastAsia="zh-CN"/>
        </w:rPr>
        <w:t>使用CA数字证书登录“河南省公共资源交易中心网</w:t>
      </w:r>
      <w:r>
        <w:rPr>
          <w:rFonts w:hint="default" w:ascii="Times New Roman" w:hAnsi="Times New Roman" w:eastAsia="仿宋" w:cs="Times New Roman"/>
          <w:color w:val="auto"/>
          <w:sz w:val="28"/>
          <w:szCs w:val="28"/>
          <w:lang w:val="en-US" w:eastAsia="zh-CN"/>
        </w:rPr>
        <w:t>站</w:t>
      </w:r>
      <w:r>
        <w:rPr>
          <w:rFonts w:hint="default" w:ascii="Times New Roman" w:hAnsi="Times New Roman" w:eastAsia="仿宋" w:cs="Times New Roman"/>
          <w:color w:val="auto"/>
          <w:sz w:val="28"/>
          <w:szCs w:val="28"/>
          <w:lang w:eastAsia="zh-CN"/>
        </w:rPr>
        <w:t>（hnsggzyjy.henan.gov.cn）”，并按网上提示下载采购项目所含格式(.hnzf)的</w:t>
      </w:r>
      <w:r>
        <w:rPr>
          <w:rFonts w:hint="default" w:ascii="Times New Roman" w:hAnsi="Times New Roman" w:eastAsia="仿宋" w:cs="Times New Roman"/>
          <w:color w:val="auto"/>
          <w:sz w:val="28"/>
          <w:szCs w:val="28"/>
          <w:lang w:val="en" w:eastAsia="zh-CN"/>
        </w:rPr>
        <w:t>竞争性磋商文件</w:t>
      </w:r>
      <w:r>
        <w:rPr>
          <w:rFonts w:hint="default" w:ascii="Times New Roman" w:hAnsi="Times New Roman" w:eastAsia="仿宋" w:cs="Times New Roman"/>
          <w:color w:val="auto"/>
          <w:sz w:val="28"/>
          <w:szCs w:val="28"/>
          <w:lang w:eastAsia="zh-CN"/>
        </w:rPr>
        <w:t>及资料。注册、登录、下载等</w:t>
      </w:r>
      <w:r>
        <w:rPr>
          <w:rFonts w:hint="default" w:ascii="Times New Roman" w:hAnsi="Times New Roman" w:eastAsia="仿宋" w:cs="Times New Roman"/>
          <w:color w:val="auto"/>
          <w:sz w:val="28"/>
          <w:szCs w:val="28"/>
          <w:lang w:val="en-US" w:eastAsia="zh-CN"/>
        </w:rPr>
        <w:t>具体事宜请查阅河南省公共资源交易中心网站“公共服务”→“办事指南”。</w:t>
      </w:r>
    </w:p>
    <w:p w14:paraId="3CA638BD">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4.售价：0元</w:t>
      </w:r>
    </w:p>
    <w:p w14:paraId="4FDB91B0">
      <w:pPr>
        <w:spacing w:line="500" w:lineRule="exact"/>
        <w:ind w:firstLine="560" w:firstLineChars="200"/>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四、响应文件提交</w:t>
      </w:r>
    </w:p>
    <w:p w14:paraId="3570DD69">
      <w:pPr>
        <w:spacing w:line="500" w:lineRule="exact"/>
        <w:ind w:firstLine="560" w:firstLineChars="200"/>
        <w:rPr>
          <w:rFonts w:hint="default" w:ascii="Times New Roman" w:hAnsi="Times New Roman" w:eastAsia="仿宋_GB2312" w:cs="Times New Roman"/>
          <w:color w:val="auto"/>
          <w:sz w:val="28"/>
          <w:szCs w:val="28"/>
          <w:highlight w:val="yellow"/>
          <w:lang w:val="en-US" w:eastAsia="zh-CN"/>
        </w:rPr>
      </w:pPr>
      <w:r>
        <w:rPr>
          <w:rFonts w:hint="default" w:ascii="Times New Roman" w:hAnsi="Times New Roman" w:eastAsia="仿宋_GB2312" w:cs="Times New Roman"/>
          <w:color w:val="auto"/>
          <w:sz w:val="28"/>
          <w:szCs w:val="28"/>
          <w:lang w:val="en-US" w:eastAsia="zh-CN"/>
        </w:rPr>
        <w:t>1.时间：202</w:t>
      </w:r>
      <w:r>
        <w:rPr>
          <w:rFonts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lang w:val="en-US" w:eastAsia="zh-CN"/>
        </w:rPr>
        <w:t>年</w:t>
      </w:r>
      <w:r>
        <w:rPr>
          <w:rFonts w:ascii="Times New Roman" w:hAnsi="Times New Roman" w:eastAsia="仿宋_GB2312" w:cs="Times New Roman"/>
          <w:color w:val="auto"/>
          <w:sz w:val="28"/>
          <w:szCs w:val="28"/>
          <w:lang w:val="en-US" w:eastAsia="zh-CN"/>
        </w:rPr>
        <w:t>10</w:t>
      </w:r>
      <w:r>
        <w:rPr>
          <w:rFonts w:hint="default" w:ascii="Times New Roman" w:hAnsi="Times New Roman" w:eastAsia="仿宋_GB2312" w:cs="Times New Roman"/>
          <w:color w:val="auto"/>
          <w:sz w:val="28"/>
          <w:szCs w:val="28"/>
          <w:lang w:val="en-US" w:eastAsia="zh-CN"/>
        </w:rPr>
        <w:t>月</w:t>
      </w:r>
      <w:r>
        <w:rPr>
          <w:rFonts w:ascii="Times New Roman" w:hAnsi="Times New Roman" w:eastAsia="仿宋_GB2312" w:cs="Times New Roman"/>
          <w:color w:val="auto"/>
          <w:sz w:val="28"/>
          <w:szCs w:val="28"/>
          <w:lang w:val="en-US" w:eastAsia="zh-CN"/>
        </w:rPr>
        <w:t>27</w:t>
      </w:r>
      <w:r>
        <w:rPr>
          <w:rFonts w:hint="default" w:ascii="Times New Roman" w:hAnsi="Times New Roman" w:eastAsia="仿宋_GB2312" w:cs="Times New Roman"/>
          <w:color w:val="auto"/>
          <w:sz w:val="28"/>
          <w:szCs w:val="28"/>
          <w:lang w:val="en-US" w:eastAsia="zh-CN"/>
        </w:rPr>
        <w:t>日09时00分（北京时间）</w:t>
      </w:r>
    </w:p>
    <w:p w14:paraId="45EAE221">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2.地点：河南省公共资源交易中心网站（hnsggzyjy.henan.gov.cn）</w:t>
      </w:r>
    </w:p>
    <w:p w14:paraId="5EF1F5C9">
      <w:pPr>
        <w:spacing w:line="500" w:lineRule="exact"/>
        <w:ind w:firstLine="560" w:firstLineChars="200"/>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五、响应文件开启</w:t>
      </w:r>
    </w:p>
    <w:p w14:paraId="036F0C25">
      <w:pPr>
        <w:spacing w:line="500" w:lineRule="exact"/>
        <w:ind w:firstLine="560" w:firstLineChars="200"/>
        <w:rPr>
          <w:rFonts w:hint="default" w:ascii="Times New Roman" w:hAnsi="Times New Roman" w:eastAsia="仿宋_GB2312" w:cs="Times New Roman"/>
          <w:color w:val="auto"/>
          <w:sz w:val="28"/>
          <w:szCs w:val="28"/>
          <w:highlight w:val="yellow"/>
          <w:lang w:val="en-US" w:eastAsia="zh-CN"/>
        </w:rPr>
      </w:pPr>
      <w:r>
        <w:rPr>
          <w:rFonts w:hint="default" w:ascii="Times New Roman" w:hAnsi="Times New Roman" w:eastAsia="仿宋_GB2312" w:cs="Times New Roman"/>
          <w:color w:val="auto"/>
          <w:sz w:val="28"/>
          <w:szCs w:val="28"/>
          <w:lang w:val="en-US" w:eastAsia="zh-CN"/>
        </w:rPr>
        <w:t>1.时间：202</w:t>
      </w:r>
      <w:r>
        <w:rPr>
          <w:rFonts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lang w:val="en-US" w:eastAsia="zh-CN"/>
        </w:rPr>
        <w:t>年</w:t>
      </w:r>
      <w:r>
        <w:rPr>
          <w:rFonts w:ascii="Times New Roman" w:hAnsi="Times New Roman" w:eastAsia="仿宋_GB2312" w:cs="Times New Roman"/>
          <w:color w:val="auto"/>
          <w:sz w:val="28"/>
          <w:szCs w:val="28"/>
          <w:lang w:val="en-US" w:eastAsia="zh-CN"/>
        </w:rPr>
        <w:t>10</w:t>
      </w:r>
      <w:r>
        <w:rPr>
          <w:rFonts w:hint="default" w:ascii="Times New Roman" w:hAnsi="Times New Roman" w:eastAsia="仿宋_GB2312" w:cs="Times New Roman"/>
          <w:color w:val="auto"/>
          <w:sz w:val="28"/>
          <w:szCs w:val="28"/>
          <w:lang w:val="en-US" w:eastAsia="zh-CN"/>
        </w:rPr>
        <w:t>月</w:t>
      </w:r>
      <w:r>
        <w:rPr>
          <w:rFonts w:ascii="Times New Roman" w:hAnsi="Times New Roman" w:eastAsia="仿宋_GB2312" w:cs="Times New Roman"/>
          <w:color w:val="auto"/>
          <w:sz w:val="28"/>
          <w:szCs w:val="28"/>
          <w:lang w:val="en-US" w:eastAsia="zh-CN"/>
        </w:rPr>
        <w:t>27</w:t>
      </w:r>
      <w:r>
        <w:rPr>
          <w:rFonts w:hint="default" w:ascii="Times New Roman" w:hAnsi="Times New Roman" w:eastAsia="仿宋_GB2312" w:cs="Times New Roman"/>
          <w:color w:val="auto"/>
          <w:sz w:val="28"/>
          <w:szCs w:val="28"/>
          <w:lang w:val="en-US" w:eastAsia="zh-CN"/>
        </w:rPr>
        <w:t>日09时00分（北京时间）</w:t>
      </w:r>
    </w:p>
    <w:p w14:paraId="56319F0A">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2.地点：河南省公共资源交易中心远程开标室；“河南省公共资源交易中心”网站（hnsggzyjy.henan.gov.cn）。</w:t>
      </w:r>
    </w:p>
    <w:p w14:paraId="48AF13EE">
      <w:pPr>
        <w:spacing w:line="500" w:lineRule="exact"/>
        <w:ind w:firstLine="560" w:firstLineChars="200"/>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六、发布公告的媒介及招标公告期限</w:t>
      </w:r>
    </w:p>
    <w:p w14:paraId="7F9C6E5E">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本次招标公告在《河南省政府采购网》《河南省公共资源交易中心网》上发布，招标公告期限为三个工作日 。</w:t>
      </w:r>
    </w:p>
    <w:p w14:paraId="2F431558">
      <w:pPr>
        <w:spacing w:line="500" w:lineRule="exact"/>
        <w:ind w:firstLine="560" w:firstLineChars="200"/>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七、其他补充事宜</w:t>
      </w:r>
    </w:p>
    <w:p w14:paraId="3B969AEC">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本项目</w:t>
      </w:r>
      <w:r>
        <w:rPr>
          <w:rFonts w:ascii="Times New Roman" w:hAnsi="Times New Roman" w:eastAsia="仿宋_GB2312" w:cs="Times New Roman"/>
          <w:color w:val="auto"/>
          <w:sz w:val="28"/>
          <w:szCs w:val="28"/>
          <w:lang w:val="en-US" w:eastAsia="zh-CN"/>
        </w:rPr>
        <w:t>落实节约能源、保护环境、促进中小企业发展</w:t>
      </w:r>
      <w:r>
        <w:rPr>
          <w:rFonts w:hint="default" w:ascii="Times New Roman" w:hAnsi="Times New Roman" w:eastAsia="仿宋_GB2312" w:cs="Times New Roman"/>
          <w:color w:val="auto"/>
          <w:sz w:val="28"/>
          <w:szCs w:val="28"/>
          <w:lang w:val="en-US" w:eastAsia="zh-CN"/>
        </w:rPr>
        <w:t>等</w:t>
      </w:r>
      <w:r>
        <w:rPr>
          <w:rFonts w:ascii="Times New Roman" w:hAnsi="Times New Roman" w:eastAsia="仿宋_GB2312" w:cs="Times New Roman"/>
          <w:color w:val="auto"/>
          <w:sz w:val="28"/>
          <w:szCs w:val="28"/>
          <w:lang w:val="en-US" w:eastAsia="zh-CN"/>
        </w:rPr>
        <w:t>政府采购政策。</w:t>
      </w:r>
    </w:p>
    <w:p w14:paraId="1BC2344A">
      <w:pPr>
        <w:spacing w:line="500" w:lineRule="exact"/>
        <w:ind w:firstLine="560" w:firstLineChars="200"/>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八、凡对本次招标提出询问，请按照以下方式联系</w:t>
      </w:r>
    </w:p>
    <w:p w14:paraId="045CCB96">
      <w:pPr>
        <w:spacing w:line="500" w:lineRule="exact"/>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1.采购人信息</w:t>
      </w:r>
    </w:p>
    <w:p w14:paraId="76FADEA7">
      <w:pPr>
        <w:spacing w:line="500" w:lineRule="exact"/>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 xml:space="preserve">名称：郑州铁路职业技术学院 </w:t>
      </w:r>
    </w:p>
    <w:p w14:paraId="113CB078">
      <w:pPr>
        <w:spacing w:line="500" w:lineRule="exact"/>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地址：河南省郑州市郑东新区通惠路298号</w:t>
      </w:r>
    </w:p>
    <w:p w14:paraId="604AB28D">
      <w:pPr>
        <w:spacing w:line="500" w:lineRule="exact"/>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联系人：王老师</w:t>
      </w:r>
    </w:p>
    <w:p w14:paraId="2CB0A596">
      <w:pPr>
        <w:spacing w:line="500" w:lineRule="exact"/>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联系方式：</w:t>
      </w:r>
      <w:bookmarkStart w:id="9" w:name="OLE_LINK5"/>
      <w:bookmarkStart w:id="10" w:name="OLE_LINK6"/>
      <w:r>
        <w:rPr>
          <w:rFonts w:ascii="仿宋_GB2312" w:hAnsi="仿宋_GB2312" w:eastAsia="仿宋_GB2312" w:cs="仿宋_GB2312"/>
          <w:color w:val="auto"/>
          <w:sz w:val="28"/>
          <w:szCs w:val="28"/>
          <w:lang w:val="en-US" w:eastAsia="zh-CN"/>
        </w:rPr>
        <w:t>0371-60867917</w:t>
      </w:r>
      <w:bookmarkEnd w:id="9"/>
      <w:bookmarkEnd w:id="10"/>
    </w:p>
    <w:p w14:paraId="0FCD4795">
      <w:pPr>
        <w:spacing w:line="500" w:lineRule="exact"/>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2.采购代理机构信息（如有）</w:t>
      </w:r>
    </w:p>
    <w:p w14:paraId="513FDBAC">
      <w:pPr>
        <w:spacing w:line="500" w:lineRule="exact"/>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名称：河南省公共资源交易中心</w:t>
      </w:r>
    </w:p>
    <w:p w14:paraId="19DB2656">
      <w:pPr>
        <w:spacing w:line="500" w:lineRule="exact"/>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地址：郑州市经二路12号</w:t>
      </w:r>
    </w:p>
    <w:p w14:paraId="075A6459">
      <w:pPr>
        <w:spacing w:line="500" w:lineRule="exact"/>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联系人：郭老师 余老师 沈老师</w:t>
      </w:r>
    </w:p>
    <w:p w14:paraId="31C8592A">
      <w:pPr>
        <w:spacing w:line="500" w:lineRule="exact"/>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联系方式：0371-65915560</w:t>
      </w:r>
    </w:p>
    <w:p w14:paraId="6E1167E3">
      <w:pPr>
        <w:spacing w:line="500" w:lineRule="exact"/>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3.项目联系方式</w:t>
      </w:r>
    </w:p>
    <w:p w14:paraId="2CCB622E">
      <w:pPr>
        <w:spacing w:line="500" w:lineRule="exact"/>
        <w:ind w:firstLine="560" w:firstLineChars="200"/>
        <w:rPr>
          <w:rFonts w:ascii="仿宋_GB2312" w:hAnsi="仿宋_GB2312" w:eastAsia="仿宋_GB2312" w:cs="仿宋_GB2312"/>
          <w:color w:val="auto"/>
          <w:sz w:val="28"/>
          <w:szCs w:val="28"/>
          <w:lang w:val="en-US" w:eastAsia="zh-CN"/>
        </w:rPr>
      </w:pPr>
      <w:r>
        <w:rPr>
          <w:rFonts w:ascii="Times New Roman" w:hAnsi="Times New Roman" w:eastAsia="仿宋_GB2312" w:cs="Times New Roman"/>
          <w:color w:val="auto"/>
          <w:sz w:val="28"/>
          <w:szCs w:val="28"/>
          <w:lang w:val="en-US" w:eastAsia="zh-CN"/>
        </w:rPr>
        <w:t>联系人：胡宽辉</w:t>
      </w:r>
    </w:p>
    <w:p w14:paraId="11825C26">
      <w:pPr>
        <w:spacing w:line="500" w:lineRule="exact"/>
        <w:ind w:firstLine="560" w:firstLineChars="200"/>
        <w:rPr>
          <w:rFonts w:ascii="仿宋_GB2312" w:hAnsi="仿宋_GB2312" w:eastAsia="仿宋_GB2312" w:cs="仿宋_GB2312"/>
          <w:color w:val="auto"/>
          <w:sz w:val="28"/>
          <w:szCs w:val="28"/>
          <w:lang w:val="en-US" w:eastAsia="zh-CN"/>
        </w:rPr>
        <w:sectPr>
          <w:footerReference r:id="rId4" w:type="default"/>
          <w:pgSz w:w="11900" w:h="16840"/>
          <w:pgMar w:top="1440" w:right="1797" w:bottom="1440" w:left="1797" w:header="851" w:footer="992" w:gutter="0"/>
          <w:pgNumType w:start="1"/>
          <w:cols w:space="720" w:num="1"/>
        </w:sectPr>
      </w:pPr>
      <w:r>
        <w:rPr>
          <w:rFonts w:ascii="仿宋_GB2312" w:hAnsi="仿宋_GB2312" w:eastAsia="仿宋_GB2312" w:cs="仿宋_GB2312"/>
          <w:color w:val="auto"/>
          <w:sz w:val="28"/>
          <w:szCs w:val="28"/>
          <w:lang w:val="en-US" w:eastAsia="zh-CN"/>
        </w:rPr>
        <w:t>联系方式：0371-60867081</w:t>
      </w:r>
    </w:p>
    <w:bookmarkEnd w:id="5"/>
    <w:bookmarkEnd w:id="6"/>
    <w:bookmarkEnd w:id="7"/>
    <w:bookmarkEnd w:id="8"/>
    <w:p w14:paraId="5115E4B0">
      <w:pPr>
        <w:spacing w:line="500" w:lineRule="exact"/>
        <w:jc w:val="center"/>
        <w:outlineLvl w:val="0"/>
        <w:rPr>
          <w:rFonts w:ascii="宋体" w:hAnsi="宋体" w:eastAsia="宋体"/>
          <w:b/>
          <w:bCs/>
          <w:color w:val="auto"/>
          <w:sz w:val="36"/>
          <w:szCs w:val="36"/>
          <w:lang w:eastAsia="zh-CN"/>
        </w:rPr>
      </w:pPr>
      <w:bookmarkStart w:id="11" w:name="_Toc31156"/>
      <w:bookmarkStart w:id="12" w:name="_Toc8664905"/>
      <w:bookmarkStart w:id="13" w:name="_Toc711856750"/>
      <w:bookmarkStart w:id="14" w:name="_Toc1415346380_WPSOffice_Level1"/>
      <w:bookmarkStart w:id="15" w:name="_Toc310774132_WPSOffice_Level1"/>
      <w:bookmarkStart w:id="16" w:name="_Toc2100027940"/>
      <w:bookmarkStart w:id="17" w:name="_Toc2024009066"/>
      <w:bookmarkStart w:id="18" w:name="_Toc1340807913"/>
      <w:bookmarkStart w:id="19" w:name="_Toc335147862_WPSOffice_Level1"/>
      <w:bookmarkStart w:id="20" w:name="_Toc237350522_WPSOffice_Level1"/>
      <w:bookmarkStart w:id="21" w:name="_Toc63558279_WPSOffice_Level1"/>
      <w:bookmarkStart w:id="22" w:name="_Toc1839196008_WPSOffice_Level1"/>
      <w:bookmarkStart w:id="23" w:name="_Toc300363790"/>
      <w:bookmarkStart w:id="24" w:name="_Toc140667688"/>
      <w:bookmarkStart w:id="25" w:name="_Toc1644299675"/>
      <w:bookmarkStart w:id="26" w:name="_Toc764191523_WPSOffice_Level1"/>
      <w:bookmarkStart w:id="27" w:name="_Toc308141697"/>
      <w:bookmarkStart w:id="28" w:name="_Toc839610870"/>
      <w:bookmarkStart w:id="29" w:name="_Toc71178543"/>
      <w:bookmarkStart w:id="30" w:name="_Toc1224265812"/>
      <w:r>
        <w:rPr>
          <w:rFonts w:ascii="宋体" w:hAnsi="宋体" w:eastAsia="宋体"/>
          <w:b/>
          <w:bCs/>
          <w:color w:val="auto"/>
          <w:sz w:val="36"/>
          <w:szCs w:val="36"/>
          <w:lang w:eastAsia="zh-CN"/>
        </w:rPr>
        <w:t>第二章 供应商须知前附表</w:t>
      </w:r>
      <w:bookmarkEnd w:id="11"/>
      <w:bookmarkEnd w:id="12"/>
      <w:bookmarkEnd w:id="13"/>
    </w:p>
    <w:p w14:paraId="4FF30755">
      <w:pPr>
        <w:spacing w:line="360" w:lineRule="auto"/>
        <w:ind w:firstLine="360"/>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 xml:space="preserve"> </w:t>
      </w:r>
      <w:r>
        <w:rPr>
          <w:rFonts w:ascii="仿宋_GB2312" w:hAnsi="仿宋_GB2312" w:eastAsia="仿宋_GB2312" w:cs="仿宋_GB2312"/>
          <w:color w:val="auto"/>
          <w:sz w:val="28"/>
          <w:szCs w:val="28"/>
          <w:lang w:eastAsia="zh-CN"/>
        </w:rPr>
        <w:t>本表是对供应商须知的具体补充和修改。</w:t>
      </w:r>
    </w:p>
    <w:tbl>
      <w:tblPr>
        <w:tblStyle w:val="52"/>
        <w:tblW w:w="8703" w:type="dxa"/>
        <w:tblInd w:w="19"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952"/>
        <w:gridCol w:w="7751"/>
      </w:tblGrid>
      <w:tr w14:paraId="5C120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60" w:hRule="atLeast"/>
          <w:tblHeader/>
        </w:trPr>
        <w:tc>
          <w:tcPr>
            <w:tcW w:w="952" w:type="dxa"/>
            <w:vAlign w:val="center"/>
          </w:tcPr>
          <w:p w14:paraId="396D2816">
            <w:pPr>
              <w:spacing w:line="500" w:lineRule="exact"/>
              <w:jc w:val="center"/>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z w:val="28"/>
                <w:szCs w:val="28"/>
              </w:rPr>
              <w:t>条款号</w:t>
            </w:r>
          </w:p>
        </w:tc>
        <w:tc>
          <w:tcPr>
            <w:tcW w:w="7751" w:type="dxa"/>
            <w:vAlign w:val="center"/>
          </w:tcPr>
          <w:p w14:paraId="2BA7B686">
            <w:pPr>
              <w:spacing w:line="500" w:lineRule="exact"/>
              <w:jc w:val="center"/>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z w:val="28"/>
                <w:szCs w:val="28"/>
              </w:rPr>
              <w:t>内      容</w:t>
            </w:r>
          </w:p>
        </w:tc>
      </w:tr>
      <w:tr w14:paraId="592B8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780" w:hRule="atLeast"/>
        </w:trPr>
        <w:tc>
          <w:tcPr>
            <w:tcW w:w="952" w:type="dxa"/>
            <w:vAlign w:val="center"/>
          </w:tcPr>
          <w:p w14:paraId="3AA5456E">
            <w:pPr>
              <w:spacing w:line="50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1.2</w:t>
            </w:r>
          </w:p>
        </w:tc>
        <w:tc>
          <w:tcPr>
            <w:tcW w:w="7751" w:type="dxa"/>
            <w:vAlign w:val="center"/>
          </w:tcPr>
          <w:p w14:paraId="71656047">
            <w:pPr>
              <w:spacing w:line="500" w:lineRule="exact"/>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 w:eastAsia="zh-CN"/>
              </w:rPr>
              <w:t>项目名称</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 w:eastAsia="zh-CN"/>
              </w:rPr>
              <w:t>郑州铁路职业技术学院工科基础实训室项目</w:t>
            </w:r>
          </w:p>
        </w:tc>
      </w:tr>
      <w:tr w14:paraId="2636F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810" w:hRule="atLeast"/>
        </w:trPr>
        <w:tc>
          <w:tcPr>
            <w:tcW w:w="952" w:type="dxa"/>
            <w:vAlign w:val="center"/>
          </w:tcPr>
          <w:p w14:paraId="755CA06A">
            <w:pPr>
              <w:spacing w:line="50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1.3</w:t>
            </w:r>
          </w:p>
        </w:tc>
        <w:tc>
          <w:tcPr>
            <w:tcW w:w="7751" w:type="dxa"/>
            <w:vAlign w:val="center"/>
          </w:tcPr>
          <w:p w14:paraId="7D8303D5">
            <w:pPr>
              <w:spacing w:line="500" w:lineRule="exact"/>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项目编号：</w:t>
            </w:r>
            <w:r>
              <w:rPr>
                <w:rFonts w:hint="default" w:ascii="Times New Roman" w:hAnsi="Times New Roman" w:eastAsia="仿宋_GB2312" w:cs="Times New Roman"/>
                <w:color w:val="auto"/>
                <w:sz w:val="28"/>
                <w:szCs w:val="28"/>
                <w:lang w:val="en-US" w:eastAsia="zh-CN"/>
              </w:rPr>
              <w:t xml:space="preserve">豫财磋商采购-2026-853 </w:t>
            </w:r>
          </w:p>
        </w:tc>
      </w:tr>
      <w:tr w14:paraId="686C6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00" w:hRule="atLeast"/>
        </w:trPr>
        <w:tc>
          <w:tcPr>
            <w:tcW w:w="952" w:type="dxa"/>
            <w:vAlign w:val="center"/>
          </w:tcPr>
          <w:p w14:paraId="24A1FFF3">
            <w:pPr>
              <w:spacing w:line="50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1.4</w:t>
            </w:r>
          </w:p>
        </w:tc>
        <w:tc>
          <w:tcPr>
            <w:tcW w:w="7751" w:type="dxa"/>
            <w:vAlign w:val="center"/>
          </w:tcPr>
          <w:p w14:paraId="75E4DFD8">
            <w:pPr>
              <w:spacing w:line="500" w:lineRule="exact"/>
              <w:rPr>
                <w:rFonts w:hint="default" w:ascii="Times New Roman" w:hAnsi="Times New Roman" w:cs="Times New Roman"/>
                <w:color w:val="auto"/>
                <w:lang w:eastAsia="zh-CN"/>
              </w:rPr>
            </w:pPr>
            <w:r>
              <w:rPr>
                <w:rFonts w:hint="default" w:ascii="Times New Roman" w:hAnsi="Times New Roman" w:eastAsia="仿宋_GB2312" w:cs="Times New Roman"/>
                <w:color w:val="auto"/>
                <w:sz w:val="28"/>
                <w:szCs w:val="28"/>
                <w:lang w:eastAsia="zh-CN"/>
              </w:rPr>
              <w:t>采购项目简要说明：同第一章</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eastAsia="zh-CN"/>
              </w:rPr>
              <w:t>竞争性磋商邀请</w:t>
            </w:r>
          </w:p>
        </w:tc>
      </w:tr>
      <w:tr w14:paraId="71511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00" w:hRule="atLeast"/>
        </w:trPr>
        <w:tc>
          <w:tcPr>
            <w:tcW w:w="952" w:type="dxa"/>
            <w:vAlign w:val="center"/>
          </w:tcPr>
          <w:p w14:paraId="21E30A1C">
            <w:pPr>
              <w:spacing w:line="50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2.2</w:t>
            </w:r>
          </w:p>
        </w:tc>
        <w:tc>
          <w:tcPr>
            <w:tcW w:w="7751" w:type="dxa"/>
            <w:vAlign w:val="center"/>
          </w:tcPr>
          <w:p w14:paraId="1E07AB64">
            <w:pPr>
              <w:spacing w:line="500" w:lineRule="exact"/>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val="en-US" w:eastAsia="zh-CN"/>
              </w:rPr>
              <w:t>郑州铁路职业技术学院</w:t>
            </w:r>
            <w:r>
              <w:rPr>
                <w:rFonts w:hint="default" w:ascii="Times New Roman" w:hAnsi="Times New Roman" w:eastAsia="仿宋_GB2312" w:cs="Times New Roman"/>
                <w:color w:val="auto"/>
                <w:sz w:val="28"/>
                <w:szCs w:val="28"/>
                <w:lang w:eastAsia="zh-CN"/>
              </w:rPr>
              <w:t xml:space="preserve"> </w:t>
            </w:r>
          </w:p>
          <w:p w14:paraId="2746DF4A">
            <w:pPr>
              <w:spacing w:line="500" w:lineRule="exact"/>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地址：</w:t>
            </w:r>
            <w:r>
              <w:rPr>
                <w:rFonts w:hint="default" w:ascii="Times New Roman" w:hAnsi="Times New Roman" w:eastAsia="仿宋_GB2312" w:cs="Times New Roman"/>
                <w:color w:val="auto"/>
                <w:sz w:val="28"/>
                <w:szCs w:val="28"/>
                <w:lang w:val="en-US" w:eastAsia="zh-CN"/>
              </w:rPr>
              <w:t>河南省郑州市郑东新区通惠路298号</w:t>
            </w:r>
          </w:p>
          <w:p w14:paraId="64F0EA0E">
            <w:pPr>
              <w:spacing w:line="500" w:lineRule="exact"/>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联系人：</w:t>
            </w:r>
            <w:r>
              <w:rPr>
                <w:rFonts w:hint="default" w:ascii="Times New Roman" w:hAnsi="Times New Roman" w:eastAsia="仿宋_GB2312" w:cs="Times New Roman"/>
                <w:color w:val="auto"/>
                <w:sz w:val="28"/>
                <w:szCs w:val="28"/>
                <w:lang w:val="en-US" w:eastAsia="zh-CN"/>
              </w:rPr>
              <w:t>王老师</w:t>
            </w:r>
          </w:p>
          <w:p w14:paraId="09500291">
            <w:pPr>
              <w:spacing w:line="500" w:lineRule="exact"/>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联系方式：</w:t>
            </w:r>
            <w:r>
              <w:rPr>
                <w:rFonts w:hint="default" w:ascii="Times New Roman" w:hAnsi="Times New Roman" w:eastAsia="仿宋_GB2312" w:cs="Times New Roman"/>
                <w:color w:val="auto"/>
                <w:sz w:val="28"/>
                <w:szCs w:val="28"/>
                <w:lang w:val="en-US" w:eastAsia="zh-CN"/>
              </w:rPr>
              <w:t>0371-60867917</w:t>
            </w:r>
          </w:p>
          <w:p w14:paraId="5D7F223B">
            <w:pPr>
              <w:spacing w:line="500" w:lineRule="exact"/>
              <w:jc w:val="left"/>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邮箱：</w:t>
            </w:r>
            <w:r>
              <w:rPr>
                <w:rFonts w:hint="default" w:ascii="Times New Roman" w:hAnsi="Times New Roman" w:eastAsia="仿宋_GB2312" w:cs="Times New Roman"/>
                <w:color w:val="auto"/>
                <w:sz w:val="28"/>
                <w:szCs w:val="28"/>
                <w:lang w:val="en-US"/>
              </w:rPr>
              <w:t>ztzy_zb@163.com</w:t>
            </w:r>
          </w:p>
        </w:tc>
      </w:tr>
      <w:tr w14:paraId="3F948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1934" w:hRule="atLeast"/>
        </w:trPr>
        <w:tc>
          <w:tcPr>
            <w:tcW w:w="952" w:type="dxa"/>
            <w:vAlign w:val="center"/>
          </w:tcPr>
          <w:p w14:paraId="4FAE3122">
            <w:pPr>
              <w:spacing w:line="50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2.3</w:t>
            </w:r>
          </w:p>
        </w:tc>
        <w:tc>
          <w:tcPr>
            <w:tcW w:w="7751" w:type="dxa"/>
            <w:vAlign w:val="center"/>
          </w:tcPr>
          <w:p w14:paraId="689FBC7E">
            <w:pPr>
              <w:spacing w:line="500" w:lineRule="exact"/>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集中采购机构：河南省公共资源交易中心</w:t>
            </w:r>
          </w:p>
          <w:p w14:paraId="530F1121">
            <w:pPr>
              <w:spacing w:line="500" w:lineRule="exact"/>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地址：郑州市经二路12号</w:t>
            </w:r>
          </w:p>
          <w:p w14:paraId="0410F349">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联系人：郭老师 余老师 沈老师</w:t>
            </w:r>
          </w:p>
          <w:p w14:paraId="1951F843">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联系方式：0371-65915560</w:t>
            </w:r>
          </w:p>
          <w:p w14:paraId="78ADD36A">
            <w:pPr>
              <w:spacing w:line="500" w:lineRule="exact"/>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邮箱：hnggzyzfcg@163.com</w:t>
            </w:r>
          </w:p>
        </w:tc>
      </w:tr>
      <w:tr w14:paraId="5A58DD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810" w:hRule="atLeast"/>
        </w:trPr>
        <w:tc>
          <w:tcPr>
            <w:tcW w:w="952" w:type="dxa"/>
            <w:vAlign w:val="center"/>
          </w:tcPr>
          <w:p w14:paraId="404E7E9F">
            <w:pPr>
              <w:spacing w:line="500" w:lineRule="exact"/>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2.5.2</w:t>
            </w:r>
          </w:p>
        </w:tc>
        <w:tc>
          <w:tcPr>
            <w:tcW w:w="7751" w:type="dxa"/>
            <w:vAlign w:val="center"/>
          </w:tcPr>
          <w:p w14:paraId="1E5C69F0">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是否接受采购进口产品：</w:t>
            </w:r>
            <w:r>
              <w:rPr>
                <w:rFonts w:hint="default" w:ascii="Times New Roman" w:hAnsi="Times New Roman" w:eastAsia="仿宋_GB2312" w:cs="Times New Roman"/>
                <w:b/>
                <w:bCs/>
                <w:color w:val="auto"/>
                <w:sz w:val="28"/>
                <w:szCs w:val="28"/>
                <w:lang w:val="en" w:eastAsia="zh-CN"/>
              </w:rPr>
              <w:t>□</w:t>
            </w:r>
            <w:r>
              <w:rPr>
                <w:rFonts w:hint="default" w:ascii="Times New Roman" w:hAnsi="Times New Roman" w:eastAsia="仿宋_GB2312" w:cs="Times New Roman"/>
                <w:b/>
                <w:bCs/>
                <w:color w:val="auto"/>
                <w:sz w:val="28"/>
                <w:szCs w:val="28"/>
                <w:lang w:val="en-US" w:eastAsia="zh-CN"/>
              </w:rPr>
              <w:t xml:space="preserve">是  </w:t>
            </w:r>
            <w:r>
              <w:rPr>
                <w:rFonts w:hint="default" w:ascii="Segoe UI Symbol" w:hAnsi="Segoe UI Symbol" w:eastAsia="仿宋_GB2312" w:cs="Segoe UI Symbol"/>
                <w:b/>
                <w:bCs/>
                <w:color w:val="auto"/>
                <w:sz w:val="28"/>
                <w:szCs w:val="28"/>
                <w:lang w:val="en" w:eastAsia="zh-CN"/>
              </w:rPr>
              <w:t>☑</w:t>
            </w:r>
            <w:r>
              <w:rPr>
                <w:rFonts w:hint="default" w:ascii="Times New Roman" w:hAnsi="Times New Roman" w:eastAsia="仿宋_GB2312" w:cs="Times New Roman"/>
                <w:b/>
                <w:bCs/>
                <w:color w:val="auto"/>
                <w:sz w:val="28"/>
                <w:szCs w:val="28"/>
                <w:lang w:val="en-US" w:eastAsia="zh-CN"/>
              </w:rPr>
              <w:t>否</w:t>
            </w:r>
          </w:p>
        </w:tc>
      </w:tr>
      <w:tr w14:paraId="5FDBB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723" w:hRule="atLeast"/>
        </w:trPr>
        <w:tc>
          <w:tcPr>
            <w:tcW w:w="952" w:type="dxa"/>
            <w:vAlign w:val="center"/>
          </w:tcPr>
          <w:p w14:paraId="1E2EA6E5">
            <w:pPr>
              <w:spacing w:line="50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4.1</w:t>
            </w:r>
          </w:p>
        </w:tc>
        <w:tc>
          <w:tcPr>
            <w:tcW w:w="7751" w:type="dxa"/>
            <w:vAlign w:val="center"/>
          </w:tcPr>
          <w:p w14:paraId="7EC56373">
            <w:pPr>
              <w:spacing w:line="500" w:lineRule="exact"/>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踏勘现场：</w:t>
            </w:r>
          </w:p>
          <w:p w14:paraId="75851ED2">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b/>
                <w:bCs/>
                <w:color w:val="auto"/>
                <w:sz w:val="28"/>
                <w:szCs w:val="28"/>
              </w:rPr>
              <w:fldChar w:fldCharType="begin"/>
            </w:r>
            <w:r>
              <w:rPr>
                <w:rFonts w:hint="default" w:ascii="Times New Roman" w:hAnsi="Times New Roman" w:eastAsia="仿宋_GB2312" w:cs="Times New Roman"/>
                <w:b/>
                <w:bCs/>
                <w:color w:val="auto"/>
                <w:sz w:val="28"/>
                <w:szCs w:val="28"/>
                <w:lang w:eastAsia="zh-CN"/>
              </w:rPr>
              <w:instrText xml:space="preserve"> eq \o\ac(□,</w:instrText>
            </w:r>
            <w:r>
              <w:rPr>
                <w:rFonts w:hint="default" w:ascii="Times New Roman" w:hAnsi="Times New Roman" w:eastAsia="仿宋_GB2312" w:cs="Times New Roman"/>
                <w:b/>
                <w:bCs/>
                <w:color w:val="auto"/>
                <w:position w:val="3"/>
                <w:sz w:val="19"/>
                <w:szCs w:val="28"/>
                <w:lang w:eastAsia="zh-CN"/>
              </w:rPr>
              <w:instrText xml:space="preserve">√</w:instrText>
            </w:r>
            <w:r>
              <w:rPr>
                <w:rFonts w:hint="default" w:ascii="Times New Roman" w:hAnsi="Times New Roman" w:eastAsia="仿宋_GB2312" w:cs="Times New Roman"/>
                <w:b/>
                <w:bCs/>
                <w:color w:val="auto"/>
                <w:sz w:val="28"/>
                <w:szCs w:val="28"/>
                <w:lang w:eastAsia="zh-CN"/>
              </w:rPr>
              <w:instrText xml:space="preserve">)</w:instrText>
            </w:r>
            <w:r>
              <w:rPr>
                <w:rFonts w:hint="default" w:ascii="Times New Roman" w:hAnsi="Times New Roman" w:eastAsia="仿宋_GB2312" w:cs="Times New Roman"/>
                <w:b/>
                <w:bCs/>
                <w:color w:val="auto"/>
                <w:sz w:val="28"/>
                <w:szCs w:val="28"/>
              </w:rPr>
              <w:fldChar w:fldCharType="end"/>
            </w:r>
            <w:r>
              <w:rPr>
                <w:rFonts w:hint="default" w:ascii="Times New Roman" w:hAnsi="Times New Roman" w:eastAsia="仿宋_GB2312" w:cs="Times New Roman"/>
                <w:b/>
                <w:bCs/>
                <w:color w:val="auto"/>
                <w:sz w:val="28"/>
                <w:szCs w:val="28"/>
                <w:lang w:eastAsia="zh-CN"/>
              </w:rPr>
              <w:t>不组织</w:t>
            </w:r>
            <w:r>
              <w:rPr>
                <w:rFonts w:hint="default" w:ascii="Times New Roman" w:hAnsi="Times New Roman" w:eastAsia="仿宋_GB2312" w:cs="Times New Roman"/>
                <w:color w:val="auto"/>
                <w:sz w:val="28"/>
                <w:szCs w:val="28"/>
                <w:lang w:eastAsia="zh-CN"/>
              </w:rPr>
              <w:t>，供应商可自行对项目现场和周围环境进行踏勘，踏勘现场所发生的费用由供应商自己承担。出现事故，责任由供应商自行承担。</w:t>
            </w:r>
          </w:p>
          <w:p w14:paraId="0EFC5BCC">
            <w:pPr>
              <w:spacing w:line="500" w:lineRule="exact"/>
              <w:rPr>
                <w:rFonts w:hint="default" w:ascii="Times New Roman" w:hAnsi="Times New Roman" w:eastAsia="仿宋_GB2312" w:cs="Times New Roman"/>
                <w:color w:val="auto"/>
                <w:sz w:val="28"/>
                <w:szCs w:val="28"/>
                <w:u w:val="single"/>
                <w:lang w:eastAsia="zh-CN"/>
              </w:rPr>
            </w:pPr>
            <w:r>
              <w:rPr>
                <w:rFonts w:hint="default" w:ascii="Times New Roman" w:hAnsi="Times New Roman" w:eastAsia="仿宋_GB2312" w:cs="Times New Roman"/>
                <w:b/>
                <w:bCs/>
                <w:color w:val="auto"/>
                <w:sz w:val="28"/>
                <w:szCs w:val="28"/>
                <w:lang w:eastAsia="zh-CN"/>
              </w:rPr>
              <w:t>□组织</w:t>
            </w:r>
            <w:r>
              <w:rPr>
                <w:rFonts w:hint="default" w:ascii="Times New Roman" w:hAnsi="Times New Roman" w:eastAsia="仿宋_GB2312" w:cs="Times New Roman"/>
                <w:color w:val="auto"/>
                <w:sz w:val="28"/>
                <w:szCs w:val="28"/>
                <w:lang w:eastAsia="zh-CN"/>
              </w:rPr>
              <w:t>，踏勘时间：</w:t>
            </w:r>
            <w:r>
              <w:rPr>
                <w:rFonts w:hint="default" w:ascii="Times New Roman" w:hAnsi="Times New Roman" w:eastAsia="仿宋_GB2312" w:cs="Times New Roman"/>
                <w:color w:val="auto"/>
                <w:sz w:val="28"/>
                <w:szCs w:val="28"/>
                <w:u w:val="single"/>
                <w:lang w:eastAsia="zh-CN"/>
              </w:rPr>
              <w:t xml:space="preserve">  /  </w:t>
            </w:r>
          </w:p>
          <w:p w14:paraId="025A5E2E">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 xml:space="preserve">        踏勘集中地点：</w:t>
            </w:r>
            <w:r>
              <w:rPr>
                <w:rFonts w:hint="default" w:ascii="Times New Roman" w:hAnsi="Times New Roman" w:eastAsia="仿宋_GB2312" w:cs="Times New Roman"/>
                <w:color w:val="auto"/>
                <w:sz w:val="28"/>
                <w:szCs w:val="28"/>
                <w:u w:val="single"/>
                <w:lang w:eastAsia="zh-CN"/>
              </w:rPr>
              <w:t xml:space="preserve">  /  </w:t>
            </w:r>
          </w:p>
        </w:tc>
      </w:tr>
      <w:tr w14:paraId="25B9D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784" w:hRule="atLeast"/>
        </w:trPr>
        <w:tc>
          <w:tcPr>
            <w:tcW w:w="952" w:type="dxa"/>
            <w:vAlign w:val="center"/>
          </w:tcPr>
          <w:p w14:paraId="0C52A6A8">
            <w:pPr>
              <w:spacing w:line="500" w:lineRule="exact"/>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6.3</w:t>
            </w:r>
          </w:p>
        </w:tc>
        <w:tc>
          <w:tcPr>
            <w:tcW w:w="7751" w:type="dxa"/>
            <w:vAlign w:val="center"/>
          </w:tcPr>
          <w:p w14:paraId="59D0437C">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联合体的其他资格要求：/</w:t>
            </w:r>
          </w:p>
        </w:tc>
      </w:tr>
      <w:tr w14:paraId="372C2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735" w:hRule="atLeast"/>
        </w:trPr>
        <w:tc>
          <w:tcPr>
            <w:tcW w:w="952" w:type="dxa"/>
            <w:vAlign w:val="center"/>
          </w:tcPr>
          <w:p w14:paraId="66A0DC54">
            <w:pPr>
              <w:spacing w:line="500" w:lineRule="exact"/>
              <w:jc w:val="center"/>
              <w:rPr>
                <w:rFonts w:hint="default" w:ascii="Times New Roman" w:hAnsi="Times New Roman" w:eastAsia="仿宋_GB2312" w:cs="Times New Roman"/>
                <w:color w:val="auto"/>
                <w:sz w:val="28"/>
                <w:szCs w:val="28"/>
                <w:lang w:val="en" w:eastAsia="zh-CN"/>
              </w:rPr>
            </w:pPr>
            <w:r>
              <w:rPr>
                <w:rFonts w:hint="default" w:ascii="Times New Roman" w:hAnsi="Times New Roman" w:eastAsia="仿宋_GB2312" w:cs="Times New Roman"/>
                <w:color w:val="auto"/>
                <w:sz w:val="28"/>
                <w:szCs w:val="28"/>
                <w:lang w:val="en" w:eastAsia="zh-CN"/>
              </w:rPr>
              <w:t>6.6</w:t>
            </w:r>
          </w:p>
        </w:tc>
        <w:tc>
          <w:tcPr>
            <w:tcW w:w="7751" w:type="dxa"/>
            <w:vAlign w:val="center"/>
          </w:tcPr>
          <w:p w14:paraId="44316CEA">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是否接受联合体磋商响应：</w:t>
            </w:r>
            <w:r>
              <w:rPr>
                <w:rFonts w:hint="default" w:ascii="Times New Roman" w:hAnsi="Times New Roman" w:eastAsia="仿宋_GB2312" w:cs="Times New Roman"/>
                <w:b/>
                <w:bCs/>
                <w:color w:val="auto"/>
                <w:sz w:val="28"/>
                <w:szCs w:val="28"/>
                <w:lang w:val="en" w:eastAsia="zh-CN"/>
              </w:rPr>
              <w:t>□</w:t>
            </w:r>
            <w:r>
              <w:rPr>
                <w:rFonts w:hint="default" w:ascii="Times New Roman" w:hAnsi="Times New Roman" w:eastAsia="仿宋_GB2312" w:cs="Times New Roman"/>
                <w:b/>
                <w:bCs/>
                <w:color w:val="auto"/>
                <w:sz w:val="28"/>
                <w:szCs w:val="28"/>
                <w:lang w:val="en-US" w:eastAsia="zh-CN"/>
              </w:rPr>
              <w:t xml:space="preserve">是  </w:t>
            </w:r>
            <w:r>
              <w:rPr>
                <w:rFonts w:hint="default" w:ascii="Segoe UI Symbol" w:hAnsi="Segoe UI Symbol" w:eastAsia="仿宋_GB2312" w:cs="Segoe UI Symbol"/>
                <w:b/>
                <w:bCs/>
                <w:color w:val="auto"/>
                <w:sz w:val="28"/>
                <w:szCs w:val="28"/>
                <w:lang w:val="en" w:eastAsia="zh-CN"/>
              </w:rPr>
              <w:t>☑</w:t>
            </w:r>
            <w:r>
              <w:rPr>
                <w:rFonts w:hint="default" w:ascii="Times New Roman" w:hAnsi="Times New Roman" w:eastAsia="仿宋_GB2312" w:cs="Times New Roman"/>
                <w:b/>
                <w:bCs/>
                <w:color w:val="auto"/>
                <w:sz w:val="28"/>
                <w:szCs w:val="28"/>
                <w:lang w:val="en-US" w:eastAsia="zh-CN"/>
              </w:rPr>
              <w:t>否</w:t>
            </w:r>
          </w:p>
        </w:tc>
      </w:tr>
      <w:tr w14:paraId="20030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900" w:hRule="atLeast"/>
        </w:trPr>
        <w:tc>
          <w:tcPr>
            <w:tcW w:w="952" w:type="dxa"/>
            <w:vAlign w:val="center"/>
          </w:tcPr>
          <w:p w14:paraId="3373A929">
            <w:pPr>
              <w:spacing w:line="500" w:lineRule="exact"/>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18.2</w:t>
            </w:r>
          </w:p>
        </w:tc>
        <w:tc>
          <w:tcPr>
            <w:tcW w:w="7751" w:type="dxa"/>
            <w:vAlign w:val="center"/>
          </w:tcPr>
          <w:p w14:paraId="772D5E30">
            <w:pPr>
              <w:spacing w:line="500" w:lineRule="exact"/>
              <w:rPr>
                <w:rFonts w:hint="default" w:ascii="Times New Roman" w:hAnsi="Times New Roman" w:eastAsia="仿宋_GB2312" w:cs="Times New Roman"/>
                <w:b/>
                <w:bCs/>
                <w:color w:val="auto"/>
                <w:kern w:val="0"/>
                <w:sz w:val="28"/>
                <w:szCs w:val="28"/>
                <w:lang w:val="en-US" w:eastAsia="zh-CN"/>
              </w:rPr>
            </w:pPr>
            <w:r>
              <w:rPr>
                <w:rFonts w:hint="default" w:ascii="Times New Roman" w:hAnsi="Times New Roman" w:eastAsia="仿宋_GB2312" w:cs="Times New Roman"/>
                <w:b/>
                <w:bCs/>
                <w:color w:val="auto"/>
                <w:kern w:val="0"/>
                <w:sz w:val="28"/>
                <w:szCs w:val="28"/>
                <w:lang w:val="en-US" w:eastAsia="zh-CN"/>
              </w:rPr>
              <w:t>报价次数：二次。</w:t>
            </w:r>
          </w:p>
          <w:p w14:paraId="22833E8A">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kern w:val="0"/>
                <w:sz w:val="28"/>
                <w:szCs w:val="28"/>
                <w:lang w:val="en-US" w:eastAsia="zh-CN"/>
              </w:rPr>
              <w:t>供应商登录远程采购项目，在评审过程中收到远程报价通知时，即可远程在线报价，即二次报价。</w:t>
            </w:r>
          </w:p>
        </w:tc>
      </w:tr>
      <w:tr w14:paraId="69E86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00" w:hRule="atLeast"/>
        </w:trPr>
        <w:tc>
          <w:tcPr>
            <w:tcW w:w="952" w:type="dxa"/>
            <w:vAlign w:val="center"/>
          </w:tcPr>
          <w:p w14:paraId="2FDFDF45">
            <w:pPr>
              <w:spacing w:line="50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18.3</w:t>
            </w:r>
          </w:p>
        </w:tc>
        <w:tc>
          <w:tcPr>
            <w:tcW w:w="7751" w:type="dxa"/>
            <w:vAlign w:val="center"/>
          </w:tcPr>
          <w:p w14:paraId="3A851DE1">
            <w:pPr>
              <w:pStyle w:val="70"/>
              <w:numPr>
                <w:ilvl w:val="0"/>
                <w:numId w:val="1"/>
              </w:numPr>
              <w:spacing w:line="500" w:lineRule="exact"/>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rPr>
              <w:t>磋商响应报价：</w:t>
            </w:r>
          </w:p>
          <w:p w14:paraId="1FD802FA">
            <w:pPr>
              <w:pStyle w:val="70"/>
              <w:spacing w:line="500" w:lineRule="exact"/>
              <w:rPr>
                <w:rFonts w:ascii="Times New Roman" w:hAnsi="Times New Roman" w:eastAsia="仿宋_GB2312" w:cs="Times New Roman"/>
                <w:color w:val="auto"/>
                <w:u w:val="single"/>
              </w:rPr>
            </w:pPr>
            <w:r>
              <w:rPr>
                <w:rFonts w:ascii="Times New Roman" w:hAnsi="Times New Roman" w:eastAsia="仿宋_GB2312" w:cs="Times New Roman"/>
                <w:color w:val="auto"/>
                <w:sz w:val="28"/>
                <w:szCs w:val="28"/>
              </w:rPr>
              <w:t>包含货物的采购、安装、调试、验收、培训、质保期内外服务、与货物有关的运输和保险及其他伴随服务等。</w:t>
            </w:r>
          </w:p>
          <w:p w14:paraId="3CF6FA2D">
            <w:pPr>
              <w:spacing w:line="500" w:lineRule="exact"/>
              <w:jc w:val="left"/>
              <w:rPr>
                <w:rFonts w:hint="default" w:ascii="Times New Roman" w:hAnsi="Times New Roman" w:eastAsia="仿宋_GB2312" w:cs="Times New Roman"/>
                <w:bCs/>
                <w:color w:val="auto"/>
                <w:sz w:val="28"/>
                <w:szCs w:val="28"/>
                <w:lang w:eastAsia="zh-CN"/>
              </w:rPr>
            </w:pP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bCs/>
                <w:color w:val="auto"/>
                <w:sz w:val="28"/>
                <w:szCs w:val="28"/>
                <w:lang w:eastAsia="zh-CN"/>
              </w:rPr>
              <w:t>磋商响应报价超过</w:t>
            </w:r>
            <w:r>
              <w:rPr>
                <w:rFonts w:hint="default" w:ascii="Times New Roman" w:hAnsi="Times New Roman" w:eastAsia="仿宋_GB2312" w:cs="Times New Roman"/>
                <w:bCs/>
                <w:color w:val="auto"/>
                <w:kern w:val="0"/>
                <w:sz w:val="28"/>
                <w:szCs w:val="28"/>
                <w:lang w:eastAsia="zh-CN"/>
              </w:rPr>
              <w:t>最高限价</w:t>
            </w:r>
            <w:r>
              <w:rPr>
                <w:rFonts w:hint="default" w:ascii="Times New Roman" w:hAnsi="Times New Roman" w:eastAsia="仿宋_GB2312" w:cs="Times New Roman"/>
                <w:bCs/>
                <w:color w:val="auto"/>
                <w:sz w:val="28"/>
                <w:szCs w:val="28"/>
                <w:lang w:eastAsia="zh-CN"/>
              </w:rPr>
              <w:t>的，其磋商响应无效。</w:t>
            </w:r>
          </w:p>
        </w:tc>
      </w:tr>
      <w:tr w14:paraId="1AB4E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1035" w:hRule="atLeast"/>
        </w:trPr>
        <w:tc>
          <w:tcPr>
            <w:tcW w:w="952" w:type="dxa"/>
            <w:vAlign w:val="center"/>
          </w:tcPr>
          <w:p w14:paraId="133EB09F">
            <w:pPr>
              <w:spacing w:line="50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snapToGrid w:val="0"/>
                <w:color w:val="auto"/>
                <w:sz w:val="28"/>
                <w:szCs w:val="28"/>
              </w:rPr>
              <w:t>19</w:t>
            </w:r>
          </w:p>
        </w:tc>
        <w:tc>
          <w:tcPr>
            <w:tcW w:w="7751" w:type="dxa"/>
            <w:vAlign w:val="center"/>
          </w:tcPr>
          <w:p w14:paraId="670A8C4A">
            <w:pPr>
              <w:spacing w:line="500" w:lineRule="exact"/>
              <w:rPr>
                <w:rFonts w:hint="default" w:ascii="Times New Roman" w:hAnsi="Times New Roman" w:eastAsia="仿宋_GB2312" w:cs="Times New Roman"/>
                <w:color w:val="auto"/>
                <w:sz w:val="28"/>
                <w:szCs w:val="28"/>
                <w:u w:val="single"/>
                <w:lang w:eastAsia="zh-CN"/>
              </w:rPr>
            </w:pPr>
            <w:r>
              <w:rPr>
                <w:rFonts w:hint="default" w:ascii="Times New Roman" w:hAnsi="Times New Roman" w:eastAsia="仿宋_GB2312" w:cs="Times New Roman"/>
                <w:color w:val="auto"/>
                <w:sz w:val="28"/>
                <w:szCs w:val="28"/>
                <w:lang w:eastAsia="zh-CN"/>
              </w:rPr>
              <w:t>磋商响应货币：人民币。</w:t>
            </w:r>
          </w:p>
        </w:tc>
      </w:tr>
      <w:tr w14:paraId="7A859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64" w:hRule="atLeast"/>
        </w:trPr>
        <w:tc>
          <w:tcPr>
            <w:tcW w:w="952" w:type="dxa"/>
            <w:vAlign w:val="center"/>
          </w:tcPr>
          <w:p w14:paraId="29E1700C">
            <w:pPr>
              <w:spacing w:line="50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2</w:t>
            </w:r>
            <w:r>
              <w:rPr>
                <w:rFonts w:hint="default"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rPr>
              <w:t>.1</w:t>
            </w:r>
          </w:p>
        </w:tc>
        <w:tc>
          <w:tcPr>
            <w:tcW w:w="7751" w:type="dxa"/>
            <w:vAlign w:val="center"/>
          </w:tcPr>
          <w:p w14:paraId="489440C5">
            <w:pPr>
              <w:spacing w:line="500" w:lineRule="exact"/>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b/>
                <w:bCs/>
                <w:color w:val="auto"/>
                <w:sz w:val="28"/>
                <w:szCs w:val="28"/>
                <w:lang w:eastAsia="zh-CN"/>
              </w:rPr>
              <w:t>磋商响应文件有效期</w:t>
            </w:r>
            <w:r>
              <w:rPr>
                <w:rFonts w:hint="default" w:ascii="Times New Roman" w:hAnsi="Times New Roman" w:eastAsia="仿宋_GB2312" w:cs="Times New Roman"/>
                <w:color w:val="auto"/>
                <w:sz w:val="28"/>
                <w:szCs w:val="28"/>
                <w:lang w:eastAsia="zh-CN"/>
              </w:rPr>
              <w:t>：从提交首次磋商响应文件截止之日起60天</w:t>
            </w:r>
          </w:p>
        </w:tc>
      </w:tr>
      <w:tr w14:paraId="504F7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00" w:hRule="atLeast"/>
        </w:trPr>
        <w:tc>
          <w:tcPr>
            <w:tcW w:w="952" w:type="dxa"/>
            <w:vAlign w:val="center"/>
          </w:tcPr>
          <w:p w14:paraId="7252952F">
            <w:pPr>
              <w:spacing w:line="50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2</w:t>
            </w:r>
            <w:r>
              <w:rPr>
                <w:rFonts w:hint="default"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rPr>
              <w:t>.1</w:t>
            </w:r>
          </w:p>
        </w:tc>
        <w:tc>
          <w:tcPr>
            <w:tcW w:w="7751" w:type="dxa"/>
            <w:vAlign w:val="center"/>
          </w:tcPr>
          <w:p w14:paraId="653228AE">
            <w:pPr>
              <w:spacing w:line="500" w:lineRule="exact"/>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加密电子</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eastAsia="zh-CN"/>
              </w:rPr>
              <w:t>的上传：加密电子</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eastAsia="zh-CN"/>
              </w:rPr>
              <w:t>须在</w:t>
            </w:r>
            <w:r>
              <w:rPr>
                <w:rFonts w:hint="default" w:ascii="Times New Roman" w:hAnsi="Times New Roman" w:eastAsia="仿宋_GB2312" w:cs="Times New Roman"/>
                <w:color w:val="auto"/>
                <w:sz w:val="28"/>
                <w:szCs w:val="28"/>
                <w:lang w:val="en" w:eastAsia="zh-CN"/>
              </w:rPr>
              <w:t>提交首次磋商响应文件截止时</w:t>
            </w:r>
            <w:r>
              <w:rPr>
                <w:rFonts w:hint="default" w:ascii="Times New Roman" w:hAnsi="Times New Roman" w:eastAsia="仿宋_GB2312" w:cs="Times New Roman"/>
                <w:color w:val="auto"/>
                <w:sz w:val="28"/>
                <w:szCs w:val="28"/>
                <w:lang w:eastAsia="zh-CN"/>
              </w:rPr>
              <w:t>间前通过河南省公共资源交易中心网（</w:t>
            </w:r>
            <w:r>
              <w:rPr>
                <w:rFonts w:hint="default" w:ascii="Times New Roman" w:hAnsi="Times New Roman" w:eastAsia="仿宋_GB2312" w:cs="Times New Roman"/>
                <w:color w:val="auto"/>
                <w:sz w:val="30"/>
                <w:szCs w:val="30"/>
                <w:lang w:eastAsia="zh-CN"/>
              </w:rPr>
              <w:t>hnsggzyjy.henan.gov.cn</w:t>
            </w:r>
            <w:r>
              <w:rPr>
                <w:rFonts w:hint="default" w:ascii="Times New Roman" w:hAnsi="Times New Roman" w:eastAsia="仿宋_GB2312" w:cs="Times New Roman"/>
                <w:color w:val="auto"/>
                <w:sz w:val="28"/>
                <w:szCs w:val="28"/>
                <w:lang w:eastAsia="zh-CN"/>
              </w:rPr>
              <w:t>）加密上传。</w:t>
            </w:r>
            <w:r>
              <w:rPr>
                <w:rFonts w:hint="default" w:ascii="Times New Roman" w:hAnsi="Times New Roman" w:eastAsia="仿宋_GB2312" w:cs="Times New Roman"/>
                <w:color w:val="auto"/>
                <w:sz w:val="28"/>
                <w:szCs w:val="28"/>
                <w:lang w:val="en-US" w:eastAsia="zh-CN"/>
              </w:rPr>
              <w:t>供应商在提交首次磋商响应文件截止时间后上传的</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val="en-US" w:eastAsia="zh-CN"/>
              </w:rPr>
              <w:t>将被拒绝。</w:t>
            </w:r>
          </w:p>
        </w:tc>
      </w:tr>
      <w:tr w14:paraId="079EF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00" w:hRule="atLeast"/>
        </w:trPr>
        <w:tc>
          <w:tcPr>
            <w:tcW w:w="952" w:type="dxa"/>
            <w:vAlign w:val="center"/>
          </w:tcPr>
          <w:p w14:paraId="13B1C0BE">
            <w:pPr>
              <w:spacing w:line="50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en-US" w:eastAsia="zh-CN"/>
              </w:rPr>
              <w:t>30</w:t>
            </w:r>
            <w:r>
              <w:rPr>
                <w:rFonts w:hint="default" w:ascii="Times New Roman" w:hAnsi="Times New Roman" w:eastAsia="仿宋_GB2312" w:cs="Times New Roman"/>
                <w:color w:val="auto"/>
                <w:sz w:val="28"/>
                <w:szCs w:val="28"/>
              </w:rPr>
              <w:t>.1</w:t>
            </w:r>
          </w:p>
        </w:tc>
        <w:tc>
          <w:tcPr>
            <w:tcW w:w="7751" w:type="dxa"/>
            <w:vAlign w:val="center"/>
          </w:tcPr>
          <w:p w14:paraId="253BF126">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开启及解密方式：“远程不见面”开启方式，供应商无需到河南省公共资源交易中心现场参加开启会议。在</w:t>
            </w:r>
            <w:r>
              <w:rPr>
                <w:rFonts w:hint="default" w:ascii="Times New Roman" w:hAnsi="Times New Roman" w:eastAsia="仿宋_GB2312" w:cs="Times New Roman"/>
                <w:color w:val="auto"/>
                <w:sz w:val="28"/>
                <w:szCs w:val="28"/>
                <w:lang w:val="en-US" w:eastAsia="zh-CN"/>
              </w:rPr>
              <w:t>提交首次磋商响应文件</w:t>
            </w:r>
            <w:r>
              <w:rPr>
                <w:rFonts w:hint="default" w:ascii="Times New Roman" w:hAnsi="Times New Roman" w:eastAsia="仿宋_GB2312" w:cs="Times New Roman"/>
                <w:color w:val="auto"/>
                <w:sz w:val="28"/>
                <w:szCs w:val="28"/>
                <w:lang w:eastAsia="zh-CN"/>
              </w:rPr>
              <w:t>截止时间前，供应商</w:t>
            </w:r>
            <w:r>
              <w:rPr>
                <w:rFonts w:ascii="Times New Roman" w:hAnsi="Times New Roman" w:eastAsia="仿宋_GB2312" w:cs="Times New Roman"/>
                <w:color w:val="auto"/>
                <w:sz w:val="28"/>
                <w:szCs w:val="28"/>
                <w:lang w:eastAsia="zh-CN"/>
              </w:rPr>
              <w:t>登录</w:t>
            </w:r>
            <w:r>
              <w:rPr>
                <w:rFonts w:hint="default" w:ascii="Times New Roman" w:hAnsi="Times New Roman" w:eastAsia="仿宋_GB2312" w:cs="Times New Roman"/>
                <w:color w:val="auto"/>
                <w:sz w:val="28"/>
                <w:szCs w:val="28"/>
                <w:lang w:eastAsia="zh-CN"/>
              </w:rPr>
              <w:t>不见面开标大厅，在线准时参加开启活动并进行文件解密。未在规定时间内解密</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eastAsia="zh-CN"/>
              </w:rPr>
              <w:t>的供应商，其</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eastAsia="zh-CN"/>
              </w:rPr>
              <w:t>不予接受并退回。</w:t>
            </w:r>
          </w:p>
        </w:tc>
      </w:tr>
      <w:tr w14:paraId="0D5C0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00" w:hRule="atLeast"/>
        </w:trPr>
        <w:tc>
          <w:tcPr>
            <w:tcW w:w="952" w:type="dxa"/>
            <w:vAlign w:val="center"/>
          </w:tcPr>
          <w:p w14:paraId="78096298">
            <w:pPr>
              <w:spacing w:line="50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en-US" w:eastAsia="zh-CN"/>
              </w:rPr>
              <w:t>30</w:t>
            </w:r>
            <w:r>
              <w:rPr>
                <w:rFonts w:hint="default" w:ascii="Times New Roman" w:hAnsi="Times New Roman" w:eastAsia="仿宋_GB2312" w:cs="Times New Roman"/>
                <w:color w:val="auto"/>
                <w:sz w:val="28"/>
                <w:szCs w:val="28"/>
              </w:rPr>
              <w:t>.2</w:t>
            </w:r>
          </w:p>
        </w:tc>
        <w:tc>
          <w:tcPr>
            <w:tcW w:w="7751" w:type="dxa"/>
            <w:vAlign w:val="center"/>
          </w:tcPr>
          <w:p w14:paraId="1B1846AD">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远程开标大厅网址：河南省公共资源交易中心网 （</w:t>
            </w:r>
            <w:r>
              <w:rPr>
                <w:rFonts w:hint="default" w:ascii="Times New Roman" w:hAnsi="Times New Roman" w:eastAsia="仿宋_GB2312" w:cs="Times New Roman"/>
                <w:color w:val="auto"/>
                <w:sz w:val="30"/>
                <w:szCs w:val="30"/>
                <w:lang w:eastAsia="zh-CN"/>
              </w:rPr>
              <w:t>hnsggzyjy.henan.gov.cn</w:t>
            </w:r>
            <w:r>
              <w:rPr>
                <w:rFonts w:hint="default" w:ascii="Times New Roman" w:hAnsi="Times New Roman" w:eastAsia="仿宋_GB2312" w:cs="Times New Roman"/>
                <w:color w:val="auto"/>
                <w:sz w:val="28"/>
                <w:szCs w:val="28"/>
                <w:lang w:eastAsia="zh-CN"/>
              </w:rPr>
              <w:t>）——不见面开标大厅。</w:t>
            </w:r>
          </w:p>
        </w:tc>
      </w:tr>
      <w:tr w14:paraId="644DD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15" w:hRule="atLeast"/>
        </w:trPr>
        <w:tc>
          <w:tcPr>
            <w:tcW w:w="952" w:type="dxa"/>
            <w:vAlign w:val="center"/>
          </w:tcPr>
          <w:p w14:paraId="1F4DDB73">
            <w:pPr>
              <w:spacing w:line="50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3</w:t>
            </w:r>
            <w:r>
              <w:rPr>
                <w:rFonts w:hint="default" w:ascii="Times New Roman" w:hAnsi="Times New Roman" w:eastAsia="仿宋_GB2312" w:cs="Times New Roman"/>
                <w:color w:val="auto"/>
                <w:sz w:val="28"/>
                <w:szCs w:val="28"/>
                <w:lang w:val="en-US" w:eastAsia="zh-CN"/>
              </w:rPr>
              <w:t>1</w:t>
            </w:r>
          </w:p>
        </w:tc>
        <w:tc>
          <w:tcPr>
            <w:tcW w:w="7751" w:type="dxa"/>
            <w:vAlign w:val="center"/>
          </w:tcPr>
          <w:p w14:paraId="08E87E1B">
            <w:pPr>
              <w:spacing w:line="500" w:lineRule="exact"/>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val="en-US" w:eastAsia="zh-CN"/>
              </w:rPr>
              <w:t xml:space="preserve">信用查询时间： </w:t>
            </w:r>
          </w:p>
          <w:p w14:paraId="5A3A958B">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开启结束后</w:t>
            </w:r>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val="en-US" w:eastAsia="zh-CN"/>
              </w:rPr>
              <w:t>根据《关于在政府采购活动中查询及使用信用记录有关问题的通知》(财库〔2016〕125号)的要求，</w:t>
            </w:r>
            <w:r>
              <w:rPr>
                <w:rFonts w:hint="default" w:ascii="Times New Roman" w:hAnsi="Times New Roman" w:eastAsia="仿宋_GB2312" w:cs="Times New Roman"/>
                <w:color w:val="auto"/>
                <w:sz w:val="28"/>
                <w:szCs w:val="28"/>
                <w:lang w:eastAsia="zh-CN"/>
              </w:rPr>
              <w:t>通过</w:t>
            </w:r>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eastAsia="zh-CN"/>
              </w:rPr>
              <w:t>信用中国</w:t>
            </w:r>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eastAsia="zh-CN"/>
              </w:rPr>
              <w:t>网站</w:t>
            </w:r>
            <w:r>
              <w:rPr>
                <w:rFonts w:hint="default" w:ascii="Times New Roman" w:hAnsi="Times New Roman" w:eastAsia="仿宋_GB2312" w:cs="Times New Roman"/>
                <w:color w:val="auto"/>
                <w:sz w:val="28"/>
                <w:szCs w:val="28"/>
                <w:lang w:val="en-US" w:eastAsia="zh-CN"/>
              </w:rPr>
              <w:t>(www.creditchina.gov.cn)</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eastAsia="zh-CN"/>
              </w:rPr>
              <w:t>中国政府采购网</w:t>
            </w:r>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eastAsia="zh-CN"/>
              </w:rPr>
              <w:t>网站</w:t>
            </w:r>
            <w:r>
              <w:rPr>
                <w:rFonts w:hint="default" w:ascii="Times New Roman" w:hAnsi="Times New Roman" w:eastAsia="仿宋_GB2312" w:cs="Times New Roman"/>
                <w:color w:val="auto"/>
                <w:sz w:val="28"/>
                <w:szCs w:val="28"/>
                <w:lang w:val="en-US" w:eastAsia="zh-CN"/>
              </w:rPr>
              <w:t>(www.ccgp.gov.cn)</w:t>
            </w:r>
            <w:r>
              <w:rPr>
                <w:rFonts w:hint="default" w:ascii="Times New Roman" w:hAnsi="Times New Roman" w:eastAsia="仿宋_GB2312" w:cs="Times New Roman"/>
                <w:color w:val="auto"/>
                <w:sz w:val="28"/>
                <w:szCs w:val="28"/>
                <w:lang w:eastAsia="zh-CN"/>
              </w:rPr>
              <w:t>等渠道查询供应商在提交首次响应文件截止时间后当天的信用记录</w:t>
            </w:r>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eastAsia="zh-CN"/>
              </w:rPr>
              <w:t>拒绝列入失信被执行人名单、重大税收违法案件当事人名单</w:t>
            </w:r>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eastAsia="zh-CN"/>
              </w:rPr>
              <w:t>重大税收违法失信主体</w:t>
            </w:r>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eastAsia="zh-CN"/>
              </w:rPr>
              <w:t>、政府采购严重违法失信行为记录名单的供应商参加本项目的采购活动。</w:t>
            </w:r>
          </w:p>
          <w:p w14:paraId="1487D721">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组成联合体参加政府采购活动的,将对所有联合体成员进行信用记录查询,联合体成员存在不良信用记录的,视同联合体存在不良信用记录。</w:t>
            </w:r>
          </w:p>
          <w:p w14:paraId="3A54DA77">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b/>
                <w:bCs/>
                <w:color w:val="auto"/>
                <w:sz w:val="28"/>
                <w:szCs w:val="28"/>
                <w:lang w:val="en-US" w:eastAsia="zh-CN"/>
              </w:rPr>
              <w:t>查询及记录方式：</w:t>
            </w:r>
            <w:r>
              <w:rPr>
                <w:rFonts w:hint="default" w:ascii="Times New Roman" w:hAnsi="Times New Roman" w:eastAsia="仿宋_GB2312" w:cs="Times New Roman"/>
                <w:color w:val="auto"/>
                <w:sz w:val="28"/>
                <w:szCs w:val="28"/>
                <w:lang w:val="en-US" w:eastAsia="zh-CN"/>
              </w:rPr>
              <w:t>采购人将查询网页打印、存档备查。供应商不良信用记录以采购人查询结果为准，采购人查询之后，网站信息发生的任何变更均不再作为评审依据，供应商自行提供的与网站信息不一致的其他证明材料亦不作为评审依据。</w:t>
            </w:r>
          </w:p>
        </w:tc>
      </w:tr>
      <w:tr w14:paraId="47593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15" w:hRule="atLeast"/>
        </w:trPr>
        <w:tc>
          <w:tcPr>
            <w:tcW w:w="952" w:type="dxa"/>
            <w:vAlign w:val="center"/>
          </w:tcPr>
          <w:p w14:paraId="19B20D5F">
            <w:pPr>
              <w:spacing w:line="50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3</w:t>
            </w:r>
            <w:r>
              <w:rPr>
                <w:rFonts w:hint="default"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rPr>
              <w:t>.1</w:t>
            </w:r>
          </w:p>
        </w:tc>
        <w:tc>
          <w:tcPr>
            <w:tcW w:w="7751" w:type="dxa"/>
            <w:vAlign w:val="center"/>
          </w:tcPr>
          <w:p w14:paraId="5EB7AC48">
            <w:pPr>
              <w:spacing w:line="500" w:lineRule="exact"/>
              <w:rPr>
                <w:rFonts w:hint="default" w:ascii="Times New Roman" w:hAnsi="Times New Roman" w:eastAsia="仿宋_GB2312" w:cs="Times New Roman"/>
                <w:b/>
                <w:color w:val="auto"/>
                <w:sz w:val="28"/>
                <w:szCs w:val="28"/>
                <w:lang w:eastAsia="zh-CN"/>
              </w:rPr>
            </w:pPr>
            <w:r>
              <w:rPr>
                <w:rFonts w:hint="default" w:ascii="Times New Roman" w:hAnsi="Times New Roman" w:eastAsia="仿宋_GB2312" w:cs="Times New Roman"/>
                <w:color w:val="auto"/>
                <w:sz w:val="28"/>
                <w:szCs w:val="28"/>
                <w:lang w:eastAsia="zh-CN"/>
              </w:rPr>
              <w:t>竞争性磋商小组负责具体评审事务。竞争性磋商小组由采购人代表和评审专家组成，成员人数应当为</w:t>
            </w:r>
            <w:r>
              <w:rPr>
                <w:rFonts w:hint="default" w:ascii="Times New Roman" w:hAnsi="Times New Roman" w:eastAsia="仿宋_GB2312" w:cs="Times New Roman"/>
                <w:color w:val="auto"/>
                <w:sz w:val="28"/>
                <w:szCs w:val="28"/>
                <w:u w:val="single"/>
                <w:lang w:val="en-US" w:eastAsia="zh-CN"/>
              </w:rPr>
              <w:t xml:space="preserve"> 3 </w:t>
            </w:r>
            <w:r>
              <w:rPr>
                <w:rFonts w:hint="default" w:ascii="Times New Roman" w:hAnsi="Times New Roman" w:eastAsia="仿宋_GB2312" w:cs="Times New Roman"/>
                <w:color w:val="auto"/>
                <w:sz w:val="28"/>
                <w:szCs w:val="28"/>
                <w:lang w:eastAsia="zh-CN"/>
              </w:rPr>
              <w:t>人，其中评审专家不得少于成员总数的三分之二。</w:t>
            </w:r>
          </w:p>
        </w:tc>
      </w:tr>
      <w:tr w14:paraId="1731B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15" w:hRule="atLeast"/>
        </w:trPr>
        <w:tc>
          <w:tcPr>
            <w:tcW w:w="952" w:type="dxa"/>
            <w:vAlign w:val="center"/>
          </w:tcPr>
          <w:p w14:paraId="45A837B5">
            <w:pPr>
              <w:spacing w:line="500" w:lineRule="exact"/>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34</w:t>
            </w:r>
          </w:p>
        </w:tc>
        <w:tc>
          <w:tcPr>
            <w:tcW w:w="7751" w:type="dxa"/>
            <w:vAlign w:val="center"/>
          </w:tcPr>
          <w:p w14:paraId="616DF976">
            <w:pPr>
              <w:spacing w:line="500" w:lineRule="exact"/>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color w:val="auto"/>
                <w:sz w:val="28"/>
                <w:szCs w:val="28"/>
                <w:lang w:eastAsia="zh-CN"/>
              </w:rPr>
              <w:t>竞争性磋商小组对各供应商的竞争性磋商响应文件进行初步审查，以确定其是否满足</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的实质性要求。</w:t>
            </w:r>
          </w:p>
          <w:p w14:paraId="5308147C">
            <w:pPr>
              <w:spacing w:line="500" w:lineRule="exact"/>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val="en-US" w:eastAsia="zh-CN"/>
              </w:rPr>
              <w:t>初步审查（此处的审查包括三个部分：雷同性分析、资格性审查、实质性审查）</w:t>
            </w:r>
          </w:p>
          <w:p w14:paraId="7806B31C">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w:t>
            </w:r>
            <w:r>
              <w:rPr>
                <w:rFonts w:hint="default" w:ascii="Times New Roman" w:hAnsi="Times New Roman" w:eastAsia="仿宋_GB2312" w:cs="Times New Roman"/>
                <w:b/>
                <w:bCs/>
                <w:color w:val="auto"/>
                <w:sz w:val="28"/>
                <w:szCs w:val="28"/>
                <w:lang w:val="en-US" w:eastAsia="zh-CN"/>
              </w:rPr>
              <w:t>雷同性分析</w:t>
            </w:r>
            <w:r>
              <w:rPr>
                <w:rFonts w:hint="default" w:ascii="Times New Roman" w:hAnsi="Times New Roman" w:eastAsia="仿宋_GB2312" w:cs="Times New Roman"/>
                <w:color w:val="auto"/>
                <w:sz w:val="28"/>
                <w:szCs w:val="28"/>
                <w:lang w:val="en-US" w:eastAsia="zh-CN"/>
              </w:rPr>
              <w:t>：磋商响应文件制作机器码和文件创建标识码不能一致；</w:t>
            </w:r>
          </w:p>
          <w:p w14:paraId="34121FC0">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b/>
                <w:bCs/>
                <w:color w:val="auto"/>
                <w:sz w:val="28"/>
                <w:szCs w:val="28"/>
                <w:lang w:val="en-US" w:eastAsia="zh-CN"/>
              </w:rPr>
              <w:t>2.资格性审查：</w:t>
            </w:r>
          </w:p>
          <w:p w14:paraId="3658D5DA">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kern w:val="0"/>
                <w:sz w:val="28"/>
                <w:szCs w:val="28"/>
                <w:lang w:eastAsia="zh-CN"/>
              </w:rPr>
              <w:t>（</w:t>
            </w:r>
            <w:r>
              <w:rPr>
                <w:rFonts w:hint="default" w:ascii="Times New Roman" w:hAnsi="Times New Roman" w:eastAsia="仿宋_GB2312" w:cs="Times New Roman"/>
                <w:color w:val="auto"/>
                <w:kern w:val="0"/>
                <w:sz w:val="28"/>
                <w:szCs w:val="28"/>
                <w:lang w:val="en-US" w:eastAsia="zh-CN"/>
              </w:rPr>
              <w:t>1</w:t>
            </w:r>
            <w:r>
              <w:rPr>
                <w:rFonts w:hint="default" w:ascii="Times New Roman" w:hAnsi="Times New Roman" w:eastAsia="仿宋_GB2312" w:cs="Times New Roman"/>
                <w:color w:val="auto"/>
                <w:kern w:val="0"/>
                <w:sz w:val="28"/>
                <w:szCs w:val="28"/>
                <w:lang w:eastAsia="zh-CN"/>
              </w:rPr>
              <w:t>）具有独立承担民事责任的能力（提供</w:t>
            </w:r>
            <w:r>
              <w:rPr>
                <w:rFonts w:hint="default" w:ascii="Times New Roman" w:hAnsi="Times New Roman" w:eastAsia="仿宋_GB2312" w:cs="Times New Roman"/>
                <w:color w:val="auto"/>
                <w:sz w:val="28"/>
                <w:szCs w:val="28"/>
                <w:lang w:val="en" w:eastAsia="zh-CN"/>
              </w:rPr>
              <w:t>法人</w:t>
            </w:r>
            <w:r>
              <w:rPr>
                <w:rFonts w:hint="default" w:ascii="Times New Roman" w:hAnsi="Times New Roman" w:eastAsia="仿宋_GB2312" w:cs="Times New Roman"/>
                <w:color w:val="auto"/>
                <w:sz w:val="28"/>
                <w:szCs w:val="28"/>
                <w:lang w:eastAsia="zh-CN"/>
              </w:rPr>
              <w:t>或者非法人组织的营业执照等证明文件或自然人的身份证明）</w:t>
            </w:r>
            <w:r>
              <w:rPr>
                <w:rFonts w:hint="default" w:ascii="Times New Roman" w:hAnsi="Times New Roman" w:eastAsia="仿宋_GB2312" w:cs="Times New Roman"/>
                <w:color w:val="auto"/>
                <w:sz w:val="28"/>
                <w:szCs w:val="28"/>
                <w:lang w:val="en" w:eastAsia="zh-CN"/>
              </w:rPr>
              <w:t>；</w:t>
            </w:r>
          </w:p>
          <w:p w14:paraId="0910E284">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（2）具有良好的商业信誉和健全的财务会计制度（提供2025年度财务审计报告，要求注册会计师签字并加盖会计师印章；截止到响应文件开启时间，供应商成立时间不足1年的，可提供银行资信证明材料）；</w:t>
            </w:r>
          </w:p>
          <w:p w14:paraId="67CE9F05">
            <w:pPr>
              <w:spacing w:line="500" w:lineRule="exact"/>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kern w:val="0"/>
                <w:sz w:val="28"/>
                <w:szCs w:val="28"/>
                <w:lang w:eastAsia="zh-CN"/>
              </w:rPr>
              <w:t>依法缴纳税收和社会保障资金的良好记录</w:t>
            </w:r>
            <w:r>
              <w:rPr>
                <w:rFonts w:hint="default" w:ascii="Times New Roman" w:hAnsi="Times New Roman" w:eastAsia="仿宋_GB2312" w:cs="Times New Roman"/>
                <w:color w:val="auto"/>
                <w:sz w:val="28"/>
                <w:szCs w:val="28"/>
                <w:lang w:val="en-US" w:eastAsia="zh-CN"/>
              </w:rPr>
              <w:t>（提供自2026年1月1日以来至少一个月的纳税证明和社保缴纳证明，依法免税或不需要缴纳社会保障资金的，应提供相应文件证明其依法免税或不需要缴纳）；</w:t>
            </w:r>
          </w:p>
          <w:p w14:paraId="7CB75E13">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eastAsia="zh-CN"/>
              </w:rPr>
              <w:t>参加政府采购活动前3年内在经营活动中没有重大违法记录的声明；</w:t>
            </w:r>
          </w:p>
          <w:p w14:paraId="21A10840">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eastAsia="zh-CN"/>
              </w:rPr>
              <w:t>具有履行合同所必需的设备和专业技术能力</w:t>
            </w:r>
            <w:r>
              <w:rPr>
                <w:rFonts w:hint="default" w:ascii="Times New Roman" w:hAnsi="Times New Roman" w:eastAsia="仿宋_GB2312" w:cs="Times New Roman"/>
                <w:color w:val="auto"/>
                <w:sz w:val="28"/>
                <w:szCs w:val="28"/>
                <w:lang w:val="en-US" w:eastAsia="zh-CN"/>
              </w:rPr>
              <w:t>（提供承诺书）；</w:t>
            </w:r>
          </w:p>
          <w:p w14:paraId="39C630C7">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（6）信用查询记录符合</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val="en-US" w:eastAsia="zh-CN"/>
              </w:rPr>
              <w:t>规定（采购人查询，供应商无需提供证明材料）</w:t>
            </w:r>
            <w:r>
              <w:rPr>
                <w:rFonts w:hint="default" w:ascii="Times New Roman" w:hAnsi="Times New Roman" w:eastAsia="仿宋_GB2312" w:cs="Times New Roman"/>
                <w:color w:val="auto"/>
                <w:sz w:val="28"/>
                <w:szCs w:val="28"/>
                <w:lang w:val="en" w:eastAsia="zh-CN"/>
              </w:rPr>
              <w:t>；</w:t>
            </w:r>
          </w:p>
          <w:p w14:paraId="034A1E9C">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 w:eastAsia="zh-CN"/>
              </w:rPr>
              <w:t>（</w:t>
            </w:r>
            <w:r>
              <w:rPr>
                <w:rFonts w:hint="default" w:ascii="Times New Roman" w:hAnsi="Times New Roman" w:eastAsia="仿宋_GB2312" w:cs="Times New Roman"/>
                <w:color w:val="auto"/>
                <w:sz w:val="28"/>
                <w:szCs w:val="28"/>
                <w:lang w:val="en-US" w:eastAsia="zh-CN"/>
              </w:rPr>
              <w:t>7</w:t>
            </w:r>
            <w:r>
              <w:rPr>
                <w:rFonts w:hint="default" w:ascii="Times New Roman" w:hAnsi="Times New Roman" w:eastAsia="仿宋_GB2312" w:cs="Times New Roman"/>
                <w:color w:val="auto"/>
                <w:sz w:val="28"/>
                <w:szCs w:val="28"/>
                <w:lang w:val="en" w:eastAsia="zh-CN"/>
              </w:rPr>
              <w:t>）</w:t>
            </w:r>
            <w:r>
              <w:rPr>
                <w:rFonts w:hint="default" w:ascii="Times New Roman" w:hAnsi="Times New Roman" w:eastAsia="仿宋_GB2312" w:cs="Times New Roman"/>
                <w:color w:val="auto"/>
                <w:sz w:val="28"/>
                <w:szCs w:val="28"/>
                <w:lang w:val="en-US" w:eastAsia="zh-CN"/>
              </w:rPr>
              <w:t>单位负责人为同一人或者存在直接控股、管理关系的不同供应商，不得参加同一合同项下的政府采购活动（不满足本项的各供应商资格均不合格）；</w:t>
            </w:r>
          </w:p>
          <w:p w14:paraId="4D84F1C1">
            <w:pPr>
              <w:pStyle w:val="70"/>
              <w:adjustRightInd/>
              <w:spacing w:line="500" w:lineRule="exact"/>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lang w:val="en"/>
              </w:rPr>
              <w:t>（</w:t>
            </w:r>
            <w:r>
              <w:rPr>
                <w:rFonts w:ascii="Times New Roman" w:hAnsi="Times New Roman" w:eastAsia="仿宋_GB2312" w:cs="Times New Roman"/>
                <w:color w:val="auto"/>
                <w:sz w:val="28"/>
                <w:szCs w:val="28"/>
              </w:rPr>
              <w:t>8</w:t>
            </w:r>
            <w:r>
              <w:rPr>
                <w:rFonts w:ascii="Times New Roman" w:hAnsi="Times New Roman" w:eastAsia="仿宋_GB2312" w:cs="Times New Roman"/>
                <w:color w:val="auto"/>
                <w:sz w:val="28"/>
                <w:szCs w:val="28"/>
                <w:lang w:val="en"/>
              </w:rPr>
              <w:t>）其他资格要求。</w:t>
            </w:r>
          </w:p>
          <w:p w14:paraId="003B63F8">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rPr>
              <w:sym w:font="Wingdings 2" w:char="00A3"/>
            </w:r>
            <w:r>
              <w:rPr>
                <w:rFonts w:hint="default" w:ascii="Times New Roman" w:hAnsi="Times New Roman" w:eastAsia="仿宋_GB2312" w:cs="Times New Roman"/>
                <w:color w:val="auto"/>
                <w:sz w:val="28"/>
                <w:szCs w:val="28"/>
                <w:lang w:val="en-US" w:eastAsia="zh-CN"/>
              </w:rPr>
              <w:t>本项目专门面向中小企业采购，提供中小企业声明函；</w:t>
            </w:r>
          </w:p>
          <w:p w14:paraId="0176C5F6">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rPr>
              <w:sym w:font="Wingdings 2" w:char="00A3"/>
            </w:r>
            <w:r>
              <w:rPr>
                <w:rFonts w:hint="default" w:ascii="Times New Roman" w:hAnsi="Times New Roman" w:eastAsia="仿宋_GB2312" w:cs="Times New Roman"/>
                <w:color w:val="auto"/>
                <w:sz w:val="28"/>
                <w:szCs w:val="28"/>
                <w:lang w:val="en-US" w:eastAsia="zh-CN"/>
              </w:rPr>
              <w:t>本项目专门面向小微企业采购，提供小微企业声明函。</w:t>
            </w:r>
          </w:p>
          <w:p w14:paraId="44952FEE">
            <w:pPr>
              <w:pStyle w:val="39"/>
              <w:spacing w:line="500" w:lineRule="exact"/>
              <w:ind w:left="0" w:leftChars="0" w:firstLine="0" w:firstLineChars="0"/>
              <w:rPr>
                <w:rFonts w:hint="default" w:cs="Times New Roman"/>
                <w:color w:val="auto"/>
                <w:lang w:eastAsia="zh-CN"/>
              </w:rPr>
            </w:pPr>
            <w:r>
              <w:rPr>
                <w:rFonts w:hint="default" w:eastAsia="仿宋_GB2312" w:cs="Times New Roman"/>
                <w:b/>
                <w:bCs/>
                <w:color w:val="auto"/>
                <w:sz w:val="28"/>
                <w:szCs w:val="28"/>
                <w:lang w:val="en-US" w:eastAsia="zh-CN"/>
              </w:rPr>
              <w:t>3.实质性审查</w:t>
            </w:r>
          </w:p>
          <w:p w14:paraId="2A5CA334">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（1）</w:t>
            </w:r>
            <w:r>
              <w:rPr>
                <w:rFonts w:hint="default" w:ascii="Times New Roman" w:hAnsi="Times New Roman" w:eastAsia="仿宋_GB2312" w:cs="Times New Roman"/>
                <w:color w:val="auto"/>
                <w:sz w:val="28"/>
                <w:szCs w:val="28"/>
                <w:lang w:eastAsia="zh-CN"/>
              </w:rPr>
              <w:t>签章或盖章或签字符合竞争性磋商文件要求；</w:t>
            </w:r>
          </w:p>
          <w:p w14:paraId="3EEDC39A">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lang w:eastAsia="zh-CN"/>
              </w:rPr>
              <w:t>磋商响应文件有效期符合竞争性磋商文件规定；</w:t>
            </w:r>
          </w:p>
          <w:p w14:paraId="4275D040">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（3）供货期、</w:t>
            </w:r>
            <w:r>
              <w:rPr>
                <w:rFonts w:hint="default" w:ascii="Times New Roman" w:hAnsi="Times New Roman" w:eastAsia="仿宋_GB2312" w:cs="Times New Roman"/>
                <w:color w:val="auto"/>
                <w:sz w:val="28"/>
                <w:szCs w:val="28"/>
                <w:lang w:eastAsia="zh-CN"/>
              </w:rPr>
              <w:t>质保期</w:t>
            </w:r>
            <w:r>
              <w:rPr>
                <w:rFonts w:hint="default" w:ascii="Times New Roman" w:hAnsi="Times New Roman" w:eastAsia="仿宋_GB2312" w:cs="Times New Roman"/>
                <w:color w:val="auto"/>
                <w:sz w:val="28"/>
                <w:szCs w:val="28"/>
                <w:lang w:val="en-US" w:eastAsia="zh-CN"/>
              </w:rPr>
              <w:t>符合</w:t>
            </w:r>
            <w:r>
              <w:rPr>
                <w:rFonts w:hint="default" w:ascii="Times New Roman" w:hAnsi="Times New Roman" w:eastAsia="仿宋_GB2312" w:cs="Times New Roman"/>
                <w:color w:val="auto"/>
                <w:sz w:val="28"/>
                <w:szCs w:val="28"/>
                <w:lang w:eastAsia="zh-CN"/>
              </w:rPr>
              <w:t>竞争性磋商文件的要求</w:t>
            </w:r>
            <w:r>
              <w:rPr>
                <w:rFonts w:hint="default" w:ascii="Times New Roman" w:hAnsi="Times New Roman" w:eastAsia="仿宋_GB2312" w:cs="Times New Roman"/>
                <w:color w:val="auto"/>
                <w:sz w:val="28"/>
                <w:szCs w:val="28"/>
                <w:lang w:val="en-US" w:eastAsia="zh-CN"/>
              </w:rPr>
              <w:t>；</w:t>
            </w:r>
          </w:p>
          <w:p w14:paraId="3CC2F0E8">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eastAsia="zh-CN"/>
              </w:rPr>
              <w:t>磋商响应文件无重大或不可接受的偏差；</w:t>
            </w:r>
          </w:p>
          <w:p w14:paraId="1DA0BCF7">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eastAsia="zh-CN"/>
              </w:rPr>
              <w:t>总报价未超过最高限价</w:t>
            </w:r>
            <w:r>
              <w:rPr>
                <w:rFonts w:ascii="仿宋_GB2312" w:hAnsi="仿宋_GB2312" w:eastAsia="仿宋_GB2312" w:cs="仿宋_GB2312"/>
                <w:color w:val="auto"/>
                <w:sz w:val="28"/>
                <w:szCs w:val="28"/>
                <w:lang w:eastAsia="zh-CN"/>
              </w:rPr>
              <w:t>且单价未超过</w:t>
            </w:r>
            <w:r>
              <w:rPr>
                <w:rStyle w:val="288"/>
                <w:rFonts w:ascii="仿宋_GB2312" w:eastAsia="仿宋_GB2312" w:hAnsiTheme="minorEastAsia" w:cstheme="minorEastAsia"/>
                <w:color w:val="auto"/>
                <w:sz w:val="28"/>
                <w:szCs w:val="28"/>
                <w:lang w:val="en-US" w:eastAsia="zh-CN" w:bidi="ar"/>
              </w:rPr>
              <w:t>最高单价限价</w:t>
            </w:r>
            <w:r>
              <w:rPr>
                <w:rFonts w:hint="default" w:ascii="Times New Roman" w:hAnsi="Times New Roman" w:eastAsia="仿宋_GB2312" w:cs="Times New Roman"/>
                <w:color w:val="auto"/>
                <w:sz w:val="28"/>
                <w:szCs w:val="28"/>
                <w:lang w:eastAsia="zh-CN"/>
              </w:rPr>
              <w:t>；</w:t>
            </w:r>
          </w:p>
          <w:p w14:paraId="3A7E0A8D">
            <w:pPr>
              <w:pStyle w:val="70"/>
              <w:spacing w:line="500" w:lineRule="exact"/>
              <w:rPr>
                <w:rFonts w:ascii="Times New Roman" w:hAnsi="Times New Roman" w:eastAsia="仿宋_GB2312" w:cs="Times New Roman"/>
                <w:color w:val="auto"/>
              </w:rPr>
            </w:pPr>
            <w:r>
              <w:rPr>
                <w:rFonts w:ascii="Times New Roman" w:hAnsi="Times New Roman" w:eastAsia="仿宋_GB2312" w:cs="Times New Roman"/>
                <w:color w:val="auto"/>
                <w:sz w:val="28"/>
                <w:szCs w:val="28"/>
              </w:rPr>
              <w:t>（6）采购标的是否符合竞争性磋商文件要求；</w:t>
            </w:r>
          </w:p>
          <w:p w14:paraId="10678D41">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（7）</w:t>
            </w:r>
            <w:r>
              <w:rPr>
                <w:rFonts w:hint="default" w:ascii="Times New Roman" w:hAnsi="Times New Roman" w:eastAsia="仿宋_GB2312" w:cs="Times New Roman"/>
                <w:color w:val="auto"/>
                <w:sz w:val="28"/>
                <w:szCs w:val="28"/>
                <w:lang w:eastAsia="zh-CN"/>
              </w:rPr>
              <w:t>磋商响应文件未附有采购人不能接受的条件；</w:t>
            </w:r>
          </w:p>
          <w:p w14:paraId="6FA2BBC5">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（8）带</w:t>
            </w:r>
            <w:r>
              <w:rPr>
                <w:rFonts w:hint="default" w:ascii="Segoe UI Symbol" w:hAnsi="Segoe UI Symbol" w:eastAsia="仿宋_GB2312" w:cs="Segoe UI Symbol"/>
                <w:color w:val="auto"/>
                <w:kern w:val="0"/>
                <w:sz w:val="28"/>
                <w:szCs w:val="28"/>
                <w:lang w:eastAsia="zh-CN" w:bidi="ar"/>
              </w:rPr>
              <w:t>★</w:t>
            </w:r>
            <w:r>
              <w:rPr>
                <w:rFonts w:hint="default" w:ascii="Times New Roman" w:hAnsi="Times New Roman" w:eastAsia="仿宋_GB2312" w:cs="Times New Roman"/>
                <w:color w:val="auto"/>
                <w:sz w:val="28"/>
                <w:szCs w:val="28"/>
                <w:lang w:val="en-US" w:eastAsia="zh-CN"/>
              </w:rPr>
              <w:t>代表实质性指标，不满足或未响应该指标项将导致投标（响应）被拒绝；</w:t>
            </w:r>
          </w:p>
          <w:p w14:paraId="510A6781">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 w:eastAsia="zh-CN"/>
              </w:rPr>
              <w:t>（</w:t>
            </w:r>
            <w:r>
              <w:rPr>
                <w:rFonts w:hint="default" w:ascii="Times New Roman" w:hAnsi="Times New Roman" w:eastAsia="仿宋_GB2312" w:cs="Times New Roman"/>
                <w:color w:val="auto"/>
                <w:sz w:val="28"/>
                <w:szCs w:val="28"/>
                <w:lang w:val="en-US" w:eastAsia="zh-CN"/>
              </w:rPr>
              <w:t>9</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val="en-US" w:eastAsia="zh-CN"/>
              </w:rPr>
              <w:t>及法律法规规定的其他情形。</w:t>
            </w:r>
          </w:p>
        </w:tc>
      </w:tr>
      <w:tr w14:paraId="39A77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15" w:hRule="atLeast"/>
        </w:trPr>
        <w:tc>
          <w:tcPr>
            <w:tcW w:w="952" w:type="dxa"/>
            <w:vAlign w:val="center"/>
          </w:tcPr>
          <w:p w14:paraId="689135A4">
            <w:pPr>
              <w:spacing w:line="500" w:lineRule="exact"/>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35.4</w:t>
            </w:r>
          </w:p>
        </w:tc>
        <w:tc>
          <w:tcPr>
            <w:tcW w:w="7751" w:type="dxa"/>
            <w:vAlign w:val="center"/>
          </w:tcPr>
          <w:p w14:paraId="25C3CB57">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节能环保政策</w:t>
            </w:r>
          </w:p>
          <w:p w14:paraId="635C9E9F">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（1）本项目若含有节能产品政府采购品目清单内政府强制采购产品，供应商须选用国家确定的认证机构认证的处于有效期之内的政府强制采购节能产品。</w:t>
            </w:r>
          </w:p>
          <w:p w14:paraId="733E27AE">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本项目若含有节能产品、环境标志产品政府采购品目清单内政府优先采购产品，对选用国家确定的认证机构认证的处于有效期之内的政府优先采购节能产品（政府强制采购产品除外）、环境标志产品的，在评审时予以优先采购。</w:t>
            </w:r>
          </w:p>
          <w:p w14:paraId="328529F5">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（3）供应商应提供国家确定的认证机构出具的处于有效期之内的节能产品、环境标志产品认证证书。</w:t>
            </w:r>
          </w:p>
        </w:tc>
      </w:tr>
      <w:tr w14:paraId="628BD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15" w:hRule="atLeast"/>
        </w:trPr>
        <w:tc>
          <w:tcPr>
            <w:tcW w:w="952" w:type="dxa"/>
            <w:vAlign w:val="center"/>
          </w:tcPr>
          <w:p w14:paraId="698BA3B0">
            <w:pPr>
              <w:spacing w:line="500" w:lineRule="exact"/>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35.7</w:t>
            </w:r>
          </w:p>
        </w:tc>
        <w:tc>
          <w:tcPr>
            <w:tcW w:w="7751" w:type="dxa"/>
            <w:vAlign w:val="center"/>
          </w:tcPr>
          <w:p w14:paraId="2D139019">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供应商承诺商品包装符合《快递暂行条例》《商品包装政府采购需求标准（试行）》，快递包装符合《快递暂行条例》《快递包装政府采购需求标准（试行）》的，在评审时优先采购。</w:t>
            </w:r>
          </w:p>
        </w:tc>
      </w:tr>
      <w:tr w14:paraId="7BD705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00" w:hRule="atLeast"/>
        </w:trPr>
        <w:tc>
          <w:tcPr>
            <w:tcW w:w="952" w:type="dxa"/>
            <w:vAlign w:val="center"/>
          </w:tcPr>
          <w:p w14:paraId="2ACCEA6B">
            <w:pPr>
              <w:spacing w:line="50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3</w:t>
            </w:r>
            <w:r>
              <w:rPr>
                <w:rFonts w:hint="default"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rPr>
              <w:t>.1</w:t>
            </w:r>
          </w:p>
        </w:tc>
        <w:tc>
          <w:tcPr>
            <w:tcW w:w="7751" w:type="dxa"/>
            <w:vAlign w:val="center"/>
          </w:tcPr>
          <w:p w14:paraId="1249DC3F">
            <w:pPr>
              <w:spacing w:line="500" w:lineRule="exact"/>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val="en-US" w:eastAsia="zh-CN"/>
              </w:rPr>
              <w:t>中小企业扶持：</w:t>
            </w:r>
          </w:p>
          <w:p w14:paraId="36931A67">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b/>
                <w:bCs/>
                <w:color w:val="auto"/>
                <w:sz w:val="28"/>
                <w:szCs w:val="28"/>
                <w:lang w:eastAsia="zh-CN"/>
              </w:rPr>
              <w:t>□</w:t>
            </w:r>
            <w:r>
              <w:rPr>
                <w:rFonts w:hint="default" w:ascii="Times New Roman" w:hAnsi="Times New Roman" w:eastAsia="仿宋_GB2312" w:cs="Times New Roman"/>
                <w:b/>
                <w:bCs/>
                <w:color w:val="auto"/>
                <w:sz w:val="28"/>
                <w:szCs w:val="28"/>
                <w:lang w:val="en-US" w:eastAsia="zh-CN"/>
              </w:rPr>
              <w:t>本项目专门面向中小企业采购，</w:t>
            </w:r>
            <w:r>
              <w:rPr>
                <w:rFonts w:hint="default" w:ascii="Times New Roman" w:hAnsi="Times New Roman" w:eastAsia="仿宋_GB2312" w:cs="Times New Roman"/>
                <w:color w:val="auto"/>
                <w:sz w:val="28"/>
                <w:szCs w:val="28"/>
                <w:lang w:val="en-US" w:eastAsia="zh-CN"/>
              </w:rPr>
              <w:t>采购预留金额</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val="en-US" w:eastAsia="zh-CN"/>
              </w:rPr>
              <w:t>元；</w:t>
            </w:r>
          </w:p>
          <w:p w14:paraId="4468C021">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b/>
                <w:bCs/>
                <w:color w:val="auto"/>
                <w:sz w:val="28"/>
                <w:szCs w:val="28"/>
                <w:lang w:eastAsia="zh-CN"/>
              </w:rPr>
              <w:t>□</w:t>
            </w:r>
            <w:r>
              <w:rPr>
                <w:rFonts w:hint="default" w:ascii="Times New Roman" w:hAnsi="Times New Roman" w:eastAsia="仿宋_GB2312" w:cs="Times New Roman"/>
                <w:b/>
                <w:bCs/>
                <w:color w:val="auto"/>
                <w:sz w:val="28"/>
                <w:szCs w:val="28"/>
                <w:lang w:val="en-US" w:eastAsia="zh-CN"/>
              </w:rPr>
              <w:t>本项目专门面向小微企业采购，</w:t>
            </w:r>
            <w:r>
              <w:rPr>
                <w:rFonts w:hint="default" w:ascii="Times New Roman" w:hAnsi="Times New Roman" w:eastAsia="仿宋_GB2312" w:cs="Times New Roman"/>
                <w:color w:val="auto"/>
                <w:sz w:val="28"/>
                <w:szCs w:val="28"/>
                <w:lang w:val="en-US" w:eastAsia="zh-CN"/>
              </w:rPr>
              <w:t>小微企业预留金额</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val="en-US" w:eastAsia="zh-CN"/>
              </w:rPr>
              <w:t>元。</w:t>
            </w:r>
          </w:p>
          <w:p w14:paraId="019F7C3F">
            <w:pPr>
              <w:spacing w:line="500" w:lineRule="exact"/>
              <w:jc w:val="left"/>
              <w:rPr>
                <w:rFonts w:hint="default" w:ascii="Times New Roman" w:hAnsi="Times New Roman" w:eastAsia="仿宋_GB2312" w:cs="Times New Roman"/>
                <w:color w:val="auto"/>
                <w:sz w:val="28"/>
                <w:szCs w:val="28"/>
                <w:lang w:val="en-US" w:eastAsia="zh-CN"/>
              </w:rPr>
            </w:pPr>
            <w:r>
              <w:rPr>
                <w:rFonts w:hint="default" w:ascii="Segoe UI Symbol" w:hAnsi="Segoe UI Symbol" w:eastAsia="仿宋_GB2312" w:cs="Segoe UI Symbol"/>
                <w:b/>
                <w:bCs/>
                <w:color w:val="auto"/>
                <w:sz w:val="28"/>
                <w:szCs w:val="28"/>
                <w:lang w:eastAsia="zh-CN"/>
              </w:rPr>
              <w:t>☑</w:t>
            </w:r>
            <w:r>
              <w:rPr>
                <w:rFonts w:hint="default" w:ascii="Times New Roman" w:hAnsi="Times New Roman" w:eastAsia="仿宋_GB2312" w:cs="Times New Roman"/>
                <w:b/>
                <w:bCs/>
                <w:color w:val="auto"/>
                <w:sz w:val="28"/>
                <w:szCs w:val="28"/>
                <w:lang w:val="en-US" w:eastAsia="zh-CN"/>
              </w:rPr>
              <w:t>本项目非专门面向中小企业采购。</w:t>
            </w:r>
            <w:r>
              <w:rPr>
                <w:rFonts w:hint="default" w:ascii="Times New Roman" w:hAnsi="Times New Roman" w:eastAsia="仿宋_GB2312" w:cs="Times New Roman"/>
                <w:color w:val="auto"/>
                <w:sz w:val="28"/>
                <w:szCs w:val="28"/>
                <w:lang w:eastAsia="zh-CN"/>
              </w:rPr>
              <w:t>对</w:t>
            </w:r>
            <w:r>
              <w:rPr>
                <w:rFonts w:hint="default" w:ascii="Times New Roman" w:hAnsi="Times New Roman" w:eastAsia="仿宋_GB2312" w:cs="Times New Roman"/>
                <w:color w:val="auto"/>
                <w:sz w:val="28"/>
                <w:szCs w:val="28"/>
                <w:lang w:val="en-US" w:eastAsia="zh-CN"/>
              </w:rPr>
              <w:t>货物制造商全部为小型或微型企业的</w:t>
            </w:r>
            <w:r>
              <w:rPr>
                <w:rFonts w:hint="default" w:ascii="Times New Roman" w:hAnsi="Times New Roman" w:eastAsia="仿宋_GB2312" w:cs="Times New Roman"/>
                <w:color w:val="auto"/>
                <w:sz w:val="28"/>
                <w:szCs w:val="28"/>
                <w:lang w:eastAsia="zh-CN"/>
              </w:rPr>
              <w:t>供应商报价给予</w:t>
            </w:r>
            <w:r>
              <w:rPr>
                <w:rFonts w:hint="default" w:ascii="Times New Roman" w:hAnsi="Times New Roman" w:eastAsia="仿宋_GB2312" w:cs="Times New Roman"/>
                <w:color w:val="auto"/>
                <w:sz w:val="28"/>
                <w:szCs w:val="28"/>
                <w:u w:val="single"/>
                <w:lang w:val="en-US" w:eastAsia="zh-CN"/>
              </w:rPr>
              <w:t xml:space="preserve"> 10  </w:t>
            </w:r>
            <w:r>
              <w:rPr>
                <w:rFonts w:hint="default" w:ascii="Times New Roman" w:hAnsi="Times New Roman" w:eastAsia="仿宋_GB2312" w:cs="Times New Roman"/>
                <w:color w:val="auto"/>
                <w:sz w:val="28"/>
                <w:szCs w:val="28"/>
                <w:lang w:eastAsia="zh-CN"/>
              </w:rPr>
              <w:t>%的扣除，用扣除后的价格参与评审。</w:t>
            </w:r>
          </w:p>
          <w:p w14:paraId="5E6E3096">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小型和微型企业的认定根据供应商提供的《中小企业声明函》（第四章 竞争性磋商文件响应格式）进行。供应商提供的货物既有中小企业制造货物，也有大型企业制造货物的，不享受中小企业扶持政策。</w:t>
            </w:r>
          </w:p>
          <w:p w14:paraId="444AD112">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监狱企业视同小型、微型企业，供应商应提供省级及以上监狱管理局、戒毒管理局（含新疆生产建设兵团）出具的属于监狱企业的证明文件。</w:t>
            </w:r>
          </w:p>
          <w:p w14:paraId="05437809">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残疾人福利性单位视同小型、微型企业，残疾人福利性单位须符合《财政部民政部中国残疾人联合会关于促进残疾人就业政府采购政策的通知》（财库〔2017〕141 号）要求，提供《残疾人福利性单位声明函》。</w:t>
            </w:r>
          </w:p>
          <w:p w14:paraId="0860923E">
            <w:pPr>
              <w:spacing w:line="500" w:lineRule="exact"/>
              <w:jc w:val="left"/>
              <w:rPr>
                <w:rFonts w:hint="default" w:ascii="Times New Roman" w:hAnsi="Times New Roman" w:cs="Times New Roman"/>
                <w:color w:val="auto"/>
                <w:lang w:val="en-US" w:eastAsia="zh-CN"/>
              </w:rPr>
            </w:pPr>
            <w:r>
              <w:rPr>
                <w:rFonts w:hint="default" w:ascii="Times New Roman" w:hAnsi="Times New Roman" w:eastAsia="仿宋_GB2312" w:cs="Times New Roman"/>
                <w:b/>
                <w:bCs/>
                <w:color w:val="auto"/>
                <w:sz w:val="28"/>
                <w:szCs w:val="28"/>
                <w:lang w:val="en-US" w:eastAsia="zh-CN"/>
              </w:rPr>
              <w:t>本采购项目所属行业：见第五章 项目需求及技术要求</w:t>
            </w:r>
          </w:p>
        </w:tc>
      </w:tr>
      <w:tr w14:paraId="12851A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00" w:hRule="atLeast"/>
        </w:trPr>
        <w:tc>
          <w:tcPr>
            <w:tcW w:w="952" w:type="dxa"/>
            <w:vAlign w:val="center"/>
          </w:tcPr>
          <w:p w14:paraId="02E7BED9">
            <w:pPr>
              <w:spacing w:line="46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en-US" w:eastAsia="zh-CN"/>
              </w:rPr>
              <w:t>36.2</w:t>
            </w:r>
          </w:p>
        </w:tc>
        <w:tc>
          <w:tcPr>
            <w:tcW w:w="7751" w:type="dxa"/>
            <w:vAlign w:val="center"/>
          </w:tcPr>
          <w:p w14:paraId="0F914967">
            <w:pPr>
              <w:spacing w:line="46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b/>
                <w:bCs/>
                <w:color w:val="auto"/>
                <w:sz w:val="28"/>
                <w:szCs w:val="28"/>
                <w:lang w:val="en-US" w:eastAsia="zh-CN"/>
              </w:rPr>
              <w:sym w:font="Wingdings 2" w:char="0052"/>
            </w:r>
            <w:r>
              <w:rPr>
                <w:rFonts w:hint="default" w:ascii="Times New Roman" w:hAnsi="Times New Roman" w:eastAsia="仿宋_GB2312" w:cs="Times New Roman"/>
                <w:b/>
                <w:bCs/>
                <w:color w:val="auto"/>
                <w:sz w:val="28"/>
                <w:szCs w:val="28"/>
                <w:lang w:val="en-US" w:eastAsia="zh-CN"/>
              </w:rPr>
              <w:t>适用</w:t>
            </w:r>
            <w:r>
              <w:rPr>
                <w:rFonts w:hint="default" w:ascii="Times New Roman" w:hAnsi="Times New Roman" w:eastAsia="仿宋_GB2312" w:cs="Times New Roman"/>
                <w:color w:val="auto"/>
                <w:sz w:val="28"/>
                <w:szCs w:val="28"/>
                <w:lang w:val="en-US" w:eastAsia="zh-CN"/>
              </w:rPr>
              <w:t>，本国产品标准适用于货物，包括政府采购货物项目和服务项目中涉及的货物。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供应商对其提供的产品出具《关于符合本国产品标准的声明函》（格式详见第四章 竞争性磋商响应文件格式）或财政部会同有关部门规定的有关证明文件，《关于符合本国产品标准的声明函》或有关证明文件符合要求的，该产品视为本国产品。</w:t>
            </w:r>
          </w:p>
          <w:p w14:paraId="53B99B3B">
            <w:pPr>
              <w:spacing w:line="460" w:lineRule="exact"/>
              <w:jc w:val="left"/>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val="en-US" w:eastAsia="zh-CN"/>
              </w:rPr>
              <w:t>□不适用</w:t>
            </w:r>
          </w:p>
        </w:tc>
      </w:tr>
      <w:tr w14:paraId="7946D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94" w:hRule="atLeast"/>
        </w:trPr>
        <w:tc>
          <w:tcPr>
            <w:tcW w:w="952" w:type="dxa"/>
            <w:vAlign w:val="center"/>
          </w:tcPr>
          <w:p w14:paraId="175F0174">
            <w:pPr>
              <w:spacing w:line="50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3</w:t>
            </w:r>
            <w:r>
              <w:rPr>
                <w:rFonts w:hint="default" w:ascii="Times New Roman" w:hAnsi="Times New Roman" w:eastAsia="仿宋_GB2312" w:cs="Times New Roman"/>
                <w:color w:val="auto"/>
                <w:sz w:val="28"/>
                <w:szCs w:val="28"/>
                <w:lang w:val="en-US" w:eastAsia="zh-CN"/>
              </w:rPr>
              <w:t>7</w:t>
            </w:r>
            <w:r>
              <w:rPr>
                <w:rFonts w:hint="default" w:ascii="Times New Roman" w:hAnsi="Times New Roman" w:eastAsia="仿宋_GB2312" w:cs="Times New Roman"/>
                <w:color w:val="auto"/>
                <w:sz w:val="28"/>
                <w:szCs w:val="28"/>
              </w:rPr>
              <w:t>.</w:t>
            </w:r>
            <w:r>
              <w:rPr>
                <w:rFonts w:hint="default" w:ascii="Times New Roman" w:hAnsi="Times New Roman" w:eastAsia="仿宋_GB2312" w:cs="Times New Roman"/>
                <w:color w:val="auto"/>
                <w:sz w:val="28"/>
                <w:szCs w:val="28"/>
                <w:lang w:val="en-US" w:eastAsia="zh-CN"/>
              </w:rPr>
              <w:t>1</w:t>
            </w:r>
          </w:p>
        </w:tc>
        <w:tc>
          <w:tcPr>
            <w:tcW w:w="7751" w:type="dxa"/>
            <w:vAlign w:val="center"/>
          </w:tcPr>
          <w:p w14:paraId="32C7753D">
            <w:pPr>
              <w:spacing w:line="500" w:lineRule="exact"/>
              <w:jc w:val="left"/>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val="en-US" w:eastAsia="zh-CN"/>
              </w:rPr>
              <w:t>磋商方法：综合评分法。</w:t>
            </w:r>
          </w:p>
          <w:p w14:paraId="28E9848C">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磋商小组成员按照客观、公正、审慎的原则，根据磋商文件规定的评审程序、评审方法和评审标准进行独立评审。未实质性响应磋商文件的响应文件按无效响应处理。磋商小组要求所有实质性响应的供应商在规定时间内提交最后报价。</w:t>
            </w:r>
          </w:p>
          <w:p w14:paraId="218EAB1B">
            <w:pPr>
              <w:spacing w:line="500" w:lineRule="exact"/>
              <w:ind w:firstLine="560" w:firstLineChars="20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en-US" w:eastAsia="zh-CN"/>
              </w:rPr>
              <w:t>竞争性磋商小组对满足</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val="en-US" w:eastAsia="zh-CN"/>
              </w:rPr>
              <w:t>全部实质性要求的竞争性磋商响应文件，按照竞争性磋商文件规定的评审因素的量化指标进行评审打分，以综合评审得分由高到低顺序推荐成交候选供应商。</w:t>
            </w:r>
            <w:r>
              <w:rPr>
                <w:rFonts w:hint="default" w:ascii="Times New Roman" w:hAnsi="Times New Roman" w:eastAsia="仿宋_GB2312" w:cs="Times New Roman"/>
                <w:color w:val="auto"/>
                <w:sz w:val="28"/>
                <w:szCs w:val="28"/>
                <w:lang w:eastAsia="zh-CN"/>
              </w:rPr>
              <w:t>（如综合评审得分相同的，按最后报价由低到高的顺序推荐；评审得分且最后报价相同的，按技术指标优劣顺序推荐。</w:t>
            </w:r>
            <w:r>
              <w:rPr>
                <w:rFonts w:hint="default" w:ascii="Times New Roman" w:hAnsi="Times New Roman" w:eastAsia="仿宋_GB2312" w:cs="Times New Roman"/>
                <w:color w:val="auto"/>
                <w:sz w:val="28"/>
                <w:szCs w:val="28"/>
              </w:rPr>
              <w:t>）</w:t>
            </w:r>
          </w:p>
        </w:tc>
      </w:tr>
      <w:tr w14:paraId="7C693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94" w:hRule="atLeast"/>
        </w:trPr>
        <w:tc>
          <w:tcPr>
            <w:tcW w:w="952" w:type="dxa"/>
            <w:vAlign w:val="center"/>
          </w:tcPr>
          <w:p w14:paraId="2F03E59B">
            <w:pPr>
              <w:spacing w:line="500" w:lineRule="exact"/>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38</w:t>
            </w:r>
          </w:p>
        </w:tc>
        <w:tc>
          <w:tcPr>
            <w:tcW w:w="7751" w:type="dxa"/>
            <w:vAlign w:val="center"/>
          </w:tcPr>
          <w:p w14:paraId="438C3F27">
            <w:pPr>
              <w:pStyle w:val="50"/>
              <w:widowControl/>
              <w:tabs>
                <w:tab w:val="left" w:pos="567"/>
              </w:tabs>
              <w:spacing w:line="500" w:lineRule="exact"/>
              <w:ind w:firstLine="0"/>
              <w:rPr>
                <w:rFonts w:ascii="Times New Roman" w:hAnsi="Times New Roman" w:eastAsia="仿宋_GB2312"/>
                <w:b/>
                <w:bCs/>
                <w:sz w:val="28"/>
                <w:szCs w:val="28"/>
              </w:rPr>
            </w:pPr>
            <w:r>
              <w:rPr>
                <w:rFonts w:ascii="Times New Roman" w:hAnsi="Times New Roman" w:eastAsia="仿宋_GB2312"/>
                <w:b/>
                <w:bCs/>
                <w:sz w:val="28"/>
                <w:szCs w:val="28"/>
              </w:rPr>
              <w:t>推荐成交候选供应商的数量：3名（特殊情况除外）</w:t>
            </w:r>
          </w:p>
          <w:p w14:paraId="765F9ED2">
            <w:pPr>
              <w:pStyle w:val="51"/>
              <w:widowControl/>
              <w:spacing w:line="500" w:lineRule="exact"/>
              <w:ind w:left="0" w:leftChars="0" w:firstLine="0" w:firstLineChars="0"/>
              <w:rPr>
                <w:rFonts w:ascii="Times New Roman" w:hAnsi="Times New Roman"/>
                <w:lang w:val="en"/>
              </w:rPr>
            </w:pPr>
            <w:r>
              <w:rPr>
                <w:rFonts w:ascii="Times New Roman" w:hAnsi="Times New Roman" w:eastAsia="仿宋_GB2312"/>
                <w:b/>
                <w:bCs/>
                <w:sz w:val="28"/>
                <w:szCs w:val="28"/>
                <w:lang w:val="en"/>
              </w:rPr>
              <w:t>□</w:t>
            </w:r>
            <w:r>
              <w:rPr>
                <w:rFonts w:ascii="Times New Roman" w:hAnsi="Times New Roman" w:eastAsia="仿宋_GB2312"/>
                <w:b/>
                <w:bCs/>
                <w:sz w:val="28"/>
                <w:szCs w:val="28"/>
              </w:rPr>
              <w:t>兼投兼中</w:t>
            </w:r>
            <w:r>
              <w:rPr>
                <w:rFonts w:ascii="Times New Roman" w:hAnsi="Times New Roman" w:eastAsia="仿宋_GB2312"/>
                <w:b/>
                <w:bCs/>
                <w:sz w:val="28"/>
                <w:szCs w:val="28"/>
                <w:lang w:val="en"/>
              </w:rPr>
              <w:t>。</w:t>
            </w:r>
            <w:r>
              <w:rPr>
                <w:rFonts w:ascii="Times New Roman" w:hAnsi="Times New Roman" w:eastAsia="仿宋_GB2312"/>
                <w:sz w:val="28"/>
                <w:szCs w:val="28"/>
              </w:rPr>
              <w:t>供应商可对多个分包进行磋商响应，</w:t>
            </w:r>
            <w:r>
              <w:rPr>
                <w:rFonts w:ascii="Times New Roman" w:hAnsi="Times New Roman" w:eastAsia="仿宋_GB2312"/>
                <w:sz w:val="28"/>
                <w:szCs w:val="28"/>
                <w:lang w:val="en"/>
              </w:rPr>
              <w:t>并</w:t>
            </w:r>
            <w:r>
              <w:rPr>
                <w:rFonts w:ascii="Times New Roman" w:hAnsi="Times New Roman" w:eastAsia="仿宋_GB2312"/>
                <w:sz w:val="28"/>
                <w:szCs w:val="28"/>
              </w:rPr>
              <w:t>可成交</w:t>
            </w:r>
            <w:r>
              <w:rPr>
                <w:rFonts w:ascii="Times New Roman" w:hAnsi="Times New Roman" w:eastAsia="仿宋_GB2312"/>
                <w:sz w:val="28"/>
                <w:szCs w:val="28"/>
                <w:lang w:val="en"/>
              </w:rPr>
              <w:t>所有</w:t>
            </w:r>
            <w:r>
              <w:rPr>
                <w:rFonts w:ascii="Times New Roman" w:hAnsi="Times New Roman" w:eastAsia="仿宋_GB2312"/>
                <w:sz w:val="28"/>
                <w:szCs w:val="28"/>
              </w:rPr>
              <w:t>包</w:t>
            </w:r>
            <w:r>
              <w:rPr>
                <w:rFonts w:ascii="Times New Roman" w:hAnsi="Times New Roman" w:eastAsia="仿宋_GB2312"/>
                <w:sz w:val="28"/>
                <w:szCs w:val="28"/>
                <w:lang w:val="en"/>
              </w:rPr>
              <w:t>。</w:t>
            </w:r>
          </w:p>
          <w:p w14:paraId="4D5CCE75">
            <w:pPr>
              <w:spacing w:line="500" w:lineRule="exact"/>
              <w:jc w:val="left"/>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val="en" w:eastAsia="zh-CN"/>
              </w:rPr>
              <w:t>□</w:t>
            </w:r>
            <w:r>
              <w:rPr>
                <w:rFonts w:hint="default" w:ascii="Times New Roman" w:hAnsi="Times New Roman" w:eastAsia="仿宋_GB2312" w:cs="Times New Roman"/>
                <w:b/>
                <w:bCs/>
                <w:color w:val="auto"/>
                <w:sz w:val="28"/>
                <w:szCs w:val="28"/>
                <w:lang w:eastAsia="zh-CN"/>
              </w:rPr>
              <w:t>兼投不兼中</w:t>
            </w:r>
            <w:r>
              <w:rPr>
                <w:rFonts w:hint="default" w:ascii="Times New Roman" w:hAnsi="Times New Roman" w:eastAsia="仿宋_GB2312" w:cs="Times New Roman"/>
                <w:b/>
                <w:bCs/>
                <w:color w:val="auto"/>
                <w:sz w:val="28"/>
                <w:szCs w:val="28"/>
                <w:lang w:val="en-US" w:eastAsia="zh-CN"/>
              </w:rPr>
              <w:t>。</w:t>
            </w:r>
            <w:r>
              <w:rPr>
                <w:rFonts w:hint="default" w:ascii="Times New Roman" w:hAnsi="Times New Roman" w:eastAsia="仿宋_GB2312" w:cs="Times New Roman"/>
                <w:color w:val="auto"/>
                <w:sz w:val="28"/>
                <w:szCs w:val="28"/>
                <w:lang w:val="en-US" w:eastAsia="zh-CN"/>
              </w:rPr>
              <w:t>供应商可对多个分包进行磋商响应，按照分包先后顺序可以成交一个包，即</w:t>
            </w:r>
            <w:r>
              <w:rPr>
                <w:rFonts w:hint="default" w:ascii="Times New Roman" w:hAnsi="Times New Roman" w:eastAsia="仿宋_GB2312" w:cs="Times New Roman"/>
                <w:color w:val="auto"/>
                <w:sz w:val="28"/>
                <w:szCs w:val="28"/>
                <w:lang w:eastAsia="zh-CN"/>
              </w:rPr>
              <w:t>包1排名第一的成交候选供应商不再被推荐为包2的成交候选供应商（以此类推）。</w:t>
            </w:r>
          </w:p>
        </w:tc>
      </w:tr>
      <w:tr w14:paraId="68864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00" w:hRule="atLeast"/>
        </w:trPr>
        <w:tc>
          <w:tcPr>
            <w:tcW w:w="952" w:type="dxa"/>
            <w:vAlign w:val="center"/>
          </w:tcPr>
          <w:p w14:paraId="6B2A9F12">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41.1</w:t>
            </w:r>
          </w:p>
        </w:tc>
        <w:tc>
          <w:tcPr>
            <w:tcW w:w="7751" w:type="dxa"/>
            <w:vAlign w:val="center"/>
          </w:tcPr>
          <w:p w14:paraId="5D25628F">
            <w:pPr>
              <w:spacing w:line="500" w:lineRule="exact"/>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成交结果公告媒介：</w:t>
            </w:r>
          </w:p>
          <w:p w14:paraId="7E42ECE0">
            <w:pPr>
              <w:spacing w:line="500" w:lineRule="exact"/>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《河南省政府采购网》《河南省公共资源交易中心网》</w:t>
            </w:r>
          </w:p>
        </w:tc>
      </w:tr>
      <w:tr w14:paraId="5D904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46" w:hRule="atLeast"/>
        </w:trPr>
        <w:tc>
          <w:tcPr>
            <w:tcW w:w="952" w:type="dxa"/>
            <w:vAlign w:val="center"/>
          </w:tcPr>
          <w:p w14:paraId="01752E73">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rPr>
              <w:t>4</w:t>
            </w:r>
            <w:r>
              <w:rPr>
                <w:rFonts w:hint="default" w:ascii="Times New Roman" w:hAnsi="Times New Roman" w:eastAsia="仿宋_GB2312" w:cs="Times New Roman"/>
                <w:color w:val="auto"/>
                <w:sz w:val="28"/>
                <w:szCs w:val="28"/>
                <w:lang w:val="en-US" w:eastAsia="zh-CN"/>
              </w:rPr>
              <w:t>4</w:t>
            </w:r>
          </w:p>
        </w:tc>
        <w:tc>
          <w:tcPr>
            <w:tcW w:w="7751" w:type="dxa"/>
            <w:vAlign w:val="center"/>
          </w:tcPr>
          <w:p w14:paraId="0783924D">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数量</w:t>
            </w:r>
            <w:r>
              <w:rPr>
                <w:rFonts w:hint="default" w:ascii="Times New Roman" w:hAnsi="Times New Roman" w:eastAsia="仿宋_GB2312" w:cs="Times New Roman"/>
                <w:color w:val="auto"/>
                <w:sz w:val="28"/>
                <w:szCs w:val="28"/>
                <w:lang w:val="en-US" w:eastAsia="zh-CN"/>
              </w:rPr>
              <w:t>追加</w:t>
            </w:r>
            <w:r>
              <w:rPr>
                <w:rFonts w:hint="default" w:ascii="Times New Roman" w:hAnsi="Times New Roman" w:eastAsia="仿宋_GB2312" w:cs="Times New Roman"/>
                <w:color w:val="auto"/>
                <w:sz w:val="28"/>
                <w:szCs w:val="28"/>
                <w:lang w:eastAsia="zh-CN"/>
              </w:rPr>
              <w:t>范围：采购人需追加与合同标的相同的</w:t>
            </w:r>
            <w:r>
              <w:rPr>
                <w:rFonts w:hint="default" w:ascii="Times New Roman" w:hAnsi="Times New Roman" w:eastAsia="仿宋_GB2312" w:cs="Times New Roman"/>
                <w:color w:val="auto"/>
                <w:sz w:val="28"/>
                <w:szCs w:val="28"/>
                <w:lang w:val="en" w:eastAsia="zh-CN"/>
              </w:rPr>
              <w:t>货物</w:t>
            </w:r>
            <w:r>
              <w:rPr>
                <w:rFonts w:hint="default" w:ascii="Times New Roman" w:hAnsi="Times New Roman" w:eastAsia="仿宋_GB2312" w:cs="Times New Roman"/>
                <w:color w:val="auto"/>
                <w:sz w:val="28"/>
                <w:szCs w:val="28"/>
                <w:lang w:eastAsia="zh-CN"/>
              </w:rPr>
              <w:t>的，在不改变合同其它条款的前提下，可以与供应商签订补充合同，但所有补充合同的采购金额不得超过原合同金额的百分之十。</w:t>
            </w:r>
          </w:p>
        </w:tc>
      </w:tr>
      <w:tr w14:paraId="2D2D9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46" w:hRule="atLeast"/>
        </w:trPr>
        <w:tc>
          <w:tcPr>
            <w:tcW w:w="952" w:type="dxa"/>
            <w:vAlign w:val="center"/>
          </w:tcPr>
          <w:p w14:paraId="021AAF14">
            <w:pPr>
              <w:spacing w:line="500" w:lineRule="exact"/>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46</w:t>
            </w:r>
          </w:p>
        </w:tc>
        <w:tc>
          <w:tcPr>
            <w:tcW w:w="7751" w:type="dxa"/>
            <w:vAlign w:val="center"/>
          </w:tcPr>
          <w:p w14:paraId="54BB36AE">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履约保证金：</w:t>
            </w:r>
            <w:r>
              <w:rPr>
                <w:rFonts w:hint="default" w:ascii="Times New Roman" w:hAnsi="Times New Roman" w:eastAsia="仿宋_GB2312" w:cs="Times New Roman"/>
                <w:b/>
                <w:bCs/>
                <w:color w:val="auto"/>
                <w:sz w:val="28"/>
                <w:szCs w:val="28"/>
                <w:lang w:val="en" w:eastAsia="zh-CN"/>
              </w:rPr>
              <w:t>□</w:t>
            </w:r>
            <w:r>
              <w:rPr>
                <w:rFonts w:hint="default" w:ascii="Times New Roman" w:hAnsi="Times New Roman" w:eastAsia="仿宋_GB2312" w:cs="Times New Roman"/>
                <w:b/>
                <w:bCs/>
                <w:color w:val="auto"/>
                <w:sz w:val="28"/>
                <w:szCs w:val="28"/>
                <w:lang w:val="en-US" w:eastAsia="zh-CN"/>
              </w:rPr>
              <w:t xml:space="preserve">无   </w:t>
            </w:r>
            <w:r>
              <w:rPr>
                <w:rFonts w:hint="default" w:ascii="Segoe UI Symbol" w:hAnsi="Segoe UI Symbol" w:eastAsia="仿宋_GB2312" w:cs="Segoe UI Symbol"/>
                <w:b/>
                <w:bCs/>
                <w:color w:val="auto"/>
                <w:sz w:val="28"/>
                <w:szCs w:val="28"/>
                <w:lang w:val="en" w:eastAsia="zh-CN"/>
              </w:rPr>
              <w:t>☑</w:t>
            </w:r>
            <w:r>
              <w:rPr>
                <w:rFonts w:hint="default" w:ascii="Times New Roman" w:hAnsi="Times New Roman" w:eastAsia="仿宋_GB2312" w:cs="Times New Roman"/>
                <w:b/>
                <w:bCs/>
                <w:color w:val="auto"/>
                <w:sz w:val="28"/>
                <w:szCs w:val="28"/>
                <w:lang w:val="en-US" w:eastAsia="zh-CN"/>
              </w:rPr>
              <w:t>有</w:t>
            </w:r>
            <w:r>
              <w:rPr>
                <w:rFonts w:hint="default" w:ascii="Times New Roman" w:hAnsi="Times New Roman" w:eastAsia="仿宋_GB2312" w:cs="Times New Roman"/>
                <w:color w:val="auto"/>
                <w:sz w:val="28"/>
                <w:szCs w:val="28"/>
                <w:lang w:val="en" w:eastAsia="zh-CN"/>
              </w:rPr>
              <w:t>，合同金额的</w:t>
            </w:r>
            <w:r>
              <w:rPr>
                <w:rFonts w:hint="default" w:ascii="Times New Roman" w:hAnsi="Times New Roman" w:eastAsia="仿宋_GB2312" w:cs="Times New Roman"/>
                <w:b/>
                <w:bCs/>
                <w:color w:val="auto"/>
                <w:sz w:val="28"/>
                <w:szCs w:val="28"/>
                <w:u w:val="single"/>
                <w:lang w:val="en-US" w:eastAsia="zh-CN"/>
              </w:rPr>
              <w:t>5</w:t>
            </w:r>
            <w:r>
              <w:rPr>
                <w:rFonts w:hint="default" w:ascii="Times New Roman" w:hAnsi="Times New Roman" w:eastAsia="仿宋_GB2312" w:cs="Times New Roman"/>
                <w:color w:val="auto"/>
                <w:sz w:val="28"/>
                <w:szCs w:val="28"/>
                <w:lang w:val="en-US" w:eastAsia="zh-CN"/>
              </w:rPr>
              <w:t>%</w:t>
            </w:r>
          </w:p>
        </w:tc>
      </w:tr>
      <w:tr w14:paraId="172F9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46" w:hRule="atLeast"/>
        </w:trPr>
        <w:tc>
          <w:tcPr>
            <w:tcW w:w="952" w:type="dxa"/>
            <w:vAlign w:val="center"/>
          </w:tcPr>
          <w:p w14:paraId="48D48808">
            <w:pPr>
              <w:spacing w:line="500" w:lineRule="exact"/>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48</w:t>
            </w:r>
          </w:p>
        </w:tc>
        <w:tc>
          <w:tcPr>
            <w:tcW w:w="7751" w:type="dxa"/>
            <w:vAlign w:val="center"/>
          </w:tcPr>
          <w:p w14:paraId="1C7387DB">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招标代理费</w:t>
            </w:r>
            <w:r>
              <w:rPr>
                <w:rFonts w:hint="default" w:ascii="Times New Roman" w:hAnsi="Times New Roman" w:eastAsia="仿宋_GB2312" w:cs="Times New Roman"/>
                <w:color w:val="auto"/>
                <w:sz w:val="28"/>
                <w:szCs w:val="28"/>
              </w:rPr>
              <w:t>：免费。</w:t>
            </w:r>
          </w:p>
        </w:tc>
      </w:tr>
      <w:tr w14:paraId="74A9F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46" w:hRule="atLeast"/>
        </w:trPr>
        <w:tc>
          <w:tcPr>
            <w:tcW w:w="952" w:type="dxa"/>
            <w:vAlign w:val="center"/>
          </w:tcPr>
          <w:p w14:paraId="1750B3F6">
            <w:pPr>
              <w:spacing w:line="500" w:lineRule="exact"/>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49.2</w:t>
            </w:r>
          </w:p>
        </w:tc>
        <w:tc>
          <w:tcPr>
            <w:tcW w:w="7751" w:type="dxa"/>
            <w:vAlign w:val="center"/>
          </w:tcPr>
          <w:p w14:paraId="0E149F0A">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供应商应在法定质疑期内针对同一采购程序环节的质疑次数：</w:t>
            </w:r>
          </w:p>
          <w:p w14:paraId="4825FEBA">
            <w:pPr>
              <w:spacing w:line="500" w:lineRule="exact"/>
              <w:jc w:val="left"/>
              <w:rPr>
                <w:rFonts w:hint="default" w:ascii="Times New Roman" w:hAnsi="Times New Roman" w:cs="Times New Roman"/>
                <w:color w:val="auto"/>
              </w:rPr>
            </w:pPr>
            <w:r>
              <w:rPr>
                <w:rFonts w:hint="default" w:ascii="Times New Roman" w:hAnsi="Times New Roman" w:eastAsia="仿宋_GB2312" w:cs="Times New Roman"/>
                <w:b/>
                <w:bCs/>
                <w:color w:val="auto"/>
                <w:sz w:val="28"/>
                <w:szCs w:val="28"/>
                <w:lang w:val="en-US" w:eastAsia="zh-CN"/>
              </w:rPr>
              <w:t>一次性提出</w:t>
            </w:r>
            <w:r>
              <w:rPr>
                <w:rFonts w:hint="default" w:ascii="Times New Roman" w:hAnsi="Times New Roman" w:eastAsia="仿宋_GB2312" w:cs="Times New Roman"/>
                <w:color w:val="auto"/>
                <w:sz w:val="28"/>
                <w:szCs w:val="28"/>
                <w:lang w:val="en-US" w:eastAsia="zh-CN"/>
              </w:rPr>
              <w:t xml:space="preserve">  </w:t>
            </w:r>
          </w:p>
        </w:tc>
      </w:tr>
      <w:tr w14:paraId="39183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46" w:hRule="atLeast"/>
        </w:trPr>
        <w:tc>
          <w:tcPr>
            <w:tcW w:w="952" w:type="dxa"/>
            <w:vAlign w:val="center"/>
          </w:tcPr>
          <w:p w14:paraId="36DB0649">
            <w:pPr>
              <w:spacing w:line="500" w:lineRule="exact"/>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51</w:t>
            </w:r>
          </w:p>
        </w:tc>
        <w:tc>
          <w:tcPr>
            <w:tcW w:w="7751" w:type="dxa"/>
            <w:vAlign w:val="center"/>
          </w:tcPr>
          <w:p w14:paraId="0B8CF178">
            <w:pPr>
              <w:spacing w:line="500" w:lineRule="exact"/>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需要补充的其他内容</w:t>
            </w:r>
          </w:p>
        </w:tc>
      </w:tr>
      <w:tr w14:paraId="3B096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46" w:hRule="atLeast"/>
        </w:trPr>
        <w:tc>
          <w:tcPr>
            <w:tcW w:w="952" w:type="dxa"/>
            <w:vAlign w:val="center"/>
          </w:tcPr>
          <w:p w14:paraId="72356B2A">
            <w:pPr>
              <w:spacing w:line="500" w:lineRule="exact"/>
              <w:jc w:val="center"/>
              <w:rPr>
                <w:rFonts w:hint="default" w:ascii="Times New Roman" w:hAnsi="Times New Roman" w:eastAsia="仿宋_GB2312" w:cs="Times New Roman"/>
                <w:color w:val="auto"/>
                <w:sz w:val="28"/>
                <w:szCs w:val="28"/>
                <w:lang w:val="en" w:eastAsia="zh-CN"/>
              </w:rPr>
            </w:pPr>
            <w:r>
              <w:rPr>
                <w:rFonts w:hint="default" w:ascii="Times New Roman" w:hAnsi="Times New Roman" w:eastAsia="仿宋_GB2312" w:cs="Times New Roman"/>
                <w:color w:val="auto"/>
                <w:sz w:val="28"/>
                <w:szCs w:val="28"/>
                <w:lang w:val="en-US" w:eastAsia="zh-CN"/>
              </w:rPr>
              <w:t>51</w:t>
            </w:r>
            <w:r>
              <w:rPr>
                <w:rFonts w:hint="default" w:ascii="Times New Roman" w:hAnsi="Times New Roman" w:eastAsia="仿宋_GB2312" w:cs="Times New Roman"/>
                <w:color w:val="auto"/>
                <w:sz w:val="28"/>
                <w:szCs w:val="28"/>
                <w:lang w:val="en" w:eastAsia="zh-CN"/>
              </w:rPr>
              <w:t>.1</w:t>
            </w:r>
          </w:p>
        </w:tc>
        <w:tc>
          <w:tcPr>
            <w:tcW w:w="7751" w:type="dxa"/>
            <w:vAlign w:val="center"/>
          </w:tcPr>
          <w:p w14:paraId="065D22BF">
            <w:pPr>
              <w:spacing w:line="500" w:lineRule="exact"/>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 w:eastAsia="zh-CN"/>
              </w:rPr>
              <w:t>竞争性磋商</w:t>
            </w:r>
            <w:r>
              <w:rPr>
                <w:rFonts w:hint="default" w:ascii="Times New Roman" w:hAnsi="Times New Roman" w:eastAsia="仿宋_GB2312" w:cs="Times New Roman"/>
                <w:color w:val="auto"/>
                <w:sz w:val="28"/>
                <w:szCs w:val="28"/>
                <w:lang w:eastAsia="zh-CN"/>
              </w:rPr>
              <w:t>完成后，成交供应商与采购人签订政府采购合同，经采购人确认后按照以下方式付款。</w:t>
            </w:r>
          </w:p>
          <w:p w14:paraId="3E0AAFDC">
            <w:pPr>
              <w:spacing w:line="500" w:lineRule="exact"/>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b/>
                <w:bCs/>
                <w:color w:val="auto"/>
                <w:sz w:val="28"/>
                <w:szCs w:val="28"/>
                <w:lang w:eastAsia="zh-CN"/>
              </w:rPr>
              <w:t>付款方法和条件：</w:t>
            </w:r>
            <w:r>
              <w:rPr>
                <w:rFonts w:hint="default" w:ascii="Times New Roman" w:hAnsi="Times New Roman" w:eastAsia="仿宋_GB2312" w:cs="Times New Roman"/>
                <w:color w:val="auto"/>
                <w:sz w:val="28"/>
                <w:szCs w:val="28"/>
                <w:u w:val="single"/>
                <w:lang w:val="en-US" w:eastAsia="zh-CN"/>
              </w:rPr>
              <w:t>（1）合同生效后，采购人在15个工作日内向成交供应商支付合同总金额的30%作为预付款。（2）正式验收合格后10个工作日内，采购人凭成交供应商开具的正规发票、验收资料等材料向采购人财务处提交资金支付申请，采购人按规定支付剩余70%资金。</w:t>
            </w:r>
          </w:p>
        </w:tc>
      </w:tr>
      <w:tr w14:paraId="0D608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203" w:hRule="atLeast"/>
        </w:trPr>
        <w:tc>
          <w:tcPr>
            <w:tcW w:w="952" w:type="dxa"/>
            <w:vAlign w:val="center"/>
          </w:tcPr>
          <w:p w14:paraId="72B8FB04">
            <w:pPr>
              <w:spacing w:line="500" w:lineRule="exact"/>
              <w:jc w:val="center"/>
              <w:rPr>
                <w:rFonts w:hint="default" w:ascii="Times New Roman" w:hAnsi="Times New Roman" w:eastAsia="仿宋_GB2312" w:cs="Times New Roman"/>
                <w:color w:val="auto"/>
                <w:sz w:val="28"/>
                <w:szCs w:val="28"/>
                <w:lang w:val="en" w:eastAsia="zh-CN"/>
              </w:rPr>
            </w:pPr>
            <w:r>
              <w:rPr>
                <w:rFonts w:hint="default" w:ascii="Times New Roman" w:hAnsi="Times New Roman" w:eastAsia="仿宋_GB2312" w:cs="Times New Roman"/>
                <w:color w:val="auto"/>
                <w:sz w:val="28"/>
                <w:szCs w:val="28"/>
                <w:lang w:val="en-US" w:eastAsia="zh-CN"/>
              </w:rPr>
              <w:t>51</w:t>
            </w:r>
            <w:r>
              <w:rPr>
                <w:rFonts w:hint="default" w:ascii="Times New Roman" w:hAnsi="Times New Roman" w:eastAsia="仿宋_GB2312" w:cs="Times New Roman"/>
                <w:color w:val="auto"/>
                <w:sz w:val="28"/>
                <w:szCs w:val="28"/>
                <w:lang w:val="en" w:eastAsia="zh-CN"/>
              </w:rPr>
              <w:t>.2</w:t>
            </w:r>
          </w:p>
        </w:tc>
        <w:tc>
          <w:tcPr>
            <w:tcW w:w="7751" w:type="dxa"/>
            <w:vAlign w:val="center"/>
          </w:tcPr>
          <w:p w14:paraId="3D82CC07">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b/>
                <w:bCs/>
                <w:color w:val="auto"/>
                <w:sz w:val="28"/>
                <w:szCs w:val="28"/>
              </w:rPr>
              <w:fldChar w:fldCharType="begin"/>
            </w:r>
            <w:r>
              <w:rPr>
                <w:rFonts w:hint="default" w:ascii="Times New Roman" w:hAnsi="Times New Roman" w:eastAsia="仿宋_GB2312" w:cs="Times New Roman"/>
                <w:b/>
                <w:bCs/>
                <w:color w:val="auto"/>
                <w:sz w:val="28"/>
                <w:szCs w:val="28"/>
                <w:lang w:eastAsia="zh-CN"/>
              </w:rPr>
              <w:instrText xml:space="preserve"> eq \o\ac(</w:instrText>
            </w:r>
            <w:r>
              <w:rPr>
                <w:rFonts w:hint="default" w:ascii="Times New Roman" w:hAnsi="Times New Roman" w:eastAsia="仿宋_GB2312" w:cs="Times New Roman"/>
                <w:b/>
                <w:bCs/>
                <w:color w:val="auto"/>
                <w:position w:val="-5"/>
                <w:sz w:val="42"/>
                <w:szCs w:val="28"/>
                <w:lang w:eastAsia="zh-CN"/>
              </w:rPr>
              <w:instrText xml:space="preserve">□</w:instrText>
            </w:r>
            <w:r>
              <w:rPr>
                <w:rFonts w:hint="default" w:ascii="Times New Roman" w:hAnsi="Times New Roman" w:eastAsia="仿宋_GB2312" w:cs="Times New Roman"/>
                <w:b/>
                <w:bCs/>
                <w:color w:val="auto"/>
                <w:sz w:val="28"/>
                <w:szCs w:val="28"/>
                <w:lang w:eastAsia="zh-CN"/>
              </w:rPr>
              <w:instrText xml:space="preserve">)</w:instrText>
            </w:r>
            <w:r>
              <w:rPr>
                <w:rFonts w:hint="default" w:ascii="Times New Roman" w:hAnsi="Times New Roman" w:eastAsia="仿宋_GB2312" w:cs="Times New Roman"/>
                <w:b/>
                <w:bCs/>
                <w:color w:val="auto"/>
                <w:sz w:val="28"/>
                <w:szCs w:val="28"/>
              </w:rPr>
              <w:fldChar w:fldCharType="end"/>
            </w:r>
            <w:r>
              <w:rPr>
                <w:rFonts w:hint="default" w:ascii="Times New Roman" w:hAnsi="Times New Roman" w:eastAsia="仿宋_GB2312" w:cs="Times New Roman"/>
                <w:color w:val="auto"/>
                <w:sz w:val="28"/>
                <w:szCs w:val="28"/>
                <w:lang w:val="en-US" w:eastAsia="zh-CN"/>
              </w:rPr>
              <w:t>（1）如果为单一产品采购项目，提供相同品牌产品且通过初步审查的不同供应商参加同一合同项下磋商响应的，按一家供应商计算，评审后得分最高的同品牌供应商获得成交供应商推荐资格；评审得分相同的，报价得分最高的获得成交供应商推荐资格，其他同品牌供应商不作为成交候选供应商。</w:t>
            </w:r>
          </w:p>
          <w:p w14:paraId="5DDA00E2">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b/>
                <w:bCs/>
                <w:color w:val="auto"/>
                <w:sz w:val="28"/>
                <w:szCs w:val="28"/>
              </w:rPr>
              <w:fldChar w:fldCharType="begin"/>
            </w:r>
            <w:r>
              <w:rPr>
                <w:rFonts w:hint="default" w:ascii="Times New Roman" w:hAnsi="Times New Roman" w:eastAsia="仿宋_GB2312" w:cs="Times New Roman"/>
                <w:b/>
                <w:bCs/>
                <w:color w:val="auto"/>
                <w:sz w:val="28"/>
                <w:szCs w:val="28"/>
                <w:lang w:eastAsia="zh-CN"/>
              </w:rPr>
              <w:instrText xml:space="preserve"> eq \o\ac(</w:instrText>
            </w:r>
            <w:r>
              <w:rPr>
                <w:rFonts w:hint="default" w:ascii="Times New Roman" w:hAnsi="Times New Roman" w:eastAsia="仿宋_GB2312" w:cs="Times New Roman"/>
                <w:b/>
                <w:bCs/>
                <w:color w:val="auto"/>
                <w:position w:val="-5"/>
                <w:sz w:val="42"/>
                <w:szCs w:val="28"/>
                <w:lang w:eastAsia="zh-CN"/>
              </w:rPr>
              <w:instrText xml:space="preserve">□,</w:instrText>
            </w:r>
            <w:r>
              <w:rPr>
                <w:rFonts w:hint="default" w:ascii="Times New Roman" w:hAnsi="Times New Roman" w:eastAsia="仿宋_GB2312" w:cs="Times New Roman"/>
                <w:b/>
                <w:bCs/>
                <w:color w:val="auto"/>
                <w:sz w:val="29"/>
                <w:szCs w:val="28"/>
                <w:lang w:eastAsia="zh-CN"/>
              </w:rPr>
              <w:instrText xml:space="preserve">√</w:instrText>
            </w:r>
            <w:r>
              <w:rPr>
                <w:rFonts w:hint="default" w:ascii="Times New Roman" w:hAnsi="Times New Roman" w:eastAsia="仿宋_GB2312" w:cs="Times New Roman"/>
                <w:b/>
                <w:bCs/>
                <w:color w:val="auto"/>
                <w:sz w:val="28"/>
                <w:szCs w:val="28"/>
                <w:lang w:eastAsia="zh-CN"/>
              </w:rPr>
              <w:instrText xml:space="preserve">)</w:instrText>
            </w:r>
            <w:r>
              <w:rPr>
                <w:rFonts w:hint="default" w:ascii="Times New Roman" w:hAnsi="Times New Roman" w:eastAsia="仿宋_GB2312" w:cs="Times New Roman"/>
                <w:b/>
                <w:bCs/>
                <w:color w:val="auto"/>
                <w:sz w:val="28"/>
                <w:szCs w:val="28"/>
              </w:rPr>
              <w:fldChar w:fldCharType="end"/>
            </w:r>
            <w:r>
              <w:rPr>
                <w:rFonts w:hint="default" w:ascii="Times New Roman" w:hAnsi="Times New Roman" w:eastAsia="仿宋_GB2312" w:cs="Times New Roman"/>
                <w:color w:val="auto"/>
                <w:sz w:val="28"/>
                <w:szCs w:val="28"/>
                <w:lang w:val="en-US" w:eastAsia="zh-CN"/>
              </w:rPr>
              <w:t>（2）非单一产品采购项目，将在</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val="en-US" w:eastAsia="zh-CN"/>
              </w:rPr>
              <w:t>中载明核心产品。多家供应商提供的核心产品品牌相同的，按（1）“单一产品采购项目”规定处理。</w:t>
            </w:r>
          </w:p>
          <w:p w14:paraId="0F60BDDD">
            <w:pPr>
              <w:spacing w:line="500" w:lineRule="exact"/>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b/>
                <w:bCs/>
                <w:color w:val="auto"/>
                <w:sz w:val="28"/>
                <w:szCs w:val="28"/>
                <w:lang w:val="en-US" w:eastAsia="zh-CN"/>
              </w:rPr>
              <w:t>核心产品：</w:t>
            </w:r>
            <w:r>
              <w:rPr>
                <w:rFonts w:hint="default" w:ascii="Times New Roman" w:hAnsi="Times New Roman" w:eastAsia="仿宋_GB2312" w:cs="Times New Roman"/>
                <w:b/>
                <w:bCs/>
                <w:color w:val="auto"/>
                <w:sz w:val="28"/>
                <w:szCs w:val="28"/>
                <w:u w:val="single"/>
                <w:lang w:val="en-US" w:eastAsia="zh-CN"/>
              </w:rPr>
              <w:t>台式计算机</w:t>
            </w:r>
          </w:p>
        </w:tc>
      </w:tr>
      <w:tr w14:paraId="328EE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46" w:hRule="atLeast"/>
        </w:trPr>
        <w:tc>
          <w:tcPr>
            <w:tcW w:w="952" w:type="dxa"/>
            <w:vAlign w:val="center"/>
          </w:tcPr>
          <w:p w14:paraId="4A1B9375">
            <w:pPr>
              <w:spacing w:line="500" w:lineRule="exact"/>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51.3</w:t>
            </w:r>
          </w:p>
        </w:tc>
        <w:tc>
          <w:tcPr>
            <w:tcW w:w="7751" w:type="dxa"/>
            <w:vAlign w:val="center"/>
          </w:tcPr>
          <w:p w14:paraId="1EF4DB54">
            <w:pPr>
              <w:spacing w:line="500" w:lineRule="exact"/>
              <w:jc w:val="left"/>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kern w:val="0"/>
                <w:sz w:val="28"/>
                <w:szCs w:val="28"/>
                <w:lang w:val="en-US" w:eastAsia="zh-CN" w:bidi="ar"/>
              </w:rPr>
              <w:t>“</w:t>
            </w:r>
            <w:r>
              <w:rPr>
                <w:rFonts w:hint="default" w:ascii="Times New Roman" w:hAnsi="Times New Roman" w:eastAsia="仿宋_GB2312" w:cs="Times New Roman"/>
                <w:b/>
                <w:bCs/>
                <w:color w:val="auto"/>
                <w:sz w:val="28"/>
                <w:szCs w:val="28"/>
                <w:lang w:val="en-US" w:eastAsia="zh-CN"/>
              </w:rPr>
              <w:t>一号咨询”服务：</w:t>
            </w:r>
            <w:r>
              <w:rPr>
                <w:rFonts w:hint="default" w:ascii="Times New Roman" w:hAnsi="Times New Roman" w:eastAsia="仿宋_GB2312" w:cs="Times New Roman"/>
                <w:color w:val="auto"/>
                <w:kern w:val="0"/>
                <w:sz w:val="28"/>
                <w:szCs w:val="28"/>
                <w:lang w:val="en-US" w:eastAsia="zh-CN" w:bidi="ar"/>
              </w:rPr>
              <w:t>市场主体拨打0371-61335566即可咨询河南省公共资源交易中心业务的相关问题。</w:t>
            </w:r>
          </w:p>
        </w:tc>
      </w:tr>
    </w:tbl>
    <w:p w14:paraId="2F57E0BA">
      <w:pPr>
        <w:spacing w:line="500" w:lineRule="exact"/>
        <w:jc w:val="left"/>
        <w:rPr>
          <w:rFonts w:ascii="宋体" w:hAnsi="宋体" w:eastAsia="宋体" w:cs="宋体"/>
          <w:color w:val="auto"/>
          <w:sz w:val="24"/>
          <w:szCs w:val="24"/>
          <w:lang w:eastAsia="zh-CN"/>
        </w:rPr>
      </w:pPr>
    </w:p>
    <w:p w14:paraId="59551AFB">
      <w:pPr>
        <w:spacing w:line="520" w:lineRule="exact"/>
        <w:ind w:left="1077" w:hanging="539"/>
        <w:rPr>
          <w:rFonts w:ascii="宋体" w:hAnsi="宋体" w:eastAsia="宋体"/>
          <w:color w:val="auto"/>
          <w:lang w:eastAsia="zh-CN"/>
        </w:rPr>
        <w:sectPr>
          <w:pgSz w:w="11900" w:h="16840"/>
          <w:pgMar w:top="1440" w:right="1797" w:bottom="1440" w:left="1797" w:header="851" w:footer="992" w:gutter="0"/>
          <w:cols w:space="720" w:num="1"/>
        </w:sectPr>
      </w:pPr>
    </w:p>
    <w:p w14:paraId="30F9001A">
      <w:pPr>
        <w:pStyle w:val="2"/>
        <w:spacing w:before="0" w:after="0" w:line="360" w:lineRule="auto"/>
        <w:jc w:val="center"/>
        <w:rPr>
          <w:rFonts w:ascii="宋体" w:hAnsi="宋体" w:eastAsia="宋体"/>
          <w:color w:val="auto"/>
          <w:sz w:val="36"/>
          <w:szCs w:val="36"/>
          <w:lang w:val="en-US" w:eastAsia="zh-CN"/>
        </w:rPr>
      </w:pPr>
      <w:bookmarkStart w:id="31" w:name="_Toc766970566"/>
      <w:bookmarkStart w:id="32" w:name="_Toc4600"/>
      <w:bookmarkStart w:id="33" w:name="_Toc1667831845"/>
      <w:r>
        <w:rPr>
          <w:rFonts w:ascii="宋体" w:hAnsi="宋体" w:eastAsia="宋体"/>
          <w:color w:val="auto"/>
          <w:sz w:val="36"/>
          <w:szCs w:val="36"/>
          <w:lang w:val="en-US" w:eastAsia="zh-CN"/>
        </w:rPr>
        <w:t xml:space="preserve">第三章 </w:t>
      </w:r>
      <w:r>
        <w:rPr>
          <w:rFonts w:ascii="宋体" w:hAnsi="宋体" w:eastAsia="宋体"/>
          <w:color w:val="auto"/>
          <w:sz w:val="36"/>
          <w:szCs w:val="36"/>
          <w:lang w:eastAsia="zh-CN"/>
        </w:rPr>
        <w:t>供应商须知</w:t>
      </w:r>
      <w:bookmarkEnd w:id="31"/>
      <w:bookmarkEnd w:id="32"/>
      <w:bookmarkEnd w:id="33"/>
    </w:p>
    <w:p w14:paraId="5B85B505">
      <w:pPr>
        <w:keepNext/>
        <w:keepLines/>
        <w:widowControl w:val="0"/>
        <w:autoSpaceDE w:val="0"/>
        <w:autoSpaceDN w:val="0"/>
        <w:adjustRightInd w:val="0"/>
        <w:spacing w:line="560" w:lineRule="exact"/>
        <w:jc w:val="center"/>
        <w:outlineLvl w:val="1"/>
        <w:rPr>
          <w:rFonts w:ascii="方正小标宋_GBK" w:hAnsi="方正小标宋_GBK" w:eastAsia="方正小标宋_GBK" w:cs="方正小标宋_GBK"/>
          <w:bCs/>
          <w:color w:val="auto"/>
          <w:kern w:val="0"/>
          <w:sz w:val="30"/>
          <w:szCs w:val="30"/>
          <w:lang w:val="en-US" w:eastAsia="zh-CN"/>
        </w:rPr>
      </w:pPr>
      <w:bookmarkStart w:id="34" w:name="_Toc1609149915"/>
      <w:bookmarkStart w:id="35" w:name="_Toc2082146484"/>
      <w:r>
        <w:rPr>
          <w:rFonts w:ascii="方正小标宋_GBK" w:hAnsi="方正小标宋_GBK" w:eastAsia="方正小标宋_GBK" w:cs="方正小标宋_GBK"/>
          <w:bCs/>
          <w:color w:val="auto"/>
          <w:kern w:val="0"/>
          <w:sz w:val="30"/>
          <w:szCs w:val="30"/>
          <w:lang w:val="en-US" w:eastAsia="zh-CN"/>
        </w:rPr>
        <w:t>一   说  明</w:t>
      </w:r>
      <w:bookmarkEnd w:id="34"/>
      <w:bookmarkEnd w:id="35"/>
    </w:p>
    <w:p w14:paraId="337E56E9">
      <w:pPr>
        <w:spacing w:line="560" w:lineRule="exact"/>
        <w:rPr>
          <w:rFonts w:ascii="仿宋_GB2312" w:hAnsi="仿宋_GB2312" w:eastAsia="仿宋_GB2312" w:cs="仿宋_GB2312"/>
          <w:b/>
          <w:bCs/>
          <w:color w:val="auto"/>
          <w:sz w:val="28"/>
          <w:szCs w:val="28"/>
          <w:lang w:eastAsia="zh-CN"/>
        </w:rPr>
      </w:pPr>
      <w:r>
        <w:rPr>
          <w:rFonts w:ascii="仿宋_GB2312" w:hAnsi="仿宋_GB2312" w:eastAsia="仿宋_GB2312" w:cs="仿宋_GB2312"/>
          <w:b/>
          <w:bCs/>
          <w:color w:val="auto"/>
          <w:sz w:val="28"/>
          <w:szCs w:val="28"/>
          <w:lang w:eastAsia="zh-CN"/>
        </w:rPr>
        <w:t>1</w:t>
      </w:r>
      <w:r>
        <w:rPr>
          <w:rFonts w:ascii="仿宋_GB2312" w:hAnsi="仿宋_GB2312" w:eastAsia="仿宋_GB2312" w:cs="仿宋_GB2312"/>
          <w:b/>
          <w:bCs/>
          <w:color w:val="auto"/>
          <w:sz w:val="28"/>
          <w:szCs w:val="28"/>
          <w:lang w:val="en-US" w:eastAsia="zh-CN"/>
        </w:rPr>
        <w:t xml:space="preserve">.  </w:t>
      </w:r>
      <w:r>
        <w:rPr>
          <w:rFonts w:ascii="仿宋_GB2312" w:hAnsi="仿宋_GB2312" w:eastAsia="仿宋_GB2312" w:cs="仿宋_GB2312"/>
          <w:b/>
          <w:bCs/>
          <w:color w:val="auto"/>
          <w:sz w:val="28"/>
          <w:szCs w:val="28"/>
          <w:lang w:eastAsia="zh-CN"/>
        </w:rPr>
        <w:t>适用范围</w:t>
      </w:r>
    </w:p>
    <w:p w14:paraId="10D8F72C">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1.1本</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eastAsia="zh-CN"/>
        </w:rPr>
        <w:t>仅适用于本次</w:t>
      </w:r>
      <w:r>
        <w:rPr>
          <w:rFonts w:hint="default" w:ascii="仿宋_GB2312" w:hAnsi="仿宋_GB2312" w:eastAsia="仿宋_GB2312" w:cs="仿宋_GB2312"/>
          <w:color w:val="auto"/>
          <w:sz w:val="28"/>
          <w:szCs w:val="28"/>
          <w:lang w:val="en" w:eastAsia="zh-CN"/>
        </w:rPr>
        <w:t>竞争性磋商</w:t>
      </w:r>
      <w:r>
        <w:rPr>
          <w:rFonts w:ascii="仿宋_GB2312" w:hAnsi="仿宋_GB2312" w:eastAsia="仿宋_GB2312" w:cs="仿宋_GB2312"/>
          <w:color w:val="auto"/>
          <w:sz w:val="28"/>
          <w:szCs w:val="28"/>
          <w:lang w:eastAsia="zh-CN"/>
        </w:rPr>
        <w:t>所述的货物。</w:t>
      </w:r>
    </w:p>
    <w:p w14:paraId="6E8F143F">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1.2</w:t>
      </w:r>
      <w:r>
        <w:rPr>
          <w:rFonts w:hint="default" w:ascii="仿宋_GB2312" w:hAnsi="仿宋_GB2312" w:eastAsia="仿宋_GB2312" w:cs="仿宋_GB2312"/>
          <w:color w:val="auto"/>
          <w:sz w:val="28"/>
          <w:szCs w:val="28"/>
          <w:lang w:val="en" w:eastAsia="zh-CN"/>
        </w:rPr>
        <w:t>采购项目</w:t>
      </w:r>
      <w:r>
        <w:rPr>
          <w:rFonts w:ascii="仿宋_GB2312" w:hAnsi="仿宋_GB2312" w:eastAsia="仿宋_GB2312" w:cs="仿宋_GB2312"/>
          <w:color w:val="auto"/>
          <w:sz w:val="28"/>
          <w:szCs w:val="28"/>
          <w:lang w:eastAsia="zh-CN"/>
        </w:rPr>
        <w:t>：见“供应商须知前附表”。</w:t>
      </w:r>
    </w:p>
    <w:p w14:paraId="020896BF">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1.3项目编号：见“供应商须知前附表”。</w:t>
      </w:r>
    </w:p>
    <w:p w14:paraId="1E8BD98E">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1.4采购项目简要说明：见“供应商须知前附表”。</w:t>
      </w:r>
    </w:p>
    <w:p w14:paraId="7625F0F4">
      <w:pPr>
        <w:spacing w:line="560" w:lineRule="exact"/>
        <w:rPr>
          <w:rFonts w:ascii="仿宋_GB2312" w:hAnsi="仿宋_GB2312" w:eastAsia="仿宋_GB2312" w:cs="仿宋_GB2312"/>
          <w:b/>
          <w:bCs/>
          <w:color w:val="auto"/>
          <w:sz w:val="28"/>
          <w:szCs w:val="28"/>
          <w:lang w:eastAsia="zh-CN"/>
        </w:rPr>
      </w:pPr>
      <w:r>
        <w:rPr>
          <w:rFonts w:ascii="仿宋_GB2312" w:hAnsi="仿宋_GB2312" w:eastAsia="仿宋_GB2312" w:cs="仿宋_GB2312"/>
          <w:b/>
          <w:bCs/>
          <w:color w:val="auto"/>
          <w:sz w:val="28"/>
          <w:szCs w:val="28"/>
          <w:lang w:eastAsia="zh-CN"/>
        </w:rPr>
        <w:t>2</w:t>
      </w:r>
      <w:r>
        <w:rPr>
          <w:rFonts w:ascii="仿宋_GB2312" w:hAnsi="仿宋_GB2312" w:eastAsia="仿宋_GB2312" w:cs="仿宋_GB2312"/>
          <w:b/>
          <w:bCs/>
          <w:color w:val="auto"/>
          <w:sz w:val="28"/>
          <w:szCs w:val="28"/>
          <w:lang w:val="en-US" w:eastAsia="zh-CN"/>
        </w:rPr>
        <w:t xml:space="preserve">.  </w:t>
      </w:r>
      <w:r>
        <w:rPr>
          <w:rFonts w:ascii="仿宋_GB2312" w:hAnsi="仿宋_GB2312" w:eastAsia="仿宋_GB2312" w:cs="仿宋_GB2312"/>
          <w:b/>
          <w:bCs/>
          <w:color w:val="auto"/>
          <w:sz w:val="28"/>
          <w:szCs w:val="28"/>
          <w:lang w:eastAsia="zh-CN"/>
        </w:rPr>
        <w:t>定义</w:t>
      </w:r>
    </w:p>
    <w:p w14:paraId="2899C5B7">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2.1政府采购监督管理部门：河南省财政厅。</w:t>
      </w:r>
    </w:p>
    <w:p w14:paraId="2E42C7BC">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2.2采购人：</w:t>
      </w:r>
      <w:r>
        <w:rPr>
          <w:rFonts w:ascii="仿宋_GB2312" w:hAnsi="仿宋_GB2312" w:eastAsia="仿宋_GB2312" w:cs="仿宋_GB2312"/>
          <w:color w:val="auto"/>
          <w:sz w:val="28"/>
          <w:szCs w:val="28"/>
          <w:lang w:val="en-US" w:eastAsia="zh-CN"/>
        </w:rPr>
        <w:t>是指依法进行政府采购的国家机关、事业单位、团体组织。本项目的采购人见供应商须知前附表。</w:t>
      </w:r>
    </w:p>
    <w:p w14:paraId="52F5515C">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2.3集中采购机构：“供应商须知前附表”中所述的受采购人委托组织集中采购的代理机构。</w:t>
      </w:r>
    </w:p>
    <w:p w14:paraId="283F1D00">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2.4集中采购：是指政府集中采购目录及限额标准规定的集中采购项目的采购活动。</w:t>
      </w:r>
    </w:p>
    <w:p w14:paraId="18485607">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2.5供应商：是指参加政府采购活动，向采购人提供货物、工程或者服务的法人、其他组织或者自然人。</w:t>
      </w:r>
    </w:p>
    <w:p w14:paraId="2A1919E5">
      <w:pPr>
        <w:spacing w:line="56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2.5.1若供应商须知前附表中写明专门面向中小企业采购的，如供应商为非中小企业，其磋商响应无效。</w:t>
      </w:r>
    </w:p>
    <w:p w14:paraId="20032762">
      <w:pPr>
        <w:spacing w:line="560" w:lineRule="exact"/>
        <w:rPr>
          <w:color w:val="auto"/>
          <w:lang w:val="en-US" w:eastAsia="zh-CN"/>
        </w:rPr>
      </w:pPr>
      <w:r>
        <w:rPr>
          <w:rFonts w:ascii="仿宋_GB2312" w:hAnsi="仿宋_GB2312" w:eastAsia="仿宋_GB2312" w:cs="仿宋_GB2312"/>
          <w:color w:val="auto"/>
          <w:sz w:val="28"/>
          <w:szCs w:val="28"/>
          <w:lang w:val="en-US" w:eastAsia="zh-CN"/>
        </w:rPr>
        <w:t>2.5.2</w:t>
      </w:r>
      <w:r>
        <w:rPr>
          <w:rFonts w:ascii="仿宋_GB2312" w:hAnsi="仿宋_GB2312" w:eastAsia="仿宋_GB2312" w:cs="仿宋_GB2312"/>
          <w:color w:val="auto"/>
          <w:sz w:val="28"/>
          <w:szCs w:val="28"/>
          <w:lang w:eastAsia="zh-CN"/>
        </w:rPr>
        <w:t>若供应商须知前附表中写明允许采购进口产品，但不限制满足</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eastAsia="zh-CN"/>
        </w:rPr>
        <w:t>要求的国内产品参与采购活动，供应商应保证所投产品可履行合法报通关手续进入中国关境内。若供应商须知前附表中未写明允许采购进口产品，如供应商提供产品为进口产品，其</w:t>
      </w:r>
      <w:r>
        <w:rPr>
          <w:rFonts w:hint="default" w:ascii="仿宋_GB2312" w:hAnsi="仿宋_GB2312" w:eastAsia="仿宋_GB2312" w:cs="仿宋_GB2312"/>
          <w:color w:val="auto"/>
          <w:sz w:val="28"/>
          <w:szCs w:val="28"/>
          <w:lang w:val="en" w:eastAsia="zh-CN"/>
        </w:rPr>
        <w:t>磋商响应</w:t>
      </w:r>
      <w:r>
        <w:rPr>
          <w:rFonts w:ascii="仿宋_GB2312" w:hAnsi="仿宋_GB2312" w:eastAsia="仿宋_GB2312" w:cs="仿宋_GB2312"/>
          <w:color w:val="auto"/>
          <w:sz w:val="28"/>
          <w:szCs w:val="28"/>
          <w:lang w:eastAsia="zh-CN"/>
        </w:rPr>
        <w:t>无效。</w:t>
      </w:r>
    </w:p>
    <w:p w14:paraId="340A8F21">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2.6</w:t>
      </w:r>
      <w:r>
        <w:rPr>
          <w:rFonts w:hint="default" w:ascii="仿宋_GB2312" w:hAnsi="仿宋_GB2312" w:eastAsia="仿宋_GB2312" w:cs="仿宋_GB2312"/>
          <w:color w:val="auto"/>
          <w:sz w:val="28"/>
          <w:szCs w:val="28"/>
          <w:lang w:val="en" w:eastAsia="zh-CN"/>
        </w:rPr>
        <w:t>竞争性磋商响应文件</w:t>
      </w:r>
      <w:r>
        <w:rPr>
          <w:rFonts w:ascii="仿宋_GB2312" w:hAnsi="仿宋_GB2312" w:eastAsia="仿宋_GB2312" w:cs="仿宋_GB2312"/>
          <w:color w:val="auto"/>
          <w:sz w:val="28"/>
          <w:szCs w:val="28"/>
          <w:lang w:eastAsia="zh-CN"/>
        </w:rPr>
        <w:t>：指供应商根据</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eastAsia="zh-CN"/>
        </w:rPr>
        <w:t>提交的所有文件。</w:t>
      </w:r>
    </w:p>
    <w:p w14:paraId="1421A521">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2.7货物及相关服务：按项目需求及有关要求提供的全部货物及相关服务。</w:t>
      </w:r>
    </w:p>
    <w:p w14:paraId="69C8A90B">
      <w:pPr>
        <w:spacing w:line="560" w:lineRule="exact"/>
        <w:rPr>
          <w:rFonts w:ascii="仿宋_GB2312" w:hAnsi="仿宋_GB2312" w:eastAsia="仿宋_GB2312" w:cs="仿宋_GB2312"/>
          <w:b/>
          <w:bCs/>
          <w:color w:val="auto"/>
          <w:sz w:val="28"/>
          <w:szCs w:val="28"/>
          <w:lang w:eastAsia="zh-CN"/>
        </w:rPr>
      </w:pPr>
      <w:r>
        <w:rPr>
          <w:rFonts w:ascii="仿宋_GB2312" w:hAnsi="仿宋_GB2312" w:eastAsia="仿宋_GB2312" w:cs="仿宋_GB2312"/>
          <w:b/>
          <w:bCs/>
          <w:color w:val="auto"/>
          <w:sz w:val="28"/>
          <w:szCs w:val="28"/>
          <w:lang w:eastAsia="zh-CN"/>
        </w:rPr>
        <w:t>3</w:t>
      </w:r>
      <w:r>
        <w:rPr>
          <w:rFonts w:ascii="仿宋_GB2312" w:hAnsi="仿宋_GB2312" w:eastAsia="仿宋_GB2312" w:cs="仿宋_GB2312"/>
          <w:b/>
          <w:bCs/>
          <w:color w:val="auto"/>
          <w:sz w:val="28"/>
          <w:szCs w:val="28"/>
          <w:lang w:val="en-US" w:eastAsia="zh-CN"/>
        </w:rPr>
        <w:t xml:space="preserve">. </w:t>
      </w:r>
      <w:r>
        <w:rPr>
          <w:rFonts w:ascii="仿宋_GB2312" w:hAnsi="仿宋_GB2312" w:eastAsia="仿宋_GB2312" w:cs="仿宋_GB2312"/>
          <w:b/>
          <w:bCs/>
          <w:color w:val="auto"/>
          <w:sz w:val="28"/>
          <w:szCs w:val="28"/>
          <w:lang w:eastAsia="zh-CN"/>
        </w:rPr>
        <w:t>磋商响应费用</w:t>
      </w:r>
    </w:p>
    <w:p w14:paraId="520A04D4">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供应商须自行承担所有与参加磋商响应有关的费用，无论磋商响应的结果如何，采购人和集中采购机构在任何情况下均无义务和责任承担这些费用。</w:t>
      </w:r>
    </w:p>
    <w:p w14:paraId="65682031">
      <w:pPr>
        <w:spacing w:line="560" w:lineRule="exact"/>
        <w:rPr>
          <w:rFonts w:ascii="仿宋_GB2312" w:hAnsi="仿宋_GB2312" w:eastAsia="仿宋_GB2312" w:cs="仿宋_GB2312"/>
          <w:b/>
          <w:bCs/>
          <w:color w:val="auto"/>
          <w:sz w:val="28"/>
          <w:szCs w:val="28"/>
          <w:lang w:eastAsia="zh-CN"/>
        </w:rPr>
      </w:pPr>
      <w:r>
        <w:rPr>
          <w:rFonts w:ascii="仿宋_GB2312" w:hAnsi="仿宋_GB2312" w:eastAsia="仿宋_GB2312" w:cs="仿宋_GB2312"/>
          <w:b/>
          <w:bCs/>
          <w:color w:val="auto"/>
          <w:sz w:val="28"/>
          <w:szCs w:val="28"/>
          <w:lang w:eastAsia="zh-CN"/>
        </w:rPr>
        <w:t>4</w:t>
      </w:r>
      <w:r>
        <w:rPr>
          <w:rFonts w:ascii="仿宋_GB2312" w:hAnsi="仿宋_GB2312" w:eastAsia="仿宋_GB2312" w:cs="仿宋_GB2312"/>
          <w:b/>
          <w:bCs/>
          <w:color w:val="auto"/>
          <w:sz w:val="28"/>
          <w:szCs w:val="28"/>
          <w:lang w:val="en-US" w:eastAsia="zh-CN"/>
        </w:rPr>
        <w:t xml:space="preserve">. </w:t>
      </w:r>
      <w:r>
        <w:rPr>
          <w:rFonts w:ascii="仿宋_GB2312" w:hAnsi="仿宋_GB2312" w:eastAsia="仿宋_GB2312" w:cs="仿宋_GB2312"/>
          <w:b/>
          <w:bCs/>
          <w:color w:val="auto"/>
          <w:sz w:val="28"/>
          <w:szCs w:val="28"/>
          <w:lang w:eastAsia="zh-CN"/>
        </w:rPr>
        <w:t>踏勘现场</w:t>
      </w:r>
    </w:p>
    <w:p w14:paraId="66A7D635">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4.1 “供应商须知前附表”规定组织踏勘现场的，采购人按“供应商须知前附表”规定的时间、地点组织供应商踏勘项目现场。</w:t>
      </w:r>
    </w:p>
    <w:p w14:paraId="4FD1AA5C">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4.2 供应商踏勘现场发生的费用自理。</w:t>
      </w:r>
    </w:p>
    <w:p w14:paraId="398175F8">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4.3 除采购人的原因外，供应商自行负责在踏勘现场中所发生的人员伤亡和财产损失。</w:t>
      </w:r>
    </w:p>
    <w:p w14:paraId="3697902C">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4.4 采购人在踏勘现场中介绍的项目现场和相关的周边环境情况，供供应商在编制</w:t>
      </w:r>
      <w:r>
        <w:rPr>
          <w:rFonts w:hint="default" w:ascii="仿宋_GB2312" w:hAnsi="仿宋_GB2312" w:eastAsia="仿宋_GB2312" w:cs="仿宋_GB2312"/>
          <w:color w:val="auto"/>
          <w:sz w:val="28"/>
          <w:szCs w:val="28"/>
          <w:lang w:val="en" w:eastAsia="zh-CN"/>
        </w:rPr>
        <w:t>竞争性磋商响应文件</w:t>
      </w:r>
      <w:r>
        <w:rPr>
          <w:rFonts w:ascii="仿宋_GB2312" w:hAnsi="仿宋_GB2312" w:eastAsia="仿宋_GB2312" w:cs="仿宋_GB2312"/>
          <w:color w:val="auto"/>
          <w:sz w:val="28"/>
          <w:szCs w:val="28"/>
          <w:lang w:eastAsia="zh-CN"/>
        </w:rPr>
        <w:t>时参考，采购人不对供应商据此作出的判断和决策负责。</w:t>
      </w:r>
    </w:p>
    <w:p w14:paraId="6F82C318">
      <w:pPr>
        <w:spacing w:line="560" w:lineRule="exact"/>
        <w:rPr>
          <w:rFonts w:ascii="仿宋_GB2312" w:hAnsi="仿宋_GB2312" w:eastAsia="仿宋_GB2312" w:cs="仿宋_GB2312"/>
          <w:b/>
          <w:bCs/>
          <w:color w:val="auto"/>
          <w:sz w:val="28"/>
          <w:szCs w:val="28"/>
          <w:lang w:eastAsia="zh-CN"/>
        </w:rPr>
      </w:pPr>
      <w:r>
        <w:rPr>
          <w:rFonts w:ascii="仿宋_GB2312" w:hAnsi="仿宋_GB2312" w:eastAsia="仿宋_GB2312" w:cs="仿宋_GB2312"/>
          <w:b/>
          <w:bCs/>
          <w:color w:val="auto"/>
          <w:sz w:val="28"/>
          <w:szCs w:val="28"/>
          <w:lang w:eastAsia="zh-CN"/>
        </w:rPr>
        <w:t>5.</w:t>
      </w:r>
      <w:r>
        <w:rPr>
          <w:rFonts w:ascii="仿宋_GB2312" w:hAnsi="仿宋_GB2312" w:eastAsia="仿宋_GB2312" w:cs="仿宋_GB2312"/>
          <w:b/>
          <w:bCs/>
          <w:color w:val="auto"/>
          <w:sz w:val="28"/>
          <w:szCs w:val="28"/>
          <w:lang w:val="en-US" w:eastAsia="zh-CN"/>
        </w:rPr>
        <w:t xml:space="preserve"> </w:t>
      </w:r>
      <w:r>
        <w:rPr>
          <w:rFonts w:ascii="仿宋_GB2312" w:hAnsi="仿宋_GB2312" w:eastAsia="仿宋_GB2312" w:cs="仿宋_GB2312"/>
          <w:b/>
          <w:bCs/>
          <w:color w:val="auto"/>
          <w:sz w:val="28"/>
          <w:szCs w:val="28"/>
          <w:lang w:eastAsia="zh-CN"/>
        </w:rPr>
        <w:t>知识产权</w:t>
      </w:r>
    </w:p>
    <w:p w14:paraId="06836B21">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GB" w:eastAsia="zh-CN"/>
        </w:rPr>
        <w:t>所有涉及知识产权的成果，</w:t>
      </w:r>
      <w:r>
        <w:rPr>
          <w:rFonts w:ascii="仿宋_GB2312" w:hAnsi="仿宋_GB2312" w:eastAsia="仿宋_GB2312" w:cs="仿宋_GB2312"/>
          <w:color w:val="auto"/>
          <w:sz w:val="28"/>
          <w:szCs w:val="28"/>
          <w:lang w:eastAsia="zh-CN"/>
        </w:rPr>
        <w:t>供应商</w:t>
      </w:r>
      <w:r>
        <w:rPr>
          <w:rFonts w:ascii="仿宋_GB2312" w:hAnsi="仿宋_GB2312" w:eastAsia="仿宋_GB2312" w:cs="仿宋_GB2312"/>
          <w:color w:val="auto"/>
          <w:sz w:val="28"/>
          <w:szCs w:val="28"/>
          <w:lang w:val="en-GB" w:eastAsia="zh-CN"/>
        </w:rPr>
        <w:t>必须确保采购人拥有其合法的、不受限制的无偿使用权，并免受任何侵权诉讼或索偿，否则，由此产生的一切经济损失和法律责任由</w:t>
      </w:r>
      <w:r>
        <w:rPr>
          <w:rFonts w:ascii="仿宋_GB2312" w:hAnsi="仿宋_GB2312" w:eastAsia="仿宋_GB2312" w:cs="仿宋_GB2312"/>
          <w:color w:val="auto"/>
          <w:sz w:val="28"/>
          <w:szCs w:val="28"/>
          <w:lang w:eastAsia="zh-CN"/>
        </w:rPr>
        <w:t>供应商</w:t>
      </w:r>
      <w:r>
        <w:rPr>
          <w:rFonts w:ascii="仿宋_GB2312" w:hAnsi="仿宋_GB2312" w:eastAsia="仿宋_GB2312" w:cs="仿宋_GB2312"/>
          <w:color w:val="auto"/>
          <w:sz w:val="28"/>
          <w:szCs w:val="28"/>
          <w:lang w:val="en-GB" w:eastAsia="zh-CN"/>
        </w:rPr>
        <w:t>承担。</w:t>
      </w:r>
    </w:p>
    <w:p w14:paraId="7AB18AC1">
      <w:pPr>
        <w:numPr>
          <w:ilvl w:val="0"/>
          <w:numId w:val="2"/>
        </w:numPr>
        <w:spacing w:line="560" w:lineRule="exact"/>
        <w:rPr>
          <w:rFonts w:ascii="仿宋_GB2312" w:hAnsi="仿宋_GB2312" w:eastAsia="仿宋_GB2312" w:cs="仿宋_GB2312"/>
          <w:b/>
          <w:bCs/>
          <w:color w:val="auto"/>
          <w:sz w:val="28"/>
          <w:szCs w:val="28"/>
        </w:rPr>
      </w:pPr>
      <w:r>
        <w:rPr>
          <w:rFonts w:ascii="仿宋_GB2312" w:hAnsi="仿宋_GB2312" w:eastAsia="仿宋_GB2312" w:cs="仿宋_GB2312"/>
          <w:b/>
          <w:bCs/>
          <w:color w:val="auto"/>
          <w:sz w:val="28"/>
          <w:szCs w:val="28"/>
        </w:rPr>
        <w:t>联合体</w:t>
      </w:r>
      <w:r>
        <w:rPr>
          <w:rFonts w:ascii="仿宋_GB2312" w:hAnsi="仿宋_GB2312" w:eastAsia="仿宋_GB2312" w:cs="仿宋_GB2312"/>
          <w:b/>
          <w:bCs/>
          <w:color w:val="auto"/>
          <w:sz w:val="28"/>
          <w:szCs w:val="28"/>
          <w:lang w:eastAsia="zh-CN"/>
        </w:rPr>
        <w:t>磋商</w:t>
      </w:r>
    </w:p>
    <w:p w14:paraId="0825100B">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6.1除非本项目明确要求不接受联合体形式磋商外，两个或两个以上供应商可以组成一个联合体，以一个供应商的身份共同参加磋商。</w:t>
      </w:r>
    </w:p>
    <w:p w14:paraId="10E52847">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6.2以联合体形式参加磋商的，联合体各方均应当符合《政府采购法》第二十二条的规定的条件，并应当向采购人提交联合协议，载明联合体各方承担的工作和义务。</w:t>
      </w:r>
    </w:p>
    <w:p w14:paraId="4246DAB3">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6.3联合体中有同类资质的供应商按照联合体分工承担相同工作的，应当按照资质等级较低的供应商确定资质等级。联合体各方按照联合体协议分工承担不同工作的，应具备其所承担的工作相应资质（资格）条件。</w:t>
      </w:r>
    </w:p>
    <w:p w14:paraId="3340D3A1">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6.4联合体磋商响应的，可以由联合体中的牵头人或者共同提交承诺函，以牵头人名义提交承诺函的，对联合体各方均具有约束力。</w:t>
      </w:r>
    </w:p>
    <w:p w14:paraId="59038FB8">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6.5以联合体形式参加政府采购活动的，联合体各方不得再单独参加或者与其他供应商另外组成联合体参加同一合同项下的政府采购活动。</w:t>
      </w:r>
    </w:p>
    <w:p w14:paraId="78AD6393">
      <w:pPr>
        <w:pStyle w:val="16"/>
        <w:spacing w:line="560" w:lineRule="exact"/>
        <w:rPr>
          <w:rFonts w:hint="eastAsia"/>
          <w:lang w:val="en"/>
        </w:rPr>
      </w:pPr>
      <w:r>
        <w:rPr>
          <w:rFonts w:ascii="仿宋_GB2312" w:hAnsi="仿宋_GB2312" w:eastAsia="仿宋_GB2312" w:cs="仿宋_GB2312"/>
          <w:sz w:val="28"/>
          <w:szCs w:val="28"/>
          <w:lang w:val="en"/>
        </w:rPr>
        <w:t>6.6</w:t>
      </w:r>
      <w:r>
        <w:rPr>
          <w:rFonts w:hint="eastAsia" w:ascii="仿宋_GB2312" w:hAnsi="仿宋_GB2312" w:eastAsia="仿宋_GB2312" w:cs="仿宋_GB2312"/>
          <w:sz w:val="28"/>
          <w:szCs w:val="28"/>
        </w:rPr>
        <w:t>是否允许联合体磋商见供应商须知前附表。</w:t>
      </w:r>
    </w:p>
    <w:p w14:paraId="2ED20786">
      <w:pPr>
        <w:spacing w:line="560" w:lineRule="exact"/>
        <w:rPr>
          <w:rFonts w:ascii="仿宋_GB2312" w:hAnsi="仿宋_GB2312" w:eastAsia="仿宋_GB2312" w:cs="仿宋_GB2312"/>
          <w:b/>
          <w:bCs/>
          <w:color w:val="auto"/>
          <w:sz w:val="28"/>
          <w:szCs w:val="28"/>
          <w:lang w:eastAsia="zh-CN"/>
        </w:rPr>
      </w:pPr>
      <w:r>
        <w:rPr>
          <w:rFonts w:ascii="仿宋_GB2312" w:hAnsi="仿宋_GB2312" w:eastAsia="仿宋_GB2312" w:cs="仿宋_GB2312"/>
          <w:b/>
          <w:bCs/>
          <w:color w:val="auto"/>
          <w:sz w:val="28"/>
          <w:szCs w:val="28"/>
          <w:lang w:eastAsia="zh-CN"/>
        </w:rPr>
        <w:t>7. 保密</w:t>
      </w:r>
    </w:p>
    <w:p w14:paraId="4A7762BD">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参与</w:t>
      </w:r>
      <w:r>
        <w:rPr>
          <w:rFonts w:ascii="仿宋_GB2312" w:hAnsi="仿宋_GB2312" w:eastAsia="仿宋_GB2312" w:cs="仿宋_GB2312"/>
          <w:color w:val="auto"/>
          <w:sz w:val="28"/>
          <w:szCs w:val="28"/>
          <w:lang w:val="en-US" w:eastAsia="zh-CN"/>
        </w:rPr>
        <w:t>竞争性磋商</w:t>
      </w:r>
      <w:r>
        <w:rPr>
          <w:rFonts w:ascii="仿宋_GB2312" w:hAnsi="仿宋_GB2312" w:eastAsia="仿宋_GB2312" w:cs="仿宋_GB2312"/>
          <w:color w:val="auto"/>
          <w:sz w:val="28"/>
          <w:szCs w:val="28"/>
          <w:lang w:eastAsia="zh-CN"/>
        </w:rPr>
        <w:t>活动的各方应对</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eastAsia="zh-CN"/>
        </w:rPr>
        <w:t>和</w:t>
      </w:r>
      <w:r>
        <w:rPr>
          <w:rFonts w:hint="default" w:ascii="仿宋_GB2312" w:hAnsi="仿宋_GB2312" w:eastAsia="仿宋_GB2312" w:cs="仿宋_GB2312"/>
          <w:color w:val="auto"/>
          <w:sz w:val="28"/>
          <w:szCs w:val="28"/>
          <w:lang w:val="en" w:eastAsia="zh-CN"/>
        </w:rPr>
        <w:t>竞争性磋商响应文件</w:t>
      </w:r>
      <w:r>
        <w:rPr>
          <w:rFonts w:ascii="仿宋_GB2312" w:hAnsi="仿宋_GB2312" w:eastAsia="仿宋_GB2312" w:cs="仿宋_GB2312"/>
          <w:color w:val="auto"/>
          <w:sz w:val="28"/>
          <w:szCs w:val="28"/>
          <w:lang w:eastAsia="zh-CN"/>
        </w:rPr>
        <w:t>中的商业和技术等秘密保密，违者应对由此造成的后果承担法律责任。</w:t>
      </w:r>
    </w:p>
    <w:p w14:paraId="6113DC4D">
      <w:pPr>
        <w:spacing w:line="560" w:lineRule="exact"/>
        <w:rPr>
          <w:rFonts w:ascii="仿宋_GB2312" w:hAnsi="仿宋_GB2312" w:eastAsia="仿宋_GB2312" w:cs="仿宋_GB2312"/>
          <w:b/>
          <w:bCs/>
          <w:color w:val="auto"/>
          <w:sz w:val="28"/>
          <w:szCs w:val="28"/>
          <w:lang w:eastAsia="zh-CN"/>
        </w:rPr>
      </w:pPr>
      <w:r>
        <w:rPr>
          <w:rFonts w:ascii="仿宋_GB2312" w:hAnsi="仿宋_GB2312" w:eastAsia="仿宋_GB2312" w:cs="仿宋_GB2312"/>
          <w:b/>
          <w:bCs/>
          <w:color w:val="auto"/>
          <w:sz w:val="28"/>
          <w:szCs w:val="28"/>
          <w:lang w:eastAsia="zh-CN"/>
        </w:rPr>
        <w:t>8. 市场主体信息库</w:t>
      </w:r>
    </w:p>
    <w:p w14:paraId="51F7688A">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（1）供应商应及时对入库信息进行补充、更新，若供应商提供虚假信息或未及时对入库信息进行补充、更新，由供应商承担全部责任。</w:t>
      </w:r>
    </w:p>
    <w:p w14:paraId="1B72458F">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（2）供应商可将本项目评审涉及到的资质、业绩、人员、获奖、证书、纳税、社保等信息补充到其市场主体信息库中。</w:t>
      </w:r>
    </w:p>
    <w:p w14:paraId="09E3471C">
      <w:pPr>
        <w:pStyle w:val="70"/>
        <w:spacing w:line="560" w:lineRule="exact"/>
        <w:rPr>
          <w:rFonts w:hint="eastAsia" w:ascii="仿宋_GB2312" w:hAnsi="仿宋_GB2312" w:eastAsia="仿宋_GB2312" w:cs="仿宋_GB2312"/>
          <w:color w:val="auto"/>
          <w:kern w:val="2"/>
          <w:sz w:val="28"/>
          <w:szCs w:val="28"/>
          <w:lang w:val="zh-TW"/>
        </w:rPr>
      </w:pPr>
      <w:r>
        <w:rPr>
          <w:rFonts w:hint="eastAsia" w:ascii="仿宋_GB2312" w:hAnsi="仿宋_GB2312" w:eastAsia="仿宋_GB2312" w:cs="仿宋_GB2312"/>
          <w:color w:val="auto"/>
          <w:kern w:val="2"/>
          <w:sz w:val="28"/>
          <w:szCs w:val="28"/>
          <w:lang w:val="zh-TW"/>
        </w:rPr>
        <w:t>（</w:t>
      </w:r>
      <w:r>
        <w:rPr>
          <w:rFonts w:hint="eastAsia" w:ascii="仿宋_GB2312" w:hAnsi="仿宋_GB2312" w:eastAsia="仿宋_GB2312" w:cs="仿宋_GB2312"/>
          <w:color w:val="auto"/>
          <w:kern w:val="2"/>
          <w:sz w:val="28"/>
          <w:szCs w:val="28"/>
        </w:rPr>
        <w:t>3</w:t>
      </w:r>
      <w:r>
        <w:rPr>
          <w:rFonts w:hint="eastAsia" w:ascii="仿宋_GB2312" w:hAnsi="仿宋_GB2312" w:eastAsia="仿宋_GB2312" w:cs="仿宋_GB2312"/>
          <w:color w:val="auto"/>
          <w:kern w:val="2"/>
          <w:sz w:val="28"/>
          <w:szCs w:val="28"/>
          <w:lang w:val="zh-TW"/>
        </w:rPr>
        <w:t>）供应商应当按照磋商文件的要求编制响应文件，并予以提交。供应商的入库信息不作为评审的依据。</w:t>
      </w:r>
    </w:p>
    <w:p w14:paraId="6F2BAD93">
      <w:pPr>
        <w:spacing w:line="560" w:lineRule="exact"/>
        <w:rPr>
          <w:rFonts w:ascii="仿宋_GB2312" w:hAnsi="仿宋_GB2312" w:eastAsia="仿宋_GB2312" w:cs="仿宋_GB2312"/>
          <w:b/>
          <w:bCs/>
          <w:color w:val="auto"/>
          <w:sz w:val="28"/>
          <w:szCs w:val="28"/>
          <w:lang w:eastAsia="zh-CN"/>
        </w:rPr>
      </w:pPr>
      <w:r>
        <w:rPr>
          <w:rFonts w:ascii="仿宋_GB2312" w:hAnsi="仿宋_GB2312" w:eastAsia="仿宋_GB2312" w:cs="仿宋_GB2312"/>
          <w:b/>
          <w:bCs/>
          <w:color w:val="auto"/>
          <w:sz w:val="28"/>
          <w:szCs w:val="28"/>
          <w:lang w:eastAsia="zh-CN"/>
        </w:rPr>
        <w:t>9.</w:t>
      </w:r>
      <w:r>
        <w:rPr>
          <w:rFonts w:ascii="仿宋_GB2312" w:hAnsi="仿宋_GB2312" w:eastAsia="仿宋_GB2312" w:cs="仿宋_GB2312"/>
          <w:b/>
          <w:bCs/>
          <w:color w:val="auto"/>
          <w:sz w:val="28"/>
          <w:szCs w:val="28"/>
          <w:lang w:val="en-US" w:eastAsia="zh-CN"/>
        </w:rPr>
        <w:t xml:space="preserve">  </w:t>
      </w:r>
      <w:r>
        <w:rPr>
          <w:rFonts w:ascii="仿宋_GB2312" w:hAnsi="仿宋_GB2312" w:eastAsia="仿宋_GB2312" w:cs="仿宋_GB2312"/>
          <w:b/>
          <w:bCs/>
          <w:color w:val="auto"/>
          <w:sz w:val="28"/>
          <w:szCs w:val="28"/>
          <w:lang w:eastAsia="zh-CN"/>
        </w:rPr>
        <w:t>采购信息的发布</w:t>
      </w:r>
    </w:p>
    <w:p w14:paraId="79AEC747">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与本次采购活动相关的信息，在《河南省政府采购网》《河南省公共资源交易中心网》上及时发布。</w:t>
      </w:r>
    </w:p>
    <w:p w14:paraId="411FD7C5">
      <w:pPr>
        <w:spacing w:line="560" w:lineRule="exact"/>
        <w:rPr>
          <w:rFonts w:ascii="仿宋_GB2312" w:hAnsi="仿宋_GB2312" w:eastAsia="仿宋_GB2312" w:cs="仿宋_GB2312"/>
          <w:color w:val="auto"/>
          <w:sz w:val="28"/>
          <w:szCs w:val="28"/>
          <w:lang w:eastAsia="zh-CN"/>
        </w:rPr>
      </w:pPr>
    </w:p>
    <w:p w14:paraId="7DA56679">
      <w:pPr>
        <w:keepNext/>
        <w:keepLines/>
        <w:widowControl w:val="0"/>
        <w:autoSpaceDE w:val="0"/>
        <w:autoSpaceDN w:val="0"/>
        <w:adjustRightInd w:val="0"/>
        <w:spacing w:line="560" w:lineRule="exact"/>
        <w:jc w:val="center"/>
        <w:outlineLvl w:val="1"/>
        <w:rPr>
          <w:rFonts w:ascii="方正小标宋_GBK" w:hAnsi="方正小标宋_GBK" w:eastAsia="方正小标宋_GBK" w:cs="方正小标宋_GBK"/>
          <w:bCs/>
          <w:color w:val="auto"/>
          <w:kern w:val="0"/>
          <w:sz w:val="30"/>
          <w:szCs w:val="30"/>
          <w:lang w:val="en" w:eastAsia="zh-CN"/>
        </w:rPr>
      </w:pPr>
      <w:bookmarkStart w:id="36" w:name="_Toc1427974302"/>
      <w:bookmarkStart w:id="37" w:name="_Toc881034186"/>
      <w:r>
        <w:rPr>
          <w:rFonts w:ascii="方正小标宋_GBK" w:hAnsi="方正小标宋_GBK" w:eastAsia="方正小标宋_GBK" w:cs="方正小标宋_GBK"/>
          <w:bCs/>
          <w:color w:val="auto"/>
          <w:kern w:val="0"/>
          <w:sz w:val="30"/>
          <w:szCs w:val="30"/>
          <w:lang w:val="en-US" w:eastAsia="zh-CN"/>
        </w:rPr>
        <w:t>二、</w:t>
      </w:r>
      <w:r>
        <w:rPr>
          <w:rFonts w:hint="default" w:ascii="方正小标宋_GBK" w:hAnsi="方正小标宋_GBK" w:eastAsia="方正小标宋_GBK" w:cs="方正小标宋_GBK"/>
          <w:bCs/>
          <w:color w:val="auto"/>
          <w:kern w:val="0"/>
          <w:sz w:val="30"/>
          <w:szCs w:val="30"/>
          <w:lang w:val="en" w:eastAsia="zh-CN"/>
        </w:rPr>
        <w:t>竞争性磋商文件</w:t>
      </w:r>
      <w:bookmarkEnd w:id="36"/>
      <w:bookmarkEnd w:id="37"/>
    </w:p>
    <w:p w14:paraId="4D591BDA">
      <w:pPr>
        <w:spacing w:line="560" w:lineRule="exact"/>
        <w:rPr>
          <w:rFonts w:ascii="仿宋_GB2312" w:hAnsi="仿宋_GB2312" w:eastAsia="仿宋_GB2312" w:cs="仿宋_GB2312"/>
          <w:b/>
          <w:bCs/>
          <w:color w:val="auto"/>
          <w:sz w:val="28"/>
          <w:szCs w:val="28"/>
          <w:lang w:eastAsia="zh-CN"/>
        </w:rPr>
      </w:pPr>
      <w:r>
        <w:rPr>
          <w:rFonts w:ascii="仿宋_GB2312" w:hAnsi="仿宋_GB2312" w:eastAsia="仿宋_GB2312" w:cs="仿宋_GB2312"/>
          <w:b/>
          <w:bCs/>
          <w:color w:val="auto"/>
          <w:sz w:val="28"/>
          <w:szCs w:val="28"/>
          <w:lang w:eastAsia="zh-CN"/>
        </w:rPr>
        <w:t xml:space="preserve">10. </w:t>
      </w:r>
      <w:r>
        <w:rPr>
          <w:rFonts w:hint="default" w:ascii="仿宋_GB2312" w:hAnsi="仿宋_GB2312" w:eastAsia="仿宋_GB2312" w:cs="仿宋_GB2312"/>
          <w:b/>
          <w:bCs/>
          <w:color w:val="auto"/>
          <w:sz w:val="28"/>
          <w:szCs w:val="28"/>
          <w:lang w:val="en" w:eastAsia="zh-CN"/>
        </w:rPr>
        <w:t>竞争性磋商文件</w:t>
      </w:r>
      <w:r>
        <w:rPr>
          <w:rFonts w:ascii="仿宋_GB2312" w:hAnsi="仿宋_GB2312" w:eastAsia="仿宋_GB2312" w:cs="仿宋_GB2312"/>
          <w:b/>
          <w:bCs/>
          <w:color w:val="auto"/>
          <w:sz w:val="28"/>
          <w:szCs w:val="28"/>
          <w:lang w:eastAsia="zh-CN"/>
        </w:rPr>
        <w:t>的组成</w:t>
      </w:r>
    </w:p>
    <w:p w14:paraId="6E8E699C">
      <w:pPr>
        <w:widowControl w:val="0"/>
        <w:spacing w:line="560" w:lineRule="exact"/>
        <w:ind w:left="1050" w:hanging="1050" w:hangingChars="375"/>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 xml:space="preserve">10.1   </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val="en-US" w:eastAsia="zh-CN"/>
        </w:rPr>
        <w:t>共</w:t>
      </w:r>
      <w:r>
        <w:rPr>
          <w:rFonts w:hint="default" w:ascii="仿宋_GB2312" w:hAnsi="仿宋_GB2312" w:eastAsia="仿宋_GB2312" w:cs="仿宋_GB2312"/>
          <w:color w:val="auto"/>
          <w:sz w:val="28"/>
          <w:szCs w:val="28"/>
          <w:lang w:val="en" w:eastAsia="zh-CN"/>
        </w:rPr>
        <w:t>七</w:t>
      </w:r>
      <w:r>
        <w:rPr>
          <w:rFonts w:ascii="仿宋_GB2312" w:hAnsi="仿宋_GB2312" w:eastAsia="仿宋_GB2312" w:cs="仿宋_GB2312"/>
          <w:color w:val="auto"/>
          <w:sz w:val="28"/>
          <w:szCs w:val="28"/>
          <w:lang w:val="en-US" w:eastAsia="zh-CN"/>
        </w:rPr>
        <w:t>章，构成如下：</w:t>
      </w:r>
    </w:p>
    <w:p w14:paraId="687689B2">
      <w:pPr>
        <w:widowControl w:val="0"/>
        <w:numPr>
          <w:ilvl w:val="0"/>
          <w:numId w:val="3"/>
        </w:numPr>
        <w:spacing w:line="560" w:lineRule="exact"/>
        <w:ind w:left="901" w:leftChars="429"/>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 xml:space="preserve"> 竞争性磋商邀请</w:t>
      </w:r>
    </w:p>
    <w:p w14:paraId="268D4D9A">
      <w:pPr>
        <w:widowControl w:val="0"/>
        <w:spacing w:line="560" w:lineRule="exact"/>
        <w:ind w:left="901" w:leftChars="429"/>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第二章  供应商须知前附表</w:t>
      </w:r>
    </w:p>
    <w:p w14:paraId="15E6E1EB">
      <w:pPr>
        <w:widowControl w:val="0"/>
        <w:spacing w:line="560" w:lineRule="exact"/>
        <w:ind w:left="901" w:leftChars="429"/>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第三章  供应商须知</w:t>
      </w:r>
    </w:p>
    <w:p w14:paraId="5575A719">
      <w:pPr>
        <w:widowControl w:val="0"/>
        <w:spacing w:line="560" w:lineRule="exact"/>
        <w:ind w:left="901" w:leftChars="429"/>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 xml:space="preserve">第四章  </w:t>
      </w:r>
      <w:r>
        <w:rPr>
          <w:rFonts w:hint="default" w:ascii="仿宋_GB2312" w:hAnsi="仿宋_GB2312" w:eastAsia="仿宋_GB2312" w:cs="仿宋_GB2312"/>
          <w:color w:val="auto"/>
          <w:sz w:val="28"/>
          <w:szCs w:val="28"/>
          <w:lang w:val="en" w:eastAsia="zh-CN"/>
        </w:rPr>
        <w:t>竞争性磋商响应文件</w:t>
      </w:r>
      <w:r>
        <w:rPr>
          <w:rFonts w:ascii="仿宋_GB2312" w:hAnsi="仿宋_GB2312" w:eastAsia="仿宋_GB2312" w:cs="仿宋_GB2312"/>
          <w:color w:val="auto"/>
          <w:sz w:val="28"/>
          <w:szCs w:val="28"/>
          <w:lang w:val="en-US" w:eastAsia="zh-CN"/>
        </w:rPr>
        <w:t>格式</w:t>
      </w:r>
    </w:p>
    <w:p w14:paraId="1D9842CD">
      <w:pPr>
        <w:widowControl w:val="0"/>
        <w:spacing w:line="560" w:lineRule="exact"/>
        <w:ind w:left="901" w:leftChars="429"/>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第</w:t>
      </w:r>
      <w:r>
        <w:rPr>
          <w:rFonts w:hint="default" w:ascii="仿宋_GB2312" w:hAnsi="仿宋_GB2312" w:eastAsia="仿宋_GB2312" w:cs="仿宋_GB2312"/>
          <w:color w:val="auto"/>
          <w:sz w:val="28"/>
          <w:szCs w:val="28"/>
          <w:lang w:val="en" w:eastAsia="zh-CN"/>
        </w:rPr>
        <w:t>五</w:t>
      </w:r>
      <w:r>
        <w:rPr>
          <w:rFonts w:ascii="仿宋_GB2312" w:hAnsi="仿宋_GB2312" w:eastAsia="仿宋_GB2312" w:cs="仿宋_GB2312"/>
          <w:color w:val="auto"/>
          <w:sz w:val="28"/>
          <w:szCs w:val="28"/>
          <w:lang w:val="en-US" w:eastAsia="zh-CN"/>
        </w:rPr>
        <w:t>章  项目需求及技术要求</w:t>
      </w:r>
    </w:p>
    <w:p w14:paraId="75476858">
      <w:pPr>
        <w:widowControl w:val="0"/>
        <w:spacing w:line="560" w:lineRule="exact"/>
        <w:ind w:left="901" w:leftChars="429"/>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第</w:t>
      </w:r>
      <w:r>
        <w:rPr>
          <w:rFonts w:hint="default" w:ascii="仿宋_GB2312" w:hAnsi="仿宋_GB2312" w:eastAsia="仿宋_GB2312" w:cs="仿宋_GB2312"/>
          <w:color w:val="auto"/>
          <w:sz w:val="28"/>
          <w:szCs w:val="28"/>
          <w:lang w:val="en" w:eastAsia="zh-CN"/>
        </w:rPr>
        <w:t>六</w:t>
      </w:r>
      <w:r>
        <w:rPr>
          <w:rFonts w:ascii="仿宋_GB2312" w:hAnsi="仿宋_GB2312" w:eastAsia="仿宋_GB2312" w:cs="仿宋_GB2312"/>
          <w:color w:val="auto"/>
          <w:sz w:val="28"/>
          <w:szCs w:val="28"/>
          <w:lang w:val="en-US" w:eastAsia="zh-CN"/>
        </w:rPr>
        <w:t>章  磋商方法和标准</w:t>
      </w:r>
    </w:p>
    <w:p w14:paraId="4F7AE8CF">
      <w:pPr>
        <w:widowControl w:val="0"/>
        <w:spacing w:line="560" w:lineRule="exact"/>
        <w:ind w:left="901" w:leftChars="429"/>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第</w:t>
      </w:r>
      <w:r>
        <w:rPr>
          <w:rFonts w:hint="default" w:ascii="仿宋_GB2312" w:hAnsi="仿宋_GB2312" w:eastAsia="仿宋_GB2312" w:cs="仿宋_GB2312"/>
          <w:color w:val="auto"/>
          <w:sz w:val="28"/>
          <w:szCs w:val="28"/>
          <w:lang w:val="en" w:eastAsia="zh-CN"/>
        </w:rPr>
        <w:t>七</w:t>
      </w:r>
      <w:r>
        <w:rPr>
          <w:rFonts w:ascii="仿宋_GB2312" w:hAnsi="仿宋_GB2312" w:eastAsia="仿宋_GB2312" w:cs="仿宋_GB2312"/>
          <w:color w:val="auto"/>
          <w:sz w:val="28"/>
          <w:szCs w:val="28"/>
          <w:lang w:val="en-US" w:eastAsia="zh-CN"/>
        </w:rPr>
        <w:t>章  政府采购合同</w:t>
      </w:r>
    </w:p>
    <w:p w14:paraId="39423C52">
      <w:pPr>
        <w:spacing w:line="56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eastAsia="zh-CN"/>
        </w:rPr>
        <w:t>10.2</w:t>
      </w:r>
      <w:r>
        <w:rPr>
          <w:rFonts w:ascii="仿宋_GB2312" w:hAnsi="仿宋_GB2312" w:eastAsia="仿宋_GB2312" w:cs="仿宋_GB2312"/>
          <w:color w:val="auto"/>
          <w:sz w:val="28"/>
          <w:szCs w:val="28"/>
          <w:lang w:val="en-US" w:eastAsia="zh-CN"/>
        </w:rPr>
        <w:t xml:space="preserve">  </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val="en-US" w:eastAsia="zh-CN"/>
        </w:rPr>
        <w:t>中有不一致的，有澄清的部分以最终的澄清更正内容为准；未澄清的，以供应商须知前附表为准；供应商须知前附表不涉及的内容，以编排在后的描述为准。</w:t>
      </w:r>
    </w:p>
    <w:p w14:paraId="3D10D794">
      <w:pPr>
        <w:spacing w:line="56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10.3  供应商应认真阅读</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val="en-US" w:eastAsia="zh-CN"/>
        </w:rPr>
        <w:t>所有的事项、格式、条款和技术规范等。如供应商没有按照</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val="en-US" w:eastAsia="zh-CN"/>
        </w:rPr>
        <w:t>要求提交全部资料，或者</w:t>
      </w:r>
      <w:r>
        <w:rPr>
          <w:rFonts w:hint="default" w:ascii="仿宋_GB2312" w:hAnsi="仿宋_GB2312" w:eastAsia="仿宋_GB2312" w:cs="仿宋_GB2312"/>
          <w:color w:val="auto"/>
          <w:sz w:val="28"/>
          <w:szCs w:val="28"/>
          <w:lang w:val="en" w:eastAsia="zh-CN"/>
        </w:rPr>
        <w:t>竞争性磋商响应文件</w:t>
      </w:r>
      <w:r>
        <w:rPr>
          <w:rFonts w:ascii="仿宋_GB2312" w:hAnsi="仿宋_GB2312" w:eastAsia="仿宋_GB2312" w:cs="仿宋_GB2312"/>
          <w:color w:val="auto"/>
          <w:sz w:val="28"/>
          <w:szCs w:val="28"/>
          <w:lang w:val="en-US" w:eastAsia="zh-CN"/>
        </w:rPr>
        <w:t>没有对</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val="en-US" w:eastAsia="zh-CN"/>
        </w:rPr>
        <w:t>的实质性要求做出响应，其磋商响应被认定为响应无效。</w:t>
      </w:r>
    </w:p>
    <w:p w14:paraId="4A2B0EAC">
      <w:pPr>
        <w:numPr>
          <w:ilvl w:val="0"/>
          <w:numId w:val="4"/>
        </w:numPr>
        <w:spacing w:line="56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b/>
          <w:bCs/>
          <w:color w:val="auto"/>
          <w:sz w:val="28"/>
          <w:szCs w:val="28"/>
          <w:lang w:val="en-US" w:eastAsia="zh-CN"/>
        </w:rPr>
        <w:t xml:space="preserve">   </w:t>
      </w:r>
      <w:r>
        <w:rPr>
          <w:rFonts w:hint="default" w:ascii="仿宋_GB2312" w:hAnsi="仿宋_GB2312" w:eastAsia="仿宋_GB2312" w:cs="仿宋_GB2312"/>
          <w:b/>
          <w:bCs/>
          <w:color w:val="auto"/>
          <w:sz w:val="28"/>
          <w:szCs w:val="28"/>
          <w:lang w:val="en" w:eastAsia="zh-CN"/>
        </w:rPr>
        <w:t>竞争性磋商文件</w:t>
      </w:r>
      <w:r>
        <w:rPr>
          <w:rFonts w:ascii="仿宋_GB2312" w:hAnsi="仿宋_GB2312" w:eastAsia="仿宋_GB2312" w:cs="仿宋_GB2312"/>
          <w:b/>
          <w:bCs/>
          <w:color w:val="auto"/>
          <w:sz w:val="28"/>
          <w:szCs w:val="28"/>
          <w:lang w:eastAsia="zh-CN"/>
        </w:rPr>
        <w:t>的澄清</w:t>
      </w:r>
      <w:r>
        <w:rPr>
          <w:rFonts w:ascii="仿宋_GB2312" w:hAnsi="仿宋_GB2312" w:eastAsia="仿宋_GB2312" w:cs="仿宋_GB2312"/>
          <w:b/>
          <w:bCs/>
          <w:color w:val="auto"/>
          <w:sz w:val="28"/>
          <w:szCs w:val="28"/>
          <w:lang w:val="en-US" w:eastAsia="zh-CN"/>
        </w:rPr>
        <w:t>与修改</w:t>
      </w:r>
    </w:p>
    <w:p w14:paraId="70DEC861">
      <w:pPr>
        <w:numPr>
          <w:ilvl w:val="1"/>
          <w:numId w:val="4"/>
        </w:numPr>
        <w:spacing w:line="56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 xml:space="preserve"> 供应商应仔细阅读和检查</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val="en-US" w:eastAsia="zh-CN"/>
        </w:rPr>
        <w:t>的全部内容。如有疑问，应及时向采购人或</w:t>
      </w:r>
      <w:r>
        <w:rPr>
          <w:rFonts w:hint="default" w:ascii="仿宋_GB2312" w:hAnsi="仿宋_GB2312" w:eastAsia="仿宋_GB2312" w:cs="仿宋_GB2312"/>
          <w:color w:val="auto"/>
          <w:sz w:val="28"/>
          <w:szCs w:val="28"/>
          <w:lang w:val="en" w:eastAsia="zh-CN"/>
        </w:rPr>
        <w:t>集中采购机构</w:t>
      </w:r>
      <w:r>
        <w:rPr>
          <w:rFonts w:ascii="仿宋_GB2312" w:hAnsi="仿宋_GB2312" w:eastAsia="仿宋_GB2312" w:cs="仿宋_GB2312"/>
          <w:color w:val="auto"/>
          <w:sz w:val="28"/>
          <w:szCs w:val="28"/>
          <w:lang w:val="en-US" w:eastAsia="zh-CN"/>
        </w:rPr>
        <w:t>提出。</w:t>
      </w:r>
    </w:p>
    <w:p w14:paraId="2DBA20A8">
      <w:pPr>
        <w:numPr>
          <w:ilvl w:val="1"/>
          <w:numId w:val="4"/>
        </w:numPr>
        <w:spacing w:line="56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 xml:space="preserve"> 采购人或</w:t>
      </w:r>
      <w:r>
        <w:rPr>
          <w:rFonts w:hint="default" w:ascii="仿宋_GB2312" w:hAnsi="仿宋_GB2312" w:eastAsia="仿宋_GB2312" w:cs="仿宋_GB2312"/>
          <w:color w:val="auto"/>
          <w:sz w:val="28"/>
          <w:szCs w:val="28"/>
          <w:lang w:val="en" w:eastAsia="zh-CN"/>
        </w:rPr>
        <w:t>集中采购机构</w:t>
      </w:r>
      <w:r>
        <w:rPr>
          <w:rFonts w:ascii="仿宋_GB2312" w:hAnsi="仿宋_GB2312" w:eastAsia="仿宋_GB2312" w:cs="仿宋_GB2312"/>
          <w:color w:val="auto"/>
          <w:sz w:val="28"/>
          <w:szCs w:val="28"/>
          <w:lang w:val="en-US" w:eastAsia="zh-CN"/>
        </w:rPr>
        <w:t>可主动地或在解答供应商提出的澄清问题时对</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val="en-US" w:eastAsia="zh-CN"/>
        </w:rPr>
        <w:t>进行澄清（更正）或修改。将以发布澄清（更正）公告的方式，澄清（更正）或修改</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val="en-US" w:eastAsia="zh-CN"/>
        </w:rPr>
        <w:t>，澄清（更正）或修改的内容作为</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val="en-US" w:eastAsia="zh-CN"/>
        </w:rPr>
        <w:t>的组成部分。澄清（更正）或者修改的内容可能影响竞争性磋商响应文件编制的，将在原公告发布媒体上发布变更（更正）公告（或澄清公告）。</w:t>
      </w:r>
    </w:p>
    <w:p w14:paraId="5883AAC4">
      <w:pPr>
        <w:spacing w:line="56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 xml:space="preserve">11.3  </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val="en-US" w:eastAsia="zh-CN"/>
        </w:rPr>
        <w:t>的澄清（更正）或修改在交易平台上公布给供应商，但不指明澄清问题的来源。</w:t>
      </w:r>
    </w:p>
    <w:p w14:paraId="4E3B03F5">
      <w:pPr>
        <w:spacing w:line="56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11.4  对已发出的</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val="en-US" w:eastAsia="zh-CN"/>
        </w:rPr>
        <w:t>进行的澄清、更正或修改，澄清、更正或修改的内容将作为</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val="en-US" w:eastAsia="zh-CN"/>
        </w:rPr>
        <w:t>的组成部分。通过</w:t>
      </w:r>
      <w:r>
        <w:fldChar w:fldCharType="begin"/>
      </w:r>
      <w:r>
        <w:instrText xml:space="preserve"> HYPERLINK "http://www.ccgp-henan.gov.cn)和河南省政府采购网河南省公共资源交易网" </w:instrText>
      </w:r>
      <w:r>
        <w:fldChar w:fldCharType="separate"/>
      </w:r>
      <w:r>
        <w:rPr>
          <w:rFonts w:ascii="仿宋_GB2312" w:hAnsi="仿宋_GB2312" w:eastAsia="仿宋_GB2312" w:cs="仿宋_GB2312"/>
          <w:color w:val="auto"/>
          <w:sz w:val="28"/>
          <w:szCs w:val="28"/>
          <w:lang w:val="en-US" w:eastAsia="zh-CN"/>
        </w:rPr>
        <w:t>河南省政府采购网（zfcg.henan.gov.cn）、河南省公共资源交易网</w:t>
      </w:r>
      <w:r>
        <w:rPr>
          <w:rFonts w:ascii="仿宋_GB2312" w:hAnsi="仿宋_GB2312" w:eastAsia="仿宋_GB2312" w:cs="仿宋_GB2312"/>
          <w:color w:val="auto"/>
          <w:sz w:val="28"/>
          <w:szCs w:val="28"/>
          <w:lang w:val="en-US" w:eastAsia="zh-CN"/>
        </w:rPr>
        <w:fldChar w:fldCharType="end"/>
      </w:r>
      <w:r>
        <w:rPr>
          <w:rFonts w:ascii="仿宋_GB2312" w:hAnsi="仿宋_GB2312" w:eastAsia="仿宋_GB2312" w:cs="仿宋_GB2312"/>
          <w:color w:val="auto"/>
          <w:sz w:val="28"/>
          <w:szCs w:val="28"/>
          <w:lang w:val="en-US" w:eastAsia="zh-CN"/>
        </w:rPr>
        <w:t>（</w:t>
      </w:r>
      <w:r>
        <w:rPr>
          <w:rFonts w:hint="default" w:ascii="仿宋_GB2312" w:hAnsi="仿宋_GB2312" w:eastAsia="仿宋_GB2312" w:cs="仿宋_GB2312"/>
          <w:color w:val="auto"/>
          <w:sz w:val="30"/>
          <w:szCs w:val="30"/>
          <w:lang w:eastAsia="zh-CN"/>
        </w:rPr>
        <w:t>hnsggzyjy.henan.gov.cn</w:t>
      </w:r>
      <w:r>
        <w:rPr>
          <w:rFonts w:ascii="仿宋_GB2312" w:hAnsi="仿宋_GB2312" w:eastAsia="仿宋_GB2312" w:cs="仿宋_GB2312"/>
          <w:color w:val="auto"/>
          <w:sz w:val="28"/>
          <w:szCs w:val="28"/>
          <w:lang w:val="en-US" w:eastAsia="zh-CN"/>
        </w:rPr>
        <w:t>）“变更（澄清或更正）公告”和系统内部“答疑文件”告知供应商，各供应商重新下载最新的答疑、变更（澄清或更正）文件，以此编制</w:t>
      </w:r>
      <w:r>
        <w:rPr>
          <w:rFonts w:hint="default" w:ascii="仿宋_GB2312" w:hAnsi="仿宋_GB2312" w:eastAsia="仿宋_GB2312" w:cs="仿宋_GB2312"/>
          <w:color w:val="auto"/>
          <w:sz w:val="28"/>
          <w:szCs w:val="28"/>
          <w:lang w:val="en" w:eastAsia="zh-CN"/>
        </w:rPr>
        <w:t>竞争性磋商响应文件</w:t>
      </w:r>
      <w:r>
        <w:rPr>
          <w:rFonts w:ascii="仿宋_GB2312" w:hAnsi="仿宋_GB2312" w:eastAsia="仿宋_GB2312" w:cs="仿宋_GB2312"/>
          <w:color w:val="auto"/>
          <w:sz w:val="28"/>
          <w:szCs w:val="28"/>
          <w:lang w:val="en-US" w:eastAsia="zh-CN"/>
        </w:rPr>
        <w:t>。</w:t>
      </w:r>
    </w:p>
    <w:p w14:paraId="4913B747">
      <w:pPr>
        <w:spacing w:line="56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11.5  河南省公共资源交易中心交易平台内供应商信息在提交首次磋商响应文件截止时间前具有保密性，供应商应当及时查看项目进展、答疑、变更（澄清或更正）通知、澄清及回复。</w:t>
      </w:r>
    </w:p>
    <w:p w14:paraId="146B0081">
      <w:pPr>
        <w:spacing w:line="560" w:lineRule="exact"/>
        <w:jc w:val="left"/>
        <w:rPr>
          <w:rFonts w:ascii="仿宋_GB2312" w:hAnsi="仿宋_GB2312" w:eastAsia="仿宋_GB2312" w:cs="仿宋_GB2312"/>
          <w:b/>
          <w:bCs/>
          <w:color w:val="auto"/>
          <w:sz w:val="28"/>
          <w:szCs w:val="28"/>
          <w:lang w:val="en-US" w:eastAsia="zh-CN"/>
        </w:rPr>
      </w:pPr>
      <w:r>
        <w:rPr>
          <w:rFonts w:ascii="仿宋_GB2312" w:hAnsi="仿宋_GB2312" w:eastAsia="仿宋_GB2312" w:cs="仿宋_GB2312"/>
          <w:b/>
          <w:bCs/>
          <w:color w:val="auto"/>
          <w:sz w:val="28"/>
          <w:szCs w:val="28"/>
          <w:lang w:eastAsia="zh-CN"/>
        </w:rPr>
        <w:t>12.</w:t>
      </w:r>
      <w:r>
        <w:rPr>
          <w:rFonts w:ascii="仿宋_GB2312" w:hAnsi="仿宋_GB2312" w:eastAsia="仿宋_GB2312" w:cs="仿宋_GB2312"/>
          <w:b/>
          <w:bCs/>
          <w:color w:val="auto"/>
          <w:sz w:val="28"/>
          <w:szCs w:val="28"/>
          <w:lang w:val="en-US" w:eastAsia="zh-CN"/>
        </w:rPr>
        <w:t xml:space="preserve"> 提交首次磋商响应文件截止时间的顺延                                  </w:t>
      </w:r>
    </w:p>
    <w:p w14:paraId="67FF02F1">
      <w:pPr>
        <w:spacing w:line="560" w:lineRule="exact"/>
        <w:jc w:val="lef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为使供应商有足够的时间对</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val="en-US" w:eastAsia="zh-CN"/>
        </w:rPr>
        <w:t>的澄清或者修改部分进行研究而准备磋商响应或因其他原因，采购人将依法决定是否顺延磋商首次响应截止时间。</w:t>
      </w:r>
      <w:bookmarkStart w:id="38" w:name="_Toc1336083946"/>
      <w:bookmarkStart w:id="39" w:name="_Toc2009692045"/>
    </w:p>
    <w:p w14:paraId="3D20CC97">
      <w:pPr>
        <w:spacing w:line="560" w:lineRule="exact"/>
        <w:jc w:val="left"/>
        <w:rPr>
          <w:rFonts w:ascii="方正小标宋_GBK" w:hAnsi="方正小标宋_GBK" w:eastAsia="方正小标宋_GBK" w:cs="方正小标宋_GBK"/>
          <w:bCs/>
          <w:color w:val="auto"/>
          <w:kern w:val="0"/>
          <w:sz w:val="30"/>
          <w:szCs w:val="30"/>
          <w:lang w:val="en-US" w:eastAsia="zh-CN"/>
        </w:rPr>
      </w:pPr>
    </w:p>
    <w:p w14:paraId="2E558C0E">
      <w:pPr>
        <w:spacing w:line="560" w:lineRule="exact"/>
        <w:jc w:val="center"/>
        <w:outlineLvl w:val="1"/>
        <w:rPr>
          <w:rFonts w:ascii="方正小标宋_GBK" w:hAnsi="方正小标宋_GBK" w:eastAsia="方正小标宋_GBK" w:cs="方正小标宋_GBK"/>
          <w:bCs/>
          <w:color w:val="auto"/>
          <w:kern w:val="0"/>
          <w:sz w:val="30"/>
          <w:szCs w:val="30"/>
          <w:lang w:val="en-US" w:eastAsia="zh-CN"/>
        </w:rPr>
      </w:pPr>
      <w:r>
        <w:rPr>
          <w:rFonts w:ascii="方正小标宋_GBK" w:hAnsi="方正小标宋_GBK" w:eastAsia="方正小标宋_GBK" w:cs="方正小标宋_GBK"/>
          <w:bCs/>
          <w:color w:val="auto"/>
          <w:kern w:val="0"/>
          <w:sz w:val="30"/>
          <w:szCs w:val="30"/>
          <w:lang w:val="en-US" w:eastAsia="zh-CN"/>
        </w:rPr>
        <w:t>三、</w:t>
      </w:r>
      <w:r>
        <w:rPr>
          <w:rFonts w:hint="default" w:ascii="方正小标宋_GBK" w:hAnsi="方正小标宋_GBK" w:eastAsia="方正小标宋_GBK" w:cs="方正小标宋_GBK"/>
          <w:bCs/>
          <w:color w:val="auto"/>
          <w:kern w:val="0"/>
          <w:sz w:val="30"/>
          <w:szCs w:val="30"/>
          <w:lang w:val="en" w:eastAsia="zh-CN"/>
        </w:rPr>
        <w:t>竞争性磋商响应文件</w:t>
      </w:r>
      <w:r>
        <w:rPr>
          <w:rFonts w:ascii="方正小标宋_GBK" w:hAnsi="方正小标宋_GBK" w:eastAsia="方正小标宋_GBK" w:cs="方正小标宋_GBK"/>
          <w:bCs/>
          <w:color w:val="auto"/>
          <w:kern w:val="0"/>
          <w:sz w:val="30"/>
          <w:szCs w:val="30"/>
          <w:lang w:val="en-US" w:eastAsia="zh-CN"/>
        </w:rPr>
        <w:t>的编制</w:t>
      </w:r>
      <w:bookmarkEnd w:id="38"/>
      <w:bookmarkEnd w:id="39"/>
    </w:p>
    <w:p w14:paraId="22EACEB4">
      <w:pPr>
        <w:spacing w:line="560" w:lineRule="exact"/>
        <w:rPr>
          <w:rFonts w:ascii="仿宋_GB2312" w:hAnsi="仿宋_GB2312" w:eastAsia="仿宋_GB2312" w:cs="仿宋_GB2312"/>
          <w:b/>
          <w:bCs/>
          <w:color w:val="auto"/>
          <w:sz w:val="28"/>
          <w:szCs w:val="28"/>
          <w:lang w:eastAsia="zh-CN"/>
        </w:rPr>
      </w:pPr>
      <w:r>
        <w:rPr>
          <w:rFonts w:ascii="仿宋_GB2312" w:hAnsi="仿宋_GB2312" w:eastAsia="仿宋_GB2312" w:cs="仿宋_GB2312"/>
          <w:b/>
          <w:bCs/>
          <w:color w:val="auto"/>
          <w:sz w:val="28"/>
          <w:szCs w:val="28"/>
          <w:lang w:eastAsia="zh-CN"/>
        </w:rPr>
        <w:t>13.</w:t>
      </w:r>
      <w:r>
        <w:rPr>
          <w:rFonts w:ascii="仿宋_GB2312" w:hAnsi="仿宋_GB2312" w:eastAsia="仿宋_GB2312" w:cs="仿宋_GB2312"/>
          <w:b/>
          <w:bCs/>
          <w:color w:val="auto"/>
          <w:sz w:val="28"/>
          <w:szCs w:val="28"/>
          <w:lang w:val="en-US" w:eastAsia="zh-CN"/>
        </w:rPr>
        <w:t xml:space="preserve"> </w:t>
      </w:r>
      <w:r>
        <w:rPr>
          <w:rFonts w:ascii="仿宋_GB2312" w:hAnsi="仿宋_GB2312" w:eastAsia="仿宋_GB2312" w:cs="仿宋_GB2312"/>
          <w:b/>
          <w:bCs/>
          <w:color w:val="auto"/>
          <w:sz w:val="28"/>
          <w:szCs w:val="28"/>
          <w:lang w:eastAsia="zh-CN"/>
        </w:rPr>
        <w:t>磋商响应语言</w:t>
      </w:r>
    </w:p>
    <w:p w14:paraId="25088C29">
      <w:pPr>
        <w:spacing w:line="560" w:lineRule="exact"/>
        <w:rPr>
          <w:rFonts w:ascii="仿宋_GB2312" w:hAnsi="仿宋_GB2312" w:eastAsia="仿宋_GB2312" w:cs="仿宋_GB2312"/>
          <w:color w:val="auto"/>
          <w:sz w:val="28"/>
          <w:szCs w:val="28"/>
          <w:lang w:eastAsia="zh-CN"/>
        </w:rPr>
      </w:pPr>
      <w:r>
        <w:rPr>
          <w:rFonts w:hint="default" w:ascii="仿宋_GB2312" w:hAnsi="仿宋_GB2312" w:eastAsia="仿宋_GB2312" w:cs="仿宋_GB2312"/>
          <w:color w:val="auto"/>
          <w:sz w:val="28"/>
          <w:szCs w:val="28"/>
          <w:lang w:val="en" w:eastAsia="zh-CN"/>
        </w:rPr>
        <w:t>竞争性磋商响应文件</w:t>
      </w:r>
      <w:r>
        <w:rPr>
          <w:rFonts w:ascii="仿宋_GB2312" w:hAnsi="仿宋_GB2312" w:eastAsia="仿宋_GB2312" w:cs="仿宋_GB2312"/>
          <w:color w:val="auto"/>
          <w:sz w:val="28"/>
          <w:szCs w:val="28"/>
          <w:lang w:eastAsia="zh-CN"/>
        </w:rPr>
        <w:t>以及供应商所有与采购人及集中采购机构就磋商响应来往的函电均使用中文。供应商提供的外文资料应附有相应的中文译本，并以中文译本为准。没有提供中文译本的，视为没有提供相应的材料。</w:t>
      </w:r>
    </w:p>
    <w:p w14:paraId="53F5C048">
      <w:pPr>
        <w:numPr>
          <w:ilvl w:val="0"/>
          <w:numId w:val="5"/>
        </w:numPr>
        <w:spacing w:line="560" w:lineRule="exact"/>
        <w:rPr>
          <w:rFonts w:ascii="仿宋_GB2312" w:hAnsi="仿宋_GB2312" w:eastAsia="仿宋_GB2312" w:cs="仿宋_GB2312"/>
          <w:b/>
          <w:bCs/>
          <w:color w:val="auto"/>
          <w:sz w:val="28"/>
          <w:szCs w:val="28"/>
          <w:lang w:eastAsia="zh-CN"/>
        </w:rPr>
      </w:pPr>
      <w:r>
        <w:rPr>
          <w:rFonts w:hint="default" w:ascii="仿宋_GB2312" w:hAnsi="仿宋_GB2312" w:eastAsia="仿宋_GB2312" w:cs="仿宋_GB2312"/>
          <w:b/>
          <w:bCs/>
          <w:color w:val="auto"/>
          <w:sz w:val="28"/>
          <w:szCs w:val="28"/>
          <w:lang w:val="en" w:eastAsia="zh-CN"/>
        </w:rPr>
        <w:t>竞争性磋商响应文件</w:t>
      </w:r>
      <w:r>
        <w:rPr>
          <w:rFonts w:ascii="仿宋_GB2312" w:hAnsi="仿宋_GB2312" w:eastAsia="仿宋_GB2312" w:cs="仿宋_GB2312"/>
          <w:b/>
          <w:bCs/>
          <w:color w:val="auto"/>
          <w:sz w:val="28"/>
          <w:szCs w:val="28"/>
          <w:lang w:eastAsia="zh-CN"/>
        </w:rPr>
        <w:t>计量单位</w:t>
      </w:r>
    </w:p>
    <w:p w14:paraId="15DE7DA0">
      <w:pPr>
        <w:spacing w:line="56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除</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val="en-US" w:eastAsia="zh-CN"/>
        </w:rPr>
        <w:t>中有特殊要求外，</w:t>
      </w:r>
      <w:r>
        <w:rPr>
          <w:rFonts w:hint="default" w:ascii="仿宋_GB2312" w:hAnsi="仿宋_GB2312" w:eastAsia="仿宋_GB2312" w:cs="仿宋_GB2312"/>
          <w:color w:val="auto"/>
          <w:sz w:val="28"/>
          <w:szCs w:val="28"/>
          <w:lang w:val="en" w:eastAsia="zh-CN"/>
        </w:rPr>
        <w:t>竞争性磋商响应文件</w:t>
      </w:r>
      <w:r>
        <w:rPr>
          <w:rFonts w:ascii="仿宋_GB2312" w:hAnsi="仿宋_GB2312" w:eastAsia="仿宋_GB2312" w:cs="仿宋_GB2312"/>
          <w:color w:val="auto"/>
          <w:sz w:val="28"/>
          <w:szCs w:val="28"/>
          <w:lang w:val="en-US" w:eastAsia="zh-CN"/>
        </w:rPr>
        <w:t>中所使用的计量单位，应采用中华人民共和国法定计量单位。</w:t>
      </w:r>
    </w:p>
    <w:p w14:paraId="13861315">
      <w:pPr>
        <w:numPr>
          <w:ilvl w:val="0"/>
          <w:numId w:val="5"/>
        </w:numPr>
        <w:spacing w:line="560" w:lineRule="exact"/>
        <w:rPr>
          <w:rFonts w:ascii="仿宋_GB2312" w:hAnsi="仿宋_GB2312" w:eastAsia="仿宋_GB2312" w:cs="仿宋_GB2312"/>
          <w:b/>
          <w:bCs/>
          <w:color w:val="auto"/>
          <w:sz w:val="28"/>
          <w:szCs w:val="28"/>
          <w:lang w:eastAsia="zh-CN"/>
        </w:rPr>
      </w:pPr>
      <w:r>
        <w:rPr>
          <w:rFonts w:hint="default" w:ascii="仿宋_GB2312" w:hAnsi="仿宋_GB2312" w:eastAsia="仿宋_GB2312" w:cs="仿宋_GB2312"/>
          <w:b/>
          <w:bCs/>
          <w:color w:val="auto"/>
          <w:sz w:val="28"/>
          <w:szCs w:val="28"/>
          <w:lang w:val="en" w:eastAsia="zh-CN"/>
        </w:rPr>
        <w:t>竞争性磋商响应文件</w:t>
      </w:r>
      <w:r>
        <w:rPr>
          <w:rFonts w:ascii="仿宋_GB2312" w:hAnsi="仿宋_GB2312" w:eastAsia="仿宋_GB2312" w:cs="仿宋_GB2312"/>
          <w:b/>
          <w:bCs/>
          <w:color w:val="auto"/>
          <w:sz w:val="28"/>
          <w:szCs w:val="28"/>
          <w:lang w:eastAsia="zh-CN"/>
        </w:rPr>
        <w:t>的组成</w:t>
      </w:r>
    </w:p>
    <w:p w14:paraId="1996C9B3">
      <w:pPr>
        <w:spacing w:line="56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供应商应完整地按照</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val="en-US" w:eastAsia="zh-CN"/>
        </w:rPr>
        <w:t>提供的</w:t>
      </w:r>
      <w:r>
        <w:rPr>
          <w:rFonts w:hint="default" w:ascii="仿宋_GB2312" w:hAnsi="仿宋_GB2312" w:eastAsia="仿宋_GB2312" w:cs="仿宋_GB2312"/>
          <w:color w:val="auto"/>
          <w:sz w:val="28"/>
          <w:szCs w:val="28"/>
          <w:lang w:val="en" w:eastAsia="zh-CN"/>
        </w:rPr>
        <w:t>竞争性磋商响应文件</w:t>
      </w:r>
      <w:r>
        <w:rPr>
          <w:rFonts w:ascii="仿宋_GB2312" w:hAnsi="仿宋_GB2312" w:eastAsia="仿宋_GB2312" w:cs="仿宋_GB2312"/>
          <w:color w:val="auto"/>
          <w:sz w:val="28"/>
          <w:szCs w:val="28"/>
          <w:lang w:val="en-US" w:eastAsia="zh-CN"/>
        </w:rPr>
        <w:t>格式及要求编写</w:t>
      </w:r>
      <w:r>
        <w:rPr>
          <w:rFonts w:hint="default" w:ascii="仿宋_GB2312" w:hAnsi="仿宋_GB2312" w:eastAsia="仿宋_GB2312" w:cs="仿宋_GB2312"/>
          <w:color w:val="auto"/>
          <w:sz w:val="28"/>
          <w:szCs w:val="28"/>
          <w:lang w:val="en" w:eastAsia="zh-CN"/>
        </w:rPr>
        <w:t>竞争性磋商响应文件</w:t>
      </w:r>
      <w:r>
        <w:rPr>
          <w:rFonts w:ascii="仿宋_GB2312" w:hAnsi="仿宋_GB2312" w:eastAsia="仿宋_GB2312" w:cs="仿宋_GB2312"/>
          <w:color w:val="auto"/>
          <w:sz w:val="28"/>
          <w:szCs w:val="28"/>
          <w:lang w:val="en-US" w:eastAsia="zh-CN"/>
        </w:rPr>
        <w:t>，并对其提交的响应文件的真实性、合法性承担法律责任。</w:t>
      </w:r>
      <w:r>
        <w:rPr>
          <w:rFonts w:hint="default" w:ascii="仿宋_GB2312" w:hAnsi="仿宋_GB2312" w:eastAsia="仿宋_GB2312" w:cs="仿宋_GB2312"/>
          <w:color w:val="auto"/>
          <w:sz w:val="28"/>
          <w:szCs w:val="28"/>
          <w:lang w:val="en" w:eastAsia="zh-CN"/>
        </w:rPr>
        <w:t>竞争性磋商响应文件</w:t>
      </w:r>
      <w:r>
        <w:rPr>
          <w:rFonts w:ascii="仿宋_GB2312" w:hAnsi="仿宋_GB2312" w:eastAsia="仿宋_GB2312" w:cs="仿宋_GB2312"/>
          <w:color w:val="auto"/>
          <w:sz w:val="28"/>
          <w:szCs w:val="28"/>
          <w:lang w:val="en-US" w:eastAsia="zh-CN"/>
        </w:rPr>
        <w:t>中初步审查涉及的事项不满足</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val="en-US" w:eastAsia="zh-CN"/>
        </w:rPr>
        <w:t>要求的，其磋商响应无效。</w:t>
      </w:r>
    </w:p>
    <w:p w14:paraId="48C48CED">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b/>
          <w:bCs/>
          <w:color w:val="auto"/>
          <w:sz w:val="28"/>
          <w:szCs w:val="28"/>
          <w:lang w:val="en-US" w:eastAsia="zh-CN"/>
        </w:rPr>
        <w:t xml:space="preserve">16. </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eastAsia="zh-CN"/>
        </w:rPr>
        <w:t>中的每个分包，是项目</w:t>
      </w:r>
      <w:r>
        <w:rPr>
          <w:rFonts w:ascii="仿宋_GB2312" w:hAnsi="仿宋_GB2312" w:eastAsia="仿宋_GB2312" w:cs="仿宋_GB2312"/>
          <w:color w:val="auto"/>
          <w:sz w:val="28"/>
          <w:szCs w:val="28"/>
          <w:lang w:val="en-US" w:eastAsia="zh-CN"/>
        </w:rPr>
        <w:t>竞争性磋商</w:t>
      </w:r>
      <w:r>
        <w:rPr>
          <w:rFonts w:ascii="仿宋_GB2312" w:hAnsi="仿宋_GB2312" w:eastAsia="仿宋_GB2312" w:cs="仿宋_GB2312"/>
          <w:color w:val="auto"/>
          <w:sz w:val="28"/>
          <w:szCs w:val="28"/>
          <w:lang w:eastAsia="zh-CN"/>
        </w:rPr>
        <w:t>不可拆分的最小磋商响应单元。供应商必须按各包分别编制各包的</w:t>
      </w:r>
      <w:r>
        <w:rPr>
          <w:rFonts w:hint="default" w:ascii="仿宋_GB2312" w:hAnsi="仿宋_GB2312" w:eastAsia="仿宋_GB2312" w:cs="仿宋_GB2312"/>
          <w:color w:val="auto"/>
          <w:sz w:val="28"/>
          <w:szCs w:val="28"/>
          <w:lang w:val="en" w:eastAsia="zh-CN"/>
        </w:rPr>
        <w:t>竞争性磋商响应文件</w:t>
      </w:r>
      <w:r>
        <w:rPr>
          <w:rFonts w:ascii="仿宋_GB2312" w:hAnsi="仿宋_GB2312" w:eastAsia="仿宋_GB2312" w:cs="仿宋_GB2312"/>
          <w:color w:val="auto"/>
          <w:sz w:val="28"/>
          <w:szCs w:val="28"/>
          <w:lang w:eastAsia="zh-CN"/>
        </w:rPr>
        <w:t>，并按各包分</w:t>
      </w:r>
      <w:r>
        <w:rPr>
          <w:rFonts w:ascii="仿宋_GB2312" w:hAnsi="仿宋_GB2312" w:eastAsia="仿宋_GB2312" w:cs="仿宋_GB2312"/>
          <w:color w:val="auto"/>
          <w:sz w:val="28"/>
          <w:szCs w:val="28"/>
          <w:lang w:val="en-US" w:eastAsia="zh-CN"/>
        </w:rPr>
        <w:t>别提交相应的文件资料，拆包磋商响应将视为漏项或非实质性响应，其磋商响应无效。</w:t>
      </w:r>
    </w:p>
    <w:p w14:paraId="375F4314">
      <w:pPr>
        <w:spacing w:line="560" w:lineRule="exact"/>
        <w:rPr>
          <w:rFonts w:ascii="仿宋_GB2312" w:hAnsi="仿宋_GB2312" w:eastAsia="仿宋_GB2312" w:cs="仿宋_GB2312"/>
          <w:b/>
          <w:bCs/>
          <w:color w:val="auto"/>
          <w:sz w:val="28"/>
          <w:szCs w:val="28"/>
          <w:lang w:eastAsia="zh-CN"/>
        </w:rPr>
      </w:pPr>
      <w:r>
        <w:rPr>
          <w:rFonts w:ascii="仿宋_GB2312" w:hAnsi="仿宋_GB2312" w:eastAsia="仿宋_GB2312" w:cs="仿宋_GB2312"/>
          <w:b/>
          <w:bCs/>
          <w:color w:val="auto"/>
          <w:sz w:val="28"/>
          <w:szCs w:val="28"/>
          <w:lang w:eastAsia="zh-CN"/>
        </w:rPr>
        <w:t>17.</w:t>
      </w:r>
      <w:r>
        <w:rPr>
          <w:rFonts w:ascii="仿宋_GB2312" w:hAnsi="仿宋_GB2312" w:eastAsia="仿宋_GB2312" w:cs="仿宋_GB2312"/>
          <w:b/>
          <w:bCs/>
          <w:color w:val="auto"/>
          <w:sz w:val="28"/>
          <w:szCs w:val="28"/>
          <w:lang w:val="en-US" w:eastAsia="zh-CN"/>
        </w:rPr>
        <w:t xml:space="preserve"> </w:t>
      </w:r>
      <w:r>
        <w:rPr>
          <w:rFonts w:hint="default" w:ascii="仿宋_GB2312" w:hAnsi="仿宋_GB2312" w:eastAsia="仿宋_GB2312" w:cs="仿宋_GB2312"/>
          <w:b/>
          <w:bCs/>
          <w:color w:val="auto"/>
          <w:sz w:val="28"/>
          <w:szCs w:val="28"/>
          <w:lang w:val="en" w:eastAsia="zh-CN"/>
        </w:rPr>
        <w:t>竞争性磋商响应文件</w:t>
      </w:r>
      <w:r>
        <w:rPr>
          <w:rFonts w:ascii="仿宋_GB2312" w:hAnsi="仿宋_GB2312" w:eastAsia="仿宋_GB2312" w:cs="仿宋_GB2312"/>
          <w:b/>
          <w:bCs/>
          <w:color w:val="auto"/>
          <w:sz w:val="28"/>
          <w:szCs w:val="28"/>
          <w:lang w:eastAsia="zh-CN"/>
        </w:rPr>
        <w:t>编制</w:t>
      </w:r>
    </w:p>
    <w:p w14:paraId="5C9D2E15">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 w:eastAsia="zh-CN"/>
        </w:rPr>
        <w:t>供应商</w:t>
      </w:r>
      <w:r>
        <w:rPr>
          <w:rFonts w:ascii="仿宋_GB2312" w:hAnsi="仿宋_GB2312" w:eastAsia="仿宋_GB2312" w:cs="仿宋_GB2312"/>
          <w:color w:val="auto"/>
          <w:sz w:val="28"/>
          <w:szCs w:val="28"/>
          <w:lang w:eastAsia="zh-CN"/>
        </w:rPr>
        <w:t>应按</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eastAsia="zh-CN"/>
        </w:rPr>
        <w:t>要求的内容编制</w:t>
      </w:r>
      <w:r>
        <w:rPr>
          <w:rFonts w:hint="default" w:ascii="仿宋_GB2312" w:hAnsi="仿宋_GB2312" w:eastAsia="仿宋_GB2312" w:cs="仿宋_GB2312"/>
          <w:color w:val="auto"/>
          <w:sz w:val="28"/>
          <w:szCs w:val="28"/>
          <w:lang w:val="en" w:eastAsia="zh-CN"/>
        </w:rPr>
        <w:t>竞争性磋商响应文件</w:t>
      </w:r>
      <w:r>
        <w:rPr>
          <w:rFonts w:ascii="仿宋_GB2312" w:hAnsi="仿宋_GB2312" w:eastAsia="仿宋_GB2312" w:cs="仿宋_GB2312"/>
          <w:color w:val="auto"/>
          <w:sz w:val="28"/>
          <w:szCs w:val="28"/>
          <w:lang w:eastAsia="zh-CN"/>
        </w:rPr>
        <w:t>，应当对</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eastAsia="zh-CN"/>
        </w:rPr>
        <w:t>提出的资格条件、实质性要求和条件做出响应。</w:t>
      </w:r>
    </w:p>
    <w:p w14:paraId="14FDB0FA">
      <w:pPr>
        <w:numPr>
          <w:ilvl w:val="0"/>
          <w:numId w:val="6"/>
        </w:numPr>
        <w:spacing w:line="560" w:lineRule="exact"/>
        <w:rPr>
          <w:rFonts w:ascii="仿宋_GB2312" w:hAnsi="仿宋_GB2312" w:eastAsia="仿宋_GB2312" w:cs="仿宋_GB2312"/>
          <w:b/>
          <w:bCs/>
          <w:color w:val="auto"/>
          <w:sz w:val="28"/>
          <w:szCs w:val="28"/>
        </w:rPr>
      </w:pPr>
      <w:r>
        <w:rPr>
          <w:rFonts w:ascii="仿宋_GB2312" w:hAnsi="仿宋_GB2312" w:eastAsia="仿宋_GB2312" w:cs="仿宋_GB2312"/>
          <w:b/>
          <w:bCs/>
          <w:color w:val="auto"/>
          <w:sz w:val="28"/>
          <w:szCs w:val="28"/>
          <w:lang w:eastAsia="zh-CN"/>
        </w:rPr>
        <w:t>响应</w:t>
      </w:r>
      <w:r>
        <w:rPr>
          <w:rFonts w:ascii="仿宋_GB2312" w:hAnsi="仿宋_GB2312" w:eastAsia="仿宋_GB2312" w:cs="仿宋_GB2312"/>
          <w:b/>
          <w:bCs/>
          <w:color w:val="auto"/>
          <w:sz w:val="28"/>
          <w:szCs w:val="28"/>
        </w:rPr>
        <w:t>报价</w:t>
      </w:r>
    </w:p>
    <w:p w14:paraId="637B1606">
      <w:pPr>
        <w:pStyle w:val="70"/>
        <w:spacing w:line="560" w:lineRule="exact"/>
        <w:rPr>
          <w:rFonts w:hint="eastAsia" w:ascii="仿宋_GB2312" w:hAnsi="仿宋_GB2312" w:eastAsia="仿宋_GB2312" w:cs="仿宋_GB2312"/>
          <w:color w:val="auto"/>
          <w:kern w:val="2"/>
          <w:sz w:val="28"/>
          <w:szCs w:val="28"/>
          <w:lang w:val="zh-TW"/>
        </w:rPr>
      </w:pPr>
      <w:r>
        <w:rPr>
          <w:rFonts w:hint="eastAsia" w:ascii="仿宋_GB2312" w:hAnsi="仿宋_GB2312" w:eastAsia="仿宋_GB2312" w:cs="仿宋_GB2312"/>
          <w:color w:val="auto"/>
          <w:sz w:val="28"/>
          <w:szCs w:val="28"/>
        </w:rPr>
        <w:t>18.1</w:t>
      </w:r>
      <w:r>
        <w:rPr>
          <w:rFonts w:ascii="仿宋_GB2312" w:hAnsi="仿宋_GB2312" w:eastAsia="仿宋_GB2312" w:cs="仿宋_GB2312"/>
          <w:color w:val="auto"/>
          <w:sz w:val="28"/>
          <w:szCs w:val="28"/>
          <w:lang w:val="en"/>
        </w:rPr>
        <w:t xml:space="preserve">  </w:t>
      </w:r>
      <w:r>
        <w:rPr>
          <w:rFonts w:hint="eastAsia" w:ascii="仿宋_GB2312" w:hAnsi="仿宋_GB2312" w:eastAsia="仿宋_GB2312" w:cs="仿宋_GB2312"/>
          <w:color w:val="auto"/>
          <w:kern w:val="2"/>
          <w:sz w:val="28"/>
          <w:szCs w:val="28"/>
          <w:lang w:val="zh-TW"/>
        </w:rPr>
        <w:t>供应商报价超过</w:t>
      </w:r>
      <w:r>
        <w:rPr>
          <w:rFonts w:ascii="仿宋_GB2312" w:hAnsi="仿宋_GB2312" w:eastAsia="仿宋_GB2312" w:cs="仿宋_GB2312"/>
          <w:color w:val="auto"/>
          <w:kern w:val="2"/>
          <w:sz w:val="28"/>
          <w:szCs w:val="28"/>
          <w:lang w:val="en"/>
        </w:rPr>
        <w:t>竞争性磋商文件</w:t>
      </w:r>
      <w:r>
        <w:rPr>
          <w:rFonts w:hint="eastAsia" w:ascii="仿宋_GB2312" w:hAnsi="仿宋_GB2312" w:eastAsia="仿宋_GB2312" w:cs="仿宋_GB2312"/>
          <w:color w:val="auto"/>
          <w:kern w:val="2"/>
          <w:sz w:val="28"/>
          <w:szCs w:val="28"/>
          <w:lang w:val="zh-TW"/>
        </w:rPr>
        <w:t>规定的预算金额或者分项、分包最高限价的，</w:t>
      </w:r>
      <w:r>
        <w:rPr>
          <w:rFonts w:hint="eastAsia" w:ascii="仿宋_GB2312" w:hAnsi="仿宋_GB2312" w:eastAsia="仿宋_GB2312" w:cs="仿宋_GB2312"/>
          <w:color w:val="auto"/>
          <w:sz w:val="28"/>
          <w:szCs w:val="28"/>
        </w:rPr>
        <w:t>其磋商响应无效。</w:t>
      </w:r>
    </w:p>
    <w:p w14:paraId="0408CEA8">
      <w:pPr>
        <w:spacing w:line="560" w:lineRule="exact"/>
        <w:rPr>
          <w:rFonts w:ascii="仿宋_GB2312" w:hAnsi="仿宋_GB2312" w:eastAsia="仿宋_GB2312" w:cs="仿宋_GB2312"/>
          <w:color w:val="auto"/>
          <w:kern w:val="1"/>
          <w:sz w:val="28"/>
          <w:szCs w:val="28"/>
          <w:lang w:eastAsia="zh-CN"/>
        </w:rPr>
      </w:pPr>
      <w:r>
        <w:rPr>
          <w:rFonts w:ascii="仿宋_GB2312" w:hAnsi="仿宋_GB2312" w:eastAsia="仿宋_GB2312" w:cs="仿宋_GB2312"/>
          <w:color w:val="auto"/>
          <w:sz w:val="28"/>
          <w:szCs w:val="28"/>
          <w:lang w:eastAsia="zh-CN"/>
        </w:rPr>
        <w:t>1</w:t>
      </w:r>
      <w:r>
        <w:rPr>
          <w:rFonts w:hint="default" w:ascii="仿宋_GB2312" w:hAnsi="仿宋_GB2312" w:eastAsia="仿宋_GB2312" w:cs="仿宋_GB2312"/>
          <w:color w:val="auto"/>
          <w:sz w:val="28"/>
          <w:szCs w:val="28"/>
          <w:lang w:val="en" w:eastAsia="zh-CN"/>
        </w:rPr>
        <w:t>8</w:t>
      </w:r>
      <w:r>
        <w:rPr>
          <w:rFonts w:ascii="仿宋_GB2312" w:hAnsi="仿宋_GB2312" w:eastAsia="仿宋_GB2312" w:cs="仿宋_GB2312"/>
          <w:color w:val="auto"/>
          <w:sz w:val="28"/>
          <w:szCs w:val="28"/>
          <w:lang w:eastAsia="zh-CN"/>
        </w:rPr>
        <w:t>.2</w:t>
      </w:r>
      <w:r>
        <w:rPr>
          <w:rFonts w:ascii="仿宋_GB2312" w:hAnsi="仿宋_GB2312" w:eastAsia="仿宋_GB2312" w:cs="仿宋_GB2312"/>
          <w:color w:val="auto"/>
          <w:sz w:val="28"/>
          <w:szCs w:val="28"/>
          <w:lang w:eastAsia="zh-CN"/>
        </w:rPr>
        <w:tab/>
      </w:r>
      <w:r>
        <w:rPr>
          <w:rFonts w:ascii="仿宋_GB2312" w:hAnsi="仿宋_GB2312" w:eastAsia="仿宋_GB2312" w:cs="仿宋_GB2312"/>
          <w:color w:val="auto"/>
          <w:kern w:val="1"/>
          <w:sz w:val="28"/>
          <w:szCs w:val="28"/>
          <w:lang w:eastAsia="zh-CN"/>
        </w:rPr>
        <w:t>报价次数：见“供应商须知前附表”，最后一次报价为最后报价。</w:t>
      </w:r>
    </w:p>
    <w:p w14:paraId="60ECBAC7">
      <w:pPr>
        <w:spacing w:line="560" w:lineRule="exact"/>
        <w:rPr>
          <w:rFonts w:ascii="仿宋_GB2312" w:hAnsi="仿宋_GB2312" w:eastAsia="仿宋_GB2312" w:cs="仿宋_GB2312"/>
          <w:color w:val="auto"/>
          <w:kern w:val="1"/>
          <w:sz w:val="28"/>
          <w:szCs w:val="28"/>
          <w:lang w:eastAsia="zh-CN"/>
        </w:rPr>
      </w:pPr>
      <w:r>
        <w:rPr>
          <w:rFonts w:ascii="仿宋_GB2312" w:hAnsi="仿宋_GB2312" w:eastAsia="仿宋_GB2312" w:cs="仿宋_GB2312"/>
          <w:color w:val="auto"/>
          <w:kern w:val="1"/>
          <w:sz w:val="28"/>
          <w:szCs w:val="28"/>
          <w:lang w:eastAsia="zh-CN"/>
        </w:rPr>
        <w:t>1</w:t>
      </w:r>
      <w:r>
        <w:rPr>
          <w:rFonts w:ascii="仿宋_GB2312" w:hAnsi="仿宋_GB2312" w:eastAsia="仿宋_GB2312" w:cs="仿宋_GB2312"/>
          <w:color w:val="auto"/>
          <w:kern w:val="1"/>
          <w:sz w:val="28"/>
          <w:szCs w:val="28"/>
          <w:lang w:val="en-US" w:eastAsia="zh-CN"/>
        </w:rPr>
        <w:t>8</w:t>
      </w:r>
      <w:r>
        <w:rPr>
          <w:rFonts w:ascii="仿宋_GB2312" w:hAnsi="仿宋_GB2312" w:eastAsia="仿宋_GB2312" w:cs="仿宋_GB2312"/>
          <w:color w:val="auto"/>
          <w:kern w:val="1"/>
          <w:sz w:val="28"/>
          <w:szCs w:val="28"/>
          <w:lang w:eastAsia="zh-CN"/>
        </w:rPr>
        <w:t>.3</w:t>
      </w:r>
      <w:r>
        <w:rPr>
          <w:rFonts w:ascii="仿宋_GB2312" w:hAnsi="仿宋_GB2312" w:eastAsia="仿宋_GB2312" w:cs="仿宋_GB2312"/>
          <w:color w:val="auto"/>
          <w:kern w:val="1"/>
          <w:sz w:val="28"/>
          <w:szCs w:val="28"/>
          <w:lang w:val="en-US" w:eastAsia="zh-CN"/>
        </w:rPr>
        <w:t xml:space="preserve">  </w:t>
      </w:r>
      <w:r>
        <w:rPr>
          <w:rFonts w:ascii="仿宋_GB2312" w:hAnsi="仿宋_GB2312" w:eastAsia="仿宋_GB2312" w:cs="仿宋_GB2312"/>
          <w:color w:val="auto"/>
          <w:kern w:val="1"/>
          <w:sz w:val="28"/>
          <w:szCs w:val="28"/>
          <w:lang w:eastAsia="zh-CN"/>
        </w:rPr>
        <w:t>除非“供应商须知前附表”明确规定允许多方案报价外，初次竞争性磋商响应只允许有一个方案报价，多方案报价的磋商响应文件</w:t>
      </w:r>
      <w:r>
        <w:rPr>
          <w:rFonts w:ascii="仿宋_GB2312" w:hAnsi="仿宋_GB2312" w:eastAsia="仿宋_GB2312" w:cs="仿宋_GB2312"/>
          <w:color w:val="auto"/>
          <w:sz w:val="28"/>
          <w:szCs w:val="28"/>
          <w:lang w:val="en-US" w:eastAsia="zh-CN"/>
        </w:rPr>
        <w:t>其磋商响应无效。</w:t>
      </w:r>
    </w:p>
    <w:p w14:paraId="74C64386">
      <w:pPr>
        <w:spacing w:line="560" w:lineRule="exact"/>
        <w:rPr>
          <w:rFonts w:ascii="仿宋_GB2312" w:hAnsi="仿宋_GB2312" w:eastAsia="仿宋_GB2312" w:cs="仿宋_GB2312"/>
          <w:color w:val="auto"/>
          <w:kern w:val="1"/>
          <w:sz w:val="28"/>
          <w:szCs w:val="28"/>
          <w:lang w:eastAsia="zh-CN"/>
        </w:rPr>
      </w:pPr>
      <w:r>
        <w:rPr>
          <w:rFonts w:ascii="仿宋_GB2312" w:hAnsi="仿宋_GB2312" w:eastAsia="仿宋_GB2312" w:cs="仿宋_GB2312"/>
          <w:color w:val="auto"/>
          <w:kern w:val="1"/>
          <w:sz w:val="28"/>
          <w:szCs w:val="28"/>
          <w:lang w:eastAsia="zh-CN"/>
        </w:rPr>
        <w:t>1</w:t>
      </w:r>
      <w:r>
        <w:rPr>
          <w:rFonts w:ascii="仿宋_GB2312" w:hAnsi="仿宋_GB2312" w:eastAsia="仿宋_GB2312" w:cs="仿宋_GB2312"/>
          <w:color w:val="auto"/>
          <w:kern w:val="1"/>
          <w:sz w:val="28"/>
          <w:szCs w:val="28"/>
          <w:lang w:val="en-US" w:eastAsia="zh-CN"/>
        </w:rPr>
        <w:t>8</w:t>
      </w:r>
      <w:r>
        <w:rPr>
          <w:rFonts w:ascii="仿宋_GB2312" w:hAnsi="仿宋_GB2312" w:eastAsia="仿宋_GB2312" w:cs="仿宋_GB2312"/>
          <w:color w:val="auto"/>
          <w:kern w:val="1"/>
          <w:sz w:val="28"/>
          <w:szCs w:val="28"/>
          <w:lang w:eastAsia="zh-CN"/>
        </w:rPr>
        <w:t>.</w:t>
      </w:r>
      <w:r>
        <w:rPr>
          <w:rFonts w:ascii="仿宋_GB2312" w:hAnsi="仿宋_GB2312" w:eastAsia="仿宋_GB2312" w:cs="仿宋_GB2312"/>
          <w:color w:val="auto"/>
          <w:kern w:val="1"/>
          <w:sz w:val="28"/>
          <w:szCs w:val="28"/>
          <w:lang w:val="en-US" w:eastAsia="zh-CN"/>
        </w:rPr>
        <w:t xml:space="preserve">4   </w:t>
      </w:r>
      <w:r>
        <w:rPr>
          <w:rFonts w:ascii="仿宋_GB2312" w:hAnsi="仿宋_GB2312" w:eastAsia="仿宋_GB2312" w:cs="仿宋_GB2312"/>
          <w:color w:val="auto"/>
          <w:kern w:val="1"/>
          <w:sz w:val="28"/>
          <w:szCs w:val="28"/>
          <w:lang w:eastAsia="zh-CN"/>
        </w:rPr>
        <w:t>供应商各轮次总报价均不能超过最高限价，否则其磋商响应无效。</w:t>
      </w:r>
    </w:p>
    <w:p w14:paraId="751966B6">
      <w:pPr>
        <w:spacing w:line="560" w:lineRule="exact"/>
        <w:rPr>
          <w:rFonts w:ascii="仿宋_GB2312" w:hAnsi="仿宋_GB2312" w:eastAsia="仿宋_GB2312" w:cs="仿宋_GB2312"/>
          <w:b/>
          <w:bCs/>
          <w:color w:val="auto"/>
          <w:sz w:val="28"/>
          <w:szCs w:val="28"/>
          <w:lang w:eastAsia="zh-CN"/>
        </w:rPr>
      </w:pPr>
      <w:r>
        <w:rPr>
          <w:rFonts w:ascii="仿宋_GB2312" w:hAnsi="仿宋_GB2312" w:eastAsia="仿宋_GB2312" w:cs="仿宋_GB2312"/>
          <w:b/>
          <w:bCs/>
          <w:color w:val="auto"/>
          <w:sz w:val="28"/>
          <w:szCs w:val="28"/>
          <w:lang w:val="en-US" w:eastAsia="zh-CN"/>
        </w:rPr>
        <w:t xml:space="preserve">19  </w:t>
      </w:r>
      <w:r>
        <w:rPr>
          <w:rFonts w:ascii="仿宋_GB2312" w:hAnsi="仿宋_GB2312" w:eastAsia="仿宋_GB2312" w:cs="仿宋_GB2312"/>
          <w:b/>
          <w:bCs/>
          <w:color w:val="auto"/>
          <w:sz w:val="28"/>
          <w:szCs w:val="28"/>
          <w:lang w:eastAsia="zh-CN"/>
        </w:rPr>
        <w:t>磋商响应货币</w:t>
      </w:r>
    </w:p>
    <w:p w14:paraId="6A8637D8">
      <w:pPr>
        <w:spacing w:line="58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除非“供应商须知前附表”另有规定，供应商提供的所有货物及相关服务用人民币报价。</w:t>
      </w:r>
    </w:p>
    <w:p w14:paraId="3A1950AE">
      <w:pPr>
        <w:spacing w:line="580" w:lineRule="exact"/>
        <w:rPr>
          <w:rFonts w:ascii="仿宋_GB2312" w:hAnsi="仿宋_GB2312" w:eastAsia="仿宋_GB2312" w:cs="仿宋_GB2312"/>
          <w:b/>
          <w:bCs/>
          <w:color w:val="auto"/>
          <w:sz w:val="28"/>
          <w:szCs w:val="28"/>
          <w:lang w:eastAsia="zh-CN"/>
        </w:rPr>
      </w:pPr>
      <w:r>
        <w:rPr>
          <w:rFonts w:ascii="仿宋_GB2312" w:hAnsi="仿宋_GB2312" w:eastAsia="仿宋_GB2312" w:cs="仿宋_GB2312"/>
          <w:b/>
          <w:bCs/>
          <w:color w:val="auto"/>
          <w:sz w:val="28"/>
          <w:szCs w:val="28"/>
          <w:lang w:val="en-US" w:eastAsia="zh-CN"/>
        </w:rPr>
        <w:t xml:space="preserve">20  </w:t>
      </w:r>
      <w:r>
        <w:rPr>
          <w:rFonts w:ascii="仿宋_GB2312" w:hAnsi="仿宋_GB2312" w:eastAsia="仿宋_GB2312" w:cs="仿宋_GB2312"/>
          <w:b/>
          <w:bCs/>
          <w:color w:val="auto"/>
          <w:sz w:val="28"/>
          <w:szCs w:val="28"/>
          <w:lang w:eastAsia="zh-CN"/>
        </w:rPr>
        <w:t>供应商</w:t>
      </w:r>
      <w:r>
        <w:rPr>
          <w:rFonts w:ascii="仿宋_GB2312" w:hAnsi="仿宋_GB2312" w:eastAsia="仿宋_GB2312" w:cs="仿宋_GB2312"/>
          <w:b/>
          <w:bCs/>
          <w:color w:val="auto"/>
          <w:sz w:val="28"/>
          <w:szCs w:val="28"/>
          <w:lang w:val="en-US" w:eastAsia="zh-CN"/>
        </w:rPr>
        <w:t>商务</w:t>
      </w:r>
      <w:r>
        <w:rPr>
          <w:rFonts w:ascii="仿宋_GB2312" w:hAnsi="仿宋_GB2312" w:eastAsia="仿宋_GB2312" w:cs="仿宋_GB2312"/>
          <w:b/>
          <w:bCs/>
          <w:color w:val="auto"/>
          <w:sz w:val="28"/>
          <w:szCs w:val="28"/>
          <w:lang w:eastAsia="zh-CN"/>
        </w:rPr>
        <w:t>证明文件</w:t>
      </w:r>
    </w:p>
    <w:p w14:paraId="7838FCAC">
      <w:pPr>
        <w:spacing w:line="58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eastAsia="zh-CN"/>
        </w:rPr>
        <w:t>2</w:t>
      </w:r>
      <w:r>
        <w:rPr>
          <w:rFonts w:ascii="仿宋_GB2312" w:hAnsi="仿宋_GB2312" w:eastAsia="仿宋_GB2312" w:cs="仿宋_GB2312"/>
          <w:color w:val="auto"/>
          <w:sz w:val="28"/>
          <w:szCs w:val="28"/>
          <w:lang w:val="en-US" w:eastAsia="zh-CN"/>
        </w:rPr>
        <w:t>0</w:t>
      </w:r>
      <w:r>
        <w:rPr>
          <w:rFonts w:ascii="仿宋_GB2312" w:hAnsi="仿宋_GB2312" w:eastAsia="仿宋_GB2312" w:cs="仿宋_GB2312"/>
          <w:color w:val="auto"/>
          <w:sz w:val="28"/>
          <w:szCs w:val="28"/>
          <w:lang w:eastAsia="zh-CN"/>
        </w:rPr>
        <w:t>.1</w:t>
      </w:r>
      <w:r>
        <w:rPr>
          <w:rFonts w:ascii="仿宋_GB2312" w:hAnsi="仿宋_GB2312" w:eastAsia="仿宋_GB2312" w:cs="仿宋_GB2312"/>
          <w:color w:val="auto"/>
          <w:sz w:val="28"/>
          <w:szCs w:val="28"/>
          <w:lang w:val="en-US" w:eastAsia="zh-CN"/>
        </w:rPr>
        <w:t xml:space="preserve">  供应商应按</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val="en-US" w:eastAsia="zh-CN"/>
        </w:rPr>
        <w:t>要求提交证明文件，证明其响应标的符合</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val="en-US" w:eastAsia="zh-CN"/>
        </w:rPr>
        <w:t>规定。</w:t>
      </w:r>
    </w:p>
    <w:p w14:paraId="3D424E0B">
      <w:pPr>
        <w:spacing w:line="58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20.2</w:t>
      </w:r>
      <w:r>
        <w:rPr>
          <w:rFonts w:ascii="仿宋_GB2312" w:hAnsi="仿宋_GB2312" w:eastAsia="仿宋_GB2312" w:cs="仿宋_GB2312"/>
          <w:color w:val="auto"/>
          <w:sz w:val="28"/>
          <w:szCs w:val="28"/>
          <w:lang w:val="en-US" w:eastAsia="zh-CN"/>
        </w:rPr>
        <w:tab/>
      </w:r>
      <w:r>
        <w:rPr>
          <w:rFonts w:ascii="仿宋_GB2312" w:hAnsi="仿宋_GB2312" w:eastAsia="仿宋_GB2312" w:cs="仿宋_GB2312"/>
          <w:color w:val="auto"/>
          <w:sz w:val="28"/>
          <w:szCs w:val="28"/>
          <w:lang w:val="en-US" w:eastAsia="zh-CN"/>
        </w:rPr>
        <w:t>上款所述的证明文件，可以是文字资料、图纸和数据。</w:t>
      </w:r>
    </w:p>
    <w:p w14:paraId="33B8C3B4">
      <w:pPr>
        <w:spacing w:line="580" w:lineRule="exact"/>
        <w:rPr>
          <w:rFonts w:ascii="仿宋_GB2312" w:hAnsi="仿宋_GB2312" w:eastAsia="仿宋_GB2312" w:cs="仿宋_GB2312"/>
          <w:b/>
          <w:bCs/>
          <w:color w:val="auto"/>
          <w:sz w:val="28"/>
          <w:szCs w:val="28"/>
          <w:lang w:eastAsia="zh-CN"/>
        </w:rPr>
      </w:pPr>
      <w:r>
        <w:rPr>
          <w:rFonts w:ascii="仿宋_GB2312" w:hAnsi="仿宋_GB2312" w:eastAsia="仿宋_GB2312" w:cs="仿宋_GB2312"/>
          <w:b/>
          <w:bCs/>
          <w:color w:val="auto"/>
          <w:sz w:val="28"/>
          <w:szCs w:val="28"/>
          <w:lang w:eastAsia="zh-CN"/>
        </w:rPr>
        <w:t>21</w:t>
      </w:r>
      <w:r>
        <w:rPr>
          <w:rFonts w:ascii="仿宋_GB2312" w:hAnsi="仿宋_GB2312" w:eastAsia="仿宋_GB2312" w:cs="仿宋_GB2312"/>
          <w:b/>
          <w:bCs/>
          <w:color w:val="auto"/>
          <w:sz w:val="28"/>
          <w:szCs w:val="28"/>
          <w:lang w:val="en-US" w:eastAsia="zh-CN"/>
        </w:rPr>
        <w:t xml:space="preserve"> </w:t>
      </w:r>
      <w:r>
        <w:rPr>
          <w:rFonts w:ascii="仿宋_GB2312" w:hAnsi="仿宋_GB2312" w:eastAsia="仿宋_GB2312" w:cs="仿宋_GB2312"/>
          <w:b/>
          <w:bCs/>
          <w:color w:val="auto"/>
          <w:sz w:val="28"/>
          <w:szCs w:val="28"/>
          <w:lang w:eastAsia="zh-CN"/>
        </w:rPr>
        <w:t xml:space="preserve"> 供应商技术证明文件</w:t>
      </w:r>
    </w:p>
    <w:p w14:paraId="5238A3B6">
      <w:pPr>
        <w:spacing w:line="58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eastAsia="zh-CN"/>
        </w:rPr>
        <w:t>21.1</w:t>
      </w:r>
      <w:r>
        <w:rPr>
          <w:rFonts w:ascii="仿宋_GB2312" w:hAnsi="仿宋_GB2312" w:eastAsia="仿宋_GB2312" w:cs="仿宋_GB2312"/>
          <w:color w:val="auto"/>
          <w:sz w:val="28"/>
          <w:szCs w:val="28"/>
          <w:lang w:val="en-US" w:eastAsia="zh-CN"/>
        </w:rPr>
        <w:t xml:space="preserve">  供应商应按</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val="en-US" w:eastAsia="zh-CN"/>
        </w:rPr>
        <w:t>要求提交证明文件，证明其响应标的符合</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val="en-US" w:eastAsia="zh-CN"/>
        </w:rPr>
        <w:t>规定。</w:t>
      </w:r>
    </w:p>
    <w:p w14:paraId="61ED565B">
      <w:pPr>
        <w:spacing w:line="58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21.2</w:t>
      </w:r>
      <w:r>
        <w:rPr>
          <w:rFonts w:ascii="仿宋_GB2312" w:hAnsi="仿宋_GB2312" w:eastAsia="仿宋_GB2312" w:cs="仿宋_GB2312"/>
          <w:color w:val="auto"/>
          <w:sz w:val="28"/>
          <w:szCs w:val="28"/>
          <w:lang w:val="en-US" w:eastAsia="zh-CN"/>
        </w:rPr>
        <w:tab/>
      </w:r>
      <w:r>
        <w:rPr>
          <w:rFonts w:ascii="仿宋_GB2312" w:hAnsi="仿宋_GB2312" w:eastAsia="仿宋_GB2312" w:cs="仿宋_GB2312"/>
          <w:color w:val="auto"/>
          <w:sz w:val="28"/>
          <w:szCs w:val="28"/>
          <w:lang w:val="en-US" w:eastAsia="zh-CN"/>
        </w:rPr>
        <w:t>上款所述的证明文件，可以是文字资料、图纸和数据。</w:t>
      </w:r>
    </w:p>
    <w:p w14:paraId="6916C7B5">
      <w:pPr>
        <w:spacing w:line="580" w:lineRule="exact"/>
        <w:rPr>
          <w:rFonts w:ascii="仿宋_GB2312" w:hAnsi="仿宋_GB2312" w:eastAsia="仿宋_GB2312" w:cs="仿宋_GB2312"/>
          <w:color w:val="auto"/>
          <w:sz w:val="28"/>
          <w:szCs w:val="28"/>
          <w:lang w:eastAsia="zh-CN"/>
        </w:rPr>
      </w:pPr>
      <w:r>
        <w:rPr>
          <w:rFonts w:ascii="仿宋_GB2312" w:hAnsi="仿宋_GB2312" w:eastAsia="仿宋_GB2312" w:cs="仿宋_GB2312"/>
          <w:b/>
          <w:bCs/>
          <w:color w:val="auto"/>
          <w:sz w:val="28"/>
          <w:szCs w:val="28"/>
          <w:lang w:eastAsia="zh-CN"/>
        </w:rPr>
        <w:t>22</w:t>
      </w:r>
      <w:r>
        <w:rPr>
          <w:rFonts w:ascii="仿宋_GB2312" w:hAnsi="仿宋_GB2312" w:eastAsia="仿宋_GB2312" w:cs="仿宋_GB2312"/>
          <w:b/>
          <w:bCs/>
          <w:color w:val="auto"/>
          <w:sz w:val="28"/>
          <w:szCs w:val="28"/>
          <w:lang w:val="en-US" w:eastAsia="zh-CN"/>
        </w:rPr>
        <w:t xml:space="preserve">  </w:t>
      </w:r>
      <w:r>
        <w:rPr>
          <w:rFonts w:ascii="仿宋_GB2312" w:hAnsi="仿宋_GB2312" w:eastAsia="仿宋_GB2312" w:cs="仿宋_GB2312"/>
          <w:b/>
          <w:bCs/>
          <w:color w:val="auto"/>
          <w:sz w:val="28"/>
          <w:szCs w:val="28"/>
          <w:lang w:eastAsia="zh-CN"/>
        </w:rPr>
        <w:t>下列任何情况发生时，按国家有关法律法规进行处理并按磋商响应函的约定向采购人支付违约赔偿金：</w:t>
      </w:r>
    </w:p>
    <w:p w14:paraId="29F8651D">
      <w:pPr>
        <w:spacing w:line="58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w:t>
      </w:r>
      <w:r>
        <w:rPr>
          <w:rFonts w:ascii="仿宋_GB2312" w:hAnsi="仿宋_GB2312" w:eastAsia="仿宋_GB2312" w:cs="仿宋_GB2312"/>
          <w:color w:val="auto"/>
          <w:sz w:val="28"/>
          <w:szCs w:val="28"/>
          <w:lang w:val="en-US" w:eastAsia="zh-CN"/>
        </w:rPr>
        <w:t>1</w:t>
      </w:r>
      <w:r>
        <w:rPr>
          <w:rFonts w:ascii="仿宋_GB2312" w:hAnsi="仿宋_GB2312" w:eastAsia="仿宋_GB2312" w:cs="仿宋_GB2312"/>
          <w:color w:val="auto"/>
          <w:sz w:val="28"/>
          <w:szCs w:val="28"/>
          <w:lang w:eastAsia="zh-CN"/>
        </w:rPr>
        <w:t>）供应商在</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eastAsia="zh-CN"/>
        </w:rPr>
        <w:t>规定的磋商有效期内实质上修改或撤回其磋商响应；</w:t>
      </w:r>
    </w:p>
    <w:p w14:paraId="394BD4C4">
      <w:pPr>
        <w:spacing w:line="58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w:t>
      </w:r>
      <w:r>
        <w:rPr>
          <w:rFonts w:ascii="仿宋_GB2312" w:hAnsi="仿宋_GB2312" w:eastAsia="仿宋_GB2312" w:cs="仿宋_GB2312"/>
          <w:color w:val="auto"/>
          <w:sz w:val="28"/>
          <w:szCs w:val="28"/>
          <w:lang w:val="en-US" w:eastAsia="zh-CN"/>
        </w:rPr>
        <w:t>2</w:t>
      </w:r>
      <w:r>
        <w:rPr>
          <w:rFonts w:ascii="仿宋_GB2312" w:hAnsi="仿宋_GB2312" w:eastAsia="仿宋_GB2312" w:cs="仿宋_GB2312"/>
          <w:color w:val="auto"/>
          <w:sz w:val="28"/>
          <w:szCs w:val="28"/>
          <w:lang w:eastAsia="zh-CN"/>
        </w:rPr>
        <w:t>）在</w:t>
      </w:r>
      <w:r>
        <w:rPr>
          <w:rFonts w:hint="default" w:ascii="仿宋_GB2312" w:hAnsi="仿宋_GB2312" w:eastAsia="仿宋_GB2312" w:cs="仿宋_GB2312"/>
          <w:color w:val="auto"/>
          <w:sz w:val="28"/>
          <w:szCs w:val="28"/>
          <w:lang w:val="en" w:eastAsia="zh-CN"/>
        </w:rPr>
        <w:t>竞争性磋商响应文件</w:t>
      </w:r>
      <w:r>
        <w:rPr>
          <w:rFonts w:ascii="仿宋_GB2312" w:hAnsi="仿宋_GB2312" w:eastAsia="仿宋_GB2312" w:cs="仿宋_GB2312"/>
          <w:color w:val="auto"/>
          <w:sz w:val="28"/>
          <w:szCs w:val="28"/>
          <w:lang w:eastAsia="zh-CN"/>
        </w:rPr>
        <w:t>中有意提供虚假材料；</w:t>
      </w:r>
    </w:p>
    <w:p w14:paraId="2D2E24C4">
      <w:pPr>
        <w:spacing w:line="58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w:t>
      </w:r>
      <w:r>
        <w:rPr>
          <w:rFonts w:ascii="仿宋_GB2312" w:hAnsi="仿宋_GB2312" w:eastAsia="仿宋_GB2312" w:cs="仿宋_GB2312"/>
          <w:color w:val="auto"/>
          <w:sz w:val="28"/>
          <w:szCs w:val="28"/>
          <w:lang w:val="en-US" w:eastAsia="zh-CN"/>
        </w:rPr>
        <w:t>3</w:t>
      </w:r>
      <w:r>
        <w:rPr>
          <w:rFonts w:ascii="仿宋_GB2312" w:hAnsi="仿宋_GB2312" w:eastAsia="仿宋_GB2312" w:cs="仿宋_GB2312"/>
          <w:color w:val="auto"/>
          <w:sz w:val="28"/>
          <w:szCs w:val="28"/>
          <w:lang w:eastAsia="zh-CN"/>
        </w:rPr>
        <w:t>）成交供应商拒绝在成交通知书规定的时间内签订合同。</w:t>
      </w:r>
    </w:p>
    <w:p w14:paraId="5E454A91">
      <w:pPr>
        <w:keepNext/>
        <w:keepLines/>
        <w:widowControl w:val="0"/>
        <w:autoSpaceDE w:val="0"/>
        <w:autoSpaceDN w:val="0"/>
        <w:adjustRightInd w:val="0"/>
        <w:spacing w:line="580" w:lineRule="exact"/>
        <w:jc w:val="left"/>
        <w:rPr>
          <w:rFonts w:ascii="仿宋_GB2312" w:hAnsi="仿宋_GB2312" w:eastAsia="仿宋_GB2312" w:cs="仿宋_GB2312"/>
          <w:b/>
          <w:color w:val="auto"/>
          <w:kern w:val="0"/>
          <w:sz w:val="28"/>
          <w:szCs w:val="28"/>
          <w:lang w:val="en-US" w:eastAsia="zh-CN"/>
        </w:rPr>
      </w:pPr>
      <w:r>
        <w:rPr>
          <w:rFonts w:ascii="仿宋_GB2312" w:hAnsi="仿宋_GB2312" w:eastAsia="仿宋_GB2312" w:cs="仿宋_GB2312"/>
          <w:b/>
          <w:bCs/>
          <w:color w:val="auto"/>
          <w:sz w:val="28"/>
          <w:szCs w:val="28"/>
          <w:lang w:eastAsia="zh-CN"/>
        </w:rPr>
        <w:t>23</w:t>
      </w:r>
      <w:r>
        <w:rPr>
          <w:rFonts w:ascii="仿宋_GB2312" w:hAnsi="仿宋_GB2312" w:eastAsia="仿宋_GB2312" w:cs="仿宋_GB2312"/>
          <w:b/>
          <w:bCs/>
          <w:color w:val="auto"/>
          <w:sz w:val="28"/>
          <w:szCs w:val="28"/>
          <w:lang w:val="en-US" w:eastAsia="zh-CN"/>
        </w:rPr>
        <w:t xml:space="preserve">  </w:t>
      </w:r>
      <w:r>
        <w:rPr>
          <w:rFonts w:ascii="仿宋_GB2312" w:hAnsi="仿宋_GB2312" w:eastAsia="仿宋_GB2312" w:cs="仿宋_GB2312"/>
          <w:b/>
          <w:color w:val="auto"/>
          <w:kern w:val="0"/>
          <w:sz w:val="28"/>
          <w:szCs w:val="28"/>
          <w:lang w:val="en-US" w:eastAsia="zh-CN"/>
        </w:rPr>
        <w:t>磋商保证金</w:t>
      </w:r>
    </w:p>
    <w:p w14:paraId="234A94F0">
      <w:pPr>
        <w:spacing w:line="580" w:lineRule="exact"/>
        <w:rPr>
          <w:rFonts w:ascii="仿宋_GB2312" w:hAnsi="仿宋_GB2312" w:eastAsia="仿宋_GB2312" w:cs="仿宋_GB2312"/>
          <w:b/>
          <w:bCs/>
          <w:color w:val="auto"/>
          <w:sz w:val="28"/>
          <w:szCs w:val="28"/>
          <w:lang w:val="en-US" w:eastAsia="zh-CN"/>
        </w:rPr>
      </w:pPr>
      <w:r>
        <w:rPr>
          <w:rFonts w:ascii="仿宋_GB2312" w:hAnsi="仿宋_GB2312" w:eastAsia="仿宋_GB2312" w:cs="仿宋_GB2312"/>
          <w:bCs/>
          <w:color w:val="auto"/>
          <w:sz w:val="28"/>
          <w:szCs w:val="28"/>
          <w:lang w:val="en-US" w:eastAsia="zh-CN"/>
        </w:rPr>
        <w:t>本项目供应商无需提交磋商保证金。</w:t>
      </w:r>
    </w:p>
    <w:p w14:paraId="7F40831D">
      <w:pPr>
        <w:spacing w:line="560" w:lineRule="exact"/>
        <w:rPr>
          <w:rFonts w:ascii="仿宋_GB2312" w:hAnsi="仿宋_GB2312" w:eastAsia="仿宋_GB2312" w:cs="仿宋_GB2312"/>
          <w:b/>
          <w:bCs/>
          <w:color w:val="auto"/>
          <w:sz w:val="28"/>
          <w:szCs w:val="28"/>
          <w:lang w:eastAsia="zh-CN"/>
        </w:rPr>
      </w:pPr>
      <w:r>
        <w:rPr>
          <w:rFonts w:ascii="仿宋_GB2312" w:hAnsi="仿宋_GB2312" w:eastAsia="仿宋_GB2312" w:cs="仿宋_GB2312"/>
          <w:b/>
          <w:bCs/>
          <w:color w:val="auto"/>
          <w:sz w:val="28"/>
          <w:szCs w:val="28"/>
          <w:lang w:val="en-US" w:eastAsia="zh-CN"/>
        </w:rPr>
        <w:t xml:space="preserve">24  </w:t>
      </w:r>
      <w:r>
        <w:rPr>
          <w:rFonts w:ascii="仿宋_GB2312" w:hAnsi="仿宋_GB2312" w:eastAsia="仿宋_GB2312" w:cs="仿宋_GB2312"/>
          <w:b/>
          <w:bCs/>
          <w:color w:val="auto"/>
          <w:sz w:val="28"/>
          <w:szCs w:val="28"/>
          <w:lang w:eastAsia="zh-CN"/>
        </w:rPr>
        <w:t>磋商响应文件有效期</w:t>
      </w:r>
    </w:p>
    <w:p w14:paraId="68F2FE1F">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2</w:t>
      </w:r>
      <w:r>
        <w:rPr>
          <w:rFonts w:ascii="仿宋_GB2312" w:hAnsi="仿宋_GB2312" w:eastAsia="仿宋_GB2312" w:cs="仿宋_GB2312"/>
          <w:color w:val="auto"/>
          <w:sz w:val="28"/>
          <w:szCs w:val="28"/>
          <w:lang w:val="en-US" w:eastAsia="zh-CN"/>
        </w:rPr>
        <w:t>4</w:t>
      </w:r>
      <w:r>
        <w:rPr>
          <w:rFonts w:ascii="仿宋_GB2312" w:hAnsi="仿宋_GB2312" w:eastAsia="仿宋_GB2312" w:cs="仿宋_GB2312"/>
          <w:color w:val="auto"/>
          <w:sz w:val="28"/>
          <w:szCs w:val="28"/>
          <w:lang w:eastAsia="zh-CN"/>
        </w:rPr>
        <w:t>.1</w:t>
      </w:r>
      <w:r>
        <w:rPr>
          <w:rFonts w:hint="default" w:ascii="仿宋_GB2312" w:hAnsi="仿宋_GB2312" w:eastAsia="仿宋_GB2312" w:cs="仿宋_GB2312"/>
          <w:color w:val="auto"/>
          <w:sz w:val="28"/>
          <w:szCs w:val="28"/>
          <w:lang w:val="en" w:eastAsia="zh-CN"/>
        </w:rPr>
        <w:t>竞争性磋商响应文件</w:t>
      </w:r>
      <w:r>
        <w:rPr>
          <w:rFonts w:ascii="仿宋_GB2312" w:hAnsi="仿宋_GB2312" w:eastAsia="仿宋_GB2312" w:cs="仿宋_GB2312"/>
          <w:color w:val="auto"/>
          <w:sz w:val="28"/>
          <w:szCs w:val="28"/>
          <w:lang w:eastAsia="zh-CN"/>
        </w:rPr>
        <w:t>应自</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eastAsia="zh-CN"/>
        </w:rPr>
        <w:t>规定的</w:t>
      </w:r>
      <w:r>
        <w:rPr>
          <w:rFonts w:ascii="仿宋_GB2312" w:hAnsi="仿宋_GB2312" w:eastAsia="仿宋_GB2312" w:cs="仿宋_GB2312"/>
          <w:color w:val="auto"/>
          <w:sz w:val="28"/>
          <w:szCs w:val="28"/>
          <w:lang w:val="en-US" w:eastAsia="zh-CN"/>
        </w:rPr>
        <w:t>提交首次磋商响应文件</w:t>
      </w:r>
      <w:r>
        <w:rPr>
          <w:rFonts w:ascii="仿宋_GB2312" w:hAnsi="仿宋_GB2312" w:eastAsia="仿宋_GB2312" w:cs="仿宋_GB2312"/>
          <w:color w:val="auto"/>
          <w:sz w:val="28"/>
          <w:szCs w:val="28"/>
          <w:lang w:eastAsia="zh-CN"/>
        </w:rPr>
        <w:t>截止日起，在“供应商须知前附表”规定的时间内保持有效。磋商有效期不足的，其磋商响应无效。</w:t>
      </w:r>
    </w:p>
    <w:p w14:paraId="4D0BDE93">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2</w:t>
      </w:r>
      <w:r>
        <w:rPr>
          <w:rFonts w:ascii="仿宋_GB2312" w:hAnsi="仿宋_GB2312" w:eastAsia="仿宋_GB2312" w:cs="仿宋_GB2312"/>
          <w:color w:val="auto"/>
          <w:sz w:val="28"/>
          <w:szCs w:val="28"/>
          <w:lang w:val="en-US" w:eastAsia="zh-CN"/>
        </w:rPr>
        <w:t>4</w:t>
      </w:r>
      <w:r>
        <w:rPr>
          <w:rFonts w:ascii="仿宋_GB2312" w:hAnsi="仿宋_GB2312" w:eastAsia="仿宋_GB2312" w:cs="仿宋_GB2312"/>
          <w:color w:val="auto"/>
          <w:sz w:val="28"/>
          <w:szCs w:val="28"/>
          <w:lang w:eastAsia="zh-CN"/>
        </w:rPr>
        <w:t>.2在特殊情况下，采购人可征求供应商同意延长</w:t>
      </w:r>
      <w:r>
        <w:rPr>
          <w:rFonts w:hint="default" w:ascii="仿宋_GB2312" w:hAnsi="仿宋_GB2312" w:eastAsia="仿宋_GB2312" w:cs="仿宋_GB2312"/>
          <w:color w:val="auto"/>
          <w:sz w:val="28"/>
          <w:szCs w:val="28"/>
          <w:lang w:val="en" w:eastAsia="zh-CN"/>
        </w:rPr>
        <w:t>竞争性磋商响应文件</w:t>
      </w:r>
      <w:r>
        <w:rPr>
          <w:rFonts w:ascii="仿宋_GB2312" w:hAnsi="仿宋_GB2312" w:eastAsia="仿宋_GB2312" w:cs="仿宋_GB2312"/>
          <w:color w:val="auto"/>
          <w:sz w:val="28"/>
          <w:szCs w:val="28"/>
          <w:lang w:eastAsia="zh-CN"/>
        </w:rPr>
        <w:t>的有效期。这种要求与答复均应以书面形式提交。供应商可以拒绝这种要求，原有效期到期后</w:t>
      </w:r>
      <w:r>
        <w:rPr>
          <w:rFonts w:ascii="仿宋_GB2312" w:hAnsi="仿宋_GB2312" w:eastAsia="仿宋_GB2312" w:cs="仿宋_GB2312"/>
          <w:color w:val="auto"/>
          <w:sz w:val="28"/>
          <w:szCs w:val="28"/>
          <w:lang w:val="zh-CN" w:eastAsia="zh-CN"/>
        </w:rPr>
        <w:t>其</w:t>
      </w:r>
      <w:r>
        <w:rPr>
          <w:rFonts w:hint="default" w:ascii="仿宋_GB2312" w:hAnsi="仿宋_GB2312" w:eastAsia="仿宋_GB2312" w:cs="仿宋_GB2312"/>
          <w:color w:val="auto"/>
          <w:sz w:val="28"/>
          <w:szCs w:val="28"/>
          <w:lang w:val="en" w:eastAsia="zh-CN"/>
        </w:rPr>
        <w:t>竞争性磋商响应文件</w:t>
      </w:r>
      <w:r>
        <w:rPr>
          <w:rFonts w:ascii="仿宋_GB2312" w:hAnsi="仿宋_GB2312" w:eastAsia="仿宋_GB2312" w:cs="仿宋_GB2312"/>
          <w:color w:val="auto"/>
          <w:sz w:val="28"/>
          <w:szCs w:val="28"/>
          <w:lang w:val="zh-CN" w:eastAsia="zh-CN"/>
        </w:rPr>
        <w:t>失效</w:t>
      </w:r>
      <w:r>
        <w:rPr>
          <w:rFonts w:ascii="仿宋_GB2312" w:hAnsi="仿宋_GB2312" w:eastAsia="仿宋_GB2312" w:cs="仿宋_GB2312"/>
          <w:color w:val="auto"/>
          <w:sz w:val="28"/>
          <w:szCs w:val="28"/>
          <w:lang w:eastAsia="zh-CN"/>
        </w:rPr>
        <w:t>。同意延期的供应商将不会被要求也不允许修改其</w:t>
      </w:r>
      <w:r>
        <w:rPr>
          <w:rFonts w:hint="default" w:ascii="仿宋_GB2312" w:hAnsi="仿宋_GB2312" w:eastAsia="仿宋_GB2312" w:cs="仿宋_GB2312"/>
          <w:color w:val="auto"/>
          <w:sz w:val="28"/>
          <w:szCs w:val="28"/>
          <w:lang w:val="en" w:eastAsia="zh-CN"/>
        </w:rPr>
        <w:t>竞争性磋商响应文件</w:t>
      </w:r>
      <w:r>
        <w:rPr>
          <w:rFonts w:ascii="仿宋_GB2312" w:hAnsi="仿宋_GB2312" w:eastAsia="仿宋_GB2312" w:cs="仿宋_GB2312"/>
          <w:color w:val="auto"/>
          <w:sz w:val="28"/>
          <w:szCs w:val="28"/>
          <w:lang w:eastAsia="zh-CN"/>
        </w:rPr>
        <w:t>，</w:t>
      </w:r>
      <w:r>
        <w:rPr>
          <w:rFonts w:ascii="仿宋_GB2312" w:hAnsi="仿宋_GB2312" w:eastAsia="仿宋_GB2312" w:cs="仿宋_GB2312"/>
          <w:color w:val="auto"/>
          <w:sz w:val="28"/>
          <w:szCs w:val="28"/>
          <w:lang w:val="zh-CN" w:eastAsia="zh-CN"/>
        </w:rPr>
        <w:t>其</w:t>
      </w:r>
      <w:r>
        <w:rPr>
          <w:rFonts w:hint="default" w:ascii="仿宋_GB2312" w:hAnsi="仿宋_GB2312" w:eastAsia="仿宋_GB2312" w:cs="仿宋_GB2312"/>
          <w:color w:val="auto"/>
          <w:sz w:val="28"/>
          <w:szCs w:val="28"/>
          <w:lang w:val="en" w:eastAsia="zh-CN"/>
        </w:rPr>
        <w:t>竞争性磋商响应文件</w:t>
      </w:r>
      <w:r>
        <w:rPr>
          <w:rFonts w:ascii="仿宋_GB2312" w:hAnsi="仿宋_GB2312" w:eastAsia="仿宋_GB2312" w:cs="仿宋_GB2312"/>
          <w:color w:val="auto"/>
          <w:sz w:val="28"/>
          <w:szCs w:val="28"/>
          <w:lang w:eastAsia="zh-CN"/>
        </w:rPr>
        <w:t>相应延长到新的有效期。</w:t>
      </w:r>
    </w:p>
    <w:p w14:paraId="5B669C25">
      <w:pPr>
        <w:spacing w:line="560" w:lineRule="exact"/>
        <w:rPr>
          <w:rFonts w:ascii="仿宋_GB2312" w:hAnsi="仿宋_GB2312" w:eastAsia="仿宋_GB2312" w:cs="仿宋_GB2312"/>
          <w:b/>
          <w:bCs/>
          <w:color w:val="auto"/>
          <w:sz w:val="28"/>
          <w:szCs w:val="28"/>
          <w:lang w:eastAsia="zh-CN"/>
        </w:rPr>
      </w:pPr>
      <w:r>
        <w:rPr>
          <w:rFonts w:ascii="仿宋_GB2312" w:hAnsi="仿宋_GB2312" w:eastAsia="仿宋_GB2312" w:cs="仿宋_GB2312"/>
          <w:b/>
          <w:bCs/>
          <w:color w:val="auto"/>
          <w:sz w:val="28"/>
          <w:szCs w:val="28"/>
          <w:lang w:val="en-US" w:eastAsia="zh-CN"/>
        </w:rPr>
        <w:t xml:space="preserve">25  </w:t>
      </w:r>
      <w:r>
        <w:rPr>
          <w:rFonts w:hint="default" w:ascii="仿宋_GB2312" w:hAnsi="仿宋_GB2312" w:eastAsia="仿宋_GB2312" w:cs="仿宋_GB2312"/>
          <w:b/>
          <w:bCs/>
          <w:color w:val="auto"/>
          <w:sz w:val="28"/>
          <w:szCs w:val="28"/>
          <w:lang w:val="en" w:eastAsia="zh-CN"/>
        </w:rPr>
        <w:t>竞争性磋商响应文件</w:t>
      </w:r>
      <w:r>
        <w:rPr>
          <w:rFonts w:ascii="仿宋_GB2312" w:hAnsi="仿宋_GB2312" w:eastAsia="仿宋_GB2312" w:cs="仿宋_GB2312"/>
          <w:b/>
          <w:bCs/>
          <w:color w:val="auto"/>
          <w:sz w:val="28"/>
          <w:szCs w:val="28"/>
          <w:lang w:eastAsia="zh-CN"/>
        </w:rPr>
        <w:t>形式和签署</w:t>
      </w:r>
    </w:p>
    <w:p w14:paraId="0A81231E">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2</w:t>
      </w:r>
      <w:r>
        <w:rPr>
          <w:rFonts w:ascii="仿宋_GB2312" w:hAnsi="仿宋_GB2312" w:eastAsia="仿宋_GB2312" w:cs="仿宋_GB2312"/>
          <w:color w:val="auto"/>
          <w:sz w:val="28"/>
          <w:szCs w:val="28"/>
          <w:lang w:val="en-US" w:eastAsia="zh-CN"/>
        </w:rPr>
        <w:t>5</w:t>
      </w:r>
      <w:r>
        <w:rPr>
          <w:rFonts w:ascii="仿宋_GB2312" w:hAnsi="仿宋_GB2312" w:eastAsia="仿宋_GB2312" w:cs="仿宋_GB2312"/>
          <w:color w:val="auto"/>
          <w:sz w:val="28"/>
          <w:szCs w:val="28"/>
          <w:lang w:eastAsia="zh-CN"/>
        </w:rPr>
        <w:t>.1供应商须在</w:t>
      </w:r>
      <w:r>
        <w:rPr>
          <w:rFonts w:ascii="仿宋_GB2312" w:hAnsi="仿宋_GB2312" w:eastAsia="仿宋_GB2312" w:cs="仿宋_GB2312"/>
          <w:color w:val="auto"/>
          <w:sz w:val="28"/>
          <w:szCs w:val="28"/>
          <w:lang w:val="en-US" w:eastAsia="zh-CN"/>
        </w:rPr>
        <w:t>提交首次磋商响应文件</w:t>
      </w:r>
      <w:r>
        <w:rPr>
          <w:rFonts w:ascii="仿宋_GB2312" w:hAnsi="仿宋_GB2312" w:eastAsia="仿宋_GB2312" w:cs="仿宋_GB2312"/>
          <w:color w:val="auto"/>
          <w:sz w:val="28"/>
          <w:szCs w:val="28"/>
          <w:lang w:eastAsia="zh-CN"/>
        </w:rPr>
        <w:t>截止时间前制作并提交加密的电子</w:t>
      </w:r>
      <w:r>
        <w:rPr>
          <w:rFonts w:hint="default" w:ascii="仿宋_GB2312" w:hAnsi="仿宋_GB2312" w:eastAsia="仿宋_GB2312" w:cs="仿宋_GB2312"/>
          <w:color w:val="auto"/>
          <w:sz w:val="28"/>
          <w:szCs w:val="28"/>
          <w:lang w:val="en" w:eastAsia="zh-CN"/>
        </w:rPr>
        <w:t>竞争性磋商响应文件</w:t>
      </w:r>
      <w:r>
        <w:rPr>
          <w:rFonts w:ascii="仿宋_GB2312" w:hAnsi="仿宋_GB2312" w:eastAsia="仿宋_GB2312" w:cs="仿宋_GB2312"/>
          <w:color w:val="auto"/>
          <w:sz w:val="28"/>
          <w:szCs w:val="28"/>
          <w:lang w:eastAsia="zh-CN"/>
        </w:rPr>
        <w:t>。</w:t>
      </w:r>
    </w:p>
    <w:p w14:paraId="172CEA0D">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2</w:t>
      </w:r>
      <w:r>
        <w:rPr>
          <w:rFonts w:ascii="仿宋_GB2312" w:hAnsi="仿宋_GB2312" w:eastAsia="仿宋_GB2312" w:cs="仿宋_GB2312"/>
          <w:color w:val="auto"/>
          <w:sz w:val="28"/>
          <w:szCs w:val="28"/>
          <w:lang w:val="en-US" w:eastAsia="zh-CN"/>
        </w:rPr>
        <w:t>5</w:t>
      </w:r>
      <w:r>
        <w:rPr>
          <w:rFonts w:ascii="仿宋_GB2312" w:hAnsi="仿宋_GB2312" w:eastAsia="仿宋_GB2312" w:cs="仿宋_GB2312"/>
          <w:color w:val="auto"/>
          <w:sz w:val="28"/>
          <w:szCs w:val="28"/>
          <w:lang w:eastAsia="zh-CN"/>
        </w:rPr>
        <w:t>.</w:t>
      </w:r>
      <w:r>
        <w:rPr>
          <w:rFonts w:ascii="仿宋_GB2312" w:hAnsi="仿宋_GB2312" w:eastAsia="仿宋_GB2312" w:cs="仿宋_GB2312"/>
          <w:color w:val="auto"/>
          <w:sz w:val="28"/>
          <w:szCs w:val="28"/>
          <w:lang w:val="en-US" w:eastAsia="zh-CN"/>
        </w:rPr>
        <w:t>2</w:t>
      </w:r>
      <w:r>
        <w:rPr>
          <w:rFonts w:ascii="仿宋_GB2312" w:hAnsi="仿宋_GB2312" w:eastAsia="仿宋_GB2312" w:cs="仿宋_GB2312"/>
          <w:color w:val="auto"/>
          <w:sz w:val="28"/>
          <w:szCs w:val="28"/>
          <w:lang w:eastAsia="zh-CN"/>
        </w:rPr>
        <w:t>供应商可登录河南省公共资源交易中心网（</w:t>
      </w:r>
      <w:r>
        <w:rPr>
          <w:rFonts w:hint="default" w:ascii="仿宋_GB2312" w:hAnsi="仿宋_GB2312" w:eastAsia="仿宋_GB2312" w:cs="仿宋_GB2312"/>
          <w:color w:val="auto"/>
          <w:sz w:val="30"/>
          <w:szCs w:val="30"/>
          <w:lang w:eastAsia="zh-CN"/>
        </w:rPr>
        <w:t>hnsggzyjy.henan.gov.cn</w:t>
      </w:r>
      <w:r>
        <w:rPr>
          <w:rFonts w:ascii="仿宋_GB2312" w:hAnsi="仿宋_GB2312" w:eastAsia="仿宋_GB2312" w:cs="仿宋_GB2312"/>
          <w:color w:val="auto"/>
          <w:sz w:val="28"/>
          <w:szCs w:val="28"/>
          <w:lang w:eastAsia="zh-CN"/>
        </w:rPr>
        <w:t>）查看公共服务—办事指南—</w:t>
      </w:r>
      <w:r>
        <w:rPr>
          <w:rFonts w:ascii="仿宋_GB2312" w:hAnsi="仿宋_GB2312" w:eastAsia="仿宋_GB2312" w:cs="仿宋_GB2312"/>
          <w:color w:val="auto"/>
          <w:sz w:val="28"/>
          <w:szCs w:val="28"/>
          <w:lang w:val="en-US" w:eastAsia="zh-CN"/>
        </w:rPr>
        <w:t>新交易平台使用手册（培训资料）</w:t>
      </w:r>
      <w:r>
        <w:rPr>
          <w:rFonts w:ascii="仿宋_GB2312" w:hAnsi="仿宋_GB2312" w:eastAsia="仿宋_GB2312" w:cs="仿宋_GB2312"/>
          <w:color w:val="auto"/>
          <w:sz w:val="28"/>
          <w:szCs w:val="28"/>
          <w:lang w:eastAsia="zh-CN"/>
        </w:rPr>
        <w:t>。</w:t>
      </w:r>
    </w:p>
    <w:p w14:paraId="311BB862">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2</w:t>
      </w:r>
      <w:r>
        <w:rPr>
          <w:rFonts w:ascii="仿宋_GB2312" w:hAnsi="仿宋_GB2312" w:eastAsia="仿宋_GB2312" w:cs="仿宋_GB2312"/>
          <w:color w:val="auto"/>
          <w:sz w:val="28"/>
          <w:szCs w:val="28"/>
          <w:lang w:val="en-US" w:eastAsia="zh-CN"/>
        </w:rPr>
        <w:t>5</w:t>
      </w:r>
      <w:r>
        <w:rPr>
          <w:rFonts w:ascii="仿宋_GB2312" w:hAnsi="仿宋_GB2312" w:eastAsia="仿宋_GB2312" w:cs="仿宋_GB2312"/>
          <w:color w:val="auto"/>
          <w:sz w:val="28"/>
          <w:szCs w:val="28"/>
          <w:lang w:eastAsia="zh-CN"/>
        </w:rPr>
        <w:t>.</w:t>
      </w:r>
      <w:r>
        <w:rPr>
          <w:rFonts w:ascii="仿宋_GB2312" w:hAnsi="仿宋_GB2312" w:eastAsia="仿宋_GB2312" w:cs="仿宋_GB2312"/>
          <w:color w:val="auto"/>
          <w:sz w:val="28"/>
          <w:szCs w:val="28"/>
          <w:lang w:val="en-US" w:eastAsia="zh-CN"/>
        </w:rPr>
        <w:t>3</w:t>
      </w:r>
      <w:r>
        <w:rPr>
          <w:rFonts w:ascii="仿宋_GB2312" w:hAnsi="仿宋_GB2312" w:eastAsia="仿宋_GB2312" w:cs="仿宋_GB2312"/>
          <w:color w:val="auto"/>
          <w:sz w:val="28"/>
          <w:szCs w:val="28"/>
          <w:lang w:val="zh-CN" w:eastAsia="zh-CN"/>
        </w:rPr>
        <w:t>供应商在制作电子</w:t>
      </w:r>
      <w:r>
        <w:rPr>
          <w:rFonts w:hint="default" w:ascii="仿宋_GB2312" w:hAnsi="仿宋_GB2312" w:eastAsia="仿宋_GB2312" w:cs="仿宋_GB2312"/>
          <w:color w:val="auto"/>
          <w:sz w:val="28"/>
          <w:szCs w:val="28"/>
          <w:lang w:val="en" w:eastAsia="zh-CN"/>
        </w:rPr>
        <w:t>竞争性磋商响应文件</w:t>
      </w:r>
      <w:r>
        <w:rPr>
          <w:rFonts w:ascii="仿宋_GB2312" w:hAnsi="仿宋_GB2312" w:eastAsia="仿宋_GB2312" w:cs="仿宋_GB2312"/>
          <w:color w:val="auto"/>
          <w:sz w:val="28"/>
          <w:szCs w:val="28"/>
          <w:lang w:val="zh-CN" w:eastAsia="zh-CN"/>
        </w:rPr>
        <w:t>时，按格式内容要求进行电子签章（包括企业电子签章、个人电子签章）</w:t>
      </w:r>
      <w:r>
        <w:rPr>
          <w:rFonts w:ascii="仿宋_GB2312" w:hAnsi="仿宋_GB2312" w:eastAsia="仿宋_GB2312" w:cs="仿宋_GB2312"/>
          <w:color w:val="auto"/>
          <w:sz w:val="28"/>
          <w:szCs w:val="28"/>
          <w:lang w:eastAsia="zh-CN"/>
        </w:rPr>
        <w:t>。</w:t>
      </w:r>
    </w:p>
    <w:p w14:paraId="0F7D6245">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2</w:t>
      </w:r>
      <w:r>
        <w:rPr>
          <w:rFonts w:ascii="仿宋_GB2312" w:hAnsi="仿宋_GB2312" w:eastAsia="仿宋_GB2312" w:cs="仿宋_GB2312"/>
          <w:color w:val="auto"/>
          <w:sz w:val="28"/>
          <w:szCs w:val="28"/>
          <w:lang w:val="en-US" w:eastAsia="zh-CN"/>
        </w:rPr>
        <w:t>5</w:t>
      </w:r>
      <w:r>
        <w:rPr>
          <w:rFonts w:ascii="仿宋_GB2312" w:hAnsi="仿宋_GB2312" w:eastAsia="仿宋_GB2312" w:cs="仿宋_GB2312"/>
          <w:color w:val="auto"/>
          <w:sz w:val="28"/>
          <w:szCs w:val="28"/>
          <w:lang w:eastAsia="zh-CN"/>
        </w:rPr>
        <w:t>.</w:t>
      </w:r>
      <w:r>
        <w:rPr>
          <w:rFonts w:ascii="仿宋_GB2312" w:hAnsi="仿宋_GB2312" w:eastAsia="仿宋_GB2312" w:cs="仿宋_GB2312"/>
          <w:color w:val="auto"/>
          <w:sz w:val="28"/>
          <w:szCs w:val="28"/>
          <w:lang w:val="en-US" w:eastAsia="zh-CN"/>
        </w:rPr>
        <w:t>4</w:t>
      </w:r>
      <w:r>
        <w:rPr>
          <w:rFonts w:hint="default" w:ascii="仿宋_GB2312" w:hAnsi="仿宋_GB2312" w:eastAsia="仿宋_GB2312" w:cs="仿宋_GB2312"/>
          <w:color w:val="auto"/>
          <w:sz w:val="28"/>
          <w:szCs w:val="28"/>
          <w:lang w:val="en" w:eastAsia="zh-CN"/>
        </w:rPr>
        <w:t>竞争性磋商响应文件</w:t>
      </w:r>
      <w:r>
        <w:rPr>
          <w:rFonts w:ascii="仿宋_GB2312" w:hAnsi="仿宋_GB2312" w:eastAsia="仿宋_GB2312" w:cs="仿宋_GB2312"/>
          <w:color w:val="auto"/>
          <w:sz w:val="28"/>
          <w:szCs w:val="28"/>
          <w:lang w:eastAsia="zh-CN"/>
        </w:rPr>
        <w:t>以外的任何资料采购人和集中采购机构将拒收。</w:t>
      </w:r>
    </w:p>
    <w:p w14:paraId="582F9C4D">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2</w:t>
      </w:r>
      <w:r>
        <w:rPr>
          <w:rFonts w:ascii="仿宋_GB2312" w:hAnsi="仿宋_GB2312" w:eastAsia="仿宋_GB2312" w:cs="仿宋_GB2312"/>
          <w:color w:val="auto"/>
          <w:sz w:val="28"/>
          <w:szCs w:val="28"/>
          <w:lang w:val="en-US" w:eastAsia="zh-CN"/>
        </w:rPr>
        <w:t>5</w:t>
      </w:r>
      <w:r>
        <w:rPr>
          <w:rFonts w:ascii="仿宋_GB2312" w:hAnsi="仿宋_GB2312" w:eastAsia="仿宋_GB2312" w:cs="仿宋_GB2312"/>
          <w:color w:val="auto"/>
          <w:sz w:val="28"/>
          <w:szCs w:val="28"/>
          <w:lang w:eastAsia="zh-CN"/>
        </w:rPr>
        <w:t>.</w:t>
      </w:r>
      <w:r>
        <w:rPr>
          <w:rFonts w:ascii="仿宋_GB2312" w:hAnsi="仿宋_GB2312" w:eastAsia="仿宋_GB2312" w:cs="仿宋_GB2312"/>
          <w:color w:val="auto"/>
          <w:sz w:val="28"/>
          <w:szCs w:val="28"/>
          <w:lang w:val="en-US" w:eastAsia="zh-CN"/>
        </w:rPr>
        <w:t>5</w:t>
      </w:r>
      <w:r>
        <w:rPr>
          <w:rFonts w:ascii="仿宋_GB2312" w:hAnsi="仿宋_GB2312" w:eastAsia="仿宋_GB2312" w:cs="仿宋_GB2312"/>
          <w:color w:val="auto"/>
          <w:sz w:val="28"/>
          <w:szCs w:val="28"/>
          <w:lang w:eastAsia="zh-CN"/>
        </w:rPr>
        <w:t>其他形式的</w:t>
      </w:r>
      <w:r>
        <w:rPr>
          <w:rFonts w:hint="default" w:ascii="仿宋_GB2312" w:hAnsi="仿宋_GB2312" w:eastAsia="仿宋_GB2312" w:cs="仿宋_GB2312"/>
          <w:color w:val="auto"/>
          <w:sz w:val="28"/>
          <w:szCs w:val="28"/>
          <w:lang w:val="en" w:eastAsia="zh-CN"/>
        </w:rPr>
        <w:t>竞争性磋商响应文件</w:t>
      </w:r>
      <w:r>
        <w:rPr>
          <w:rFonts w:ascii="仿宋_GB2312" w:hAnsi="仿宋_GB2312" w:eastAsia="仿宋_GB2312" w:cs="仿宋_GB2312"/>
          <w:color w:val="auto"/>
          <w:sz w:val="28"/>
          <w:szCs w:val="28"/>
          <w:lang w:eastAsia="zh-CN"/>
        </w:rPr>
        <w:t>一律不接受。</w:t>
      </w:r>
    </w:p>
    <w:p w14:paraId="358C0865">
      <w:pPr>
        <w:spacing w:line="560" w:lineRule="exact"/>
        <w:rPr>
          <w:rFonts w:ascii="仿宋_GB2312" w:hAnsi="仿宋_GB2312" w:eastAsia="仿宋_GB2312" w:cs="仿宋_GB2312"/>
          <w:color w:val="auto"/>
          <w:sz w:val="28"/>
          <w:szCs w:val="28"/>
          <w:lang w:eastAsia="zh-CN"/>
        </w:rPr>
      </w:pPr>
    </w:p>
    <w:p w14:paraId="582ADD09">
      <w:pPr>
        <w:keepNext/>
        <w:keepLines/>
        <w:widowControl w:val="0"/>
        <w:autoSpaceDE w:val="0"/>
        <w:autoSpaceDN w:val="0"/>
        <w:adjustRightInd w:val="0"/>
        <w:spacing w:line="560" w:lineRule="exact"/>
        <w:jc w:val="center"/>
        <w:outlineLvl w:val="1"/>
        <w:rPr>
          <w:rFonts w:ascii="方正小标宋_GBK" w:hAnsi="方正小标宋_GBK" w:eastAsia="方正小标宋_GBK" w:cs="方正小标宋_GBK"/>
          <w:bCs/>
          <w:color w:val="auto"/>
          <w:kern w:val="0"/>
          <w:sz w:val="30"/>
          <w:szCs w:val="30"/>
          <w:lang w:val="en-US" w:eastAsia="zh-CN"/>
        </w:rPr>
      </w:pPr>
      <w:bookmarkStart w:id="40" w:name="_Toc1989290887"/>
      <w:bookmarkStart w:id="41" w:name="_Toc821847507"/>
      <w:r>
        <w:rPr>
          <w:rFonts w:ascii="方正小标宋_GBK" w:hAnsi="方正小标宋_GBK" w:eastAsia="方正小标宋_GBK" w:cs="方正小标宋_GBK"/>
          <w:bCs/>
          <w:color w:val="auto"/>
          <w:kern w:val="0"/>
          <w:sz w:val="30"/>
          <w:szCs w:val="30"/>
          <w:lang w:val="en-US" w:eastAsia="zh-CN"/>
        </w:rPr>
        <w:t>四、</w:t>
      </w:r>
      <w:r>
        <w:rPr>
          <w:rFonts w:hint="default" w:ascii="方正小标宋_GBK" w:hAnsi="方正小标宋_GBK" w:eastAsia="方正小标宋_GBK" w:cs="方正小标宋_GBK"/>
          <w:bCs/>
          <w:color w:val="auto"/>
          <w:kern w:val="0"/>
          <w:sz w:val="30"/>
          <w:szCs w:val="30"/>
          <w:lang w:val="en" w:eastAsia="zh-CN"/>
        </w:rPr>
        <w:t>竞争性磋商响应文件</w:t>
      </w:r>
      <w:r>
        <w:rPr>
          <w:rFonts w:ascii="方正小标宋_GBK" w:hAnsi="方正小标宋_GBK" w:eastAsia="方正小标宋_GBK" w:cs="方正小标宋_GBK"/>
          <w:bCs/>
          <w:color w:val="auto"/>
          <w:kern w:val="0"/>
          <w:sz w:val="30"/>
          <w:szCs w:val="30"/>
          <w:lang w:val="en-US" w:eastAsia="zh-CN"/>
        </w:rPr>
        <w:t>的上传</w:t>
      </w:r>
      <w:bookmarkEnd w:id="40"/>
      <w:bookmarkEnd w:id="41"/>
    </w:p>
    <w:p w14:paraId="7F6E9402">
      <w:pPr>
        <w:spacing w:line="560" w:lineRule="exact"/>
        <w:rPr>
          <w:rFonts w:ascii="仿宋_GB2312" w:hAnsi="仿宋_GB2312" w:eastAsia="仿宋_GB2312" w:cs="仿宋_GB2312"/>
          <w:b/>
          <w:bCs/>
          <w:color w:val="auto"/>
          <w:sz w:val="28"/>
          <w:szCs w:val="28"/>
          <w:lang w:eastAsia="zh-CN"/>
        </w:rPr>
      </w:pPr>
      <w:r>
        <w:rPr>
          <w:rFonts w:ascii="仿宋_GB2312" w:hAnsi="仿宋_GB2312" w:eastAsia="仿宋_GB2312" w:cs="仿宋_GB2312"/>
          <w:b/>
          <w:bCs/>
          <w:color w:val="auto"/>
          <w:sz w:val="28"/>
          <w:szCs w:val="28"/>
          <w:lang w:eastAsia="zh-CN"/>
        </w:rPr>
        <w:t>2</w:t>
      </w:r>
      <w:r>
        <w:rPr>
          <w:rFonts w:ascii="仿宋_GB2312" w:hAnsi="仿宋_GB2312" w:eastAsia="仿宋_GB2312" w:cs="仿宋_GB2312"/>
          <w:b/>
          <w:bCs/>
          <w:color w:val="auto"/>
          <w:sz w:val="28"/>
          <w:szCs w:val="28"/>
          <w:lang w:val="en-US" w:eastAsia="zh-CN"/>
        </w:rPr>
        <w:t>6</w:t>
      </w:r>
      <w:r>
        <w:rPr>
          <w:rFonts w:ascii="仿宋_GB2312" w:hAnsi="仿宋_GB2312" w:eastAsia="仿宋_GB2312" w:cs="仿宋_GB2312"/>
          <w:b/>
          <w:bCs/>
          <w:color w:val="auto"/>
          <w:sz w:val="28"/>
          <w:szCs w:val="28"/>
          <w:lang w:eastAsia="zh-CN"/>
        </w:rPr>
        <w:t>.</w:t>
      </w:r>
      <w:r>
        <w:rPr>
          <w:rFonts w:ascii="仿宋_GB2312" w:hAnsi="仿宋_GB2312" w:eastAsia="仿宋_GB2312" w:cs="仿宋_GB2312"/>
          <w:b/>
          <w:bCs/>
          <w:color w:val="auto"/>
          <w:sz w:val="28"/>
          <w:szCs w:val="28"/>
          <w:lang w:val="en-US" w:eastAsia="zh-CN"/>
        </w:rPr>
        <w:t xml:space="preserve"> </w:t>
      </w:r>
      <w:r>
        <w:rPr>
          <w:rFonts w:hint="default" w:ascii="仿宋_GB2312" w:hAnsi="仿宋_GB2312" w:eastAsia="仿宋_GB2312" w:cs="仿宋_GB2312"/>
          <w:b/>
          <w:bCs/>
          <w:color w:val="auto"/>
          <w:sz w:val="28"/>
          <w:szCs w:val="28"/>
          <w:lang w:val="en" w:eastAsia="zh-CN"/>
        </w:rPr>
        <w:t>竞争性磋商响应文件</w:t>
      </w:r>
      <w:r>
        <w:rPr>
          <w:rFonts w:ascii="仿宋_GB2312" w:hAnsi="仿宋_GB2312" w:eastAsia="仿宋_GB2312" w:cs="仿宋_GB2312"/>
          <w:b/>
          <w:bCs/>
          <w:color w:val="auto"/>
          <w:sz w:val="28"/>
          <w:szCs w:val="28"/>
          <w:lang w:eastAsia="zh-CN"/>
        </w:rPr>
        <w:t>的上传</w:t>
      </w:r>
    </w:p>
    <w:p w14:paraId="50310697">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2</w:t>
      </w:r>
      <w:r>
        <w:rPr>
          <w:rFonts w:ascii="仿宋_GB2312" w:hAnsi="仿宋_GB2312" w:eastAsia="仿宋_GB2312" w:cs="仿宋_GB2312"/>
          <w:color w:val="auto"/>
          <w:sz w:val="28"/>
          <w:szCs w:val="28"/>
          <w:lang w:val="en-US" w:eastAsia="zh-CN"/>
        </w:rPr>
        <w:t>6</w:t>
      </w:r>
      <w:r>
        <w:rPr>
          <w:rFonts w:ascii="仿宋_GB2312" w:hAnsi="仿宋_GB2312" w:eastAsia="仿宋_GB2312" w:cs="仿宋_GB2312"/>
          <w:color w:val="auto"/>
          <w:sz w:val="28"/>
          <w:szCs w:val="28"/>
          <w:lang w:eastAsia="zh-CN"/>
        </w:rPr>
        <w:t>.1加密电子</w:t>
      </w:r>
      <w:r>
        <w:rPr>
          <w:rFonts w:hint="default" w:ascii="仿宋_GB2312" w:hAnsi="仿宋_GB2312" w:eastAsia="仿宋_GB2312" w:cs="仿宋_GB2312"/>
          <w:color w:val="auto"/>
          <w:sz w:val="28"/>
          <w:szCs w:val="28"/>
          <w:lang w:val="en" w:eastAsia="zh-CN"/>
        </w:rPr>
        <w:t>竞争性磋商响应文件</w:t>
      </w:r>
      <w:r>
        <w:rPr>
          <w:rFonts w:ascii="仿宋_GB2312" w:hAnsi="仿宋_GB2312" w:eastAsia="仿宋_GB2312" w:cs="仿宋_GB2312"/>
          <w:color w:val="auto"/>
          <w:sz w:val="28"/>
          <w:szCs w:val="28"/>
          <w:lang w:eastAsia="zh-CN"/>
        </w:rPr>
        <w:t>的上传：见“供应商须知前附表”。</w:t>
      </w:r>
    </w:p>
    <w:p w14:paraId="03D69E0F">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2</w:t>
      </w:r>
      <w:r>
        <w:rPr>
          <w:rFonts w:ascii="仿宋_GB2312" w:hAnsi="仿宋_GB2312" w:eastAsia="仿宋_GB2312" w:cs="仿宋_GB2312"/>
          <w:color w:val="auto"/>
          <w:sz w:val="28"/>
          <w:szCs w:val="28"/>
          <w:lang w:val="en-US" w:eastAsia="zh-CN"/>
        </w:rPr>
        <w:t>6</w:t>
      </w:r>
      <w:r>
        <w:rPr>
          <w:rFonts w:ascii="仿宋_GB2312" w:hAnsi="仿宋_GB2312" w:eastAsia="仿宋_GB2312" w:cs="仿宋_GB2312"/>
          <w:color w:val="auto"/>
          <w:sz w:val="28"/>
          <w:szCs w:val="28"/>
          <w:lang w:eastAsia="zh-CN"/>
        </w:rPr>
        <w:t>.2供应商在上传时认真检查上传</w:t>
      </w:r>
      <w:r>
        <w:rPr>
          <w:rFonts w:hint="default" w:ascii="仿宋_GB2312" w:hAnsi="仿宋_GB2312" w:eastAsia="仿宋_GB2312" w:cs="仿宋_GB2312"/>
          <w:color w:val="auto"/>
          <w:sz w:val="28"/>
          <w:szCs w:val="28"/>
          <w:lang w:val="en" w:eastAsia="zh-CN"/>
        </w:rPr>
        <w:t>竞争性磋商响应文件</w:t>
      </w:r>
      <w:r>
        <w:rPr>
          <w:rFonts w:ascii="仿宋_GB2312" w:hAnsi="仿宋_GB2312" w:eastAsia="仿宋_GB2312" w:cs="仿宋_GB2312"/>
          <w:color w:val="auto"/>
          <w:sz w:val="28"/>
          <w:szCs w:val="28"/>
          <w:lang w:eastAsia="zh-CN"/>
        </w:rPr>
        <w:t>是否完整、正确。供应商因交易中心投标系统问题无法上传电子</w:t>
      </w:r>
      <w:r>
        <w:rPr>
          <w:rFonts w:hint="default" w:ascii="仿宋_GB2312" w:hAnsi="仿宋_GB2312" w:eastAsia="仿宋_GB2312" w:cs="仿宋_GB2312"/>
          <w:color w:val="auto"/>
          <w:sz w:val="28"/>
          <w:szCs w:val="28"/>
          <w:lang w:val="en" w:eastAsia="zh-CN"/>
        </w:rPr>
        <w:t>竞争性磋商响应文件</w:t>
      </w:r>
      <w:r>
        <w:rPr>
          <w:rFonts w:ascii="仿宋_GB2312" w:hAnsi="仿宋_GB2312" w:eastAsia="仿宋_GB2312" w:cs="仿宋_GB2312"/>
          <w:color w:val="auto"/>
          <w:sz w:val="28"/>
          <w:szCs w:val="28"/>
          <w:lang w:eastAsia="zh-CN"/>
        </w:rPr>
        <w:t xml:space="preserve">时，请在工作时间与河南省公共资源交易中心联系，联系电话：0371-65915501。  </w:t>
      </w:r>
    </w:p>
    <w:p w14:paraId="5B7A58B3">
      <w:pPr>
        <w:numPr>
          <w:ilvl w:val="0"/>
          <w:numId w:val="7"/>
        </w:numPr>
        <w:spacing w:line="560" w:lineRule="exact"/>
        <w:rPr>
          <w:rFonts w:ascii="仿宋_GB2312" w:hAnsi="仿宋_GB2312" w:eastAsia="仿宋_GB2312" w:cs="仿宋_GB2312"/>
          <w:b/>
          <w:bCs/>
          <w:color w:val="auto"/>
          <w:sz w:val="28"/>
          <w:szCs w:val="28"/>
          <w:lang w:eastAsia="zh-CN"/>
        </w:rPr>
      </w:pPr>
      <w:r>
        <w:rPr>
          <w:rFonts w:ascii="仿宋_GB2312" w:hAnsi="仿宋_GB2312" w:eastAsia="仿宋_GB2312" w:cs="仿宋_GB2312"/>
          <w:b/>
          <w:bCs/>
          <w:color w:val="auto"/>
          <w:sz w:val="28"/>
          <w:szCs w:val="28"/>
          <w:lang w:val="en-US" w:eastAsia="zh-CN"/>
        </w:rPr>
        <w:t>提交首次磋商响应文件</w:t>
      </w:r>
      <w:r>
        <w:rPr>
          <w:rFonts w:ascii="仿宋_GB2312" w:hAnsi="仿宋_GB2312" w:eastAsia="仿宋_GB2312" w:cs="仿宋_GB2312"/>
          <w:b/>
          <w:bCs/>
          <w:color w:val="auto"/>
          <w:sz w:val="28"/>
          <w:szCs w:val="28"/>
          <w:lang w:eastAsia="zh-CN"/>
        </w:rPr>
        <w:t>截止时间</w:t>
      </w:r>
    </w:p>
    <w:p w14:paraId="7FA9AE27">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2</w:t>
      </w:r>
      <w:r>
        <w:rPr>
          <w:rFonts w:ascii="仿宋_GB2312" w:hAnsi="仿宋_GB2312" w:eastAsia="仿宋_GB2312" w:cs="仿宋_GB2312"/>
          <w:color w:val="auto"/>
          <w:sz w:val="28"/>
          <w:szCs w:val="28"/>
          <w:lang w:val="en-US" w:eastAsia="zh-CN"/>
        </w:rPr>
        <w:t>7</w:t>
      </w:r>
      <w:r>
        <w:rPr>
          <w:rFonts w:ascii="仿宋_GB2312" w:hAnsi="仿宋_GB2312" w:eastAsia="仿宋_GB2312" w:cs="仿宋_GB2312"/>
          <w:color w:val="auto"/>
          <w:sz w:val="28"/>
          <w:szCs w:val="28"/>
          <w:lang w:eastAsia="zh-CN"/>
        </w:rPr>
        <w:t>.1供应商应在</w:t>
      </w:r>
      <w:r>
        <w:rPr>
          <w:rFonts w:ascii="仿宋_GB2312" w:hAnsi="仿宋_GB2312" w:eastAsia="仿宋_GB2312" w:cs="仿宋_GB2312"/>
          <w:color w:val="auto"/>
          <w:sz w:val="28"/>
          <w:szCs w:val="28"/>
          <w:lang w:val="en-US" w:eastAsia="zh-CN"/>
        </w:rPr>
        <w:t>提交首次磋商响应文件</w:t>
      </w:r>
      <w:r>
        <w:rPr>
          <w:rFonts w:ascii="仿宋_GB2312" w:hAnsi="仿宋_GB2312" w:eastAsia="仿宋_GB2312" w:cs="仿宋_GB2312"/>
          <w:color w:val="auto"/>
          <w:sz w:val="28"/>
          <w:szCs w:val="28"/>
          <w:lang w:eastAsia="zh-CN"/>
        </w:rPr>
        <w:t>截止时间前上传</w:t>
      </w:r>
      <w:r>
        <w:rPr>
          <w:rFonts w:hint="default" w:ascii="仿宋_GB2312" w:hAnsi="仿宋_GB2312" w:eastAsia="仿宋_GB2312" w:cs="仿宋_GB2312"/>
          <w:color w:val="auto"/>
          <w:sz w:val="28"/>
          <w:szCs w:val="28"/>
          <w:lang w:val="en" w:eastAsia="zh-CN"/>
        </w:rPr>
        <w:t>竞争性磋商响应文件</w:t>
      </w:r>
      <w:r>
        <w:rPr>
          <w:rFonts w:ascii="仿宋_GB2312" w:hAnsi="仿宋_GB2312" w:eastAsia="仿宋_GB2312" w:cs="仿宋_GB2312"/>
          <w:color w:val="auto"/>
          <w:sz w:val="28"/>
          <w:szCs w:val="28"/>
          <w:lang w:eastAsia="zh-CN"/>
        </w:rPr>
        <w:t>。</w:t>
      </w:r>
    </w:p>
    <w:p w14:paraId="2B8B1A49">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2</w:t>
      </w:r>
      <w:r>
        <w:rPr>
          <w:rFonts w:ascii="仿宋_GB2312" w:hAnsi="仿宋_GB2312" w:eastAsia="仿宋_GB2312" w:cs="仿宋_GB2312"/>
          <w:color w:val="auto"/>
          <w:sz w:val="28"/>
          <w:szCs w:val="28"/>
          <w:lang w:val="en-US" w:eastAsia="zh-CN"/>
        </w:rPr>
        <w:t>7</w:t>
      </w:r>
      <w:r>
        <w:rPr>
          <w:rFonts w:ascii="仿宋_GB2312" w:hAnsi="仿宋_GB2312" w:eastAsia="仿宋_GB2312" w:cs="仿宋_GB2312"/>
          <w:color w:val="auto"/>
          <w:sz w:val="28"/>
          <w:szCs w:val="28"/>
          <w:lang w:eastAsia="zh-CN"/>
        </w:rPr>
        <w:t>.2采购人和集中采购机构可以按本章第12条规定，通过修改</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eastAsia="zh-CN"/>
        </w:rPr>
        <w:t>自行决定酌情延长</w:t>
      </w:r>
      <w:r>
        <w:rPr>
          <w:rFonts w:ascii="仿宋_GB2312" w:hAnsi="仿宋_GB2312" w:eastAsia="仿宋_GB2312" w:cs="仿宋_GB2312"/>
          <w:color w:val="auto"/>
          <w:sz w:val="28"/>
          <w:szCs w:val="28"/>
          <w:lang w:val="en-US" w:eastAsia="zh-CN"/>
        </w:rPr>
        <w:t>提交首次磋商响应文件</w:t>
      </w:r>
      <w:r>
        <w:rPr>
          <w:rFonts w:ascii="仿宋_GB2312" w:hAnsi="仿宋_GB2312" w:eastAsia="仿宋_GB2312" w:cs="仿宋_GB2312"/>
          <w:color w:val="auto"/>
          <w:sz w:val="28"/>
          <w:szCs w:val="28"/>
          <w:lang w:eastAsia="zh-CN"/>
        </w:rPr>
        <w:t>截止期限。</w:t>
      </w:r>
    </w:p>
    <w:p w14:paraId="127C2FC6">
      <w:pPr>
        <w:numPr>
          <w:ilvl w:val="0"/>
          <w:numId w:val="8"/>
        </w:numPr>
        <w:spacing w:line="560" w:lineRule="exact"/>
        <w:rPr>
          <w:rFonts w:ascii="仿宋_GB2312" w:hAnsi="仿宋_GB2312" w:eastAsia="仿宋_GB2312" w:cs="仿宋_GB2312"/>
          <w:b/>
          <w:bCs/>
          <w:color w:val="auto"/>
          <w:sz w:val="28"/>
          <w:szCs w:val="28"/>
          <w:lang w:eastAsia="zh-CN"/>
        </w:rPr>
      </w:pPr>
      <w:r>
        <w:rPr>
          <w:rFonts w:ascii="仿宋_GB2312" w:hAnsi="仿宋_GB2312" w:eastAsia="仿宋_GB2312" w:cs="仿宋_GB2312"/>
          <w:b/>
          <w:bCs/>
          <w:color w:val="auto"/>
          <w:sz w:val="28"/>
          <w:szCs w:val="28"/>
          <w:lang w:eastAsia="zh-CN"/>
        </w:rPr>
        <w:t>迟交的</w:t>
      </w:r>
      <w:r>
        <w:rPr>
          <w:rFonts w:hint="default" w:ascii="仿宋_GB2312" w:hAnsi="仿宋_GB2312" w:eastAsia="仿宋_GB2312" w:cs="仿宋_GB2312"/>
          <w:b/>
          <w:bCs/>
          <w:color w:val="auto"/>
          <w:sz w:val="28"/>
          <w:szCs w:val="28"/>
          <w:lang w:val="en" w:eastAsia="zh-CN"/>
        </w:rPr>
        <w:t>竞争性磋商响应文件</w:t>
      </w:r>
    </w:p>
    <w:p w14:paraId="41417CD2">
      <w:pPr>
        <w:spacing w:line="56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供应商在提交首次磋商响应文件截止时间后上传的磋商响应文件将被拒绝。</w:t>
      </w:r>
    </w:p>
    <w:p w14:paraId="085E5F7B">
      <w:pPr>
        <w:numPr>
          <w:ilvl w:val="0"/>
          <w:numId w:val="8"/>
        </w:numPr>
        <w:spacing w:line="560" w:lineRule="exact"/>
        <w:rPr>
          <w:rFonts w:ascii="仿宋_GB2312" w:hAnsi="仿宋_GB2312" w:eastAsia="仿宋_GB2312" w:cs="仿宋_GB2312"/>
          <w:b/>
          <w:bCs/>
          <w:color w:val="auto"/>
          <w:sz w:val="28"/>
          <w:szCs w:val="28"/>
          <w:lang w:eastAsia="zh-CN"/>
        </w:rPr>
      </w:pPr>
      <w:r>
        <w:rPr>
          <w:rFonts w:hint="default" w:ascii="仿宋_GB2312" w:hAnsi="仿宋_GB2312" w:eastAsia="仿宋_GB2312" w:cs="仿宋_GB2312"/>
          <w:b/>
          <w:bCs/>
          <w:color w:val="auto"/>
          <w:sz w:val="28"/>
          <w:szCs w:val="28"/>
          <w:lang w:val="en" w:eastAsia="zh-CN"/>
        </w:rPr>
        <w:t>竞争性磋商响应文件</w:t>
      </w:r>
      <w:r>
        <w:rPr>
          <w:rFonts w:ascii="仿宋_GB2312" w:hAnsi="仿宋_GB2312" w:eastAsia="仿宋_GB2312" w:cs="仿宋_GB2312"/>
          <w:b/>
          <w:bCs/>
          <w:color w:val="auto"/>
          <w:sz w:val="28"/>
          <w:szCs w:val="28"/>
          <w:lang w:eastAsia="zh-CN"/>
        </w:rPr>
        <w:t>的修改和撤回</w:t>
      </w:r>
    </w:p>
    <w:p w14:paraId="2781A756">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2</w:t>
      </w:r>
      <w:r>
        <w:rPr>
          <w:rFonts w:ascii="仿宋_GB2312" w:hAnsi="仿宋_GB2312" w:eastAsia="仿宋_GB2312" w:cs="仿宋_GB2312"/>
          <w:color w:val="auto"/>
          <w:sz w:val="28"/>
          <w:szCs w:val="28"/>
          <w:lang w:val="en-US" w:eastAsia="zh-CN"/>
        </w:rPr>
        <w:t>9</w:t>
      </w:r>
      <w:r>
        <w:rPr>
          <w:rFonts w:ascii="仿宋_GB2312" w:hAnsi="仿宋_GB2312" w:eastAsia="仿宋_GB2312" w:cs="仿宋_GB2312"/>
          <w:color w:val="auto"/>
          <w:sz w:val="28"/>
          <w:szCs w:val="28"/>
          <w:lang w:eastAsia="zh-CN"/>
        </w:rPr>
        <w:t>.1在</w:t>
      </w:r>
      <w:r>
        <w:rPr>
          <w:rFonts w:ascii="仿宋_GB2312" w:hAnsi="仿宋_GB2312" w:eastAsia="仿宋_GB2312" w:cs="仿宋_GB2312"/>
          <w:color w:val="auto"/>
          <w:sz w:val="28"/>
          <w:szCs w:val="28"/>
          <w:lang w:val="en-US" w:eastAsia="zh-CN"/>
        </w:rPr>
        <w:t>提交首次磋商响应文件</w:t>
      </w:r>
      <w:r>
        <w:rPr>
          <w:rFonts w:ascii="仿宋_GB2312" w:hAnsi="仿宋_GB2312" w:eastAsia="仿宋_GB2312" w:cs="仿宋_GB2312"/>
          <w:color w:val="auto"/>
          <w:sz w:val="28"/>
          <w:szCs w:val="28"/>
          <w:lang w:eastAsia="zh-CN"/>
        </w:rPr>
        <w:t>截止时间前，供应商可以修改或撤回已上传的</w:t>
      </w:r>
      <w:r>
        <w:rPr>
          <w:rFonts w:hint="default" w:ascii="仿宋_GB2312" w:hAnsi="仿宋_GB2312" w:eastAsia="仿宋_GB2312" w:cs="仿宋_GB2312"/>
          <w:color w:val="auto"/>
          <w:sz w:val="28"/>
          <w:szCs w:val="28"/>
          <w:lang w:val="en" w:eastAsia="zh-CN"/>
        </w:rPr>
        <w:t>竞争性磋商响应文件</w:t>
      </w:r>
      <w:r>
        <w:rPr>
          <w:rFonts w:ascii="仿宋_GB2312" w:hAnsi="仿宋_GB2312" w:eastAsia="仿宋_GB2312" w:cs="仿宋_GB2312"/>
          <w:color w:val="auto"/>
          <w:sz w:val="28"/>
          <w:szCs w:val="28"/>
          <w:lang w:eastAsia="zh-CN"/>
        </w:rPr>
        <w:t>。</w:t>
      </w:r>
    </w:p>
    <w:p w14:paraId="33FD43D1">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2</w:t>
      </w:r>
      <w:r>
        <w:rPr>
          <w:rFonts w:ascii="仿宋_GB2312" w:hAnsi="仿宋_GB2312" w:eastAsia="仿宋_GB2312" w:cs="仿宋_GB2312"/>
          <w:color w:val="auto"/>
          <w:sz w:val="28"/>
          <w:szCs w:val="28"/>
          <w:lang w:val="en-US" w:eastAsia="zh-CN"/>
        </w:rPr>
        <w:t>9</w:t>
      </w:r>
      <w:r>
        <w:rPr>
          <w:rFonts w:ascii="仿宋_GB2312" w:hAnsi="仿宋_GB2312" w:eastAsia="仿宋_GB2312" w:cs="仿宋_GB2312"/>
          <w:color w:val="auto"/>
          <w:sz w:val="28"/>
          <w:szCs w:val="28"/>
          <w:lang w:eastAsia="zh-CN"/>
        </w:rPr>
        <w:t>.2在</w:t>
      </w:r>
      <w:r>
        <w:rPr>
          <w:rFonts w:ascii="仿宋_GB2312" w:hAnsi="仿宋_GB2312" w:eastAsia="仿宋_GB2312" w:cs="仿宋_GB2312"/>
          <w:color w:val="auto"/>
          <w:sz w:val="28"/>
          <w:szCs w:val="28"/>
          <w:lang w:val="en-US" w:eastAsia="zh-CN"/>
        </w:rPr>
        <w:t>提交首次磋商响应文件</w:t>
      </w:r>
      <w:r>
        <w:rPr>
          <w:rFonts w:ascii="仿宋_GB2312" w:hAnsi="仿宋_GB2312" w:eastAsia="仿宋_GB2312" w:cs="仿宋_GB2312"/>
          <w:color w:val="auto"/>
          <w:sz w:val="28"/>
          <w:szCs w:val="28"/>
          <w:lang w:eastAsia="zh-CN"/>
        </w:rPr>
        <w:t>截止时间后，供应商不得修改或撤回其</w:t>
      </w:r>
      <w:r>
        <w:rPr>
          <w:rFonts w:hint="default" w:ascii="仿宋_GB2312" w:hAnsi="仿宋_GB2312" w:eastAsia="仿宋_GB2312" w:cs="仿宋_GB2312"/>
          <w:color w:val="auto"/>
          <w:sz w:val="28"/>
          <w:szCs w:val="28"/>
          <w:lang w:val="en" w:eastAsia="zh-CN"/>
        </w:rPr>
        <w:t>竞争性磋商响应文件</w:t>
      </w:r>
      <w:r>
        <w:rPr>
          <w:rFonts w:ascii="仿宋_GB2312" w:hAnsi="仿宋_GB2312" w:eastAsia="仿宋_GB2312" w:cs="仿宋_GB2312"/>
          <w:color w:val="auto"/>
          <w:sz w:val="28"/>
          <w:szCs w:val="28"/>
          <w:lang w:eastAsia="zh-CN"/>
        </w:rPr>
        <w:t>。</w:t>
      </w:r>
    </w:p>
    <w:p w14:paraId="161F7DE6">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2</w:t>
      </w:r>
      <w:r>
        <w:rPr>
          <w:rFonts w:ascii="仿宋_GB2312" w:hAnsi="仿宋_GB2312" w:eastAsia="仿宋_GB2312" w:cs="仿宋_GB2312"/>
          <w:color w:val="auto"/>
          <w:sz w:val="28"/>
          <w:szCs w:val="28"/>
          <w:lang w:val="en-US" w:eastAsia="zh-CN"/>
        </w:rPr>
        <w:t>9</w:t>
      </w:r>
      <w:r>
        <w:rPr>
          <w:rFonts w:ascii="仿宋_GB2312" w:hAnsi="仿宋_GB2312" w:eastAsia="仿宋_GB2312" w:cs="仿宋_GB2312"/>
          <w:color w:val="auto"/>
          <w:sz w:val="28"/>
          <w:szCs w:val="28"/>
          <w:lang w:eastAsia="zh-CN"/>
        </w:rPr>
        <w:t>.3在</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eastAsia="zh-CN"/>
        </w:rPr>
        <w:t>规定的磋商有效期内，供应商不得实质上修改或撤回其磋商响应文件。</w:t>
      </w:r>
    </w:p>
    <w:p w14:paraId="512D9348">
      <w:pPr>
        <w:spacing w:line="560" w:lineRule="exact"/>
        <w:rPr>
          <w:rFonts w:ascii="仿宋_GB2312" w:hAnsi="仿宋_GB2312" w:eastAsia="仿宋_GB2312" w:cs="仿宋_GB2312"/>
          <w:color w:val="auto"/>
          <w:sz w:val="28"/>
          <w:szCs w:val="28"/>
          <w:lang w:eastAsia="zh-CN"/>
        </w:rPr>
      </w:pPr>
    </w:p>
    <w:p w14:paraId="5C7809DF">
      <w:pPr>
        <w:keepNext/>
        <w:keepLines/>
        <w:widowControl w:val="0"/>
        <w:autoSpaceDE w:val="0"/>
        <w:autoSpaceDN w:val="0"/>
        <w:adjustRightInd w:val="0"/>
        <w:spacing w:line="560" w:lineRule="exact"/>
        <w:jc w:val="center"/>
        <w:outlineLvl w:val="1"/>
        <w:rPr>
          <w:rFonts w:ascii="方正小标宋_GBK" w:hAnsi="方正小标宋_GBK" w:eastAsia="方正小标宋_GBK" w:cs="方正小标宋_GBK"/>
          <w:bCs/>
          <w:color w:val="auto"/>
          <w:kern w:val="0"/>
          <w:sz w:val="30"/>
          <w:szCs w:val="30"/>
          <w:lang w:val="en-US" w:eastAsia="zh-CN"/>
        </w:rPr>
      </w:pPr>
      <w:bookmarkStart w:id="42" w:name="_Toc67310302"/>
      <w:bookmarkStart w:id="43" w:name="_Toc323030652"/>
      <w:r>
        <w:rPr>
          <w:rFonts w:ascii="方正小标宋_GBK" w:hAnsi="方正小标宋_GBK" w:eastAsia="方正小标宋_GBK" w:cs="方正小标宋_GBK"/>
          <w:bCs/>
          <w:color w:val="auto"/>
          <w:kern w:val="0"/>
          <w:sz w:val="30"/>
          <w:szCs w:val="30"/>
          <w:lang w:val="en-US" w:eastAsia="zh-CN"/>
        </w:rPr>
        <w:t>五、开启与评审</w:t>
      </w:r>
      <w:bookmarkEnd w:id="42"/>
      <w:bookmarkEnd w:id="43"/>
    </w:p>
    <w:p w14:paraId="041F8C41">
      <w:pPr>
        <w:spacing w:line="560" w:lineRule="exact"/>
        <w:rPr>
          <w:rFonts w:ascii="仿宋_GB2312" w:hAnsi="仿宋_GB2312" w:eastAsia="仿宋_GB2312" w:cs="仿宋_GB2312"/>
          <w:b/>
          <w:bCs/>
          <w:color w:val="auto"/>
          <w:sz w:val="28"/>
          <w:szCs w:val="28"/>
          <w:lang w:eastAsia="zh-CN"/>
        </w:rPr>
      </w:pPr>
      <w:r>
        <w:rPr>
          <w:rFonts w:ascii="仿宋_GB2312" w:hAnsi="仿宋_GB2312" w:eastAsia="仿宋_GB2312" w:cs="仿宋_GB2312"/>
          <w:b/>
          <w:bCs/>
          <w:color w:val="auto"/>
          <w:sz w:val="28"/>
          <w:szCs w:val="28"/>
          <w:lang w:val="en-US" w:eastAsia="zh-CN"/>
        </w:rPr>
        <w:t>30</w:t>
      </w:r>
      <w:r>
        <w:rPr>
          <w:rFonts w:ascii="仿宋_GB2312" w:hAnsi="仿宋_GB2312" w:eastAsia="仿宋_GB2312" w:cs="仿宋_GB2312"/>
          <w:b/>
          <w:bCs/>
          <w:color w:val="auto"/>
          <w:sz w:val="28"/>
          <w:szCs w:val="28"/>
          <w:lang w:eastAsia="zh-CN"/>
        </w:rPr>
        <w:t>.</w:t>
      </w:r>
      <w:r>
        <w:rPr>
          <w:rFonts w:ascii="仿宋_GB2312" w:hAnsi="仿宋_GB2312" w:eastAsia="仿宋_GB2312" w:cs="仿宋_GB2312"/>
          <w:b/>
          <w:bCs/>
          <w:color w:val="auto"/>
          <w:sz w:val="28"/>
          <w:szCs w:val="28"/>
          <w:lang w:val="en-US" w:eastAsia="zh-CN"/>
        </w:rPr>
        <w:t xml:space="preserve"> </w:t>
      </w:r>
      <w:r>
        <w:rPr>
          <w:rFonts w:ascii="仿宋_GB2312" w:hAnsi="仿宋_GB2312" w:eastAsia="仿宋_GB2312" w:cs="仿宋_GB2312"/>
          <w:b/>
          <w:bCs/>
          <w:color w:val="auto"/>
          <w:sz w:val="28"/>
          <w:szCs w:val="28"/>
          <w:lang w:eastAsia="zh-CN"/>
        </w:rPr>
        <w:t>开启</w:t>
      </w:r>
    </w:p>
    <w:p w14:paraId="49543DBA">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30</w:t>
      </w:r>
      <w:r>
        <w:rPr>
          <w:rFonts w:ascii="仿宋_GB2312" w:hAnsi="仿宋_GB2312" w:eastAsia="仿宋_GB2312" w:cs="仿宋_GB2312"/>
          <w:color w:val="auto"/>
          <w:sz w:val="28"/>
          <w:szCs w:val="28"/>
          <w:lang w:eastAsia="zh-CN"/>
        </w:rPr>
        <w:t>.1开启及解密方式：见“供应商须知前附表”。</w:t>
      </w:r>
    </w:p>
    <w:p w14:paraId="3FD0F78A">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30</w:t>
      </w:r>
      <w:r>
        <w:rPr>
          <w:rFonts w:ascii="仿宋_GB2312" w:hAnsi="仿宋_GB2312" w:eastAsia="仿宋_GB2312" w:cs="仿宋_GB2312"/>
          <w:color w:val="auto"/>
          <w:sz w:val="28"/>
          <w:szCs w:val="28"/>
          <w:lang w:eastAsia="zh-CN"/>
        </w:rPr>
        <w:t>.2不见面开标大厅网址：见“供应商须知前附表”。</w:t>
      </w:r>
    </w:p>
    <w:p w14:paraId="4EB54359">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30</w:t>
      </w:r>
      <w:r>
        <w:rPr>
          <w:rFonts w:ascii="仿宋_GB2312" w:hAnsi="仿宋_GB2312" w:eastAsia="仿宋_GB2312" w:cs="仿宋_GB2312"/>
          <w:color w:val="auto"/>
          <w:sz w:val="28"/>
          <w:szCs w:val="28"/>
          <w:lang w:eastAsia="zh-CN"/>
        </w:rPr>
        <w:t>.3开启时，集中采购机构将通过网上开标系统公布供应商名称。</w:t>
      </w:r>
    </w:p>
    <w:p w14:paraId="1AE57B7C">
      <w:pPr>
        <w:spacing w:line="560" w:lineRule="exact"/>
        <w:rPr>
          <w:rFonts w:ascii="仿宋_GB2312" w:hAnsi="仿宋_GB2312" w:eastAsia="仿宋_GB2312" w:cs="仿宋_GB2312"/>
          <w:b/>
          <w:bCs/>
          <w:color w:val="auto"/>
          <w:sz w:val="28"/>
          <w:szCs w:val="28"/>
          <w:lang w:eastAsia="zh-CN"/>
        </w:rPr>
      </w:pPr>
      <w:r>
        <w:rPr>
          <w:rFonts w:ascii="仿宋_GB2312" w:hAnsi="仿宋_GB2312" w:eastAsia="仿宋_GB2312" w:cs="仿宋_GB2312"/>
          <w:b/>
          <w:bCs/>
          <w:color w:val="auto"/>
          <w:sz w:val="28"/>
          <w:szCs w:val="28"/>
          <w:lang w:val="en-US" w:eastAsia="zh-CN"/>
        </w:rPr>
        <w:t xml:space="preserve">31.  </w:t>
      </w:r>
      <w:r>
        <w:rPr>
          <w:rFonts w:ascii="仿宋_GB2312" w:hAnsi="仿宋_GB2312" w:eastAsia="仿宋_GB2312" w:cs="仿宋_GB2312"/>
          <w:b/>
          <w:bCs/>
          <w:color w:val="auto"/>
          <w:sz w:val="28"/>
          <w:szCs w:val="28"/>
          <w:lang w:eastAsia="zh-CN"/>
        </w:rPr>
        <w:t>信用查询</w:t>
      </w:r>
    </w:p>
    <w:p w14:paraId="70BF08D4">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信用记录的查询方法：见“供应商须知前附表”。</w:t>
      </w:r>
    </w:p>
    <w:p w14:paraId="6BC2A37A">
      <w:pPr>
        <w:spacing w:line="560" w:lineRule="exact"/>
        <w:rPr>
          <w:rFonts w:ascii="仿宋_GB2312" w:hAnsi="仿宋_GB2312" w:eastAsia="仿宋_GB2312" w:cs="仿宋_GB2312"/>
          <w:b/>
          <w:bCs/>
          <w:color w:val="auto"/>
          <w:sz w:val="28"/>
          <w:szCs w:val="28"/>
          <w:lang w:eastAsia="zh-CN"/>
        </w:rPr>
      </w:pPr>
      <w:r>
        <w:rPr>
          <w:rFonts w:ascii="仿宋_GB2312" w:hAnsi="仿宋_GB2312" w:eastAsia="仿宋_GB2312" w:cs="仿宋_GB2312"/>
          <w:b/>
          <w:bCs/>
          <w:color w:val="auto"/>
          <w:sz w:val="28"/>
          <w:szCs w:val="28"/>
          <w:lang w:eastAsia="zh-CN"/>
        </w:rPr>
        <w:t>3</w:t>
      </w:r>
      <w:r>
        <w:rPr>
          <w:rFonts w:ascii="仿宋_GB2312" w:hAnsi="仿宋_GB2312" w:eastAsia="仿宋_GB2312" w:cs="仿宋_GB2312"/>
          <w:b/>
          <w:bCs/>
          <w:color w:val="auto"/>
          <w:sz w:val="28"/>
          <w:szCs w:val="28"/>
          <w:lang w:val="en-US" w:eastAsia="zh-CN"/>
        </w:rPr>
        <w:t>2</w:t>
      </w:r>
      <w:r>
        <w:rPr>
          <w:rFonts w:ascii="仿宋_GB2312" w:hAnsi="仿宋_GB2312" w:eastAsia="仿宋_GB2312" w:cs="仿宋_GB2312"/>
          <w:b/>
          <w:bCs/>
          <w:color w:val="auto"/>
          <w:sz w:val="28"/>
          <w:szCs w:val="28"/>
          <w:lang w:eastAsia="zh-CN"/>
        </w:rPr>
        <w:t>.</w:t>
      </w:r>
      <w:r>
        <w:rPr>
          <w:rFonts w:ascii="仿宋_GB2312" w:hAnsi="仿宋_GB2312" w:eastAsia="仿宋_GB2312" w:cs="仿宋_GB2312"/>
          <w:b/>
          <w:bCs/>
          <w:color w:val="auto"/>
          <w:sz w:val="28"/>
          <w:szCs w:val="28"/>
          <w:lang w:val="en-US" w:eastAsia="zh-CN"/>
        </w:rPr>
        <w:t xml:space="preserve"> </w:t>
      </w:r>
      <w:r>
        <w:rPr>
          <w:rFonts w:ascii="仿宋_GB2312" w:hAnsi="仿宋_GB2312" w:eastAsia="仿宋_GB2312" w:cs="仿宋_GB2312"/>
          <w:b/>
          <w:bCs/>
          <w:color w:val="auto"/>
          <w:sz w:val="28"/>
          <w:szCs w:val="28"/>
          <w:lang w:eastAsia="zh-CN"/>
        </w:rPr>
        <w:t>竞争性磋商小组</w:t>
      </w:r>
    </w:p>
    <w:p w14:paraId="25065FE8">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3</w:t>
      </w:r>
      <w:r>
        <w:rPr>
          <w:rFonts w:ascii="仿宋_GB2312" w:hAnsi="仿宋_GB2312" w:eastAsia="仿宋_GB2312" w:cs="仿宋_GB2312"/>
          <w:color w:val="auto"/>
          <w:sz w:val="28"/>
          <w:szCs w:val="28"/>
          <w:lang w:val="en-US" w:eastAsia="zh-CN"/>
        </w:rPr>
        <w:t>2</w:t>
      </w:r>
      <w:r>
        <w:rPr>
          <w:rFonts w:ascii="仿宋_GB2312" w:hAnsi="仿宋_GB2312" w:eastAsia="仿宋_GB2312" w:cs="仿宋_GB2312"/>
          <w:color w:val="auto"/>
          <w:sz w:val="28"/>
          <w:szCs w:val="28"/>
          <w:lang w:eastAsia="zh-CN"/>
        </w:rPr>
        <w:t>.1评审由竞争性磋商小组负责，竞争性磋商小组由采购人代表和有关技术、经济等方面的专家组成，成员人数见“供应商须知前附表”。其中技术、经济等方面的专家不少于成员总数的三分之二。评审专家由采购人从河南省财政厅政府采购专家库中</w:t>
      </w:r>
      <w:r>
        <w:rPr>
          <w:rFonts w:ascii="仿宋_GB2312" w:hAnsi="仿宋_GB2312" w:eastAsia="仿宋_GB2312" w:cs="仿宋_GB2312"/>
          <w:color w:val="auto"/>
          <w:sz w:val="28"/>
          <w:szCs w:val="28"/>
          <w:lang w:val="en-US" w:eastAsia="zh-CN"/>
        </w:rPr>
        <w:t>提交</w:t>
      </w:r>
      <w:r>
        <w:rPr>
          <w:rFonts w:ascii="仿宋_GB2312" w:hAnsi="仿宋_GB2312" w:eastAsia="仿宋_GB2312" w:cs="仿宋_GB2312"/>
          <w:color w:val="auto"/>
          <w:sz w:val="28"/>
          <w:szCs w:val="28"/>
          <w:lang w:eastAsia="zh-CN"/>
        </w:rPr>
        <w:t>抽取</w:t>
      </w:r>
      <w:r>
        <w:rPr>
          <w:rFonts w:ascii="仿宋_GB2312" w:hAnsi="仿宋_GB2312" w:eastAsia="仿宋_GB2312" w:cs="仿宋_GB2312"/>
          <w:color w:val="auto"/>
          <w:sz w:val="28"/>
          <w:szCs w:val="28"/>
          <w:lang w:val="en-US" w:eastAsia="zh-CN"/>
        </w:rPr>
        <w:t>申请</w:t>
      </w:r>
      <w:r>
        <w:rPr>
          <w:rFonts w:ascii="仿宋_GB2312" w:hAnsi="仿宋_GB2312" w:eastAsia="仿宋_GB2312" w:cs="仿宋_GB2312"/>
          <w:color w:val="auto"/>
          <w:sz w:val="28"/>
          <w:szCs w:val="28"/>
          <w:lang w:eastAsia="zh-CN"/>
        </w:rPr>
        <w:t>，有关人员对竞争性磋商小组成员名单须严格保密。</w:t>
      </w:r>
    </w:p>
    <w:p w14:paraId="009A0002">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3</w:t>
      </w:r>
      <w:r>
        <w:rPr>
          <w:rFonts w:ascii="仿宋_GB2312" w:hAnsi="仿宋_GB2312" w:eastAsia="仿宋_GB2312" w:cs="仿宋_GB2312"/>
          <w:color w:val="auto"/>
          <w:sz w:val="28"/>
          <w:szCs w:val="28"/>
          <w:lang w:val="en-US" w:eastAsia="zh-CN"/>
        </w:rPr>
        <w:t>2</w:t>
      </w:r>
      <w:r>
        <w:rPr>
          <w:rFonts w:ascii="仿宋_GB2312" w:hAnsi="仿宋_GB2312" w:eastAsia="仿宋_GB2312" w:cs="仿宋_GB2312"/>
          <w:color w:val="auto"/>
          <w:sz w:val="28"/>
          <w:szCs w:val="28"/>
          <w:lang w:eastAsia="zh-CN"/>
        </w:rPr>
        <w:t>.2与供应商有利害关系的人员不得进入竞争性磋商小组。</w:t>
      </w:r>
    </w:p>
    <w:p w14:paraId="2EFEED19">
      <w:pPr>
        <w:numPr>
          <w:ilvl w:val="0"/>
          <w:numId w:val="9"/>
        </w:numPr>
        <w:spacing w:line="560" w:lineRule="exact"/>
        <w:rPr>
          <w:rFonts w:ascii="仿宋_GB2312" w:hAnsi="仿宋_GB2312" w:eastAsia="仿宋_GB2312" w:cs="仿宋_GB2312"/>
          <w:b/>
          <w:bCs/>
          <w:color w:val="auto"/>
          <w:sz w:val="28"/>
          <w:szCs w:val="28"/>
          <w:lang w:eastAsia="zh-CN"/>
        </w:rPr>
      </w:pPr>
      <w:r>
        <w:rPr>
          <w:rFonts w:hint="default" w:ascii="仿宋_GB2312" w:hAnsi="仿宋_GB2312" w:eastAsia="仿宋_GB2312" w:cs="仿宋_GB2312"/>
          <w:b/>
          <w:bCs/>
          <w:color w:val="auto"/>
          <w:sz w:val="28"/>
          <w:szCs w:val="28"/>
          <w:lang w:val="en" w:eastAsia="zh-CN"/>
        </w:rPr>
        <w:t>竞争性磋商响应文件</w:t>
      </w:r>
      <w:r>
        <w:rPr>
          <w:rFonts w:ascii="仿宋_GB2312" w:hAnsi="仿宋_GB2312" w:eastAsia="仿宋_GB2312" w:cs="仿宋_GB2312"/>
          <w:b/>
          <w:bCs/>
          <w:color w:val="auto"/>
          <w:sz w:val="28"/>
          <w:szCs w:val="28"/>
          <w:lang w:eastAsia="zh-CN"/>
        </w:rPr>
        <w:t>的澄清</w:t>
      </w:r>
    </w:p>
    <w:p w14:paraId="04DA9D8C">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3</w:t>
      </w:r>
      <w:r>
        <w:rPr>
          <w:rFonts w:ascii="仿宋_GB2312" w:hAnsi="仿宋_GB2312" w:eastAsia="仿宋_GB2312" w:cs="仿宋_GB2312"/>
          <w:color w:val="auto"/>
          <w:sz w:val="28"/>
          <w:szCs w:val="28"/>
          <w:lang w:val="en-US" w:eastAsia="zh-CN"/>
        </w:rPr>
        <w:t>3</w:t>
      </w:r>
      <w:r>
        <w:rPr>
          <w:rFonts w:ascii="仿宋_GB2312" w:hAnsi="仿宋_GB2312" w:eastAsia="仿宋_GB2312" w:cs="仿宋_GB2312"/>
          <w:color w:val="auto"/>
          <w:sz w:val="28"/>
          <w:szCs w:val="28"/>
          <w:lang w:eastAsia="zh-CN"/>
        </w:rPr>
        <w:t>.1为了有助于对</w:t>
      </w:r>
      <w:r>
        <w:rPr>
          <w:rFonts w:hint="default" w:ascii="仿宋_GB2312" w:hAnsi="仿宋_GB2312" w:eastAsia="仿宋_GB2312" w:cs="仿宋_GB2312"/>
          <w:color w:val="auto"/>
          <w:sz w:val="28"/>
          <w:szCs w:val="28"/>
          <w:lang w:val="en" w:eastAsia="zh-CN"/>
        </w:rPr>
        <w:t>竞争性磋商响应文件</w:t>
      </w:r>
      <w:r>
        <w:rPr>
          <w:rFonts w:ascii="仿宋_GB2312" w:hAnsi="仿宋_GB2312" w:eastAsia="仿宋_GB2312" w:cs="仿宋_GB2312"/>
          <w:color w:val="auto"/>
          <w:sz w:val="28"/>
          <w:szCs w:val="28"/>
          <w:lang w:eastAsia="zh-CN"/>
        </w:rPr>
        <w:t>进行审查、评估和比较，竞争性磋商小组有权向供应商</w:t>
      </w:r>
      <w:r>
        <w:rPr>
          <w:rFonts w:ascii="仿宋_GB2312" w:hAnsi="仿宋_GB2312" w:eastAsia="仿宋_GB2312" w:cs="仿宋_GB2312"/>
          <w:color w:val="auto"/>
          <w:sz w:val="28"/>
          <w:szCs w:val="28"/>
          <w:lang w:val="en-US" w:eastAsia="zh-CN"/>
        </w:rPr>
        <w:t>提出澄清</w:t>
      </w:r>
      <w:r>
        <w:rPr>
          <w:rFonts w:ascii="仿宋_GB2312" w:hAnsi="仿宋_GB2312" w:eastAsia="仿宋_GB2312" w:cs="仿宋_GB2312"/>
          <w:color w:val="auto"/>
          <w:sz w:val="28"/>
          <w:szCs w:val="28"/>
          <w:lang w:eastAsia="zh-CN"/>
        </w:rPr>
        <w:t>，请供应商澄清其磋商响应内容。</w:t>
      </w:r>
    </w:p>
    <w:p w14:paraId="51DAAB15">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3</w:t>
      </w:r>
      <w:r>
        <w:rPr>
          <w:rFonts w:ascii="仿宋_GB2312" w:hAnsi="仿宋_GB2312" w:eastAsia="仿宋_GB2312" w:cs="仿宋_GB2312"/>
          <w:color w:val="auto"/>
          <w:sz w:val="28"/>
          <w:szCs w:val="28"/>
          <w:lang w:val="en-US" w:eastAsia="zh-CN"/>
        </w:rPr>
        <w:t>3</w:t>
      </w:r>
      <w:r>
        <w:rPr>
          <w:rFonts w:ascii="仿宋_GB2312" w:hAnsi="仿宋_GB2312" w:eastAsia="仿宋_GB2312" w:cs="仿宋_GB2312"/>
          <w:color w:val="auto"/>
          <w:sz w:val="28"/>
          <w:szCs w:val="28"/>
          <w:lang w:eastAsia="zh-CN"/>
        </w:rPr>
        <w:t>.2澄清的答复应加盖供应商公章（或企业电子签章）或由法定代表人（或其委托代理人）签字或签章（或个人电子签章）。</w:t>
      </w:r>
    </w:p>
    <w:p w14:paraId="4CE2350F">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3</w:t>
      </w:r>
      <w:r>
        <w:rPr>
          <w:rFonts w:ascii="仿宋_GB2312" w:hAnsi="仿宋_GB2312" w:eastAsia="仿宋_GB2312" w:cs="仿宋_GB2312"/>
          <w:color w:val="auto"/>
          <w:sz w:val="28"/>
          <w:szCs w:val="28"/>
          <w:lang w:val="en-US" w:eastAsia="zh-CN"/>
        </w:rPr>
        <w:t>3</w:t>
      </w:r>
      <w:r>
        <w:rPr>
          <w:rFonts w:ascii="仿宋_GB2312" w:hAnsi="仿宋_GB2312" w:eastAsia="仿宋_GB2312" w:cs="仿宋_GB2312"/>
          <w:color w:val="auto"/>
          <w:sz w:val="28"/>
          <w:szCs w:val="28"/>
          <w:lang w:eastAsia="zh-CN"/>
        </w:rPr>
        <w:t>.3供应商的澄清文件是</w:t>
      </w:r>
      <w:r>
        <w:rPr>
          <w:rFonts w:hint="default" w:ascii="仿宋_GB2312" w:hAnsi="仿宋_GB2312" w:eastAsia="仿宋_GB2312" w:cs="仿宋_GB2312"/>
          <w:color w:val="auto"/>
          <w:sz w:val="28"/>
          <w:szCs w:val="28"/>
          <w:lang w:val="en" w:eastAsia="zh-CN"/>
        </w:rPr>
        <w:t>竞争性磋商响应文件</w:t>
      </w:r>
      <w:r>
        <w:rPr>
          <w:rFonts w:ascii="仿宋_GB2312" w:hAnsi="仿宋_GB2312" w:eastAsia="仿宋_GB2312" w:cs="仿宋_GB2312"/>
          <w:color w:val="auto"/>
          <w:sz w:val="28"/>
          <w:szCs w:val="28"/>
          <w:lang w:eastAsia="zh-CN"/>
        </w:rPr>
        <w:t>的组成部分。</w:t>
      </w:r>
    </w:p>
    <w:p w14:paraId="1D1A5C50">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3</w:t>
      </w:r>
      <w:r>
        <w:rPr>
          <w:rFonts w:ascii="仿宋_GB2312" w:hAnsi="仿宋_GB2312" w:eastAsia="仿宋_GB2312" w:cs="仿宋_GB2312"/>
          <w:color w:val="auto"/>
          <w:sz w:val="28"/>
          <w:szCs w:val="28"/>
          <w:lang w:val="en-US" w:eastAsia="zh-CN"/>
        </w:rPr>
        <w:t>3</w:t>
      </w:r>
      <w:r>
        <w:rPr>
          <w:rFonts w:ascii="仿宋_GB2312" w:hAnsi="仿宋_GB2312" w:eastAsia="仿宋_GB2312" w:cs="仿宋_GB2312"/>
          <w:color w:val="auto"/>
          <w:sz w:val="28"/>
          <w:szCs w:val="28"/>
          <w:lang w:eastAsia="zh-CN"/>
        </w:rPr>
        <w:t>.4</w:t>
      </w:r>
      <w:r>
        <w:rPr>
          <w:rFonts w:hint="default" w:ascii="仿宋_GB2312" w:hAnsi="仿宋_GB2312" w:eastAsia="仿宋_GB2312" w:cs="仿宋_GB2312"/>
          <w:color w:val="auto"/>
          <w:sz w:val="28"/>
          <w:szCs w:val="28"/>
          <w:lang w:val="en" w:eastAsia="zh-CN"/>
        </w:rPr>
        <w:t>竞争性磋商响应文件</w:t>
      </w:r>
      <w:r>
        <w:rPr>
          <w:rFonts w:ascii="仿宋_GB2312" w:hAnsi="仿宋_GB2312" w:eastAsia="仿宋_GB2312" w:cs="仿宋_GB2312"/>
          <w:color w:val="auto"/>
          <w:sz w:val="28"/>
          <w:szCs w:val="28"/>
          <w:lang w:eastAsia="zh-CN"/>
        </w:rPr>
        <w:t>的澄清不得对磋商响应内容进行实质性修改。</w:t>
      </w:r>
    </w:p>
    <w:p w14:paraId="17543711">
      <w:pPr>
        <w:numPr>
          <w:ilvl w:val="0"/>
          <w:numId w:val="9"/>
        </w:numPr>
        <w:spacing w:line="560" w:lineRule="exact"/>
        <w:rPr>
          <w:rFonts w:ascii="仿宋_GB2312" w:hAnsi="仿宋_GB2312" w:eastAsia="仿宋_GB2312" w:cs="仿宋_GB2312"/>
          <w:b/>
          <w:bCs/>
          <w:color w:val="auto"/>
          <w:sz w:val="28"/>
          <w:szCs w:val="28"/>
          <w:lang w:eastAsia="zh-CN"/>
        </w:rPr>
      </w:pPr>
      <w:r>
        <w:rPr>
          <w:rFonts w:hint="default" w:ascii="仿宋_GB2312" w:hAnsi="仿宋_GB2312" w:eastAsia="仿宋_GB2312" w:cs="仿宋_GB2312"/>
          <w:b/>
          <w:bCs/>
          <w:color w:val="auto"/>
          <w:sz w:val="28"/>
          <w:szCs w:val="28"/>
          <w:lang w:val="en" w:eastAsia="zh-CN"/>
        </w:rPr>
        <w:t>竞争性磋商响应文件</w:t>
      </w:r>
      <w:r>
        <w:rPr>
          <w:rFonts w:ascii="仿宋_GB2312" w:hAnsi="仿宋_GB2312" w:eastAsia="仿宋_GB2312" w:cs="仿宋_GB2312"/>
          <w:b/>
          <w:bCs/>
          <w:color w:val="auto"/>
          <w:sz w:val="28"/>
          <w:szCs w:val="28"/>
          <w:lang w:eastAsia="zh-CN"/>
        </w:rPr>
        <w:t>的初步审查</w:t>
      </w:r>
    </w:p>
    <w:p w14:paraId="14D13E07">
      <w:pPr>
        <w:spacing w:line="540" w:lineRule="exact"/>
        <w:rPr>
          <w:rFonts w:ascii="仿宋_GB2312" w:hAnsi="仿宋_GB2312" w:eastAsia="仿宋_GB2312" w:cs="仿宋_GB2312"/>
          <w:b/>
          <w:bCs/>
          <w:color w:val="auto"/>
          <w:sz w:val="28"/>
          <w:szCs w:val="28"/>
          <w:lang w:val="en-US" w:eastAsia="zh-CN"/>
        </w:rPr>
      </w:pPr>
      <w:r>
        <w:rPr>
          <w:rFonts w:ascii="仿宋_GB2312" w:hAnsi="仿宋_GB2312" w:eastAsia="仿宋_GB2312" w:cs="仿宋_GB2312"/>
          <w:color w:val="auto"/>
          <w:sz w:val="28"/>
          <w:szCs w:val="28"/>
          <w:lang w:eastAsia="zh-CN"/>
        </w:rPr>
        <w:t>3</w:t>
      </w:r>
      <w:r>
        <w:rPr>
          <w:rFonts w:ascii="仿宋_GB2312" w:hAnsi="仿宋_GB2312" w:eastAsia="仿宋_GB2312" w:cs="仿宋_GB2312"/>
          <w:color w:val="auto"/>
          <w:sz w:val="28"/>
          <w:szCs w:val="28"/>
          <w:lang w:val="en-US" w:eastAsia="zh-CN"/>
        </w:rPr>
        <w:t>4</w:t>
      </w:r>
      <w:r>
        <w:rPr>
          <w:rFonts w:ascii="仿宋_GB2312" w:hAnsi="仿宋_GB2312" w:eastAsia="仿宋_GB2312" w:cs="仿宋_GB2312"/>
          <w:color w:val="auto"/>
          <w:sz w:val="28"/>
          <w:szCs w:val="28"/>
          <w:lang w:eastAsia="zh-CN"/>
        </w:rPr>
        <w:t>.1竞争性磋商小组对各供应商的竞争性磋商响应文件进行初步审查，以确定其是否满足</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eastAsia="zh-CN"/>
        </w:rPr>
        <w:t>的实质性要求。</w:t>
      </w:r>
      <w:r>
        <w:rPr>
          <w:rFonts w:ascii="仿宋_GB2312" w:hAnsi="仿宋_GB2312" w:eastAsia="仿宋_GB2312" w:cs="仿宋_GB2312"/>
          <w:color w:val="auto"/>
          <w:sz w:val="28"/>
          <w:szCs w:val="28"/>
          <w:lang w:val="en-US" w:eastAsia="zh-CN"/>
        </w:rPr>
        <w:t>初步审查包括三个部分：标书雷同性分析、资格性审查、实质性审查。</w:t>
      </w:r>
    </w:p>
    <w:p w14:paraId="3A454485">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3</w:t>
      </w:r>
      <w:r>
        <w:rPr>
          <w:rFonts w:ascii="仿宋_GB2312" w:hAnsi="仿宋_GB2312" w:eastAsia="仿宋_GB2312" w:cs="仿宋_GB2312"/>
          <w:color w:val="auto"/>
          <w:sz w:val="28"/>
          <w:szCs w:val="28"/>
          <w:lang w:val="en-US" w:eastAsia="zh-CN"/>
        </w:rPr>
        <w:t>4</w:t>
      </w:r>
      <w:r>
        <w:rPr>
          <w:rFonts w:ascii="仿宋_GB2312" w:hAnsi="仿宋_GB2312" w:eastAsia="仿宋_GB2312" w:cs="仿宋_GB2312"/>
          <w:color w:val="auto"/>
          <w:sz w:val="28"/>
          <w:szCs w:val="28"/>
          <w:lang w:eastAsia="zh-CN"/>
        </w:rPr>
        <w:t>.2允许修正</w:t>
      </w:r>
      <w:r>
        <w:rPr>
          <w:rFonts w:hint="default" w:ascii="仿宋_GB2312" w:hAnsi="仿宋_GB2312" w:eastAsia="仿宋_GB2312" w:cs="仿宋_GB2312"/>
          <w:color w:val="auto"/>
          <w:sz w:val="28"/>
          <w:szCs w:val="28"/>
          <w:lang w:val="en" w:eastAsia="zh-CN"/>
        </w:rPr>
        <w:t>竞争性磋商响应文件</w:t>
      </w:r>
      <w:r>
        <w:rPr>
          <w:rFonts w:ascii="仿宋_GB2312" w:hAnsi="仿宋_GB2312" w:eastAsia="仿宋_GB2312" w:cs="仿宋_GB2312"/>
          <w:color w:val="auto"/>
          <w:sz w:val="28"/>
          <w:szCs w:val="28"/>
          <w:lang w:eastAsia="zh-CN"/>
        </w:rPr>
        <w:t>中不构成重大偏离的、微小的、非正规的、不一致或不规则的地方。</w:t>
      </w:r>
    </w:p>
    <w:p w14:paraId="0E628214">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3</w:t>
      </w:r>
      <w:r>
        <w:rPr>
          <w:rFonts w:ascii="仿宋_GB2312" w:hAnsi="仿宋_GB2312" w:eastAsia="仿宋_GB2312" w:cs="仿宋_GB2312"/>
          <w:color w:val="auto"/>
          <w:sz w:val="28"/>
          <w:szCs w:val="28"/>
          <w:lang w:val="en-US" w:eastAsia="zh-CN"/>
        </w:rPr>
        <w:t>4</w:t>
      </w:r>
      <w:r>
        <w:rPr>
          <w:rFonts w:ascii="仿宋_GB2312" w:hAnsi="仿宋_GB2312" w:eastAsia="仿宋_GB2312" w:cs="仿宋_GB2312"/>
          <w:color w:val="auto"/>
          <w:sz w:val="28"/>
          <w:szCs w:val="28"/>
          <w:lang w:eastAsia="zh-CN"/>
        </w:rPr>
        <w:t>.3在对</w:t>
      </w:r>
      <w:r>
        <w:rPr>
          <w:rFonts w:hint="default" w:ascii="仿宋_GB2312" w:hAnsi="仿宋_GB2312" w:eastAsia="仿宋_GB2312" w:cs="仿宋_GB2312"/>
          <w:color w:val="auto"/>
          <w:sz w:val="28"/>
          <w:szCs w:val="28"/>
          <w:lang w:val="en" w:eastAsia="zh-CN"/>
        </w:rPr>
        <w:t>竞争性磋商响应文件</w:t>
      </w:r>
      <w:r>
        <w:rPr>
          <w:rFonts w:ascii="仿宋_GB2312" w:hAnsi="仿宋_GB2312" w:eastAsia="仿宋_GB2312" w:cs="仿宋_GB2312"/>
          <w:color w:val="auto"/>
          <w:sz w:val="28"/>
          <w:szCs w:val="28"/>
          <w:lang w:eastAsia="zh-CN"/>
        </w:rPr>
        <w:t>进行详细评</w:t>
      </w:r>
      <w:r>
        <w:rPr>
          <w:rFonts w:ascii="仿宋_GB2312" w:hAnsi="仿宋_GB2312" w:eastAsia="仿宋_GB2312" w:cs="仿宋_GB2312"/>
          <w:color w:val="auto"/>
          <w:sz w:val="28"/>
          <w:szCs w:val="28"/>
          <w:lang w:val="en-US" w:eastAsia="zh-CN"/>
        </w:rPr>
        <w:t>审</w:t>
      </w:r>
      <w:r>
        <w:rPr>
          <w:rFonts w:ascii="仿宋_GB2312" w:hAnsi="仿宋_GB2312" w:eastAsia="仿宋_GB2312" w:cs="仿宋_GB2312"/>
          <w:color w:val="auto"/>
          <w:sz w:val="28"/>
          <w:szCs w:val="28"/>
          <w:lang w:eastAsia="zh-CN"/>
        </w:rPr>
        <w:t>之前，竞争性磋商小组将确定</w:t>
      </w:r>
      <w:r>
        <w:rPr>
          <w:rFonts w:ascii="仿宋_GB2312" w:hAnsi="仿宋_GB2312" w:eastAsia="仿宋_GB2312" w:cs="仿宋_GB2312"/>
          <w:color w:val="auto"/>
          <w:sz w:val="28"/>
          <w:szCs w:val="28"/>
          <w:lang w:val="en-US" w:eastAsia="zh-CN"/>
        </w:rPr>
        <w:t>竞争性磋商响应文件</w:t>
      </w:r>
      <w:r>
        <w:rPr>
          <w:rFonts w:ascii="仿宋_GB2312" w:hAnsi="仿宋_GB2312" w:eastAsia="仿宋_GB2312" w:cs="仿宋_GB2312"/>
          <w:color w:val="auto"/>
          <w:sz w:val="28"/>
          <w:szCs w:val="28"/>
          <w:lang w:eastAsia="zh-CN"/>
        </w:rPr>
        <w:t>是否对</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eastAsia="zh-CN"/>
        </w:rPr>
        <w:t>的要求做出了实质性的响应，而没有重大偏离。实质性响应是指</w:t>
      </w:r>
      <w:r>
        <w:rPr>
          <w:rFonts w:ascii="仿宋_GB2312" w:hAnsi="仿宋_GB2312" w:eastAsia="仿宋_GB2312" w:cs="仿宋_GB2312"/>
          <w:color w:val="auto"/>
          <w:sz w:val="28"/>
          <w:szCs w:val="28"/>
          <w:lang w:val="en-US" w:eastAsia="zh-CN"/>
        </w:rPr>
        <w:t>提交磋商响应文件</w:t>
      </w:r>
      <w:r>
        <w:rPr>
          <w:rFonts w:ascii="仿宋_GB2312" w:hAnsi="仿宋_GB2312" w:eastAsia="仿宋_GB2312" w:cs="仿宋_GB2312"/>
          <w:color w:val="auto"/>
          <w:sz w:val="28"/>
          <w:szCs w:val="28"/>
          <w:lang w:eastAsia="zh-CN"/>
        </w:rPr>
        <w:t>符合</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eastAsia="zh-CN"/>
        </w:rPr>
        <w:t>的实质性条款、条件和规定且没有重大偏离和保留。重大偏离和保留是指对</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eastAsia="zh-CN"/>
        </w:rPr>
        <w:t>规定的采购需求、交货期、质量保证期、磋商有效期、付款方式等产生重大或不可接受的偏差，或限制了集中采购机构、采购人的权利和供应商的义务的规定，而纠正这些偏离将影响到其它提交实质性磋商响应文件的供应商的公平竞争地位。</w:t>
      </w:r>
    </w:p>
    <w:p w14:paraId="7424F1FC">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3</w:t>
      </w:r>
      <w:r>
        <w:rPr>
          <w:rFonts w:ascii="仿宋_GB2312" w:hAnsi="仿宋_GB2312" w:eastAsia="仿宋_GB2312" w:cs="仿宋_GB2312"/>
          <w:color w:val="auto"/>
          <w:sz w:val="28"/>
          <w:szCs w:val="28"/>
          <w:lang w:val="en-US" w:eastAsia="zh-CN"/>
        </w:rPr>
        <w:t>4</w:t>
      </w:r>
      <w:r>
        <w:rPr>
          <w:rFonts w:ascii="仿宋_GB2312" w:hAnsi="仿宋_GB2312" w:eastAsia="仿宋_GB2312" w:cs="仿宋_GB2312"/>
          <w:color w:val="auto"/>
          <w:sz w:val="28"/>
          <w:szCs w:val="28"/>
          <w:lang w:eastAsia="zh-CN"/>
        </w:rPr>
        <w:t>.4竞争性磋商小组判断竞争性磋商响应文件的有效响应仅基于竞争性磋商响应文件本身内容而不靠外部证据。</w:t>
      </w:r>
    </w:p>
    <w:p w14:paraId="48643DA4">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3</w:t>
      </w:r>
      <w:r>
        <w:rPr>
          <w:rFonts w:ascii="仿宋_GB2312" w:hAnsi="仿宋_GB2312" w:eastAsia="仿宋_GB2312" w:cs="仿宋_GB2312"/>
          <w:color w:val="auto"/>
          <w:sz w:val="28"/>
          <w:szCs w:val="28"/>
          <w:lang w:val="en-US" w:eastAsia="zh-CN"/>
        </w:rPr>
        <w:t>4</w:t>
      </w:r>
      <w:r>
        <w:rPr>
          <w:rFonts w:ascii="仿宋_GB2312" w:hAnsi="仿宋_GB2312" w:eastAsia="仿宋_GB2312" w:cs="仿宋_GB2312"/>
          <w:color w:val="auto"/>
          <w:sz w:val="28"/>
          <w:szCs w:val="28"/>
          <w:lang w:eastAsia="zh-CN"/>
        </w:rPr>
        <w:t>.5实质上没有响应</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eastAsia="zh-CN"/>
        </w:rPr>
        <w:t>要求的磋商响应将被视为无效响应，供应商不得通过修正或撤销不符之处而使其磋商响应成为实质上响应。</w:t>
      </w:r>
    </w:p>
    <w:p w14:paraId="489DA866">
      <w:pPr>
        <w:spacing w:line="56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eastAsia="zh-CN"/>
        </w:rPr>
        <w:t>3</w:t>
      </w:r>
      <w:r>
        <w:rPr>
          <w:rFonts w:ascii="仿宋_GB2312" w:hAnsi="仿宋_GB2312" w:eastAsia="仿宋_GB2312" w:cs="仿宋_GB2312"/>
          <w:color w:val="auto"/>
          <w:sz w:val="28"/>
          <w:szCs w:val="28"/>
          <w:lang w:val="en-US" w:eastAsia="zh-CN"/>
        </w:rPr>
        <w:t>4</w:t>
      </w:r>
      <w:r>
        <w:rPr>
          <w:rFonts w:ascii="仿宋_GB2312" w:hAnsi="仿宋_GB2312" w:eastAsia="仿宋_GB2312" w:cs="仿宋_GB2312"/>
          <w:color w:val="auto"/>
          <w:sz w:val="28"/>
          <w:szCs w:val="28"/>
          <w:lang w:eastAsia="zh-CN"/>
        </w:rPr>
        <w:t>.6</w:t>
      </w:r>
      <w:r>
        <w:rPr>
          <w:rFonts w:ascii="仿宋_GB2312" w:hAnsi="仿宋_GB2312" w:eastAsia="仿宋_GB2312" w:cs="仿宋_GB2312"/>
          <w:color w:val="auto"/>
          <w:sz w:val="28"/>
          <w:szCs w:val="28"/>
          <w:lang w:val="en-US" w:eastAsia="zh-CN"/>
        </w:rPr>
        <w:t xml:space="preserve">  参与同一个标段（包）的供应商存在下列情形之一的，其磋商响应文件无效：</w:t>
      </w:r>
    </w:p>
    <w:p w14:paraId="63523981">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 xml:space="preserve">    （1）不同供应商的电子磋商响应文件上传计算机的网卡</w:t>
      </w:r>
      <w:r>
        <w:rPr>
          <w:rFonts w:hint="default" w:ascii="仿宋_GB2312" w:hAnsi="仿宋_GB2312" w:eastAsia="仿宋_GB2312" w:cs="仿宋_GB2312"/>
          <w:color w:val="auto"/>
          <w:sz w:val="28"/>
          <w:szCs w:val="28"/>
          <w:lang w:val="en-US" w:eastAsia="zh-CN"/>
        </w:rPr>
        <w:t>MAC</w:t>
      </w:r>
      <w:r>
        <w:rPr>
          <w:rFonts w:ascii="仿宋_GB2312" w:hAnsi="仿宋_GB2312" w:eastAsia="仿宋_GB2312" w:cs="仿宋_GB2312"/>
          <w:color w:val="auto"/>
          <w:sz w:val="28"/>
          <w:szCs w:val="28"/>
          <w:lang w:val="en-US" w:eastAsia="zh-CN"/>
        </w:rPr>
        <w:t>地址、</w:t>
      </w:r>
      <w:r>
        <w:rPr>
          <w:rFonts w:hint="default" w:ascii="仿宋_GB2312" w:hAnsi="仿宋_GB2312" w:eastAsia="仿宋_GB2312" w:cs="仿宋_GB2312"/>
          <w:color w:val="auto"/>
          <w:sz w:val="28"/>
          <w:szCs w:val="28"/>
          <w:lang w:val="en-US" w:eastAsia="zh-CN"/>
        </w:rPr>
        <w:t>CPU</w:t>
      </w:r>
      <w:r>
        <w:rPr>
          <w:rFonts w:ascii="仿宋_GB2312" w:hAnsi="仿宋_GB2312" w:eastAsia="仿宋_GB2312" w:cs="仿宋_GB2312"/>
          <w:color w:val="auto"/>
          <w:sz w:val="28"/>
          <w:szCs w:val="28"/>
          <w:lang w:val="en-US" w:eastAsia="zh-CN"/>
        </w:rPr>
        <w:t>序列号和硬盘序列号等硬件信息相同的；</w:t>
      </w:r>
    </w:p>
    <w:p w14:paraId="6474EBA5">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 xml:space="preserve">    （2）不同供应商的磋商响应文件由同一电子设备编制、加密或者上传；</w:t>
      </w:r>
    </w:p>
    <w:p w14:paraId="7480F45A">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 xml:space="preserve">    （3）不同供应商的磋商响应文件由同一人送达或者分发，或者不同供应商联系人为同一人或不同联系人的联系电话一致的；</w:t>
      </w:r>
    </w:p>
    <w:p w14:paraId="122B119E">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 xml:space="preserve">    （4）不同供应商的磋商响应文件的内容存在两处以上专有细节错误一致；</w:t>
      </w:r>
    </w:p>
    <w:p w14:paraId="194F83B0">
      <w:pPr>
        <w:spacing w:line="560" w:lineRule="exact"/>
        <w:ind w:firstLine="560"/>
        <w:rPr>
          <w:rFonts w:ascii="仿宋_GB2312" w:hAnsi="仿宋_GB2312" w:eastAsia="仿宋_GB2312" w:cs="仿宋_GB2312"/>
          <w:color w:val="auto"/>
          <w:sz w:val="28"/>
          <w:szCs w:val="28"/>
          <w:lang w:val="en-US"/>
        </w:rPr>
      </w:pPr>
      <w:r>
        <w:rPr>
          <w:rFonts w:ascii="仿宋_GB2312" w:hAnsi="仿宋_GB2312" w:eastAsia="仿宋_GB2312" w:cs="仿宋_GB2312"/>
          <w:color w:val="auto"/>
          <w:sz w:val="28"/>
          <w:szCs w:val="28"/>
          <w:lang w:val="en-US"/>
        </w:rPr>
        <w:t>（5）其它涉嫌串通的情形。</w:t>
      </w:r>
    </w:p>
    <w:p w14:paraId="1A7BADA3">
      <w:pPr>
        <w:spacing w:line="56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34.7 有下列情形之一的，视为供应商串通磋商响应，其磋商响应无效：</w:t>
      </w:r>
    </w:p>
    <w:p w14:paraId="15C1109F">
      <w:pPr>
        <w:spacing w:line="56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　　（1）不同供应商的竞争性磋商响应文件由同一单位或者个人编制；</w:t>
      </w:r>
    </w:p>
    <w:p w14:paraId="2AA76567">
      <w:pPr>
        <w:spacing w:line="56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　　（2）不同供应商委托同一单位或者个人办理磋商响应事宜；</w:t>
      </w:r>
    </w:p>
    <w:p w14:paraId="72E9D863">
      <w:pPr>
        <w:spacing w:line="56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　　（3）不同供应商的竞争性磋商响应文件载明的项目管理成员或者联系人员为同一人；</w:t>
      </w:r>
    </w:p>
    <w:p w14:paraId="101F421B">
      <w:pPr>
        <w:spacing w:line="56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　　（4）不同供应商的竞争性磋商响应文件异常一致或者磋商响应报价呈规律性差异；</w:t>
      </w:r>
    </w:p>
    <w:p w14:paraId="1A37CE44">
      <w:pPr>
        <w:spacing w:line="560" w:lineRule="exact"/>
        <w:ind w:firstLine="56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（5）不同供应商的竞争性磋商响应文件相互混装；</w:t>
      </w:r>
    </w:p>
    <w:p w14:paraId="69F0D2FA">
      <w:pPr>
        <w:spacing w:line="560" w:lineRule="exact"/>
        <w:ind w:firstLine="56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（6）不同供应商的磋商保证金从同一单位或者个人的账户转出。</w:t>
      </w:r>
    </w:p>
    <w:p w14:paraId="56DABD93">
      <w:pPr>
        <w:spacing w:line="560" w:lineRule="exact"/>
        <w:rPr>
          <w:rFonts w:ascii="仿宋_GB2312" w:hAnsi="仿宋_GB2312" w:eastAsia="仿宋_GB2312" w:cs="仿宋_GB2312"/>
          <w:b/>
          <w:bCs/>
          <w:color w:val="auto"/>
          <w:sz w:val="28"/>
          <w:szCs w:val="28"/>
          <w:lang w:eastAsia="zh-CN"/>
        </w:rPr>
      </w:pPr>
      <w:r>
        <w:rPr>
          <w:rFonts w:ascii="仿宋_GB2312" w:hAnsi="仿宋_GB2312" w:eastAsia="仿宋_GB2312" w:cs="仿宋_GB2312"/>
          <w:b/>
          <w:bCs/>
          <w:color w:val="auto"/>
          <w:sz w:val="28"/>
          <w:szCs w:val="28"/>
          <w:lang w:eastAsia="zh-CN"/>
        </w:rPr>
        <w:t>3</w:t>
      </w:r>
      <w:r>
        <w:rPr>
          <w:rFonts w:ascii="仿宋_GB2312" w:hAnsi="仿宋_GB2312" w:eastAsia="仿宋_GB2312" w:cs="仿宋_GB2312"/>
          <w:b/>
          <w:bCs/>
          <w:color w:val="auto"/>
          <w:sz w:val="28"/>
          <w:szCs w:val="28"/>
          <w:lang w:val="en-US" w:eastAsia="zh-CN"/>
        </w:rPr>
        <w:t>5</w:t>
      </w:r>
      <w:r>
        <w:rPr>
          <w:rFonts w:ascii="仿宋_GB2312" w:hAnsi="仿宋_GB2312" w:eastAsia="仿宋_GB2312" w:cs="仿宋_GB2312"/>
          <w:b/>
          <w:bCs/>
          <w:color w:val="auto"/>
          <w:sz w:val="28"/>
          <w:szCs w:val="28"/>
          <w:lang w:eastAsia="zh-CN"/>
        </w:rPr>
        <w:t>.</w:t>
      </w:r>
      <w:r>
        <w:rPr>
          <w:rFonts w:ascii="仿宋_GB2312" w:hAnsi="仿宋_GB2312" w:eastAsia="仿宋_GB2312" w:cs="仿宋_GB2312"/>
          <w:b/>
          <w:bCs/>
          <w:color w:val="auto"/>
          <w:sz w:val="28"/>
          <w:szCs w:val="28"/>
          <w:lang w:val="en-US" w:eastAsia="zh-CN"/>
        </w:rPr>
        <w:t xml:space="preserve"> </w:t>
      </w:r>
      <w:r>
        <w:rPr>
          <w:rFonts w:ascii="仿宋_GB2312" w:hAnsi="仿宋_GB2312" w:eastAsia="仿宋_GB2312" w:cs="仿宋_GB2312"/>
          <w:b/>
          <w:bCs/>
          <w:color w:val="auto"/>
          <w:sz w:val="28"/>
          <w:szCs w:val="28"/>
          <w:lang w:eastAsia="zh-CN"/>
        </w:rPr>
        <w:t>磋商响应报价的评价</w:t>
      </w:r>
    </w:p>
    <w:p w14:paraId="20A79ACE">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3</w:t>
      </w:r>
      <w:r>
        <w:rPr>
          <w:rFonts w:ascii="仿宋_GB2312" w:hAnsi="仿宋_GB2312" w:eastAsia="仿宋_GB2312" w:cs="仿宋_GB2312"/>
          <w:color w:val="auto"/>
          <w:sz w:val="28"/>
          <w:szCs w:val="28"/>
          <w:lang w:val="en-US" w:eastAsia="zh-CN"/>
        </w:rPr>
        <w:t>5</w:t>
      </w:r>
      <w:r>
        <w:rPr>
          <w:rFonts w:ascii="仿宋_GB2312" w:hAnsi="仿宋_GB2312" w:eastAsia="仿宋_GB2312" w:cs="仿宋_GB2312"/>
          <w:color w:val="auto"/>
          <w:sz w:val="28"/>
          <w:szCs w:val="28"/>
          <w:lang w:eastAsia="zh-CN"/>
        </w:rPr>
        <w:t>.1竞争性磋商响应文件报价出现前后不一致的，按照下列规定修正：</w:t>
      </w:r>
    </w:p>
    <w:p w14:paraId="58EA819D">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 xml:space="preserve">    </w:t>
      </w:r>
      <w:r>
        <w:rPr>
          <w:rFonts w:ascii="仿宋_GB2312" w:hAnsi="仿宋_GB2312" w:eastAsia="仿宋_GB2312" w:cs="仿宋_GB2312"/>
          <w:color w:val="auto"/>
          <w:sz w:val="28"/>
          <w:szCs w:val="28"/>
          <w:lang w:eastAsia="zh-CN"/>
        </w:rPr>
        <w:t>（1）大写金额和小写金额不一致的，以大写金额为准；</w:t>
      </w:r>
    </w:p>
    <w:p w14:paraId="377B4764">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 xml:space="preserve">    </w:t>
      </w:r>
      <w:r>
        <w:rPr>
          <w:rFonts w:ascii="仿宋_GB2312" w:hAnsi="仿宋_GB2312" w:eastAsia="仿宋_GB2312" w:cs="仿宋_GB2312"/>
          <w:color w:val="auto"/>
          <w:sz w:val="28"/>
          <w:szCs w:val="28"/>
          <w:lang w:eastAsia="zh-CN"/>
        </w:rPr>
        <w:t>（</w:t>
      </w:r>
      <w:r>
        <w:rPr>
          <w:rFonts w:ascii="仿宋_GB2312" w:hAnsi="仿宋_GB2312" w:eastAsia="仿宋_GB2312" w:cs="仿宋_GB2312"/>
          <w:color w:val="auto"/>
          <w:sz w:val="28"/>
          <w:szCs w:val="28"/>
          <w:lang w:val="en-US" w:eastAsia="zh-CN"/>
        </w:rPr>
        <w:t>2</w:t>
      </w:r>
      <w:r>
        <w:rPr>
          <w:rFonts w:ascii="仿宋_GB2312" w:hAnsi="仿宋_GB2312" w:eastAsia="仿宋_GB2312" w:cs="仿宋_GB2312"/>
          <w:color w:val="auto"/>
          <w:sz w:val="28"/>
          <w:szCs w:val="28"/>
          <w:lang w:eastAsia="zh-CN"/>
        </w:rPr>
        <w:t>）单价金额小数点或者百分比有明显错位的，以总价为准，并修改单价；</w:t>
      </w:r>
    </w:p>
    <w:p w14:paraId="0F6E9BA0">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 xml:space="preserve">    </w:t>
      </w:r>
      <w:r>
        <w:rPr>
          <w:rFonts w:ascii="仿宋_GB2312" w:hAnsi="仿宋_GB2312" w:eastAsia="仿宋_GB2312" w:cs="仿宋_GB2312"/>
          <w:color w:val="auto"/>
          <w:sz w:val="28"/>
          <w:szCs w:val="28"/>
          <w:lang w:eastAsia="zh-CN"/>
        </w:rPr>
        <w:t>（</w:t>
      </w:r>
      <w:r>
        <w:rPr>
          <w:rFonts w:ascii="仿宋_GB2312" w:hAnsi="仿宋_GB2312" w:eastAsia="仿宋_GB2312" w:cs="仿宋_GB2312"/>
          <w:color w:val="auto"/>
          <w:sz w:val="28"/>
          <w:szCs w:val="28"/>
          <w:lang w:val="en-US" w:eastAsia="zh-CN"/>
        </w:rPr>
        <w:t>3</w:t>
      </w:r>
      <w:r>
        <w:rPr>
          <w:rFonts w:ascii="仿宋_GB2312" w:hAnsi="仿宋_GB2312" w:eastAsia="仿宋_GB2312" w:cs="仿宋_GB2312"/>
          <w:color w:val="auto"/>
          <w:sz w:val="28"/>
          <w:szCs w:val="28"/>
          <w:lang w:eastAsia="zh-CN"/>
        </w:rPr>
        <w:t>）总价金额与按单价汇总金额不一致的，以单价金额计算结果为准。</w:t>
      </w:r>
    </w:p>
    <w:p w14:paraId="215509DE">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 xml:space="preserve">    </w:t>
      </w:r>
      <w:r>
        <w:rPr>
          <w:rFonts w:ascii="仿宋_GB2312" w:hAnsi="仿宋_GB2312" w:eastAsia="仿宋_GB2312" w:cs="仿宋_GB2312"/>
          <w:color w:val="auto"/>
          <w:sz w:val="28"/>
          <w:szCs w:val="28"/>
          <w:lang w:eastAsia="zh-CN"/>
        </w:rPr>
        <w:t>同时出现两种以上不一致的，按照前款规定的顺序修正。修正后的报价经供应商确认后产生约束力，供应商不确认的，其磋商响应无效。</w:t>
      </w:r>
    </w:p>
    <w:p w14:paraId="56683ABA">
      <w:pPr>
        <w:spacing w:line="560" w:lineRule="exact"/>
        <w:ind w:firstLine="560"/>
        <w:rPr>
          <w:rFonts w:ascii="仿宋_GB2312" w:hAnsi="仿宋_GB2312" w:eastAsia="仿宋_GB2312" w:cs="仿宋_GB2312"/>
          <w:color w:val="auto"/>
          <w:sz w:val="28"/>
          <w:szCs w:val="28"/>
          <w:lang w:val="en" w:eastAsia="zh-CN"/>
        </w:rPr>
      </w:pPr>
      <w:r>
        <w:rPr>
          <w:rFonts w:ascii="仿宋_GB2312" w:hAnsi="仿宋_GB2312" w:eastAsia="仿宋_GB2312" w:cs="仿宋_GB2312"/>
          <w:color w:val="auto"/>
          <w:sz w:val="28"/>
          <w:szCs w:val="28"/>
          <w:lang w:val="en-US" w:eastAsia="zh-CN"/>
        </w:rPr>
        <w:t>35.2</w:t>
      </w:r>
      <w:r>
        <w:rPr>
          <w:rFonts w:ascii="仿宋_GB2312" w:hAnsi="仿宋_GB2312" w:eastAsia="仿宋_GB2312" w:cs="仿宋_GB2312"/>
          <w:color w:val="auto"/>
          <w:sz w:val="28"/>
          <w:szCs w:val="28"/>
          <w:lang w:val="en" w:eastAsia="zh-CN"/>
        </w:rPr>
        <w:t>根据</w:t>
      </w:r>
      <w:r>
        <w:rPr>
          <w:rFonts w:ascii="仿宋_GB2312" w:hAnsi="仿宋_GB2312" w:eastAsia="仿宋_GB2312" w:cs="仿宋_GB2312"/>
          <w:color w:val="auto"/>
          <w:sz w:val="28"/>
          <w:szCs w:val="28"/>
          <w:lang w:val="en-US" w:eastAsia="zh-CN"/>
        </w:rPr>
        <w:t>《关于推动解决政府采购异常低价问题的通知》（财库〔2026〕2号）要求，</w:t>
      </w:r>
      <w:r>
        <w:rPr>
          <w:rFonts w:ascii="仿宋_GB2312" w:hAnsi="仿宋_GB2312" w:eastAsia="仿宋_GB2312" w:cs="仿宋_GB2312"/>
          <w:color w:val="auto"/>
          <w:sz w:val="28"/>
          <w:szCs w:val="28"/>
          <w:lang w:eastAsia="zh-CN"/>
        </w:rPr>
        <w:t>竞争性磋商小组</w:t>
      </w:r>
      <w:r>
        <w:rPr>
          <w:rFonts w:ascii="仿宋_GB2312" w:hAnsi="仿宋_GB2312" w:eastAsia="仿宋_GB2312" w:cs="仿宋_GB2312"/>
          <w:color w:val="auto"/>
          <w:sz w:val="28"/>
          <w:szCs w:val="28"/>
          <w:lang w:val="en-US" w:eastAsia="zh-CN"/>
        </w:rPr>
        <w:t>应对政府采购异常低价进行审查：</w:t>
      </w:r>
    </w:p>
    <w:p w14:paraId="77A1CA6F">
      <w:pPr>
        <w:spacing w:line="560" w:lineRule="exact"/>
        <w:ind w:firstLine="560" w:firstLineChars="200"/>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（1）评审中</w:t>
      </w:r>
      <w:r>
        <w:rPr>
          <w:rFonts w:ascii="仿宋_GB2312" w:hAnsi="仿宋_GB2312" w:eastAsia="仿宋_GB2312" w:cs="仿宋_GB2312"/>
          <w:b/>
          <w:bCs/>
          <w:color w:val="auto"/>
          <w:sz w:val="28"/>
          <w:szCs w:val="28"/>
          <w:lang w:val="en-US" w:eastAsia="zh-CN"/>
        </w:rPr>
        <w:t>最后报价</w:t>
      </w:r>
      <w:r>
        <w:rPr>
          <w:rFonts w:ascii="仿宋_GB2312" w:hAnsi="仿宋_GB2312" w:eastAsia="仿宋_GB2312" w:cs="仿宋_GB2312"/>
          <w:color w:val="auto"/>
          <w:sz w:val="28"/>
          <w:szCs w:val="28"/>
          <w:lang w:val="en-US" w:eastAsia="zh-CN"/>
        </w:rPr>
        <w:t>出现下列情形之一的，</w:t>
      </w:r>
      <w:r>
        <w:rPr>
          <w:rFonts w:ascii="仿宋_GB2312" w:hAnsi="仿宋_GB2312" w:eastAsia="仿宋_GB2312" w:cs="仿宋_GB2312"/>
          <w:color w:val="auto"/>
          <w:sz w:val="28"/>
          <w:szCs w:val="28"/>
          <w:lang w:eastAsia="zh-CN"/>
        </w:rPr>
        <w:t>竞争性磋商小组</w:t>
      </w:r>
      <w:r>
        <w:rPr>
          <w:rFonts w:ascii="仿宋_GB2312" w:hAnsi="仿宋_GB2312" w:eastAsia="仿宋_GB2312" w:cs="仿宋_GB2312"/>
          <w:color w:val="auto"/>
          <w:sz w:val="28"/>
          <w:szCs w:val="28"/>
          <w:lang w:val="en-US" w:eastAsia="zh-CN"/>
        </w:rPr>
        <w:t>应当启动异常低价投标（响应）审查程序：</w:t>
      </w:r>
    </w:p>
    <w:p w14:paraId="14DFEE80">
      <w:pPr>
        <w:spacing w:line="560" w:lineRule="exact"/>
        <w:ind w:firstLine="560" w:firstLineChars="200"/>
        <w:rPr>
          <w:rFonts w:ascii="仿宋_GB2312" w:hAnsi="仿宋_GB2312" w:eastAsia="仿宋_GB2312" w:cs="仿宋_GB2312"/>
          <w:color w:val="auto"/>
          <w:sz w:val="28"/>
          <w:szCs w:val="28"/>
          <w:lang w:eastAsia="zh-CN"/>
        </w:rPr>
      </w:pPr>
      <w:r>
        <w:rPr>
          <w:rFonts w:ascii="汉仪书宋二S" w:hAnsi="汉仪书宋二S" w:eastAsia="汉仪书宋二S" w:cs="汉仪书宋二S"/>
          <w:color w:val="auto"/>
          <w:sz w:val="28"/>
          <w:szCs w:val="28"/>
          <w:lang w:val="en-US" w:eastAsia="zh-CN"/>
        </w:rPr>
        <w:t>①</w:t>
      </w:r>
      <w:r>
        <w:rPr>
          <w:rFonts w:ascii="仿宋_GB2312" w:hAnsi="仿宋_GB2312" w:eastAsia="仿宋_GB2312" w:cs="仿宋_GB2312"/>
          <w:color w:val="auto"/>
          <w:sz w:val="28"/>
          <w:szCs w:val="28"/>
          <w:lang w:val="en-US" w:eastAsia="zh-CN"/>
        </w:rPr>
        <w:t>投标（响应）报价低于全部通过符合性审查供应商投标（响应）报价平均值65%的，即投标（响应）报价&lt;全部通过符合性审查供应商投标（响应）报价平均值×65%；</w:t>
      </w:r>
    </w:p>
    <w:p w14:paraId="6DCD66CF">
      <w:pPr>
        <w:spacing w:line="560" w:lineRule="exact"/>
        <w:ind w:firstLine="560" w:firstLineChars="200"/>
        <w:rPr>
          <w:rFonts w:ascii="仿宋_GB2312" w:hAnsi="仿宋_GB2312" w:eastAsia="仿宋_GB2312" w:cs="仿宋_GB2312"/>
          <w:color w:val="auto"/>
          <w:sz w:val="28"/>
          <w:szCs w:val="28"/>
          <w:lang w:eastAsia="zh-CN"/>
        </w:rPr>
      </w:pPr>
      <w:r>
        <w:rPr>
          <w:rFonts w:ascii="汉仪书宋二S" w:hAnsi="汉仪书宋二S" w:eastAsia="汉仪书宋二S" w:cs="汉仪书宋二S"/>
          <w:color w:val="auto"/>
          <w:sz w:val="28"/>
          <w:szCs w:val="28"/>
          <w:lang w:val="en-US" w:eastAsia="zh-CN"/>
        </w:rPr>
        <w:t>②</w:t>
      </w:r>
      <w:r>
        <w:rPr>
          <w:rFonts w:ascii="仿宋_GB2312" w:hAnsi="仿宋_GB2312" w:eastAsia="仿宋_GB2312" w:cs="仿宋_GB2312"/>
          <w:color w:val="auto"/>
          <w:sz w:val="28"/>
          <w:szCs w:val="28"/>
          <w:lang w:val="en-US" w:eastAsia="zh-CN"/>
        </w:rPr>
        <w:t>投标（响应）报价低于通过符合性审查的次低报价供应商投标（响应）报价65%的，即投标（响应）报价&lt;通过符合性审查的次低报价供应商投标（响应）报价×65%；</w:t>
      </w:r>
    </w:p>
    <w:p w14:paraId="7BEE09E2">
      <w:pPr>
        <w:spacing w:line="560" w:lineRule="exact"/>
        <w:ind w:firstLine="560" w:firstLineChars="200"/>
        <w:rPr>
          <w:rFonts w:ascii="仿宋_GB2312" w:hAnsi="仿宋_GB2312" w:eastAsia="仿宋_GB2312" w:cs="仿宋_GB2312"/>
          <w:color w:val="auto"/>
          <w:sz w:val="28"/>
          <w:szCs w:val="28"/>
          <w:lang w:eastAsia="zh-CN"/>
        </w:rPr>
      </w:pPr>
      <w:r>
        <w:rPr>
          <w:rFonts w:ascii="汉仪书宋二S" w:hAnsi="汉仪书宋二S" w:eastAsia="汉仪书宋二S" w:cs="汉仪书宋二S"/>
          <w:color w:val="auto"/>
          <w:sz w:val="28"/>
          <w:szCs w:val="28"/>
          <w:lang w:val="en-US" w:eastAsia="zh-CN"/>
        </w:rPr>
        <w:t>③</w:t>
      </w:r>
      <w:r>
        <w:rPr>
          <w:rFonts w:ascii="仿宋_GB2312" w:hAnsi="仿宋_GB2312" w:eastAsia="仿宋_GB2312" w:cs="仿宋_GB2312"/>
          <w:color w:val="auto"/>
          <w:sz w:val="28"/>
          <w:szCs w:val="28"/>
          <w:lang w:val="en-US" w:eastAsia="zh-CN"/>
        </w:rPr>
        <w:t>投标（响应）报价低于采购项目最高限价65%的，即投标（响应）报价&lt;采购项目最高限价×65%；</w:t>
      </w:r>
    </w:p>
    <w:p w14:paraId="75FE1883">
      <w:pPr>
        <w:spacing w:line="560" w:lineRule="exact"/>
        <w:ind w:firstLine="560" w:firstLineChars="200"/>
        <w:rPr>
          <w:rFonts w:ascii="仿宋_GB2312" w:hAnsi="仿宋_GB2312" w:eastAsia="仿宋_GB2312" w:cs="仿宋_GB2312"/>
          <w:color w:val="auto"/>
          <w:sz w:val="28"/>
          <w:szCs w:val="28"/>
          <w:lang w:eastAsia="zh-CN"/>
        </w:rPr>
      </w:pPr>
      <w:r>
        <w:rPr>
          <w:rFonts w:ascii="汉仪书宋二S" w:hAnsi="汉仪书宋二S" w:eastAsia="汉仪书宋二S" w:cs="汉仪书宋二S"/>
          <w:color w:val="auto"/>
          <w:sz w:val="28"/>
          <w:szCs w:val="28"/>
          <w:lang w:val="en-US" w:eastAsia="zh-CN"/>
        </w:rPr>
        <w:t>④</w:t>
      </w:r>
      <w:r>
        <w:rPr>
          <w:rFonts w:ascii="仿宋_GB2312" w:hAnsi="仿宋_GB2312" w:eastAsia="仿宋_GB2312" w:cs="仿宋_GB2312"/>
          <w:color w:val="auto"/>
          <w:sz w:val="28"/>
          <w:szCs w:val="28"/>
          <w:lang w:eastAsia="zh-CN"/>
        </w:rPr>
        <w:t>竞争性磋商小组</w:t>
      </w:r>
      <w:r>
        <w:rPr>
          <w:rFonts w:ascii="仿宋_GB2312" w:hAnsi="仿宋_GB2312" w:eastAsia="仿宋_GB2312" w:cs="仿宋_GB2312"/>
          <w:color w:val="auto"/>
          <w:sz w:val="28"/>
          <w:szCs w:val="28"/>
          <w:lang w:val="en-US" w:eastAsia="zh-CN"/>
        </w:rPr>
        <w:t>基于专业判断，认为供应商报价过低，有可能影响产品质量或者不能诚信履约的其他情形。</w:t>
      </w:r>
    </w:p>
    <w:p w14:paraId="2FFF4BB5">
      <w:pPr>
        <w:spacing w:line="560" w:lineRule="exact"/>
        <w:ind w:firstLine="560" w:firstLineChars="200"/>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采购人可以结合具体项目实际情况，提高上述第1项至第3项中启动异常低价投标（响应）审查的数值标准，但是最高不得超过65%。</w:t>
      </w:r>
    </w:p>
    <w:p w14:paraId="70082ACE">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相关法律法规对供应商报价有规定的，从其规定。</w:t>
      </w:r>
    </w:p>
    <w:p w14:paraId="045F08B1">
      <w:pPr>
        <w:spacing w:line="560" w:lineRule="exact"/>
        <w:ind w:firstLine="560" w:firstLineChars="200"/>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（2）</w:t>
      </w:r>
      <w:r>
        <w:rPr>
          <w:rFonts w:ascii="仿宋_GB2312" w:hAnsi="仿宋_GB2312" w:eastAsia="仿宋_GB2312" w:cs="仿宋_GB2312"/>
          <w:color w:val="auto"/>
          <w:sz w:val="28"/>
          <w:szCs w:val="28"/>
          <w:lang w:eastAsia="zh-CN"/>
        </w:rPr>
        <w:t>竞争性磋商小组</w:t>
      </w:r>
      <w:r>
        <w:rPr>
          <w:rFonts w:ascii="仿宋_GB2312" w:hAnsi="仿宋_GB2312" w:eastAsia="仿宋_GB2312" w:cs="仿宋_GB2312"/>
          <w:color w:val="auto"/>
          <w:sz w:val="28"/>
          <w:szCs w:val="28"/>
          <w:lang w:val="en-US" w:eastAsia="zh-CN"/>
        </w:rPr>
        <w:t>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CDD187C">
      <w:pPr>
        <w:spacing w:line="560" w:lineRule="exact"/>
        <w:ind w:firstLine="56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eastAsia="zh-CN"/>
        </w:rPr>
        <w:t>竞争性磋商小组</w:t>
      </w:r>
      <w:r>
        <w:rPr>
          <w:rFonts w:ascii="仿宋_GB2312" w:hAnsi="仿宋_GB2312" w:eastAsia="仿宋_GB2312" w:cs="仿宋_GB2312"/>
          <w:color w:val="auto"/>
          <w:sz w:val="28"/>
          <w:szCs w:val="28"/>
          <w:lang w:val="en-US" w:eastAsia="zh-CN"/>
        </w:rPr>
        <w:t>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w:t>
      </w:r>
      <w:r>
        <w:rPr>
          <w:rFonts w:ascii="仿宋_GB2312" w:hAnsi="仿宋_GB2312" w:eastAsia="仿宋_GB2312" w:cs="仿宋_GB2312"/>
          <w:color w:val="auto"/>
          <w:sz w:val="28"/>
          <w:szCs w:val="28"/>
          <w:lang w:eastAsia="zh-CN"/>
        </w:rPr>
        <w:t>竞争性磋商小组</w:t>
      </w:r>
      <w:r>
        <w:rPr>
          <w:rFonts w:ascii="仿宋_GB2312" w:hAnsi="仿宋_GB2312" w:eastAsia="仿宋_GB2312" w:cs="仿宋_GB2312"/>
          <w:color w:val="auto"/>
          <w:sz w:val="28"/>
          <w:szCs w:val="28"/>
          <w:lang w:val="en-US" w:eastAsia="zh-CN"/>
        </w:rPr>
        <w:t>应当将其作为无效投标（响应）处理。</w:t>
      </w:r>
    </w:p>
    <w:p w14:paraId="59013100">
      <w:pPr>
        <w:spacing w:line="560" w:lineRule="exact"/>
        <w:ind w:firstLine="560"/>
        <w:rPr>
          <w:rFonts w:ascii="仿宋_GB2312" w:hAnsi="仿宋_GB2312" w:eastAsia="仿宋_GB2312" w:cs="仿宋_GB2312"/>
          <w:b/>
          <w:bCs/>
          <w:color w:val="auto"/>
          <w:sz w:val="28"/>
          <w:szCs w:val="28"/>
          <w:lang w:val="en-US" w:eastAsia="zh-CN"/>
        </w:rPr>
      </w:pPr>
      <w:r>
        <w:rPr>
          <w:rFonts w:ascii="仿宋_GB2312" w:hAnsi="仿宋_GB2312" w:eastAsia="仿宋_GB2312" w:cs="仿宋_GB2312"/>
          <w:b/>
          <w:bCs/>
          <w:color w:val="auto"/>
          <w:sz w:val="28"/>
          <w:szCs w:val="28"/>
          <w:lang w:val="en-US" w:eastAsia="zh-CN"/>
        </w:rPr>
        <w:t>异常低价投标（响应）审查的启动原因、审查意见和审查结果应当在评审报告中记录。</w:t>
      </w:r>
    </w:p>
    <w:p w14:paraId="1DC1B2AE">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3</w:t>
      </w:r>
      <w:r>
        <w:rPr>
          <w:rFonts w:ascii="仿宋_GB2312" w:hAnsi="仿宋_GB2312" w:eastAsia="仿宋_GB2312" w:cs="仿宋_GB2312"/>
          <w:color w:val="auto"/>
          <w:sz w:val="28"/>
          <w:szCs w:val="28"/>
          <w:lang w:val="en-US" w:eastAsia="zh-CN"/>
        </w:rPr>
        <w:t>5</w:t>
      </w:r>
      <w:r>
        <w:rPr>
          <w:rFonts w:ascii="仿宋_GB2312" w:hAnsi="仿宋_GB2312" w:eastAsia="仿宋_GB2312" w:cs="仿宋_GB2312"/>
          <w:color w:val="auto"/>
          <w:sz w:val="28"/>
          <w:szCs w:val="28"/>
          <w:lang w:eastAsia="zh-CN"/>
        </w:rPr>
        <w:t>.3竞争性磋商小组只对已判定为实质性响应的竞争性磋商响应文件进行评价和比较。</w:t>
      </w:r>
    </w:p>
    <w:p w14:paraId="2AF08358">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3</w:t>
      </w:r>
      <w:r>
        <w:rPr>
          <w:rFonts w:ascii="仿宋_GB2312" w:hAnsi="仿宋_GB2312" w:eastAsia="仿宋_GB2312" w:cs="仿宋_GB2312"/>
          <w:color w:val="auto"/>
          <w:sz w:val="28"/>
          <w:szCs w:val="28"/>
          <w:lang w:val="en-US" w:eastAsia="zh-CN"/>
        </w:rPr>
        <w:t>5</w:t>
      </w:r>
      <w:r>
        <w:rPr>
          <w:rFonts w:ascii="仿宋_GB2312" w:hAnsi="仿宋_GB2312" w:eastAsia="仿宋_GB2312" w:cs="仿宋_GB2312"/>
          <w:color w:val="auto"/>
          <w:sz w:val="28"/>
          <w:szCs w:val="28"/>
          <w:lang w:eastAsia="zh-CN"/>
        </w:rPr>
        <w:t>.4节能环保政策</w:t>
      </w:r>
    </w:p>
    <w:p w14:paraId="67EBA168">
      <w:pPr>
        <w:spacing w:line="560" w:lineRule="exact"/>
        <w:jc w:val="lef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 xml:space="preserve">  （1）本项目若含有节能产品政府采购品目清单内政府强制采购产品，供应商须选用国家确定的认证机构认证的处于有效期之内的政府强制采购节能产品。</w:t>
      </w:r>
    </w:p>
    <w:p w14:paraId="559BF5D6">
      <w:pPr>
        <w:spacing w:line="560" w:lineRule="exact"/>
        <w:jc w:val="lef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 xml:space="preserve">  （2）本项目若含有节能产品、环境标志产品政府采购品目清单内政府优先采购产品，对选用国家公布的认证机构认证的处于有效期之内的政府优先采购节能产品（政府强制采购产品除外）、环境标志产品的，在评审时予以优先采购。</w:t>
      </w:r>
    </w:p>
    <w:p w14:paraId="5B32F186">
      <w:pPr>
        <w:spacing w:line="560" w:lineRule="exact"/>
        <w:jc w:val="lef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 xml:space="preserve">  （3）供应商应提供国家确定的认证机构出具的处于有效期之内的节能产品、环境标志产品认证证书。</w:t>
      </w:r>
    </w:p>
    <w:p w14:paraId="4C689944">
      <w:pPr>
        <w:spacing w:line="560" w:lineRule="exact"/>
        <w:jc w:val="lef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 xml:space="preserve">  （4）强制采购的节能产品：台式计算机，便携式计算机，平板式微型计算机，激光打印机，针式打印机，液晶显示器，制冷压缩机，空调机组，专用制冷、空调设备，镇流器，空调机，电热水器，普通照明用双端荧光灯，电视设备，视频设备，便器，水嘴等品目为政府强制采购的节能产品。</w:t>
      </w:r>
    </w:p>
    <w:p w14:paraId="63CC9BA5">
      <w:pPr>
        <w:spacing w:line="560" w:lineRule="exact"/>
        <w:jc w:val="lef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 xml:space="preserve">35.5 </w:t>
      </w:r>
      <w:r>
        <w:rPr>
          <w:rFonts w:ascii="仿宋_GB2312" w:hAnsi="仿宋_GB2312" w:eastAsia="仿宋_GB2312" w:cs="仿宋_GB2312"/>
          <w:color w:val="auto"/>
          <w:sz w:val="28"/>
          <w:szCs w:val="28"/>
          <w:lang w:eastAsia="zh-CN"/>
        </w:rPr>
        <w:t>信息安全产品要求</w:t>
      </w:r>
    </w:p>
    <w:p w14:paraId="3B7BEFE5">
      <w:pPr>
        <w:spacing w:line="560" w:lineRule="exact"/>
        <w:jc w:val="lef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 xml:space="preserve">    如采购人所采购产品属于信息安全产品的，按照《关于调整网络安全专用产品安全管理有关事项的公告》，在政府采购活动中采购网络安全产品的，不需要提供国家信息安全产品认证证书。列入《网络关键设备和网络安全专用产品目录》的网络安全专用产品应当按照《信息安全技术 网络安全专用产品安全技术要求》等相关国家标准的强制性要求，由具备资格的机构安全认证合格或者安全检测符合要求后，方可销售或者提供。</w:t>
      </w:r>
    </w:p>
    <w:p w14:paraId="1CAEEDB3">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 xml:space="preserve">35.6 </w:t>
      </w:r>
      <w:r>
        <w:rPr>
          <w:rFonts w:ascii="仿宋_GB2312" w:hAnsi="仿宋_GB2312" w:eastAsia="仿宋_GB2312" w:cs="仿宋_GB2312"/>
          <w:color w:val="auto"/>
          <w:sz w:val="28"/>
          <w:szCs w:val="28"/>
          <w:lang w:eastAsia="zh-CN"/>
        </w:rPr>
        <w:t>正版软件的要求</w:t>
      </w:r>
    </w:p>
    <w:p w14:paraId="7DE1A6C5">
      <w:pPr>
        <w:spacing w:line="560" w:lineRule="exact"/>
        <w:ind w:firstLine="548" w:firstLineChars="196"/>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供应商需承诺投报的计算机产品预装正版操作系统，投报的硬件产品内的预装软件为正版软件。本项目如需落实正版软件要求，将在“供应商须知前附表”中载明。</w:t>
      </w:r>
    </w:p>
    <w:p w14:paraId="54C7BCFD">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 xml:space="preserve">35.7 </w:t>
      </w:r>
      <w:r>
        <w:rPr>
          <w:rFonts w:ascii="仿宋_GB2312" w:hAnsi="仿宋_GB2312" w:eastAsia="仿宋_GB2312" w:cs="仿宋_GB2312"/>
          <w:color w:val="auto"/>
          <w:sz w:val="28"/>
          <w:szCs w:val="28"/>
          <w:lang w:eastAsia="zh-CN"/>
        </w:rPr>
        <w:t>商品包装和快递包装要求</w:t>
      </w:r>
    </w:p>
    <w:p w14:paraId="0DAA25A2">
      <w:pPr>
        <w:spacing w:line="54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本文件列出商品包装和快递包装要求的，供应商应填写商品包装和快递包装承诺书，承诺商品包装符合《快递暂行条例》《商品包装政府采购需求标准（试行）》，快递包装符合《快递暂行条例》《快递包装政府采购需求标准（试行）》。本项目如需落实商品包装和快递包装要求，将在“供应商须知前附表”中载明。</w:t>
      </w:r>
    </w:p>
    <w:p w14:paraId="537264A8">
      <w:pPr>
        <w:spacing w:line="560" w:lineRule="exact"/>
        <w:rPr>
          <w:rFonts w:ascii="仿宋_GB2312" w:hAnsi="仿宋_GB2312" w:eastAsia="仿宋_GB2312" w:cs="仿宋_GB2312"/>
          <w:b/>
          <w:bCs/>
          <w:color w:val="auto"/>
          <w:sz w:val="28"/>
          <w:szCs w:val="28"/>
          <w:lang w:eastAsia="zh-CN"/>
        </w:rPr>
      </w:pPr>
      <w:r>
        <w:rPr>
          <w:rFonts w:ascii="仿宋_GB2312" w:hAnsi="仿宋_GB2312" w:eastAsia="仿宋_GB2312" w:cs="仿宋_GB2312"/>
          <w:b/>
          <w:bCs/>
          <w:color w:val="auto"/>
          <w:sz w:val="28"/>
          <w:szCs w:val="28"/>
          <w:lang w:eastAsia="zh-CN"/>
        </w:rPr>
        <w:t>3</w:t>
      </w:r>
      <w:r>
        <w:rPr>
          <w:rFonts w:ascii="仿宋_GB2312" w:hAnsi="仿宋_GB2312" w:eastAsia="仿宋_GB2312" w:cs="仿宋_GB2312"/>
          <w:b/>
          <w:bCs/>
          <w:color w:val="auto"/>
          <w:sz w:val="28"/>
          <w:szCs w:val="28"/>
          <w:lang w:val="en-US" w:eastAsia="zh-CN"/>
        </w:rPr>
        <w:t>6</w:t>
      </w:r>
      <w:r>
        <w:rPr>
          <w:rFonts w:ascii="仿宋_GB2312" w:hAnsi="仿宋_GB2312" w:eastAsia="仿宋_GB2312" w:cs="仿宋_GB2312"/>
          <w:b/>
          <w:bCs/>
          <w:color w:val="auto"/>
          <w:sz w:val="28"/>
          <w:szCs w:val="28"/>
          <w:lang w:eastAsia="zh-CN"/>
        </w:rPr>
        <w:t>.</w:t>
      </w:r>
      <w:r>
        <w:rPr>
          <w:rFonts w:ascii="仿宋_GB2312" w:hAnsi="仿宋_GB2312" w:eastAsia="仿宋_GB2312" w:cs="仿宋_GB2312"/>
          <w:b/>
          <w:bCs/>
          <w:color w:val="auto"/>
          <w:sz w:val="28"/>
          <w:szCs w:val="28"/>
          <w:lang w:val="en-US" w:eastAsia="zh-CN"/>
        </w:rPr>
        <w:t xml:space="preserve"> </w:t>
      </w:r>
      <w:r>
        <w:rPr>
          <w:rFonts w:ascii="仿宋_GB2312" w:hAnsi="仿宋_GB2312" w:eastAsia="仿宋_GB2312" w:cs="仿宋_GB2312"/>
          <w:b/>
          <w:bCs/>
          <w:color w:val="auto"/>
          <w:sz w:val="28"/>
          <w:szCs w:val="28"/>
          <w:lang w:eastAsia="zh-CN"/>
        </w:rPr>
        <w:t>评审价的确定</w:t>
      </w:r>
    </w:p>
    <w:p w14:paraId="668C72B2">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3</w:t>
      </w:r>
      <w:r>
        <w:rPr>
          <w:rFonts w:ascii="仿宋_GB2312" w:hAnsi="仿宋_GB2312" w:eastAsia="仿宋_GB2312" w:cs="仿宋_GB2312"/>
          <w:color w:val="auto"/>
          <w:sz w:val="28"/>
          <w:szCs w:val="28"/>
          <w:lang w:val="en-US" w:eastAsia="zh-CN"/>
        </w:rPr>
        <w:t>6</w:t>
      </w:r>
      <w:r>
        <w:rPr>
          <w:rFonts w:ascii="仿宋_GB2312" w:hAnsi="仿宋_GB2312" w:eastAsia="仿宋_GB2312" w:cs="仿宋_GB2312"/>
          <w:color w:val="auto"/>
          <w:sz w:val="28"/>
          <w:szCs w:val="28"/>
          <w:lang w:eastAsia="zh-CN"/>
        </w:rPr>
        <w:t>.1 根据</w:t>
      </w:r>
      <w:r>
        <w:rPr>
          <w:rFonts w:ascii="仿宋_GB2312" w:hAnsi="仿宋_GB2312" w:eastAsia="仿宋_GB2312" w:cs="仿宋_GB2312"/>
          <w:color w:val="auto"/>
          <w:sz w:val="28"/>
          <w:szCs w:val="28"/>
          <w:lang w:val="en-US" w:eastAsia="zh-CN"/>
        </w:rPr>
        <w:t>《政府采购促进中小企业发展管理办法》（财库〔</w:t>
      </w:r>
      <w:r>
        <w:rPr>
          <w:rFonts w:hint="default" w:ascii="仿宋_GB2312" w:hAnsi="仿宋_GB2312" w:eastAsia="仿宋_GB2312" w:cs="仿宋_GB2312"/>
          <w:color w:val="auto"/>
          <w:sz w:val="28"/>
          <w:szCs w:val="28"/>
          <w:lang w:val="en-US" w:eastAsia="zh-CN"/>
        </w:rPr>
        <w:t>2020</w:t>
      </w:r>
      <w:r>
        <w:rPr>
          <w:rFonts w:ascii="仿宋_GB2312" w:hAnsi="仿宋_GB2312" w:eastAsia="仿宋_GB2312" w:cs="仿宋_GB2312"/>
          <w:color w:val="auto"/>
          <w:sz w:val="28"/>
          <w:szCs w:val="28"/>
          <w:lang w:val="en-US" w:eastAsia="zh-CN"/>
        </w:rPr>
        <w:t>〕</w:t>
      </w:r>
      <w:r>
        <w:rPr>
          <w:rFonts w:hint="default" w:ascii="仿宋_GB2312" w:hAnsi="仿宋_GB2312" w:eastAsia="仿宋_GB2312" w:cs="仿宋_GB2312"/>
          <w:color w:val="auto"/>
          <w:sz w:val="28"/>
          <w:szCs w:val="28"/>
          <w:lang w:val="en-US" w:eastAsia="zh-CN"/>
        </w:rPr>
        <w:t>46</w:t>
      </w:r>
      <w:r>
        <w:rPr>
          <w:rFonts w:ascii="仿宋_GB2312" w:hAnsi="仿宋_GB2312" w:eastAsia="仿宋_GB2312" w:cs="仿宋_GB2312"/>
          <w:color w:val="auto"/>
          <w:sz w:val="28"/>
          <w:szCs w:val="28"/>
          <w:lang w:val="en-US" w:eastAsia="zh-CN"/>
        </w:rPr>
        <w:t>号）《</w:t>
      </w:r>
      <w:r>
        <w:rPr>
          <w:rFonts w:hint="default" w:ascii="仿宋_GB2312" w:hAnsi="仿宋_GB2312" w:eastAsia="仿宋_GB2312" w:cs="仿宋_GB2312"/>
          <w:color w:val="auto"/>
          <w:sz w:val="28"/>
          <w:szCs w:val="28"/>
          <w:lang w:val="en-US" w:eastAsia="zh-CN"/>
        </w:rPr>
        <w:t>关于进一步加大政府采购支持中小企业力度的通知</w:t>
      </w:r>
      <w:r>
        <w:rPr>
          <w:rFonts w:ascii="仿宋_GB2312" w:hAnsi="仿宋_GB2312" w:eastAsia="仿宋_GB2312" w:cs="仿宋_GB2312"/>
          <w:color w:val="auto"/>
          <w:sz w:val="28"/>
          <w:szCs w:val="28"/>
          <w:lang w:val="en-US" w:eastAsia="zh-CN"/>
        </w:rPr>
        <w:t>》（财库〔</w:t>
      </w:r>
      <w:r>
        <w:rPr>
          <w:rFonts w:hint="default" w:ascii="仿宋_GB2312" w:hAnsi="仿宋_GB2312" w:eastAsia="仿宋_GB2312" w:cs="仿宋_GB2312"/>
          <w:color w:val="auto"/>
          <w:sz w:val="28"/>
          <w:szCs w:val="28"/>
          <w:lang w:val="en-US" w:eastAsia="zh-CN"/>
        </w:rPr>
        <w:t>2022</w:t>
      </w:r>
      <w:r>
        <w:rPr>
          <w:rFonts w:ascii="仿宋_GB2312" w:hAnsi="仿宋_GB2312" w:eastAsia="仿宋_GB2312" w:cs="仿宋_GB2312"/>
          <w:color w:val="auto"/>
          <w:sz w:val="28"/>
          <w:szCs w:val="28"/>
          <w:lang w:val="en-US" w:eastAsia="zh-CN"/>
        </w:rPr>
        <w:t>〕</w:t>
      </w:r>
      <w:r>
        <w:rPr>
          <w:rFonts w:hint="default" w:ascii="仿宋_GB2312" w:hAnsi="仿宋_GB2312" w:eastAsia="仿宋_GB2312" w:cs="仿宋_GB2312"/>
          <w:color w:val="auto"/>
          <w:sz w:val="28"/>
          <w:szCs w:val="28"/>
          <w:lang w:val="en-US" w:eastAsia="zh-CN"/>
        </w:rPr>
        <w:t>19</w:t>
      </w:r>
      <w:r>
        <w:rPr>
          <w:rFonts w:ascii="仿宋_GB2312" w:hAnsi="仿宋_GB2312" w:eastAsia="仿宋_GB2312" w:cs="仿宋_GB2312"/>
          <w:color w:val="auto"/>
          <w:sz w:val="28"/>
          <w:szCs w:val="28"/>
          <w:lang w:val="en-US" w:eastAsia="zh-CN"/>
        </w:rPr>
        <w:t>号）</w:t>
      </w:r>
      <w:r>
        <w:rPr>
          <w:rFonts w:ascii="仿宋_GB2312" w:hAnsi="仿宋_GB2312" w:eastAsia="仿宋_GB2312" w:cs="仿宋_GB2312"/>
          <w:color w:val="auto"/>
          <w:sz w:val="28"/>
          <w:szCs w:val="28"/>
          <w:lang w:eastAsia="zh-CN"/>
        </w:rPr>
        <w:t>的规定，采购人在政府采购活动中支持中小企业发展：</w:t>
      </w:r>
    </w:p>
    <w:p w14:paraId="3519058F">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 xml:space="preserve">    </w:t>
      </w:r>
      <w:r>
        <w:rPr>
          <w:rFonts w:ascii="仿宋_GB2312" w:hAnsi="仿宋_GB2312" w:eastAsia="仿宋_GB2312" w:cs="仿宋_GB2312"/>
          <w:color w:val="auto"/>
          <w:sz w:val="28"/>
          <w:szCs w:val="28"/>
          <w:lang w:eastAsia="zh-CN"/>
        </w:rPr>
        <w:t>（1）采购项目或采购包预留采购份额专门面向中小企业采购；</w:t>
      </w:r>
    </w:p>
    <w:p w14:paraId="1BF71232">
      <w:pPr>
        <w:spacing w:line="560" w:lineRule="exact"/>
        <w:ind w:firstLine="560"/>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（2）未预留份额专门面向中小企业采购的采购项目，以及预留份额项目中的非预留部分采购包，对小微企业报价给予</w:t>
      </w:r>
      <w:r>
        <w:rPr>
          <w:rFonts w:ascii="仿宋_GB2312" w:hAnsi="仿宋_GB2312" w:eastAsia="仿宋_GB2312" w:cs="仿宋_GB2312"/>
          <w:color w:val="auto"/>
          <w:sz w:val="28"/>
          <w:szCs w:val="28"/>
          <w:lang w:val="en-US" w:eastAsia="zh-CN"/>
        </w:rPr>
        <w:t>10</w:t>
      </w:r>
      <w:r>
        <w:rPr>
          <w:rFonts w:ascii="仿宋_GB2312" w:hAnsi="仿宋_GB2312" w:eastAsia="仿宋_GB2312" w:cs="仿宋_GB2312"/>
          <w:color w:val="auto"/>
          <w:sz w:val="28"/>
          <w:szCs w:val="28"/>
          <w:lang w:eastAsia="zh-CN"/>
        </w:rPr>
        <w:t>%—</w:t>
      </w:r>
      <w:r>
        <w:rPr>
          <w:rFonts w:ascii="仿宋_GB2312" w:hAnsi="仿宋_GB2312" w:eastAsia="仿宋_GB2312" w:cs="仿宋_GB2312"/>
          <w:color w:val="auto"/>
          <w:sz w:val="28"/>
          <w:szCs w:val="28"/>
          <w:lang w:val="en-US" w:eastAsia="zh-CN"/>
        </w:rPr>
        <w:t>2</w:t>
      </w:r>
      <w:r>
        <w:rPr>
          <w:rFonts w:ascii="仿宋_GB2312" w:hAnsi="仿宋_GB2312" w:eastAsia="仿宋_GB2312" w:cs="仿宋_GB2312"/>
          <w:color w:val="auto"/>
          <w:sz w:val="28"/>
          <w:szCs w:val="28"/>
          <w:lang w:eastAsia="zh-CN"/>
        </w:rPr>
        <w:t>0%的扣除，用扣除后的价格参加评审。中小企业扶持政策：见“供应商须知前附表”。</w:t>
      </w:r>
    </w:p>
    <w:p w14:paraId="7081DA6F">
      <w:pPr>
        <w:spacing w:line="560" w:lineRule="exact"/>
        <w:ind w:firstLine="56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eastAsia="zh-CN"/>
        </w:rPr>
        <w:t>（</w:t>
      </w:r>
      <w:r>
        <w:rPr>
          <w:rFonts w:ascii="仿宋_GB2312" w:hAnsi="仿宋_GB2312" w:eastAsia="仿宋_GB2312" w:cs="仿宋_GB2312"/>
          <w:color w:val="auto"/>
          <w:sz w:val="28"/>
          <w:szCs w:val="28"/>
          <w:lang w:val="en-US" w:eastAsia="zh-CN"/>
        </w:rPr>
        <w:t>3</w:t>
      </w:r>
      <w:r>
        <w:rPr>
          <w:rFonts w:ascii="仿宋_GB2312" w:hAnsi="仿宋_GB2312" w:eastAsia="仿宋_GB2312" w:cs="仿宋_GB2312"/>
          <w:color w:val="auto"/>
          <w:sz w:val="28"/>
          <w:szCs w:val="28"/>
          <w:lang w:eastAsia="zh-CN"/>
        </w:rPr>
        <w:t>）</w:t>
      </w:r>
      <w:r>
        <w:rPr>
          <w:rFonts w:ascii="仿宋_GB2312" w:hAnsi="仿宋_GB2312" w:eastAsia="仿宋_GB2312" w:cs="仿宋_GB2312"/>
          <w:color w:val="auto"/>
          <w:sz w:val="28"/>
          <w:szCs w:val="28"/>
          <w:lang w:val="en-US" w:eastAsia="zh-CN"/>
        </w:rPr>
        <w:t>中小企业划分标准见《关于印发中小企业划型标准规定的通知》（工信部联企业〔2011〕300号）。成交供应商享受《政府采购促进中小企业发展管理办法》（财库〔</w:t>
      </w:r>
      <w:r>
        <w:rPr>
          <w:rFonts w:hint="default" w:ascii="仿宋_GB2312" w:hAnsi="仿宋_GB2312" w:eastAsia="仿宋_GB2312" w:cs="仿宋_GB2312"/>
          <w:color w:val="auto"/>
          <w:sz w:val="28"/>
          <w:szCs w:val="28"/>
          <w:lang w:val="en-US" w:eastAsia="zh-CN"/>
        </w:rPr>
        <w:t>2020</w:t>
      </w:r>
      <w:r>
        <w:rPr>
          <w:rFonts w:ascii="仿宋_GB2312" w:hAnsi="仿宋_GB2312" w:eastAsia="仿宋_GB2312" w:cs="仿宋_GB2312"/>
          <w:color w:val="auto"/>
          <w:sz w:val="28"/>
          <w:szCs w:val="28"/>
          <w:lang w:val="en-US" w:eastAsia="zh-CN"/>
        </w:rPr>
        <w:t>〕</w:t>
      </w:r>
      <w:r>
        <w:rPr>
          <w:rFonts w:hint="default" w:ascii="仿宋_GB2312" w:hAnsi="仿宋_GB2312" w:eastAsia="仿宋_GB2312" w:cs="仿宋_GB2312"/>
          <w:color w:val="auto"/>
          <w:sz w:val="28"/>
          <w:szCs w:val="28"/>
          <w:lang w:val="en-US" w:eastAsia="zh-CN"/>
        </w:rPr>
        <w:t>46</w:t>
      </w:r>
      <w:r>
        <w:rPr>
          <w:rFonts w:ascii="仿宋_GB2312" w:hAnsi="仿宋_GB2312" w:eastAsia="仿宋_GB2312" w:cs="仿宋_GB2312"/>
          <w:color w:val="auto"/>
          <w:sz w:val="28"/>
          <w:szCs w:val="28"/>
          <w:lang w:val="en-US" w:eastAsia="zh-CN"/>
        </w:rPr>
        <w:t>号）《</w:t>
      </w:r>
      <w:r>
        <w:rPr>
          <w:rFonts w:hint="default" w:ascii="仿宋_GB2312" w:hAnsi="仿宋_GB2312" w:eastAsia="仿宋_GB2312" w:cs="仿宋_GB2312"/>
          <w:color w:val="auto"/>
          <w:sz w:val="28"/>
          <w:szCs w:val="28"/>
          <w:lang w:val="en-US" w:eastAsia="zh-CN"/>
        </w:rPr>
        <w:t>关于进一步加大政府采购支持中小企业力度的通知</w:t>
      </w:r>
      <w:r>
        <w:rPr>
          <w:rFonts w:ascii="仿宋_GB2312" w:hAnsi="仿宋_GB2312" w:eastAsia="仿宋_GB2312" w:cs="仿宋_GB2312"/>
          <w:color w:val="auto"/>
          <w:sz w:val="28"/>
          <w:szCs w:val="28"/>
          <w:lang w:val="en-US" w:eastAsia="zh-CN"/>
        </w:rPr>
        <w:t>》（财库〔</w:t>
      </w:r>
      <w:r>
        <w:rPr>
          <w:rFonts w:hint="default" w:ascii="仿宋_GB2312" w:hAnsi="仿宋_GB2312" w:eastAsia="仿宋_GB2312" w:cs="仿宋_GB2312"/>
          <w:color w:val="auto"/>
          <w:sz w:val="28"/>
          <w:szCs w:val="28"/>
          <w:lang w:val="en-US" w:eastAsia="zh-CN"/>
        </w:rPr>
        <w:t>2022</w:t>
      </w:r>
      <w:r>
        <w:rPr>
          <w:rFonts w:ascii="仿宋_GB2312" w:hAnsi="仿宋_GB2312" w:eastAsia="仿宋_GB2312" w:cs="仿宋_GB2312"/>
          <w:color w:val="auto"/>
          <w:sz w:val="28"/>
          <w:szCs w:val="28"/>
          <w:lang w:val="en-US" w:eastAsia="zh-CN"/>
        </w:rPr>
        <w:t>〕</w:t>
      </w:r>
      <w:r>
        <w:rPr>
          <w:rFonts w:hint="default" w:ascii="仿宋_GB2312" w:hAnsi="仿宋_GB2312" w:eastAsia="仿宋_GB2312" w:cs="仿宋_GB2312"/>
          <w:color w:val="auto"/>
          <w:sz w:val="28"/>
          <w:szCs w:val="28"/>
          <w:lang w:val="en-US" w:eastAsia="zh-CN"/>
        </w:rPr>
        <w:t>19</w:t>
      </w:r>
      <w:r>
        <w:rPr>
          <w:rFonts w:ascii="仿宋_GB2312" w:hAnsi="仿宋_GB2312" w:eastAsia="仿宋_GB2312" w:cs="仿宋_GB2312"/>
          <w:color w:val="auto"/>
          <w:sz w:val="28"/>
          <w:szCs w:val="28"/>
          <w:lang w:val="en-US" w:eastAsia="zh-CN"/>
        </w:rPr>
        <w:t>号）规定的中小企业扶持政策的，随成交结果公开成交供应商的《中小企业声明函》。供应商提供声明函内容不实的，属于提供虚假材料谋取成交，依照《中华人民共和国政府采购法》等国家有关规定追究相应责任。</w:t>
      </w:r>
    </w:p>
    <w:p w14:paraId="40A5BF19">
      <w:pPr>
        <w:spacing w:line="560" w:lineRule="exact"/>
        <w:ind w:firstLine="56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（4）监狱企业视同小型、微型企业，供应商应提供省级及以上监狱管理局、戒毒管理局（含新疆生产建设兵团）出具的属于监狱企业的证明文件。</w:t>
      </w:r>
    </w:p>
    <w:p w14:paraId="31A0F5C7">
      <w:pPr>
        <w:spacing w:line="560" w:lineRule="exact"/>
        <w:ind w:firstLine="56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（5）残疾人福利性单位视同小型、微型企业，残疾人福利性单位须符合《财政部民政部中国残疾人联合会关于促进残疾人就业政府采购政策的通知》（财库〔2017〕141 号）要求，提供《残疾人福利性单位声明函》，提供的《残疾人福利性单位声明函》与事实不符的，依照《政府采购法》第七十七条第一款的规定追究法律责任。成交供应商为残疾人福利性单位的，随成交结果同时公告其《残疾人福利性单位声明函》，接受社会监督。</w:t>
      </w:r>
    </w:p>
    <w:p w14:paraId="0701A904">
      <w:pPr>
        <w:spacing w:line="560" w:lineRule="exact"/>
        <w:ind w:firstLine="56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（6）以联合体形式参加政府采购活动，联合体各方均为中小企业的，联合体视同中小企业。其中，联合体各方均为小微企业的，联合体视同小微企业。</w:t>
      </w:r>
    </w:p>
    <w:p w14:paraId="65BDAA22">
      <w:pPr>
        <w:spacing w:line="560" w:lineRule="exact"/>
        <w:rPr>
          <w:rFonts w:hint="default" w:ascii="Times New Roman" w:hAnsi="Times New Roman" w:eastAsia="仿宋_GB2312" w:cs="Times New Roman"/>
          <w:color w:val="auto"/>
          <w:sz w:val="28"/>
          <w:szCs w:val="28"/>
          <w:lang w:eastAsia="zh-CN"/>
        </w:rPr>
      </w:pPr>
      <w:r>
        <w:rPr>
          <w:rFonts w:ascii="仿宋_GB2312" w:hAnsi="仿宋_GB2312" w:eastAsia="仿宋_GB2312" w:cs="仿宋_GB2312"/>
          <w:color w:val="auto"/>
          <w:sz w:val="28"/>
          <w:szCs w:val="28"/>
          <w:lang w:val="en-US" w:eastAsia="zh-CN"/>
        </w:rPr>
        <w:t>36.2</w:t>
      </w:r>
      <w:r>
        <w:rPr>
          <w:rFonts w:hint="default" w:ascii="Times New Roman" w:hAnsi="Times New Roman" w:eastAsia="仿宋_GB2312" w:cs="Times New Roman"/>
          <w:color w:val="auto"/>
          <w:sz w:val="28"/>
          <w:szCs w:val="28"/>
          <w:lang w:val="en-US" w:eastAsia="zh-CN"/>
        </w:rPr>
        <w:t>根据《国务院办公厅关于在政府采购中实施本国产品标准及相关政策的通知》（国办发〔2025〕34号）和《关于贯彻落实&lt;国务院办公厅关于在政府采购中实施本国产品标准及相关政策的通知&gt;的意见》（财库〔2025〕30号）要求，</w:t>
      </w:r>
      <w:r>
        <w:rPr>
          <w:rFonts w:hint="default" w:ascii="Times New Roman" w:hAnsi="Times New Roman" w:eastAsia="仿宋_GB2312" w:cs="Times New Roman"/>
          <w:color w:val="auto"/>
          <w:sz w:val="28"/>
          <w:szCs w:val="28"/>
          <w:lang w:eastAsia="zh-CN"/>
        </w:rPr>
        <w:t>采购人在政府采购活动中对本国产品予以支持：</w:t>
      </w:r>
    </w:p>
    <w:p w14:paraId="3834D695">
      <w:pPr>
        <w:spacing w:line="560" w:lineRule="exact"/>
        <w:rPr>
          <w:rFonts w:hint="default" w:ascii="Times New Roman" w:hAnsi="Times New Roman" w:eastAsia="仿宋_GB2312" w:cs="Times New Roman"/>
          <w:color w:val="auto"/>
          <w:sz w:val="28"/>
          <w:szCs w:val="28"/>
          <w:lang w:val="en-US" w:eastAsia="zh-CN"/>
        </w:rPr>
      </w:pPr>
      <w:r>
        <w:rPr>
          <w:rFonts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val="en-US" w:eastAsia="zh-CN"/>
        </w:rPr>
        <w:t>（1）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E18F21C">
      <w:pPr>
        <w:spacing w:line="560" w:lineRule="exact"/>
        <w:rPr>
          <w:rFonts w:hint="default" w:ascii="Times New Roman" w:hAnsi="Times New Roman" w:eastAsia="仿宋_GB2312" w:cs="Times New Roman"/>
          <w:color w:val="auto"/>
          <w:sz w:val="28"/>
          <w:szCs w:val="28"/>
          <w:lang w:val="en-US" w:eastAsia="zh-CN"/>
        </w:rPr>
      </w:pPr>
      <w:r>
        <w:rPr>
          <w:rFonts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val="en-US" w:eastAsia="zh-CN"/>
        </w:rPr>
        <w:t>（2）供应商对其提供的产品出具《关于符合本国产品标准的声明函》或财政部会同有关部门规定的有关证明文件，《关于符合本国产品标准的声明函》或有关证明文件符合要求的，该产品视为本国产品。供应商提供虚假《关于符合本国产品标准的声明函》、虚假证明文件谋取中标、成交的，依照《中华人民共和国政府采购法》等法律法规规定追究相应责任。成交供应商享受对本国产品的支持政策，随中标、成交结果同时公告中标、成交供应商提供的《关于符合本国产品标准的声明函》或有关证明文件。</w:t>
      </w:r>
    </w:p>
    <w:p w14:paraId="7E0D1028">
      <w:pPr>
        <w:spacing w:line="560" w:lineRule="exact"/>
        <w:rPr>
          <w:rFonts w:ascii="仿宋_GB2312" w:hAnsi="仿宋_GB2312" w:eastAsia="仿宋_GB2312" w:cs="仿宋_GB2312"/>
          <w:color w:val="auto"/>
          <w:sz w:val="28"/>
          <w:szCs w:val="28"/>
          <w:lang w:val="en-US" w:eastAsia="zh-CN"/>
        </w:rPr>
      </w:pPr>
      <w:r>
        <w:rPr>
          <w:rFonts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val="en-US" w:eastAsia="zh-CN"/>
        </w:rPr>
        <w:t>（3）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5631D5A0">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 xml:space="preserve">36.3 </w:t>
      </w:r>
      <w:r>
        <w:rPr>
          <w:rFonts w:ascii="仿宋_GB2312" w:hAnsi="仿宋_GB2312" w:eastAsia="仿宋_GB2312" w:cs="仿宋_GB2312"/>
          <w:color w:val="auto"/>
          <w:sz w:val="28"/>
          <w:szCs w:val="28"/>
          <w:lang w:eastAsia="zh-CN"/>
        </w:rPr>
        <w:t>评审价不作为成交金额和合同签约价，成交金额和合同签约价仍以其磋商响应文件中的最后报价为准。</w:t>
      </w:r>
    </w:p>
    <w:p w14:paraId="50DD4825">
      <w:pPr>
        <w:spacing w:line="560" w:lineRule="exact"/>
        <w:rPr>
          <w:rFonts w:ascii="仿宋_GB2312" w:hAnsi="仿宋_GB2312" w:eastAsia="仿宋_GB2312" w:cs="仿宋_GB2312"/>
          <w:b/>
          <w:bCs/>
          <w:color w:val="auto"/>
          <w:sz w:val="28"/>
          <w:szCs w:val="28"/>
          <w:lang w:eastAsia="zh-CN"/>
        </w:rPr>
      </w:pPr>
      <w:r>
        <w:rPr>
          <w:rFonts w:ascii="仿宋_GB2312" w:hAnsi="仿宋_GB2312" w:eastAsia="仿宋_GB2312" w:cs="仿宋_GB2312"/>
          <w:b/>
          <w:bCs/>
          <w:color w:val="auto"/>
          <w:sz w:val="28"/>
          <w:szCs w:val="28"/>
          <w:lang w:eastAsia="zh-CN"/>
        </w:rPr>
        <w:t>3</w:t>
      </w:r>
      <w:r>
        <w:rPr>
          <w:rFonts w:ascii="仿宋_GB2312" w:hAnsi="仿宋_GB2312" w:eastAsia="仿宋_GB2312" w:cs="仿宋_GB2312"/>
          <w:b/>
          <w:bCs/>
          <w:color w:val="auto"/>
          <w:sz w:val="28"/>
          <w:szCs w:val="28"/>
          <w:lang w:val="en-US" w:eastAsia="zh-CN"/>
        </w:rPr>
        <w:t>7</w:t>
      </w:r>
      <w:r>
        <w:rPr>
          <w:rFonts w:ascii="仿宋_GB2312" w:hAnsi="仿宋_GB2312" w:eastAsia="仿宋_GB2312" w:cs="仿宋_GB2312"/>
          <w:b/>
          <w:bCs/>
          <w:color w:val="auto"/>
          <w:sz w:val="28"/>
          <w:szCs w:val="28"/>
          <w:lang w:eastAsia="zh-CN"/>
        </w:rPr>
        <w:t>.评审结果</w:t>
      </w:r>
    </w:p>
    <w:p w14:paraId="5425984B">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3</w:t>
      </w:r>
      <w:r>
        <w:rPr>
          <w:rFonts w:ascii="仿宋_GB2312" w:hAnsi="仿宋_GB2312" w:eastAsia="仿宋_GB2312" w:cs="仿宋_GB2312"/>
          <w:color w:val="auto"/>
          <w:sz w:val="28"/>
          <w:szCs w:val="28"/>
          <w:lang w:val="en-US" w:eastAsia="zh-CN"/>
        </w:rPr>
        <w:t>7</w:t>
      </w:r>
      <w:r>
        <w:rPr>
          <w:rFonts w:ascii="仿宋_GB2312" w:hAnsi="仿宋_GB2312" w:eastAsia="仿宋_GB2312" w:cs="仿宋_GB2312"/>
          <w:color w:val="auto"/>
          <w:sz w:val="28"/>
          <w:szCs w:val="28"/>
          <w:lang w:eastAsia="zh-CN"/>
        </w:rPr>
        <w:t>.1竞争性磋商小组按照</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eastAsia="zh-CN"/>
        </w:rPr>
        <w:t>中规定的磋商方法和标准，对初步审查合格的竞争性磋商响应文件进行商务和技术评</w:t>
      </w:r>
      <w:r>
        <w:rPr>
          <w:rFonts w:ascii="仿宋_GB2312" w:hAnsi="仿宋_GB2312" w:eastAsia="仿宋_GB2312" w:cs="仿宋_GB2312"/>
          <w:color w:val="auto"/>
          <w:sz w:val="28"/>
          <w:szCs w:val="28"/>
          <w:lang w:val="en-US" w:eastAsia="zh-CN"/>
        </w:rPr>
        <w:t>审</w:t>
      </w:r>
      <w:r>
        <w:rPr>
          <w:rFonts w:ascii="仿宋_GB2312" w:hAnsi="仿宋_GB2312" w:eastAsia="仿宋_GB2312" w:cs="仿宋_GB2312"/>
          <w:color w:val="auto"/>
          <w:sz w:val="28"/>
          <w:szCs w:val="28"/>
          <w:lang w:eastAsia="zh-CN"/>
        </w:rPr>
        <w:t>，综合比较与评价。</w:t>
      </w:r>
    </w:p>
    <w:p w14:paraId="415061D1">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3</w:t>
      </w:r>
      <w:r>
        <w:rPr>
          <w:rFonts w:ascii="仿宋_GB2312" w:hAnsi="仿宋_GB2312" w:eastAsia="仿宋_GB2312" w:cs="仿宋_GB2312"/>
          <w:color w:val="auto"/>
          <w:sz w:val="28"/>
          <w:szCs w:val="28"/>
          <w:lang w:val="en-US" w:eastAsia="zh-CN"/>
        </w:rPr>
        <w:t>7</w:t>
      </w:r>
      <w:r>
        <w:rPr>
          <w:rFonts w:ascii="仿宋_GB2312" w:hAnsi="仿宋_GB2312" w:eastAsia="仿宋_GB2312" w:cs="仿宋_GB2312"/>
          <w:color w:val="auto"/>
          <w:sz w:val="28"/>
          <w:szCs w:val="28"/>
          <w:lang w:eastAsia="zh-CN"/>
        </w:rPr>
        <w:t>.2供应商的评审得分为所有评委评审得分的算术平均值，评审得分取至小数点后两位（第三位四舍五入）。</w:t>
      </w:r>
    </w:p>
    <w:p w14:paraId="43C57055">
      <w:pPr>
        <w:pStyle w:val="70"/>
        <w:spacing w:line="560" w:lineRule="exact"/>
        <w:rPr>
          <w:rFonts w:eastAsia="仿宋_GB2312"/>
          <w:color w:val="auto"/>
        </w:rPr>
      </w:pPr>
      <w:r>
        <w:rPr>
          <w:rFonts w:hint="eastAsia" w:ascii="仿宋_GB2312" w:hAnsi="仿宋_GB2312" w:eastAsia="仿宋_GB2312" w:cs="仿宋_GB2312"/>
          <w:b/>
          <w:bCs/>
          <w:color w:val="auto"/>
          <w:sz w:val="28"/>
          <w:szCs w:val="28"/>
        </w:rPr>
        <w:t>38.</w:t>
      </w:r>
      <w:r>
        <w:rPr>
          <w:rFonts w:hint="eastAsia" w:ascii="仿宋_GB2312" w:hAnsi="仿宋_GB2312" w:eastAsia="仿宋_GB2312" w:cs="仿宋_GB2312"/>
          <w:b/>
          <w:color w:val="auto"/>
          <w:sz w:val="28"/>
          <w:szCs w:val="28"/>
        </w:rPr>
        <w:t>成交候选供应商的确定原则及标准</w:t>
      </w:r>
    </w:p>
    <w:p w14:paraId="08734BD1">
      <w:pPr>
        <w:widowControl w:val="0"/>
        <w:spacing w:line="560" w:lineRule="exact"/>
        <w:jc w:val="lef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竞争性磋商小组按“供应商须知前附表”中规定数量推荐成交候选供应商。</w:t>
      </w:r>
    </w:p>
    <w:p w14:paraId="4A3049B9">
      <w:pPr>
        <w:spacing w:line="560" w:lineRule="exact"/>
        <w:rPr>
          <w:rFonts w:ascii="仿宋_GB2312" w:hAnsi="仿宋_GB2312" w:eastAsia="仿宋_GB2312" w:cs="仿宋_GB2312"/>
          <w:b/>
          <w:bCs/>
          <w:color w:val="auto"/>
          <w:sz w:val="28"/>
          <w:szCs w:val="28"/>
          <w:lang w:eastAsia="zh-CN"/>
        </w:rPr>
      </w:pPr>
      <w:r>
        <w:rPr>
          <w:rFonts w:ascii="仿宋_GB2312" w:hAnsi="仿宋_GB2312" w:eastAsia="仿宋_GB2312" w:cs="仿宋_GB2312"/>
          <w:b/>
          <w:bCs/>
          <w:color w:val="auto"/>
          <w:sz w:val="28"/>
          <w:szCs w:val="28"/>
          <w:lang w:eastAsia="zh-CN"/>
        </w:rPr>
        <w:t>3</w:t>
      </w:r>
      <w:r>
        <w:rPr>
          <w:rFonts w:ascii="仿宋_GB2312" w:hAnsi="仿宋_GB2312" w:eastAsia="仿宋_GB2312" w:cs="仿宋_GB2312"/>
          <w:b/>
          <w:bCs/>
          <w:color w:val="auto"/>
          <w:sz w:val="28"/>
          <w:szCs w:val="28"/>
          <w:lang w:val="en-US" w:eastAsia="zh-CN"/>
        </w:rPr>
        <w:t>9</w:t>
      </w:r>
      <w:r>
        <w:rPr>
          <w:rFonts w:ascii="仿宋_GB2312" w:hAnsi="仿宋_GB2312" w:eastAsia="仿宋_GB2312" w:cs="仿宋_GB2312"/>
          <w:b/>
          <w:bCs/>
          <w:color w:val="auto"/>
          <w:sz w:val="28"/>
          <w:szCs w:val="28"/>
          <w:lang w:eastAsia="zh-CN"/>
        </w:rPr>
        <w:t>.保密及其它注意事项</w:t>
      </w:r>
    </w:p>
    <w:p w14:paraId="39890BE9">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3</w:t>
      </w:r>
      <w:r>
        <w:rPr>
          <w:rFonts w:ascii="仿宋_GB2312" w:hAnsi="仿宋_GB2312" w:eastAsia="仿宋_GB2312" w:cs="仿宋_GB2312"/>
          <w:color w:val="auto"/>
          <w:sz w:val="28"/>
          <w:szCs w:val="28"/>
          <w:lang w:val="en-US" w:eastAsia="zh-CN"/>
        </w:rPr>
        <w:t>9</w:t>
      </w:r>
      <w:r>
        <w:rPr>
          <w:rFonts w:ascii="仿宋_GB2312" w:hAnsi="仿宋_GB2312" w:eastAsia="仿宋_GB2312" w:cs="仿宋_GB2312"/>
          <w:color w:val="auto"/>
          <w:sz w:val="28"/>
          <w:szCs w:val="28"/>
          <w:lang w:eastAsia="zh-CN"/>
        </w:rPr>
        <w:t>.1评审是竞争性磋商工作的重要环节，评审工作在竞争性磋商小组内独立进行。</w:t>
      </w:r>
    </w:p>
    <w:p w14:paraId="599AAAFB">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3</w:t>
      </w:r>
      <w:r>
        <w:rPr>
          <w:rFonts w:ascii="仿宋_GB2312" w:hAnsi="仿宋_GB2312" w:eastAsia="仿宋_GB2312" w:cs="仿宋_GB2312"/>
          <w:color w:val="auto"/>
          <w:sz w:val="28"/>
          <w:szCs w:val="28"/>
          <w:lang w:val="en-US" w:eastAsia="zh-CN"/>
        </w:rPr>
        <w:t>9</w:t>
      </w:r>
      <w:r>
        <w:rPr>
          <w:rFonts w:ascii="仿宋_GB2312" w:hAnsi="仿宋_GB2312" w:eastAsia="仿宋_GB2312" w:cs="仿宋_GB2312"/>
          <w:color w:val="auto"/>
          <w:sz w:val="28"/>
          <w:szCs w:val="28"/>
          <w:lang w:eastAsia="zh-CN"/>
        </w:rPr>
        <w:t>.2竞争性磋商小组将遵照规定的磋商方法，公正、平等地对待所有供应商。</w:t>
      </w:r>
    </w:p>
    <w:p w14:paraId="1D9E4803">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3</w:t>
      </w:r>
      <w:r>
        <w:rPr>
          <w:rFonts w:ascii="仿宋_GB2312" w:hAnsi="仿宋_GB2312" w:eastAsia="仿宋_GB2312" w:cs="仿宋_GB2312"/>
          <w:color w:val="auto"/>
          <w:sz w:val="28"/>
          <w:szCs w:val="28"/>
          <w:lang w:val="en-US" w:eastAsia="zh-CN"/>
        </w:rPr>
        <w:t>9</w:t>
      </w:r>
      <w:r>
        <w:rPr>
          <w:rFonts w:ascii="仿宋_GB2312" w:hAnsi="仿宋_GB2312" w:eastAsia="仿宋_GB2312" w:cs="仿宋_GB2312"/>
          <w:color w:val="auto"/>
          <w:sz w:val="28"/>
          <w:szCs w:val="28"/>
          <w:lang w:eastAsia="zh-CN"/>
        </w:rPr>
        <w:t>.3在评审期间，供应商不得向评委询问评审情况，不得进行旨在影响评审结果的活动。否则其磋商响应可能被拒绝。</w:t>
      </w:r>
    </w:p>
    <w:p w14:paraId="5C3D52FC">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3</w:t>
      </w:r>
      <w:r>
        <w:rPr>
          <w:rFonts w:ascii="仿宋_GB2312" w:hAnsi="仿宋_GB2312" w:eastAsia="仿宋_GB2312" w:cs="仿宋_GB2312"/>
          <w:color w:val="auto"/>
          <w:sz w:val="28"/>
          <w:szCs w:val="28"/>
          <w:lang w:val="en-US" w:eastAsia="zh-CN"/>
        </w:rPr>
        <w:t>9</w:t>
      </w:r>
      <w:r>
        <w:rPr>
          <w:rFonts w:ascii="仿宋_GB2312" w:hAnsi="仿宋_GB2312" w:eastAsia="仿宋_GB2312" w:cs="仿宋_GB2312"/>
          <w:color w:val="auto"/>
          <w:sz w:val="28"/>
          <w:szCs w:val="28"/>
          <w:lang w:eastAsia="zh-CN"/>
        </w:rPr>
        <w:t>.4为保证评审的公正性，开启后直至授予供应商合同，评委不得与供应商私下交换意见。</w:t>
      </w:r>
    </w:p>
    <w:p w14:paraId="37A57AB8">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3</w:t>
      </w:r>
      <w:r>
        <w:rPr>
          <w:rFonts w:ascii="仿宋_GB2312" w:hAnsi="仿宋_GB2312" w:eastAsia="仿宋_GB2312" w:cs="仿宋_GB2312"/>
          <w:color w:val="auto"/>
          <w:sz w:val="28"/>
          <w:szCs w:val="28"/>
          <w:lang w:val="en-US" w:eastAsia="zh-CN"/>
        </w:rPr>
        <w:t>9</w:t>
      </w:r>
      <w:r>
        <w:rPr>
          <w:rFonts w:ascii="仿宋_GB2312" w:hAnsi="仿宋_GB2312" w:eastAsia="仿宋_GB2312" w:cs="仿宋_GB2312"/>
          <w:color w:val="auto"/>
          <w:sz w:val="28"/>
          <w:szCs w:val="28"/>
          <w:lang w:eastAsia="zh-CN"/>
        </w:rPr>
        <w:t>.5在评审工作结束后，凡与评审情况有接触的任何人不得擅自将评审情况扩散出评审人员之外。</w:t>
      </w:r>
    </w:p>
    <w:p w14:paraId="6261B145">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3</w:t>
      </w:r>
      <w:r>
        <w:rPr>
          <w:rFonts w:ascii="仿宋_GB2312" w:hAnsi="仿宋_GB2312" w:eastAsia="仿宋_GB2312" w:cs="仿宋_GB2312"/>
          <w:color w:val="auto"/>
          <w:sz w:val="28"/>
          <w:szCs w:val="28"/>
          <w:lang w:val="en-US" w:eastAsia="zh-CN"/>
        </w:rPr>
        <w:t>9</w:t>
      </w:r>
      <w:r>
        <w:rPr>
          <w:rFonts w:ascii="仿宋_GB2312" w:hAnsi="仿宋_GB2312" w:eastAsia="仿宋_GB2312" w:cs="仿宋_GB2312"/>
          <w:color w:val="auto"/>
          <w:sz w:val="28"/>
          <w:szCs w:val="28"/>
          <w:lang w:eastAsia="zh-CN"/>
        </w:rPr>
        <w:t>.6评审结束后，概不退还竞争性磋商响应文件。</w:t>
      </w:r>
    </w:p>
    <w:p w14:paraId="58DA8865">
      <w:pPr>
        <w:rPr>
          <w:rFonts w:ascii="方正小标宋_GBK" w:hAnsi="方正小标宋_GBK" w:eastAsia="方正小标宋_GBK" w:cs="方正小标宋_GBK"/>
          <w:bCs/>
          <w:color w:val="auto"/>
          <w:kern w:val="0"/>
          <w:sz w:val="30"/>
          <w:szCs w:val="30"/>
          <w:lang w:val="en-US" w:eastAsia="zh-CN"/>
        </w:rPr>
      </w:pPr>
      <w:bookmarkStart w:id="44" w:name="_Toc2036442243"/>
      <w:bookmarkStart w:id="45" w:name="_Toc676041239"/>
    </w:p>
    <w:p w14:paraId="52AF6CD9">
      <w:pPr>
        <w:keepNext/>
        <w:keepLines/>
        <w:widowControl w:val="0"/>
        <w:autoSpaceDE w:val="0"/>
        <w:autoSpaceDN w:val="0"/>
        <w:adjustRightInd w:val="0"/>
        <w:spacing w:line="560" w:lineRule="exact"/>
        <w:jc w:val="center"/>
        <w:outlineLvl w:val="1"/>
        <w:rPr>
          <w:rFonts w:ascii="方正小标宋_GBK" w:hAnsi="方正小标宋_GBK" w:eastAsia="方正小标宋_GBK" w:cs="方正小标宋_GBK"/>
          <w:bCs/>
          <w:color w:val="auto"/>
          <w:kern w:val="0"/>
          <w:sz w:val="30"/>
          <w:szCs w:val="30"/>
          <w:lang w:val="en-US" w:eastAsia="zh-CN"/>
        </w:rPr>
      </w:pPr>
      <w:r>
        <w:rPr>
          <w:rFonts w:ascii="方正小标宋_GBK" w:hAnsi="方正小标宋_GBK" w:eastAsia="方正小标宋_GBK" w:cs="方正小标宋_GBK"/>
          <w:bCs/>
          <w:color w:val="auto"/>
          <w:kern w:val="0"/>
          <w:sz w:val="30"/>
          <w:szCs w:val="30"/>
          <w:lang w:val="en-US" w:eastAsia="zh-CN"/>
        </w:rPr>
        <w:t>六、确定</w:t>
      </w:r>
      <w:r>
        <w:rPr>
          <w:rFonts w:hint="default" w:ascii="方正小标宋_GBK" w:hAnsi="方正小标宋_GBK" w:eastAsia="方正小标宋_GBK" w:cs="方正小标宋_GBK"/>
          <w:bCs/>
          <w:color w:val="auto"/>
          <w:kern w:val="0"/>
          <w:sz w:val="30"/>
          <w:szCs w:val="30"/>
          <w:lang w:val="en-US" w:eastAsia="zh-CN"/>
        </w:rPr>
        <w:t>成交</w:t>
      </w:r>
      <w:bookmarkEnd w:id="44"/>
      <w:bookmarkEnd w:id="45"/>
    </w:p>
    <w:p w14:paraId="2EEF98B9">
      <w:pPr>
        <w:keepNext/>
        <w:keepLines/>
        <w:widowControl w:val="0"/>
        <w:autoSpaceDE w:val="0"/>
        <w:autoSpaceDN w:val="0"/>
        <w:adjustRightInd w:val="0"/>
        <w:spacing w:line="560" w:lineRule="exact"/>
        <w:jc w:val="left"/>
        <w:rPr>
          <w:rFonts w:ascii="仿宋_GB2312" w:hAnsi="仿宋_GB2312" w:eastAsia="仿宋_GB2312" w:cs="仿宋_GB2312"/>
          <w:b/>
          <w:color w:val="auto"/>
          <w:kern w:val="0"/>
          <w:sz w:val="28"/>
          <w:szCs w:val="28"/>
          <w:lang w:val="en-US" w:eastAsia="zh-CN"/>
        </w:rPr>
      </w:pPr>
      <w:r>
        <w:rPr>
          <w:rFonts w:ascii="仿宋_GB2312" w:hAnsi="仿宋_GB2312" w:eastAsia="仿宋_GB2312" w:cs="仿宋_GB2312"/>
          <w:b/>
          <w:bCs/>
          <w:color w:val="auto"/>
          <w:sz w:val="28"/>
          <w:szCs w:val="28"/>
          <w:lang w:val="en-US" w:eastAsia="zh-CN"/>
        </w:rPr>
        <w:t>40</w:t>
      </w:r>
      <w:r>
        <w:rPr>
          <w:rFonts w:hint="default" w:ascii="仿宋_GB2312" w:hAnsi="仿宋_GB2312" w:eastAsia="仿宋_GB2312" w:cs="仿宋_GB2312"/>
          <w:b/>
          <w:bCs/>
          <w:color w:val="auto"/>
          <w:sz w:val="28"/>
          <w:szCs w:val="28"/>
          <w:lang w:val="en" w:eastAsia="zh-CN"/>
        </w:rPr>
        <w:t>.</w:t>
      </w:r>
      <w:r>
        <w:rPr>
          <w:rFonts w:ascii="仿宋_GB2312" w:hAnsi="仿宋_GB2312" w:eastAsia="仿宋_GB2312" w:cs="仿宋_GB2312"/>
          <w:b/>
          <w:color w:val="auto"/>
          <w:kern w:val="0"/>
          <w:sz w:val="28"/>
          <w:szCs w:val="28"/>
          <w:lang w:val="en-US" w:eastAsia="zh-CN"/>
        </w:rPr>
        <w:t>确定成交供应商</w:t>
      </w:r>
    </w:p>
    <w:p w14:paraId="38C2CD85">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40</w:t>
      </w:r>
      <w:r>
        <w:rPr>
          <w:rFonts w:hint="default" w:ascii="仿宋_GB2312" w:hAnsi="仿宋_GB2312" w:eastAsia="仿宋_GB2312" w:cs="仿宋_GB2312"/>
          <w:color w:val="auto"/>
          <w:sz w:val="28"/>
          <w:szCs w:val="28"/>
          <w:lang w:val="en" w:eastAsia="zh-CN"/>
        </w:rPr>
        <w:t>.</w:t>
      </w:r>
      <w:r>
        <w:rPr>
          <w:rFonts w:ascii="仿宋_GB2312" w:hAnsi="仿宋_GB2312" w:eastAsia="仿宋_GB2312" w:cs="仿宋_GB2312"/>
          <w:color w:val="auto"/>
          <w:sz w:val="28"/>
          <w:szCs w:val="28"/>
          <w:lang w:val="en-US" w:eastAsia="zh-CN"/>
        </w:rPr>
        <w:t>1</w:t>
      </w:r>
      <w:r>
        <w:rPr>
          <w:rFonts w:ascii="仿宋_GB2312" w:hAnsi="仿宋_GB2312" w:eastAsia="仿宋_GB2312" w:cs="仿宋_GB2312"/>
          <w:color w:val="auto"/>
          <w:sz w:val="28"/>
          <w:szCs w:val="28"/>
          <w:lang w:eastAsia="zh-CN"/>
        </w:rPr>
        <w:t>采购人应当自收到磋商结果报告之日起５个工作日内，从磋商结果报告提出的成交候选供应商中，根据竞争性磋商小组推荐排名顺序的成交候选供应商中，选定第一成交候选供应商为成交供应商；也可以书面授权竞争性磋商小组直接确定成交供应商。</w:t>
      </w:r>
    </w:p>
    <w:p w14:paraId="245338C4">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40.2</w:t>
      </w:r>
      <w:r>
        <w:rPr>
          <w:rFonts w:ascii="仿宋_GB2312" w:hAnsi="仿宋_GB2312" w:eastAsia="仿宋_GB2312" w:cs="仿宋_GB2312"/>
          <w:color w:val="auto"/>
          <w:sz w:val="28"/>
          <w:szCs w:val="28"/>
          <w:lang w:eastAsia="zh-CN"/>
        </w:rPr>
        <w:t>采购人在收到磋商结果报告5个工作日内未按磋商结果报告推荐的成交候选供应商顺序确定成交供应商，又不能说明合法理由的，视同按磋商结果报告推荐的顺序确定排名第一的成交候选供应商为成交供应商。</w:t>
      </w:r>
    </w:p>
    <w:p w14:paraId="27B57BB0">
      <w:pPr>
        <w:spacing w:line="560" w:lineRule="exact"/>
        <w:rPr>
          <w:rFonts w:ascii="仿宋_GB2312" w:hAnsi="仿宋_GB2312" w:eastAsia="仿宋_GB2312" w:cs="仿宋_GB2312"/>
          <w:b/>
          <w:color w:val="auto"/>
          <w:kern w:val="0"/>
          <w:sz w:val="28"/>
          <w:szCs w:val="28"/>
          <w:lang w:val="en-US" w:eastAsia="zh-CN"/>
        </w:rPr>
      </w:pPr>
      <w:r>
        <w:rPr>
          <w:rFonts w:ascii="仿宋_GB2312" w:hAnsi="仿宋_GB2312" w:eastAsia="仿宋_GB2312" w:cs="仿宋_GB2312"/>
          <w:b/>
          <w:color w:val="auto"/>
          <w:kern w:val="0"/>
          <w:sz w:val="28"/>
          <w:szCs w:val="28"/>
          <w:lang w:val="en-US" w:eastAsia="zh-CN"/>
        </w:rPr>
        <w:t>41  发布成交结果公告及发出成交通知书</w:t>
      </w:r>
    </w:p>
    <w:p w14:paraId="7856E986">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41</w:t>
      </w:r>
      <w:r>
        <w:rPr>
          <w:rFonts w:ascii="仿宋_GB2312" w:hAnsi="仿宋_GB2312" w:eastAsia="仿宋_GB2312" w:cs="仿宋_GB2312"/>
          <w:color w:val="auto"/>
          <w:sz w:val="28"/>
          <w:szCs w:val="28"/>
          <w:lang w:eastAsia="zh-CN"/>
        </w:rPr>
        <w:t>.</w:t>
      </w:r>
      <w:r>
        <w:rPr>
          <w:rFonts w:ascii="仿宋_GB2312" w:hAnsi="仿宋_GB2312" w:eastAsia="仿宋_GB2312" w:cs="仿宋_GB2312"/>
          <w:color w:val="auto"/>
          <w:sz w:val="28"/>
          <w:szCs w:val="28"/>
          <w:lang w:val="en-US" w:eastAsia="zh-CN"/>
        </w:rPr>
        <w:t>1</w:t>
      </w:r>
      <w:r>
        <w:rPr>
          <w:rFonts w:ascii="仿宋_GB2312" w:hAnsi="仿宋_GB2312" w:eastAsia="仿宋_GB2312" w:cs="仿宋_GB2312"/>
          <w:color w:val="auto"/>
          <w:sz w:val="28"/>
          <w:szCs w:val="28"/>
          <w:lang w:eastAsia="zh-CN"/>
        </w:rPr>
        <w:t>采购人按规定确定成交供应商后，</w:t>
      </w:r>
      <w:r>
        <w:rPr>
          <w:rFonts w:ascii="仿宋_GB2312" w:hAnsi="仿宋_GB2312" w:eastAsia="仿宋_GB2312" w:cs="仿宋_GB2312"/>
          <w:color w:val="auto"/>
          <w:sz w:val="28"/>
          <w:szCs w:val="28"/>
          <w:lang w:val="en-US" w:eastAsia="zh-CN"/>
        </w:rPr>
        <w:t>采购人或</w:t>
      </w:r>
      <w:r>
        <w:rPr>
          <w:rFonts w:ascii="仿宋_GB2312" w:hAnsi="仿宋_GB2312" w:eastAsia="仿宋_GB2312" w:cs="仿宋_GB2312"/>
          <w:color w:val="auto"/>
          <w:sz w:val="28"/>
          <w:szCs w:val="28"/>
          <w:lang w:eastAsia="zh-CN"/>
        </w:rPr>
        <w:t>集中采购机构应将成交结果在“供应商须知前附表”规定的媒介上予以公告，成交结果公告期限为1个工作日。</w:t>
      </w:r>
    </w:p>
    <w:p w14:paraId="3949AAAC">
      <w:pPr>
        <w:widowControl w:val="0"/>
        <w:spacing w:line="56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41.2公告成交结果的同时向成交供应商发出成交通知书。</w:t>
      </w:r>
    </w:p>
    <w:p w14:paraId="5A255F06">
      <w:pPr>
        <w:pStyle w:val="16"/>
        <w:spacing w:before="0" w:line="560" w:lineRule="exact"/>
        <w:rPr>
          <w:rFonts w:hint="eastAsia"/>
        </w:rPr>
      </w:pPr>
      <w:r>
        <w:rPr>
          <w:rFonts w:hint="eastAsia" w:ascii="仿宋_GB2312" w:hAnsi="仿宋_GB2312" w:eastAsia="仿宋_GB2312" w:cs="仿宋_GB2312"/>
          <w:sz w:val="28"/>
          <w:szCs w:val="28"/>
        </w:rPr>
        <w:t>41.3</w:t>
      </w:r>
      <w:r>
        <w:rPr>
          <w:rFonts w:hint="eastAsia" w:ascii="仿宋_GB2312" w:hAnsi="仿宋_GB2312" w:eastAsia="仿宋_GB2312" w:cs="仿宋_GB2312"/>
          <w:kern w:val="1"/>
          <w:sz w:val="28"/>
          <w:szCs w:val="28"/>
        </w:rPr>
        <w:t>成交通知书发出后，采购人不得违法改变成交结果，成交供应商无正当理由不得放弃成交。</w:t>
      </w:r>
    </w:p>
    <w:p w14:paraId="66BB6183">
      <w:pPr>
        <w:widowControl w:val="0"/>
        <w:spacing w:line="560" w:lineRule="exact"/>
        <w:rPr>
          <w:rFonts w:ascii="仿宋_GB2312" w:hAnsi="仿宋_GB2312" w:eastAsia="仿宋_GB2312" w:cs="仿宋_GB2312"/>
          <w:b/>
          <w:bCs/>
          <w:color w:val="auto"/>
          <w:sz w:val="28"/>
          <w:szCs w:val="28"/>
          <w:lang w:eastAsia="zh-CN"/>
        </w:rPr>
      </w:pPr>
      <w:r>
        <w:rPr>
          <w:rFonts w:ascii="仿宋_GB2312" w:hAnsi="仿宋_GB2312" w:eastAsia="仿宋_GB2312" w:cs="仿宋_GB2312"/>
          <w:b/>
          <w:bCs/>
          <w:color w:val="auto"/>
          <w:sz w:val="28"/>
          <w:szCs w:val="28"/>
          <w:lang w:eastAsia="zh-CN"/>
        </w:rPr>
        <w:t>4</w:t>
      </w:r>
      <w:r>
        <w:rPr>
          <w:rFonts w:ascii="仿宋_GB2312" w:hAnsi="仿宋_GB2312" w:eastAsia="仿宋_GB2312" w:cs="仿宋_GB2312"/>
          <w:b/>
          <w:bCs/>
          <w:color w:val="auto"/>
          <w:sz w:val="28"/>
          <w:szCs w:val="28"/>
          <w:lang w:val="en-US" w:eastAsia="zh-CN"/>
        </w:rPr>
        <w:t>2</w:t>
      </w:r>
      <w:r>
        <w:rPr>
          <w:rFonts w:ascii="仿宋_GB2312" w:hAnsi="仿宋_GB2312" w:eastAsia="仿宋_GB2312" w:cs="仿宋_GB2312"/>
          <w:b/>
          <w:bCs/>
          <w:color w:val="auto"/>
          <w:sz w:val="28"/>
          <w:szCs w:val="28"/>
          <w:lang w:eastAsia="zh-CN"/>
        </w:rPr>
        <w:t>.</w:t>
      </w:r>
      <w:r>
        <w:rPr>
          <w:rFonts w:ascii="仿宋_GB2312" w:hAnsi="仿宋_GB2312" w:eastAsia="仿宋_GB2312" w:cs="仿宋_GB2312"/>
          <w:b/>
          <w:bCs/>
          <w:color w:val="auto"/>
          <w:sz w:val="28"/>
          <w:szCs w:val="28"/>
          <w:lang w:val="en-US" w:eastAsia="zh-CN"/>
        </w:rPr>
        <w:t xml:space="preserve"> </w:t>
      </w:r>
      <w:r>
        <w:rPr>
          <w:rFonts w:ascii="仿宋_GB2312" w:hAnsi="仿宋_GB2312" w:eastAsia="仿宋_GB2312" w:cs="仿宋_GB2312"/>
          <w:b/>
          <w:bCs/>
          <w:color w:val="auto"/>
          <w:sz w:val="28"/>
          <w:szCs w:val="28"/>
          <w:lang w:eastAsia="zh-CN"/>
        </w:rPr>
        <w:t>接受和拒绝任何或所有磋商响应的权利</w:t>
      </w:r>
    </w:p>
    <w:p w14:paraId="3D98D3DA">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42.1采购人、采购代理机构在发布磋商公告或者发出磋商邀请书后，除因重大变故采购任务取消情况外，不得擅自终止磋商活动。终止磋商活动的，采购人或者采购代理机构应当及时在原公告发布媒体上发布终止公告，以书面形式通知已经获取磋商文件或者被邀请的潜在供应商，并将项目实施情况和采购任务取消原因报告本级财政部门。42.2</w:t>
      </w:r>
      <w:r>
        <w:rPr>
          <w:rFonts w:ascii="仿宋_GB2312" w:hAnsi="仿宋_GB2312" w:eastAsia="仿宋_GB2312" w:cs="仿宋_GB2312"/>
          <w:color w:val="auto"/>
          <w:sz w:val="28"/>
          <w:szCs w:val="28"/>
          <w:lang w:eastAsia="zh-CN"/>
        </w:rPr>
        <w:t>终止采购活动</w:t>
      </w:r>
    </w:p>
    <w:p w14:paraId="2B04364D">
      <w:pPr>
        <w:widowControl w:val="0"/>
        <w:spacing w:line="56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 xml:space="preserve">    出现下列情形之一的,采购人或者代理机构应当终止竞争性磋商采购活动,发布项目终止公告并说明原因,重新开展采购活动：</w:t>
      </w:r>
    </w:p>
    <w:p w14:paraId="5BA3F539">
      <w:pPr>
        <w:widowControl w:val="0"/>
        <w:spacing w:line="56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 xml:space="preserve">    （1）因情况变化,不再符合规定的竞争性磋商采购方式适用情形的；</w:t>
      </w:r>
    </w:p>
    <w:p w14:paraId="3C036FF6">
      <w:pPr>
        <w:widowControl w:val="0"/>
        <w:spacing w:line="56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 xml:space="preserve">    （2）出现影响采购公正的违法、违规行为的；</w:t>
      </w:r>
    </w:p>
    <w:p w14:paraId="6AEB0B8D">
      <w:pPr>
        <w:pStyle w:val="46"/>
        <w:shd w:val="clear" w:color="auto" w:fill="FFFFFF"/>
        <w:spacing w:before="0" w:beforeAutospacing="0" w:after="0" w:afterAutospacing="0" w:line="560" w:lineRule="exact"/>
        <w:jc w:val="both"/>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 xml:space="preserve">    （3）除政府购买服务项目(含政府和社会资本合作项目)、市场竞争不充分的科研项目、需要扶持的科技成果转化项目,提交最后报价的供应商可以为 2 家外,在采购过程中符合要求的供应商或者报价未超过采购预算的供应商不足 3 家的。</w:t>
      </w:r>
    </w:p>
    <w:p w14:paraId="56272299">
      <w:pPr>
        <w:pStyle w:val="46"/>
        <w:shd w:val="clear" w:color="auto" w:fill="FFFFFF"/>
        <w:spacing w:before="0" w:beforeAutospacing="0" w:after="0" w:afterAutospacing="0" w:line="560" w:lineRule="exact"/>
        <w:ind w:firstLine="420"/>
        <w:jc w:val="both"/>
        <w:rPr>
          <w:rFonts w:hint="eastAsia" w:ascii="仿宋_GB2312" w:hAnsi="仿宋_GB2312" w:eastAsia="仿宋_GB2312" w:cs="仿宋_GB2312"/>
          <w:kern w:val="2"/>
          <w:sz w:val="28"/>
          <w:szCs w:val="28"/>
        </w:rPr>
      </w:pPr>
    </w:p>
    <w:p w14:paraId="36672385">
      <w:pPr>
        <w:keepNext/>
        <w:keepLines/>
        <w:widowControl w:val="0"/>
        <w:autoSpaceDE w:val="0"/>
        <w:autoSpaceDN w:val="0"/>
        <w:adjustRightInd w:val="0"/>
        <w:spacing w:line="560" w:lineRule="exact"/>
        <w:jc w:val="center"/>
        <w:outlineLvl w:val="1"/>
        <w:rPr>
          <w:rFonts w:ascii="方正小标宋_GBK" w:hAnsi="方正小标宋_GBK" w:eastAsia="方正小标宋_GBK" w:cs="方正小标宋_GBK"/>
          <w:bCs/>
          <w:color w:val="auto"/>
          <w:kern w:val="0"/>
          <w:sz w:val="30"/>
          <w:szCs w:val="30"/>
          <w:lang w:val="en-US" w:eastAsia="zh-CN"/>
        </w:rPr>
      </w:pPr>
      <w:bookmarkStart w:id="46" w:name="_Toc1889101452"/>
      <w:bookmarkStart w:id="47" w:name="_Toc703900059"/>
      <w:r>
        <w:rPr>
          <w:rFonts w:ascii="方正小标宋_GBK" w:hAnsi="方正小标宋_GBK" w:eastAsia="方正小标宋_GBK" w:cs="方正小标宋_GBK"/>
          <w:bCs/>
          <w:color w:val="auto"/>
          <w:kern w:val="0"/>
          <w:sz w:val="30"/>
          <w:szCs w:val="30"/>
          <w:lang w:val="en-US" w:eastAsia="zh-CN"/>
        </w:rPr>
        <w:t>七、授予合同</w:t>
      </w:r>
      <w:bookmarkEnd w:id="46"/>
      <w:bookmarkEnd w:id="47"/>
    </w:p>
    <w:p w14:paraId="2DCA7A49">
      <w:pPr>
        <w:spacing w:line="560" w:lineRule="exact"/>
        <w:rPr>
          <w:rFonts w:ascii="仿宋_GB2312" w:hAnsi="仿宋_GB2312" w:eastAsia="仿宋_GB2312" w:cs="仿宋_GB2312"/>
          <w:b/>
          <w:bCs/>
          <w:color w:val="auto"/>
          <w:sz w:val="28"/>
          <w:szCs w:val="28"/>
          <w:lang w:eastAsia="zh-CN"/>
        </w:rPr>
      </w:pPr>
      <w:r>
        <w:rPr>
          <w:rFonts w:ascii="仿宋_GB2312" w:hAnsi="仿宋_GB2312" w:eastAsia="仿宋_GB2312" w:cs="仿宋_GB2312"/>
          <w:b/>
          <w:bCs/>
          <w:color w:val="auto"/>
          <w:sz w:val="28"/>
          <w:szCs w:val="28"/>
          <w:lang w:eastAsia="zh-CN"/>
        </w:rPr>
        <w:t>4</w:t>
      </w:r>
      <w:r>
        <w:rPr>
          <w:rFonts w:ascii="仿宋_GB2312" w:hAnsi="仿宋_GB2312" w:eastAsia="仿宋_GB2312" w:cs="仿宋_GB2312"/>
          <w:b/>
          <w:bCs/>
          <w:color w:val="auto"/>
          <w:sz w:val="28"/>
          <w:szCs w:val="28"/>
          <w:lang w:val="en-US" w:eastAsia="zh-CN"/>
        </w:rPr>
        <w:t>3</w:t>
      </w:r>
      <w:r>
        <w:rPr>
          <w:rFonts w:ascii="仿宋_GB2312" w:hAnsi="仿宋_GB2312" w:eastAsia="仿宋_GB2312" w:cs="仿宋_GB2312"/>
          <w:b/>
          <w:bCs/>
          <w:color w:val="auto"/>
          <w:sz w:val="28"/>
          <w:szCs w:val="28"/>
          <w:lang w:eastAsia="zh-CN"/>
        </w:rPr>
        <w:t>.合同授予标准</w:t>
      </w:r>
    </w:p>
    <w:p w14:paraId="4BC21B9C">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除本章第4</w:t>
      </w:r>
      <w:r>
        <w:rPr>
          <w:rFonts w:ascii="仿宋_GB2312" w:hAnsi="仿宋_GB2312" w:eastAsia="仿宋_GB2312" w:cs="仿宋_GB2312"/>
          <w:color w:val="auto"/>
          <w:sz w:val="28"/>
          <w:szCs w:val="28"/>
          <w:lang w:val="en-US" w:eastAsia="zh-CN"/>
        </w:rPr>
        <w:t>2</w:t>
      </w:r>
      <w:r>
        <w:rPr>
          <w:rFonts w:ascii="仿宋_GB2312" w:hAnsi="仿宋_GB2312" w:eastAsia="仿宋_GB2312" w:cs="仿宋_GB2312"/>
          <w:color w:val="auto"/>
          <w:sz w:val="28"/>
          <w:szCs w:val="28"/>
          <w:lang w:eastAsia="zh-CN"/>
        </w:rPr>
        <w:t>条、</w:t>
      </w:r>
      <w:r>
        <w:rPr>
          <w:rFonts w:ascii="仿宋_GB2312" w:hAnsi="仿宋_GB2312" w:eastAsia="仿宋_GB2312" w:cs="仿宋_GB2312"/>
          <w:color w:val="auto"/>
          <w:sz w:val="28"/>
          <w:szCs w:val="28"/>
          <w:lang w:val="en-US" w:eastAsia="zh-CN"/>
        </w:rPr>
        <w:t>47条</w:t>
      </w:r>
      <w:r>
        <w:rPr>
          <w:rFonts w:ascii="仿宋_GB2312" w:hAnsi="仿宋_GB2312" w:eastAsia="仿宋_GB2312" w:cs="仿宋_GB2312"/>
          <w:color w:val="auto"/>
          <w:sz w:val="28"/>
          <w:szCs w:val="28"/>
          <w:lang w:eastAsia="zh-CN"/>
        </w:rPr>
        <w:t>的规定之外，采购人将把合同授予被确定为实质上响应</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eastAsia="zh-CN"/>
        </w:rPr>
        <w:t>要求并有履行合同能力的评审后综合得分最高的供应商。</w:t>
      </w:r>
    </w:p>
    <w:p w14:paraId="70AA0862">
      <w:pPr>
        <w:spacing w:line="560" w:lineRule="exact"/>
        <w:rPr>
          <w:rFonts w:ascii="仿宋_GB2312" w:hAnsi="仿宋_GB2312" w:eastAsia="仿宋_GB2312" w:cs="仿宋_GB2312"/>
          <w:b/>
          <w:bCs/>
          <w:color w:val="auto"/>
          <w:sz w:val="28"/>
          <w:szCs w:val="28"/>
          <w:lang w:eastAsia="zh-CN"/>
        </w:rPr>
      </w:pPr>
      <w:r>
        <w:rPr>
          <w:rFonts w:ascii="仿宋_GB2312" w:hAnsi="仿宋_GB2312" w:eastAsia="仿宋_GB2312" w:cs="仿宋_GB2312"/>
          <w:b/>
          <w:bCs/>
          <w:color w:val="auto"/>
          <w:sz w:val="28"/>
          <w:szCs w:val="28"/>
          <w:lang w:eastAsia="zh-CN"/>
        </w:rPr>
        <w:t>4</w:t>
      </w:r>
      <w:r>
        <w:rPr>
          <w:rFonts w:ascii="仿宋_GB2312" w:hAnsi="仿宋_GB2312" w:eastAsia="仿宋_GB2312" w:cs="仿宋_GB2312"/>
          <w:b/>
          <w:bCs/>
          <w:color w:val="auto"/>
          <w:sz w:val="28"/>
          <w:szCs w:val="28"/>
          <w:lang w:val="en-US" w:eastAsia="zh-CN"/>
        </w:rPr>
        <w:t>4</w:t>
      </w:r>
      <w:r>
        <w:rPr>
          <w:rFonts w:ascii="仿宋_GB2312" w:hAnsi="仿宋_GB2312" w:eastAsia="仿宋_GB2312" w:cs="仿宋_GB2312"/>
          <w:b/>
          <w:bCs/>
          <w:color w:val="auto"/>
          <w:sz w:val="28"/>
          <w:szCs w:val="28"/>
          <w:lang w:eastAsia="zh-CN"/>
        </w:rPr>
        <w:t>.合同授予时</w:t>
      </w:r>
      <w:r>
        <w:rPr>
          <w:rFonts w:ascii="仿宋_GB2312" w:hAnsi="仿宋_GB2312" w:eastAsia="仿宋_GB2312" w:cs="仿宋_GB2312"/>
          <w:b/>
          <w:bCs/>
          <w:color w:val="auto"/>
          <w:sz w:val="28"/>
          <w:szCs w:val="28"/>
          <w:lang w:val="en-US" w:eastAsia="zh-CN"/>
        </w:rPr>
        <w:t>追加货物</w:t>
      </w:r>
      <w:r>
        <w:rPr>
          <w:rFonts w:ascii="仿宋_GB2312" w:hAnsi="仿宋_GB2312" w:eastAsia="仿宋_GB2312" w:cs="仿宋_GB2312"/>
          <w:b/>
          <w:bCs/>
          <w:color w:val="auto"/>
          <w:sz w:val="28"/>
          <w:szCs w:val="28"/>
          <w:lang w:eastAsia="zh-CN"/>
        </w:rPr>
        <w:t>数量的权利</w:t>
      </w:r>
    </w:p>
    <w:p w14:paraId="46109A34">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采购人在授予合同时有权在“供应商须知前附表”规定的范围内，对项目需求中规定的货物的数量予以调整，但不得对货物单价及伴随服务内容或其它实质性的条款和条件做任何改变。</w:t>
      </w:r>
    </w:p>
    <w:p w14:paraId="05F88773">
      <w:pPr>
        <w:spacing w:line="560" w:lineRule="exact"/>
        <w:rPr>
          <w:rFonts w:ascii="仿宋_GB2312" w:hAnsi="仿宋_GB2312" w:eastAsia="仿宋_GB2312" w:cs="仿宋_GB2312"/>
          <w:b/>
          <w:bCs/>
          <w:color w:val="auto"/>
          <w:sz w:val="28"/>
          <w:szCs w:val="28"/>
          <w:lang w:eastAsia="zh-CN"/>
        </w:rPr>
      </w:pPr>
      <w:r>
        <w:rPr>
          <w:rFonts w:ascii="仿宋_GB2312" w:hAnsi="仿宋_GB2312" w:eastAsia="仿宋_GB2312" w:cs="仿宋_GB2312"/>
          <w:b/>
          <w:bCs/>
          <w:color w:val="auto"/>
          <w:sz w:val="28"/>
          <w:szCs w:val="28"/>
          <w:lang w:val="en-US" w:eastAsia="zh-CN"/>
        </w:rPr>
        <w:t>45.</w:t>
      </w:r>
      <w:r>
        <w:rPr>
          <w:rFonts w:ascii="仿宋_GB2312" w:hAnsi="仿宋_GB2312" w:eastAsia="仿宋_GB2312" w:cs="仿宋_GB2312"/>
          <w:b/>
          <w:bCs/>
          <w:color w:val="auto"/>
          <w:sz w:val="28"/>
          <w:szCs w:val="28"/>
          <w:lang w:eastAsia="zh-CN"/>
        </w:rPr>
        <w:t>签订合同</w:t>
      </w:r>
    </w:p>
    <w:p w14:paraId="2A70EFFD">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4</w:t>
      </w:r>
      <w:r>
        <w:rPr>
          <w:rFonts w:ascii="仿宋_GB2312" w:hAnsi="仿宋_GB2312" w:eastAsia="仿宋_GB2312" w:cs="仿宋_GB2312"/>
          <w:color w:val="auto"/>
          <w:sz w:val="28"/>
          <w:szCs w:val="28"/>
          <w:lang w:val="en-US" w:eastAsia="zh-CN"/>
        </w:rPr>
        <w:t>5</w:t>
      </w:r>
      <w:r>
        <w:rPr>
          <w:rFonts w:ascii="仿宋_GB2312" w:hAnsi="仿宋_GB2312" w:eastAsia="仿宋_GB2312" w:cs="仿宋_GB2312"/>
          <w:color w:val="auto"/>
          <w:sz w:val="28"/>
          <w:szCs w:val="28"/>
          <w:lang w:eastAsia="zh-CN"/>
        </w:rPr>
        <w:t>.1采购人应当自成交通知书发出之日起15日内，按照</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eastAsia="zh-CN"/>
        </w:rPr>
        <w:t>和成交供应商竞争性磋商响应文件的规定，与成交供应商签订书面合同。所签订的合同不得对</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eastAsia="zh-CN"/>
        </w:rPr>
        <w:t>确定的事项和成交供应商竞争性磋商响应文件作实质性修改。</w:t>
      </w:r>
    </w:p>
    <w:p w14:paraId="49B39301">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4</w:t>
      </w:r>
      <w:r>
        <w:rPr>
          <w:rFonts w:ascii="仿宋_GB2312" w:hAnsi="仿宋_GB2312" w:eastAsia="仿宋_GB2312" w:cs="仿宋_GB2312"/>
          <w:color w:val="auto"/>
          <w:sz w:val="28"/>
          <w:szCs w:val="28"/>
          <w:lang w:val="en-US" w:eastAsia="zh-CN"/>
        </w:rPr>
        <w:t>5</w:t>
      </w:r>
      <w:r>
        <w:rPr>
          <w:rFonts w:ascii="仿宋_GB2312" w:hAnsi="仿宋_GB2312" w:eastAsia="仿宋_GB2312" w:cs="仿宋_GB2312"/>
          <w:color w:val="auto"/>
          <w:sz w:val="28"/>
          <w:szCs w:val="28"/>
          <w:lang w:eastAsia="zh-CN"/>
        </w:rPr>
        <w:t>.2</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eastAsia="zh-CN"/>
        </w:rPr>
        <w:t>、成交供应商的竞争性磋商响应文件和澄清文件等，均应作为签约的合同文本的基础。</w:t>
      </w:r>
    </w:p>
    <w:p w14:paraId="091B5BE4">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4</w:t>
      </w:r>
      <w:r>
        <w:rPr>
          <w:rFonts w:ascii="仿宋_GB2312" w:hAnsi="仿宋_GB2312" w:eastAsia="仿宋_GB2312" w:cs="仿宋_GB2312"/>
          <w:color w:val="auto"/>
          <w:sz w:val="28"/>
          <w:szCs w:val="28"/>
          <w:lang w:val="en-US" w:eastAsia="zh-CN"/>
        </w:rPr>
        <w:t>5</w:t>
      </w:r>
      <w:r>
        <w:rPr>
          <w:rFonts w:ascii="仿宋_GB2312" w:hAnsi="仿宋_GB2312" w:eastAsia="仿宋_GB2312" w:cs="仿宋_GB2312"/>
          <w:color w:val="auto"/>
          <w:sz w:val="28"/>
          <w:szCs w:val="28"/>
          <w:lang w:eastAsia="zh-CN"/>
        </w:rPr>
        <w:t>.3如采购人对成交供应商拒签合同，依照《中华人民共和国政府采购法》《中华人民共和国政府采购法实施条例》《政府采购竞争性磋商采购方式管理暂行办法》等规定承担相应的违约责任。</w:t>
      </w:r>
    </w:p>
    <w:p w14:paraId="79A0FB16">
      <w:pPr>
        <w:spacing w:line="560" w:lineRule="exact"/>
        <w:rPr>
          <w:rFonts w:ascii="仿宋_GB2312" w:hAnsi="仿宋_GB2312" w:eastAsia="仿宋_GB2312" w:cs="仿宋_GB2312"/>
          <w:b/>
          <w:bCs/>
          <w:color w:val="auto"/>
          <w:sz w:val="28"/>
          <w:szCs w:val="28"/>
          <w:lang w:eastAsia="zh-CN"/>
        </w:rPr>
      </w:pPr>
      <w:r>
        <w:rPr>
          <w:rFonts w:ascii="仿宋_GB2312" w:hAnsi="仿宋_GB2312" w:eastAsia="仿宋_GB2312" w:cs="仿宋_GB2312"/>
          <w:b/>
          <w:bCs/>
          <w:color w:val="auto"/>
          <w:sz w:val="28"/>
          <w:szCs w:val="28"/>
          <w:lang w:val="en-US" w:eastAsia="zh-CN"/>
        </w:rPr>
        <w:t>46.</w:t>
      </w:r>
      <w:r>
        <w:rPr>
          <w:rFonts w:ascii="仿宋_GB2312" w:hAnsi="仿宋_GB2312" w:eastAsia="仿宋_GB2312" w:cs="仿宋_GB2312"/>
          <w:b/>
          <w:bCs/>
          <w:color w:val="auto"/>
          <w:sz w:val="28"/>
          <w:szCs w:val="28"/>
          <w:lang w:eastAsia="zh-CN"/>
        </w:rPr>
        <w:t>履约保证金</w:t>
      </w:r>
    </w:p>
    <w:p w14:paraId="2FCD8337">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46.1</w:t>
      </w:r>
      <w:r>
        <w:rPr>
          <w:rFonts w:ascii="仿宋_GB2312" w:hAnsi="仿宋_GB2312" w:eastAsia="仿宋_GB2312" w:cs="仿宋_GB2312"/>
          <w:color w:val="auto"/>
          <w:sz w:val="28"/>
          <w:szCs w:val="28"/>
          <w:lang w:eastAsia="zh-CN"/>
        </w:rPr>
        <w:t>成交供应商按</w:t>
      </w:r>
      <w:r>
        <w:rPr>
          <w:rFonts w:ascii="仿宋_GB2312" w:hAnsi="仿宋_GB2312" w:eastAsia="仿宋_GB2312" w:cs="仿宋_GB2312"/>
          <w:color w:val="auto"/>
          <w:sz w:val="28"/>
          <w:szCs w:val="28"/>
          <w:lang w:val="en-US" w:eastAsia="zh-CN"/>
        </w:rPr>
        <w:t>供应商须知前附表</w:t>
      </w:r>
      <w:r>
        <w:rPr>
          <w:rFonts w:ascii="仿宋_GB2312" w:hAnsi="仿宋_GB2312" w:eastAsia="仿宋_GB2312" w:cs="仿宋_GB2312"/>
          <w:color w:val="auto"/>
          <w:sz w:val="28"/>
          <w:szCs w:val="28"/>
          <w:lang w:eastAsia="zh-CN"/>
        </w:rPr>
        <w:t>的规定向采购人提交履约保证金，成交供应商</w:t>
      </w:r>
      <w:r>
        <w:rPr>
          <w:rFonts w:hint="default" w:ascii="仿宋_GB2312" w:hAnsi="仿宋_GB2312" w:eastAsia="仿宋_GB2312" w:cs="仿宋_GB2312"/>
          <w:color w:val="auto"/>
          <w:sz w:val="28"/>
          <w:szCs w:val="28"/>
          <w:lang w:eastAsia="zh-CN"/>
        </w:rPr>
        <w:t>应当以支票、汇票、本票或者金融机构、担保机构出具的保函等非现金形式提交。</w:t>
      </w:r>
    </w:p>
    <w:p w14:paraId="7A2F9125">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46.2</w:t>
      </w:r>
      <w:r>
        <w:rPr>
          <w:rFonts w:ascii="仿宋_GB2312" w:hAnsi="仿宋_GB2312" w:eastAsia="仿宋_GB2312" w:cs="仿宋_GB2312"/>
          <w:color w:val="auto"/>
          <w:sz w:val="28"/>
          <w:szCs w:val="28"/>
          <w:lang w:eastAsia="zh-CN"/>
        </w:rPr>
        <w:t>采购人不得以成交供应商事先缴纳履约保证金作为签订合同的条件,并应在成交供应商履行完合同约定义务事项后及时退还。</w:t>
      </w:r>
    </w:p>
    <w:p w14:paraId="0DE0332D">
      <w:pPr>
        <w:spacing w:line="560" w:lineRule="exact"/>
        <w:rPr>
          <w:rFonts w:ascii="仿宋_GB2312" w:hAnsi="仿宋_GB2312" w:eastAsia="仿宋_GB2312" w:cs="仿宋_GB2312"/>
          <w:color w:val="auto"/>
          <w:sz w:val="28"/>
          <w:szCs w:val="28"/>
          <w:lang w:eastAsia="zh-CN"/>
        </w:rPr>
      </w:pPr>
      <w:r>
        <w:rPr>
          <w:rFonts w:ascii="仿宋_GB2312" w:hAnsi="仿宋_GB2312" w:eastAsia="仿宋_GB2312" w:cs="仿宋_GB2312"/>
          <w:b/>
          <w:bCs/>
          <w:color w:val="auto"/>
          <w:sz w:val="28"/>
          <w:szCs w:val="28"/>
          <w:lang w:val="en-US" w:eastAsia="zh-CN"/>
        </w:rPr>
        <w:t>47.</w:t>
      </w:r>
      <w:r>
        <w:rPr>
          <w:rFonts w:ascii="仿宋_GB2312" w:hAnsi="仿宋_GB2312" w:eastAsia="仿宋_GB2312" w:cs="仿宋_GB2312"/>
          <w:color w:val="auto"/>
          <w:sz w:val="28"/>
          <w:szCs w:val="28"/>
          <w:lang w:eastAsia="zh-CN"/>
        </w:rPr>
        <w:t>如成交供应商不按本章第4</w:t>
      </w:r>
      <w:r>
        <w:rPr>
          <w:rFonts w:ascii="仿宋_GB2312" w:hAnsi="仿宋_GB2312" w:eastAsia="仿宋_GB2312" w:cs="仿宋_GB2312"/>
          <w:color w:val="auto"/>
          <w:sz w:val="28"/>
          <w:szCs w:val="28"/>
          <w:lang w:val="en-US" w:eastAsia="zh-CN"/>
        </w:rPr>
        <w:t>5</w:t>
      </w:r>
      <w:r>
        <w:rPr>
          <w:rFonts w:ascii="仿宋_GB2312" w:hAnsi="仿宋_GB2312" w:eastAsia="仿宋_GB2312" w:cs="仿宋_GB2312"/>
          <w:color w:val="auto"/>
          <w:sz w:val="28"/>
          <w:szCs w:val="28"/>
          <w:lang w:eastAsia="zh-CN"/>
        </w:rPr>
        <w:t>条约定签订合同，依照《中华人民共和国政府采购法》《中华人民共和国政府采购法实施条例》《政府采购竞争性磋商采购方式管理暂行办法》等规定</w:t>
      </w:r>
      <w:r>
        <w:rPr>
          <w:rFonts w:ascii="仿宋_GB2312" w:hAnsi="仿宋_GB2312" w:eastAsia="仿宋_GB2312" w:cs="仿宋_GB2312"/>
          <w:color w:val="auto"/>
          <w:sz w:val="28"/>
          <w:szCs w:val="28"/>
          <w:lang w:val="en-US" w:eastAsia="zh-CN"/>
        </w:rPr>
        <w:t>承</w:t>
      </w:r>
      <w:r>
        <w:rPr>
          <w:rFonts w:ascii="仿宋_GB2312" w:hAnsi="仿宋_GB2312" w:eastAsia="仿宋_GB2312" w:cs="仿宋_GB2312"/>
          <w:color w:val="auto"/>
          <w:sz w:val="28"/>
          <w:szCs w:val="28"/>
          <w:lang w:eastAsia="zh-CN"/>
        </w:rPr>
        <w:t>担相应的违约责任。采购人可在按照磋商结果报告推荐的成交候选供应商名单排序，确定下一候选供应商为成交供应商，也可以重新开展政府采购活动。</w:t>
      </w:r>
    </w:p>
    <w:p w14:paraId="6D180D34">
      <w:pPr>
        <w:keepNext/>
        <w:keepLines/>
        <w:spacing w:line="560" w:lineRule="exact"/>
        <w:rPr>
          <w:rFonts w:ascii="仿宋_GB2312" w:hAnsi="仿宋_GB2312" w:eastAsia="仿宋_GB2312" w:cs="仿宋_GB2312"/>
          <w:b/>
          <w:color w:val="auto"/>
          <w:kern w:val="0"/>
          <w:sz w:val="28"/>
          <w:szCs w:val="28"/>
          <w:lang w:val="en-US" w:eastAsia="zh-CN"/>
        </w:rPr>
      </w:pPr>
      <w:r>
        <w:rPr>
          <w:rFonts w:ascii="仿宋_GB2312" w:hAnsi="仿宋_GB2312" w:eastAsia="仿宋_GB2312" w:cs="仿宋_GB2312"/>
          <w:b/>
          <w:color w:val="auto"/>
          <w:kern w:val="0"/>
          <w:sz w:val="28"/>
          <w:szCs w:val="28"/>
          <w:lang w:val="en-US" w:eastAsia="zh-CN"/>
        </w:rPr>
        <w:t>48. 招标代理费</w:t>
      </w:r>
    </w:p>
    <w:p w14:paraId="4EBF6526">
      <w:pPr>
        <w:spacing w:line="56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本项目是否由成交供应商向</w:t>
      </w:r>
      <w:r>
        <w:rPr>
          <w:rFonts w:hint="default" w:ascii="仿宋_GB2312" w:hAnsi="仿宋_GB2312" w:eastAsia="仿宋_GB2312" w:cs="仿宋_GB2312"/>
          <w:color w:val="auto"/>
          <w:sz w:val="28"/>
          <w:szCs w:val="28"/>
          <w:lang w:val="en" w:eastAsia="zh-CN"/>
        </w:rPr>
        <w:t>集中采购机构</w:t>
      </w:r>
      <w:r>
        <w:rPr>
          <w:rFonts w:ascii="仿宋_GB2312" w:hAnsi="仿宋_GB2312" w:eastAsia="仿宋_GB2312" w:cs="仿宋_GB2312"/>
          <w:color w:val="auto"/>
          <w:sz w:val="28"/>
          <w:szCs w:val="28"/>
          <w:lang w:val="en-US" w:eastAsia="zh-CN"/>
        </w:rPr>
        <w:t>支付招标代理费，按照供应商须知前附表规定执行。</w:t>
      </w:r>
    </w:p>
    <w:p w14:paraId="1F9833F4">
      <w:pPr>
        <w:keepNext/>
        <w:keepLines/>
        <w:spacing w:line="560" w:lineRule="exact"/>
        <w:rPr>
          <w:rFonts w:ascii="仿宋_GB2312" w:hAnsi="仿宋_GB2312" w:eastAsia="仿宋_GB2312" w:cs="仿宋_GB2312"/>
          <w:b/>
          <w:color w:val="auto"/>
          <w:kern w:val="0"/>
          <w:sz w:val="28"/>
          <w:szCs w:val="28"/>
          <w:lang w:val="en-US" w:eastAsia="zh-CN"/>
        </w:rPr>
      </w:pPr>
      <w:r>
        <w:rPr>
          <w:rFonts w:ascii="仿宋_GB2312" w:hAnsi="仿宋_GB2312" w:eastAsia="仿宋_GB2312" w:cs="仿宋_GB2312"/>
          <w:b/>
          <w:color w:val="auto"/>
          <w:kern w:val="0"/>
          <w:sz w:val="28"/>
          <w:szCs w:val="28"/>
          <w:lang w:val="en-US" w:eastAsia="zh-CN"/>
        </w:rPr>
        <w:t>49. 质疑的提出与接收</w:t>
      </w:r>
    </w:p>
    <w:p w14:paraId="2D0DE69E">
      <w:pPr>
        <w:spacing w:line="56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49.1  供应商认为</w:t>
      </w:r>
      <w:r>
        <w:rPr>
          <w:rFonts w:hint="default"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val="en-US" w:eastAsia="zh-CN"/>
        </w:rPr>
        <w:t>、竞争性磋商过程和成交结果使自己的权益受到损害的，可以根据《中华人民共和国政府采购法》《中华人民共和国政府采购法实施条例》《政府采购质疑和投诉办法》的有关规定，依法向采购人或其委托的</w:t>
      </w:r>
      <w:r>
        <w:rPr>
          <w:rFonts w:hint="default" w:ascii="仿宋_GB2312" w:hAnsi="仿宋_GB2312" w:eastAsia="仿宋_GB2312" w:cs="仿宋_GB2312"/>
          <w:color w:val="auto"/>
          <w:sz w:val="28"/>
          <w:szCs w:val="28"/>
          <w:lang w:val="en" w:eastAsia="zh-CN"/>
        </w:rPr>
        <w:t>集中采购机构</w:t>
      </w:r>
      <w:r>
        <w:rPr>
          <w:rFonts w:ascii="仿宋_GB2312" w:hAnsi="仿宋_GB2312" w:eastAsia="仿宋_GB2312" w:cs="仿宋_GB2312"/>
          <w:color w:val="auto"/>
          <w:sz w:val="28"/>
          <w:szCs w:val="28"/>
          <w:lang w:val="en-US" w:eastAsia="zh-CN"/>
        </w:rPr>
        <w:t>提出书面质疑。</w:t>
      </w:r>
    </w:p>
    <w:p w14:paraId="0955001D">
      <w:pPr>
        <w:spacing w:line="56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49.2  质疑供应商应按照《政府采购质疑和投诉办法》的要求，在法定质疑期内以书面形式提出质疑，针对同一采购程序环节的质疑次数应符合供应商须知前附表的规定。</w:t>
      </w:r>
    </w:p>
    <w:p w14:paraId="1CF1FB4E">
      <w:pPr>
        <w:spacing w:line="56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49.3  质疑供应商对采购人、采购代理机构的答复不满意，或者采购人、采购代理机构未在规定时间内作出答复的，可以在答复期满后15个工作日内向省级财政部门提起投诉。投诉人投诉时，请按照《政府采购质疑和投诉办法》（财政部第94号令）的要求提交相关内容及材料。</w:t>
      </w:r>
    </w:p>
    <w:p w14:paraId="0A429D9B">
      <w:pPr>
        <w:pStyle w:val="70"/>
        <w:spacing w:line="560" w:lineRule="exact"/>
        <w:rPr>
          <w:color w:val="auto"/>
        </w:rPr>
      </w:pPr>
    </w:p>
    <w:p w14:paraId="38A4F49D">
      <w:pPr>
        <w:keepNext/>
        <w:keepLines/>
        <w:widowControl w:val="0"/>
        <w:autoSpaceDE w:val="0"/>
        <w:autoSpaceDN w:val="0"/>
        <w:adjustRightInd w:val="0"/>
        <w:spacing w:line="560" w:lineRule="exact"/>
        <w:jc w:val="center"/>
        <w:outlineLvl w:val="1"/>
        <w:rPr>
          <w:rFonts w:ascii="方正小标宋_GBK" w:hAnsi="方正小标宋_GBK" w:eastAsia="方正小标宋_GBK" w:cs="方正小标宋_GBK"/>
          <w:bCs/>
          <w:color w:val="auto"/>
          <w:kern w:val="0"/>
          <w:sz w:val="30"/>
          <w:szCs w:val="30"/>
          <w:lang w:val="en-US" w:eastAsia="zh-CN"/>
        </w:rPr>
      </w:pPr>
      <w:bookmarkStart w:id="48" w:name="_Toc791857401"/>
      <w:bookmarkStart w:id="49" w:name="_Toc56702021"/>
      <w:r>
        <w:rPr>
          <w:rFonts w:ascii="方正小标宋_GBK" w:hAnsi="方正小标宋_GBK" w:eastAsia="方正小标宋_GBK" w:cs="方正小标宋_GBK"/>
          <w:bCs/>
          <w:color w:val="auto"/>
          <w:kern w:val="0"/>
          <w:sz w:val="30"/>
          <w:szCs w:val="30"/>
          <w:lang w:val="en-US" w:eastAsia="zh-CN"/>
        </w:rPr>
        <w:t>八、需要补充的其他内容</w:t>
      </w:r>
      <w:bookmarkEnd w:id="48"/>
      <w:bookmarkEnd w:id="49"/>
    </w:p>
    <w:p w14:paraId="2B48F272">
      <w:pPr>
        <w:spacing w:line="56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50</w:t>
      </w:r>
      <w:r>
        <w:rPr>
          <w:rFonts w:ascii="仿宋_GB2312" w:hAnsi="仿宋_GB2312" w:eastAsia="仿宋_GB2312" w:cs="仿宋_GB2312"/>
          <w:color w:val="auto"/>
          <w:sz w:val="28"/>
          <w:szCs w:val="28"/>
          <w:lang w:eastAsia="zh-CN"/>
        </w:rPr>
        <w:t>.</w:t>
      </w:r>
      <w:r>
        <w:rPr>
          <w:rFonts w:ascii="仿宋_GB2312" w:hAnsi="仿宋_GB2312" w:eastAsia="仿宋_GB2312" w:cs="仿宋_GB2312"/>
          <w:color w:val="auto"/>
          <w:sz w:val="28"/>
          <w:szCs w:val="28"/>
          <w:lang w:val="en-US" w:eastAsia="zh-CN"/>
        </w:rPr>
        <w:t>本文件所称的“以上”、“以下”、“内”、“以内”“不少于”，包括本数；所称的“不足”、“低于”、“超过”，不包括本数。</w:t>
      </w:r>
    </w:p>
    <w:p w14:paraId="2889B6DD">
      <w:pPr>
        <w:spacing w:line="56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51.</w:t>
      </w:r>
      <w:r>
        <w:rPr>
          <w:rFonts w:ascii="仿宋_GB2312" w:hAnsi="仿宋_GB2312" w:eastAsia="仿宋_GB2312" w:cs="仿宋_GB2312"/>
          <w:color w:val="auto"/>
          <w:sz w:val="28"/>
          <w:szCs w:val="28"/>
          <w:lang w:eastAsia="zh-CN"/>
        </w:rPr>
        <w:t>需要补充的其他内容：见“供应商须知前附表”。</w:t>
      </w:r>
    </w:p>
    <w:p w14:paraId="4638FFA5">
      <w:pPr>
        <w:pStyle w:val="2"/>
        <w:jc w:val="center"/>
        <w:rPr>
          <w:rFonts w:hint="default" w:ascii="Times New Roman" w:hAnsi="Times New Roman" w:eastAsia="宋体" w:cs="Times New Roman"/>
          <w:color w:val="auto"/>
          <w:lang w:eastAsia="zh-CN"/>
        </w:rPr>
      </w:pPr>
      <w:r>
        <w:rPr>
          <w:color w:val="auto"/>
          <w:lang w:eastAsia="zh-CN"/>
        </w:rPr>
        <w:br w:type="page"/>
      </w:r>
      <w:bookmarkStart w:id="50" w:name="_Toc26582"/>
      <w:r>
        <w:rPr>
          <w:rFonts w:hint="default" w:ascii="Times New Roman" w:hAnsi="Times New Roman" w:eastAsia="宋体" w:cs="Times New Roman"/>
          <w:color w:val="auto"/>
          <w:sz w:val="36"/>
          <w:szCs w:val="36"/>
          <w:lang w:val="en-US" w:eastAsia="zh-CN"/>
        </w:rPr>
        <w:t xml:space="preserve">第四章 </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Fonts w:hint="default" w:ascii="Times New Roman" w:hAnsi="Times New Roman" w:eastAsia="宋体" w:cs="Times New Roman"/>
          <w:color w:val="auto"/>
          <w:sz w:val="36"/>
          <w:szCs w:val="36"/>
          <w:lang w:val="en-US" w:eastAsia="zh-CN"/>
        </w:rPr>
        <w:t>竞争性磋商响应文件格式</w:t>
      </w:r>
      <w:bookmarkEnd w:id="29"/>
      <w:bookmarkEnd w:id="30"/>
      <w:bookmarkEnd w:id="50"/>
    </w:p>
    <w:p w14:paraId="13B44219">
      <w:pPr>
        <w:tabs>
          <w:tab w:val="left" w:pos="1950"/>
        </w:tabs>
        <w:jc w:val="center"/>
        <w:rPr>
          <w:rFonts w:hint="default" w:ascii="Times New Roman" w:hAnsi="Times New Roman" w:eastAsia="宋体" w:cs="Times New Roman"/>
          <w:b/>
          <w:bCs/>
          <w:color w:val="auto"/>
          <w:sz w:val="52"/>
          <w:szCs w:val="52"/>
          <w:lang w:val="en" w:eastAsia="zh-CN"/>
        </w:rPr>
      </w:pPr>
      <w:r>
        <w:rPr>
          <w:rFonts w:ascii="Times New Roman" w:hAnsi="Times New Roman" w:eastAsia="宋体" w:cs="Times New Roman"/>
          <w:b/>
          <w:bCs/>
          <w:color w:val="auto"/>
          <w:sz w:val="52"/>
          <w:szCs w:val="52"/>
          <w:lang w:val="en" w:eastAsia="zh-CN"/>
        </w:rPr>
        <w:t>郑州铁路职业技术学院工科基础实训室项目</w:t>
      </w:r>
    </w:p>
    <w:p w14:paraId="055874CE">
      <w:pPr>
        <w:tabs>
          <w:tab w:val="left" w:pos="1950"/>
        </w:tabs>
        <w:jc w:val="center"/>
        <w:rPr>
          <w:rFonts w:hint="default" w:ascii="Times New Roman" w:hAnsi="Times New Roman" w:eastAsia="宋体" w:cs="Times New Roman"/>
          <w:b/>
          <w:color w:val="auto"/>
          <w:sz w:val="32"/>
          <w:szCs w:val="32"/>
          <w:lang w:val="en-US" w:eastAsia="zh-CN"/>
        </w:rPr>
      </w:pPr>
      <w:r>
        <w:rPr>
          <w:rFonts w:hint="default" w:ascii="Times New Roman" w:hAnsi="Times New Roman" w:eastAsia="宋体" w:cs="Times New Roman"/>
          <w:b/>
          <w:color w:val="auto"/>
          <w:sz w:val="56"/>
          <w:szCs w:val="56"/>
          <w:lang w:val="en-US" w:eastAsia="zh-CN"/>
        </w:rPr>
        <w:t xml:space="preserve"> </w:t>
      </w:r>
    </w:p>
    <w:p w14:paraId="2D85AD66">
      <w:pPr>
        <w:tabs>
          <w:tab w:val="left" w:pos="1950"/>
        </w:tabs>
        <w:jc w:val="left"/>
        <w:rPr>
          <w:rFonts w:hint="default" w:ascii="Times New Roman" w:hAnsi="Times New Roman" w:eastAsia="宋体" w:cs="Times New Roman"/>
          <w:b/>
          <w:bCs/>
          <w:color w:val="auto"/>
          <w:lang w:val="en-US" w:eastAsia="zh-CN"/>
        </w:rPr>
      </w:pPr>
    </w:p>
    <w:p w14:paraId="7C59DC1F">
      <w:pPr>
        <w:tabs>
          <w:tab w:val="left" w:pos="1950"/>
        </w:tabs>
        <w:jc w:val="left"/>
        <w:rPr>
          <w:rFonts w:hint="default" w:ascii="Times New Roman" w:hAnsi="Times New Roman" w:eastAsia="宋体" w:cs="Times New Roman"/>
          <w:b/>
          <w:bCs/>
          <w:color w:val="auto"/>
          <w:lang w:val="en-US" w:eastAsia="zh-CN"/>
        </w:rPr>
      </w:pPr>
    </w:p>
    <w:p w14:paraId="1E5E88B3">
      <w:pPr>
        <w:tabs>
          <w:tab w:val="left" w:pos="1950"/>
        </w:tabs>
        <w:jc w:val="left"/>
        <w:rPr>
          <w:rFonts w:hint="default" w:ascii="Times New Roman" w:hAnsi="Times New Roman" w:eastAsia="宋体" w:cs="Times New Roman"/>
          <w:b/>
          <w:bCs/>
          <w:color w:val="auto"/>
          <w:lang w:val="en-US" w:eastAsia="zh-CN"/>
        </w:rPr>
      </w:pPr>
    </w:p>
    <w:p w14:paraId="2BAF032F">
      <w:pPr>
        <w:tabs>
          <w:tab w:val="left" w:pos="1950"/>
        </w:tabs>
        <w:jc w:val="left"/>
        <w:rPr>
          <w:rFonts w:hint="default" w:ascii="Times New Roman" w:hAnsi="Times New Roman" w:eastAsia="宋体" w:cs="Times New Roman"/>
          <w:b/>
          <w:bCs/>
          <w:color w:val="auto"/>
          <w:lang w:val="en-US" w:eastAsia="zh-CN"/>
        </w:rPr>
      </w:pPr>
    </w:p>
    <w:p w14:paraId="7419F8D7">
      <w:pPr>
        <w:pStyle w:val="72"/>
        <w:ind w:firstLine="318"/>
        <w:rPr>
          <w:rFonts w:hint="default" w:ascii="Times New Roman" w:hAnsi="Times New Roman" w:cs="Times New Roman"/>
          <w:color w:val="auto"/>
          <w:lang w:val="en-US" w:eastAsia="zh-CN"/>
        </w:rPr>
      </w:pPr>
    </w:p>
    <w:p w14:paraId="236C36FC">
      <w:pPr>
        <w:tabs>
          <w:tab w:val="left" w:pos="1950"/>
        </w:tabs>
        <w:jc w:val="left"/>
        <w:rPr>
          <w:rFonts w:hint="default" w:ascii="Times New Roman" w:hAnsi="Times New Roman" w:eastAsia="宋体" w:cs="Times New Roman"/>
          <w:b/>
          <w:bCs/>
          <w:color w:val="auto"/>
          <w:lang w:val="en-US" w:eastAsia="zh-CN"/>
        </w:rPr>
      </w:pPr>
    </w:p>
    <w:p w14:paraId="09862429">
      <w:pPr>
        <w:tabs>
          <w:tab w:val="left" w:pos="1950"/>
        </w:tabs>
        <w:jc w:val="left"/>
        <w:rPr>
          <w:rFonts w:hint="default" w:ascii="Times New Roman" w:hAnsi="Times New Roman" w:eastAsia="宋体" w:cs="Times New Roman"/>
          <w:b/>
          <w:bCs/>
          <w:color w:val="auto"/>
          <w:lang w:val="en-US" w:eastAsia="zh-CN"/>
        </w:rPr>
      </w:pPr>
    </w:p>
    <w:p w14:paraId="7A25FEB9">
      <w:pPr>
        <w:jc w:val="center"/>
        <w:rPr>
          <w:rFonts w:hint="default" w:ascii="Times New Roman" w:hAnsi="Times New Roman" w:eastAsia="宋体" w:cs="Times New Roman"/>
          <w:b/>
          <w:bCs/>
          <w:color w:val="auto"/>
          <w:sz w:val="90"/>
          <w:szCs w:val="90"/>
          <w:lang w:eastAsia="zh-CN"/>
        </w:rPr>
      </w:pPr>
      <w:r>
        <w:rPr>
          <w:rFonts w:hint="default" w:ascii="Times New Roman" w:hAnsi="Times New Roman" w:eastAsia="宋体" w:cs="Times New Roman"/>
          <w:b/>
          <w:color w:val="auto"/>
          <w:sz w:val="90"/>
          <w:szCs w:val="90"/>
          <w:lang w:eastAsia="zh-CN"/>
        </w:rPr>
        <w:t>竞争性磋商响应文件</w:t>
      </w:r>
    </w:p>
    <w:p w14:paraId="1EAA0A80">
      <w:pPr>
        <w:widowControl w:val="0"/>
        <w:tabs>
          <w:tab w:val="left" w:pos="1950"/>
        </w:tabs>
        <w:jc w:val="center"/>
        <w:rPr>
          <w:rFonts w:hint="default" w:ascii="Times New Roman" w:hAnsi="Times New Roman" w:eastAsia="宋体" w:cs="Times New Roman"/>
          <w:b/>
          <w:color w:val="auto"/>
          <w:sz w:val="36"/>
          <w:szCs w:val="36"/>
          <w:lang w:eastAsia="zh-CN"/>
        </w:rPr>
      </w:pPr>
    </w:p>
    <w:p w14:paraId="7C619DBF">
      <w:pPr>
        <w:widowControl w:val="0"/>
        <w:tabs>
          <w:tab w:val="left" w:pos="1950"/>
        </w:tabs>
        <w:jc w:val="center"/>
        <w:rPr>
          <w:rFonts w:hint="default" w:ascii="Times New Roman" w:hAnsi="Times New Roman" w:eastAsia="宋体" w:cs="Times New Roman"/>
          <w:b/>
          <w:color w:val="auto"/>
          <w:spacing w:val="20"/>
          <w:w w:val="150"/>
          <w:sz w:val="36"/>
          <w:szCs w:val="52"/>
          <w:highlight w:val="yellow"/>
          <w:lang w:val="en-US" w:eastAsia="zh-CN"/>
        </w:rPr>
      </w:pPr>
      <w:r>
        <w:rPr>
          <w:rFonts w:hint="default" w:ascii="Times New Roman" w:hAnsi="Times New Roman" w:eastAsia="宋体" w:cs="Times New Roman"/>
          <w:b/>
          <w:color w:val="auto"/>
          <w:sz w:val="36"/>
          <w:szCs w:val="36"/>
          <w:lang w:eastAsia="zh-CN"/>
        </w:rPr>
        <w:t>采购编号：</w:t>
      </w:r>
      <w:r>
        <w:rPr>
          <w:rFonts w:ascii="Times New Roman" w:hAnsi="Times New Roman" w:eastAsia="宋体" w:cs="Times New Roman"/>
          <w:b/>
          <w:color w:val="auto"/>
          <w:sz w:val="36"/>
          <w:szCs w:val="36"/>
          <w:lang w:val="en-US" w:eastAsia="zh-CN"/>
        </w:rPr>
        <w:t>豫财磋商采购-2026-853</w:t>
      </w:r>
    </w:p>
    <w:p w14:paraId="47EDB301">
      <w:pPr>
        <w:widowControl w:val="0"/>
        <w:spacing w:line="360" w:lineRule="auto"/>
        <w:ind w:left="1080" w:leftChars="257" w:hanging="540"/>
        <w:rPr>
          <w:rFonts w:hint="default" w:ascii="Times New Roman" w:hAnsi="Times New Roman" w:eastAsia="宋体" w:cs="Times New Roman"/>
          <w:b/>
          <w:color w:val="auto"/>
          <w:sz w:val="28"/>
          <w:szCs w:val="24"/>
          <w:lang w:val="en-US" w:eastAsia="zh-CN"/>
        </w:rPr>
      </w:pPr>
    </w:p>
    <w:p w14:paraId="04F908B4">
      <w:pPr>
        <w:widowControl w:val="0"/>
        <w:spacing w:line="360" w:lineRule="auto"/>
        <w:rPr>
          <w:rFonts w:hint="default" w:ascii="Times New Roman" w:hAnsi="Times New Roman" w:eastAsia="宋体" w:cs="Times New Roman"/>
          <w:b/>
          <w:color w:val="auto"/>
          <w:sz w:val="52"/>
          <w:szCs w:val="24"/>
          <w:lang w:val="en-US" w:eastAsia="zh-CN"/>
        </w:rPr>
      </w:pPr>
    </w:p>
    <w:p w14:paraId="60CFA4F9">
      <w:pPr>
        <w:pStyle w:val="70"/>
        <w:rPr>
          <w:rFonts w:ascii="Times New Roman" w:hAnsi="Times New Roman" w:cs="Times New Roman"/>
          <w:color w:val="auto"/>
        </w:rPr>
      </w:pPr>
    </w:p>
    <w:p w14:paraId="18F8DE85">
      <w:pPr>
        <w:widowControl w:val="0"/>
        <w:autoSpaceDE w:val="0"/>
        <w:autoSpaceDN w:val="0"/>
        <w:adjustRightInd w:val="0"/>
        <w:ind w:firstLine="1084" w:firstLineChars="300"/>
        <w:rPr>
          <w:rFonts w:hint="default" w:ascii="Times New Roman" w:hAnsi="Times New Roman" w:eastAsia="宋体" w:cs="Times New Roman"/>
          <w:b/>
          <w:color w:val="auto"/>
          <w:sz w:val="36"/>
          <w:szCs w:val="36"/>
          <w:lang w:val="en-US" w:eastAsia="zh-CN"/>
        </w:rPr>
      </w:pPr>
      <w:r>
        <w:rPr>
          <w:rFonts w:hint="default" w:ascii="Times New Roman" w:hAnsi="Times New Roman" w:eastAsia="宋体" w:cs="Times New Roman"/>
          <w:b/>
          <w:color w:val="auto"/>
          <w:sz w:val="36"/>
          <w:szCs w:val="36"/>
          <w:lang w:val="en-US" w:eastAsia="zh-CN"/>
        </w:rPr>
        <w:t>供应商（企业电子签章）：</w:t>
      </w:r>
    </w:p>
    <w:p w14:paraId="1E7D43AC">
      <w:pPr>
        <w:pStyle w:val="199"/>
        <w:ind w:firstLine="0"/>
        <w:rPr>
          <w:rFonts w:hint="default" w:ascii="Times New Roman" w:hAnsi="Times New Roman" w:eastAsia="宋体" w:cs="Times New Roman"/>
          <w:color w:val="auto"/>
          <w:sz w:val="36"/>
          <w:szCs w:val="36"/>
          <w:lang w:val="en-US" w:eastAsia="zh-CN"/>
        </w:rPr>
      </w:pPr>
    </w:p>
    <w:p w14:paraId="4699EF88">
      <w:pPr>
        <w:pStyle w:val="199"/>
        <w:ind w:firstLine="0"/>
        <w:rPr>
          <w:rFonts w:hint="default" w:ascii="Times New Roman" w:hAnsi="Times New Roman" w:eastAsia="宋体" w:cs="Times New Roman"/>
          <w:color w:val="auto"/>
          <w:lang w:eastAsia="zh-CN"/>
        </w:rPr>
      </w:pPr>
    </w:p>
    <w:p w14:paraId="1A870A47">
      <w:pPr>
        <w:pStyle w:val="168"/>
        <w:spacing w:line="360" w:lineRule="auto"/>
        <w:jc w:val="center"/>
        <w:rPr>
          <w:rFonts w:ascii="Times New Roman" w:hAnsi="Times New Roman" w:eastAsia="仿宋_GB2312" w:cs="Times New Roman"/>
          <w:b/>
          <w:bCs/>
          <w:color w:val="auto"/>
          <w:sz w:val="44"/>
          <w:szCs w:val="44"/>
          <w:lang w:val="en"/>
        </w:rPr>
      </w:pPr>
      <w:r>
        <w:rPr>
          <w:rFonts w:ascii="Times New Roman" w:hAnsi="Times New Roman" w:cs="Times New Roman"/>
          <w:color w:val="auto"/>
          <w:sz w:val="28"/>
          <w:szCs w:val="28"/>
        </w:rPr>
        <w:br w:type="page"/>
      </w:r>
      <w:r>
        <w:rPr>
          <w:rFonts w:ascii="Times New Roman" w:hAnsi="Times New Roman" w:eastAsia="仿宋_GB2312" w:cs="Times New Roman"/>
          <w:b/>
          <w:bCs/>
          <w:color w:val="auto"/>
          <w:sz w:val="44"/>
          <w:szCs w:val="44"/>
          <w:lang w:val="en"/>
        </w:rPr>
        <w:t>目  录</w:t>
      </w:r>
    </w:p>
    <w:p w14:paraId="49A1FF6A">
      <w:pPr>
        <w:tabs>
          <w:tab w:val="left" w:pos="5580"/>
        </w:tabs>
        <w:spacing w:line="440" w:lineRule="exact"/>
        <w:rPr>
          <w:rFonts w:hint="default" w:ascii="Times New Roman" w:hAnsi="Times New Roman" w:eastAsia="仿宋_GB2312" w:cs="Times New Roman"/>
          <w:color w:val="auto"/>
          <w:sz w:val="28"/>
          <w:szCs w:val="28"/>
          <w:lang w:val="en-US" w:eastAsia="zh-CN"/>
        </w:rPr>
      </w:pPr>
    </w:p>
    <w:p w14:paraId="66D05322">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一、法人或者非法人组织的营业执照等证明文件或自然人的身份证明</w:t>
      </w:r>
      <w:bookmarkStart w:id="51" w:name="_Toc371659587_WPSOffice_Level3"/>
      <w:bookmarkStart w:id="52" w:name="_Toc835682095_WPSOffice_Level3"/>
    </w:p>
    <w:p w14:paraId="61122015">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二、具有良好的商业信誉和健全的财务会计制度</w:t>
      </w:r>
      <w:bookmarkEnd w:id="51"/>
      <w:bookmarkEnd w:id="52"/>
    </w:p>
    <w:p w14:paraId="0F65B294">
      <w:pPr>
        <w:spacing w:line="500" w:lineRule="exact"/>
        <w:ind w:firstLine="560" w:firstLineChars="200"/>
        <w:rPr>
          <w:rFonts w:hint="default" w:ascii="Times New Roman" w:hAnsi="Times New Roman" w:eastAsia="仿宋_GB2312" w:cs="Times New Roman"/>
          <w:color w:val="auto"/>
          <w:sz w:val="28"/>
          <w:szCs w:val="28"/>
          <w:lang w:val="en-US" w:eastAsia="zh-CN"/>
        </w:rPr>
      </w:pPr>
      <w:bookmarkStart w:id="53" w:name="_Toc1104501183_WPSOffice_Level3"/>
      <w:bookmarkStart w:id="54" w:name="_Toc1150235750_WPSOffice_Level3"/>
      <w:r>
        <w:rPr>
          <w:rFonts w:hint="default" w:ascii="Times New Roman" w:hAnsi="Times New Roman" w:eastAsia="仿宋_GB2312" w:cs="Times New Roman"/>
          <w:color w:val="auto"/>
          <w:sz w:val="28"/>
          <w:szCs w:val="28"/>
          <w:lang w:val="en-US" w:eastAsia="zh-CN"/>
        </w:rPr>
        <w:t>三、依法缴纳税收和社会保障资金的良好记录</w:t>
      </w:r>
      <w:bookmarkEnd w:id="53"/>
      <w:bookmarkEnd w:id="54"/>
    </w:p>
    <w:p w14:paraId="4B808F4A">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四、具有履行合同所必需的设备和专业技术能力</w:t>
      </w:r>
    </w:p>
    <w:p w14:paraId="1E05D437">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五、参加政府采购活动前3年内在经营活动中没有重大违法记录的声明</w:t>
      </w:r>
    </w:p>
    <w:p w14:paraId="60AAFCA6">
      <w:pPr>
        <w:spacing w:line="500" w:lineRule="exact"/>
        <w:ind w:firstLine="560" w:firstLineChars="200"/>
        <w:rPr>
          <w:rFonts w:hint="default" w:ascii="Times New Roman" w:hAnsi="Times New Roman" w:eastAsia="仿宋_GB2312" w:cs="Times New Roman"/>
          <w:color w:val="auto"/>
          <w:sz w:val="28"/>
          <w:szCs w:val="28"/>
          <w:lang w:val="en-US" w:eastAsia="zh-CN"/>
        </w:rPr>
      </w:pPr>
      <w:bookmarkStart w:id="55" w:name="_Toc2005223374_WPSOffice_Level3"/>
      <w:bookmarkStart w:id="56" w:name="_Toc141596040_WPSOffice_Level3"/>
      <w:r>
        <w:rPr>
          <w:rFonts w:hint="default" w:ascii="Times New Roman" w:hAnsi="Times New Roman" w:eastAsia="仿宋_GB2312" w:cs="Times New Roman"/>
          <w:color w:val="auto"/>
          <w:sz w:val="28"/>
          <w:szCs w:val="28"/>
          <w:lang w:val="en-US" w:eastAsia="zh-CN"/>
        </w:rPr>
        <w:t>六、其他资格证明文件</w:t>
      </w:r>
      <w:bookmarkEnd w:id="55"/>
      <w:bookmarkEnd w:id="56"/>
    </w:p>
    <w:p w14:paraId="1AAB4EC3">
      <w:pPr>
        <w:spacing w:line="50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七、磋商响应函</w:t>
      </w:r>
    </w:p>
    <w:p w14:paraId="38F95C3E">
      <w:pPr>
        <w:spacing w:line="50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八、法定代表人身份证明书</w:t>
      </w:r>
    </w:p>
    <w:p w14:paraId="5154825A">
      <w:pPr>
        <w:spacing w:line="50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九、磋商响应报价表格</w:t>
      </w:r>
    </w:p>
    <w:p w14:paraId="321989A4">
      <w:pPr>
        <w:spacing w:line="50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1</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eastAsia="zh-CN"/>
        </w:rPr>
        <w:t>磋商响应主要内容汇总表</w:t>
      </w:r>
    </w:p>
    <w:p w14:paraId="18C23558">
      <w:pPr>
        <w:spacing w:line="50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lang w:val="en" w:eastAsia="zh-CN"/>
        </w:rPr>
        <w:t xml:space="preserve"> </w:t>
      </w:r>
      <w:r>
        <w:rPr>
          <w:rFonts w:hint="default" w:ascii="Times New Roman" w:hAnsi="Times New Roman" w:eastAsia="仿宋_GB2312" w:cs="Times New Roman"/>
          <w:color w:val="auto"/>
          <w:sz w:val="28"/>
          <w:szCs w:val="28"/>
          <w:lang w:eastAsia="zh-CN"/>
        </w:rPr>
        <w:t>磋商响应分项报价表</w:t>
      </w:r>
    </w:p>
    <w:p w14:paraId="6D851F7F">
      <w:pPr>
        <w:spacing w:line="50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十、商务条款偏离表</w:t>
      </w:r>
    </w:p>
    <w:p w14:paraId="271643A0">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十一、技术规格偏离表</w:t>
      </w:r>
    </w:p>
    <w:p w14:paraId="1C2D079A">
      <w:pPr>
        <w:spacing w:line="50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十二、综合证明文件</w:t>
      </w:r>
    </w:p>
    <w:p w14:paraId="06895473">
      <w:pPr>
        <w:spacing w:line="50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十三、企业声明函</w:t>
      </w:r>
    </w:p>
    <w:p w14:paraId="5D79676A">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十四、</w:t>
      </w:r>
      <w:r>
        <w:rPr>
          <w:rFonts w:ascii="Times New Roman" w:hAnsi="Times New Roman" w:eastAsia="仿宋_GB2312" w:cs="Times New Roman"/>
          <w:color w:val="auto"/>
          <w:sz w:val="28"/>
          <w:szCs w:val="28"/>
          <w:lang w:val="en-US" w:eastAsia="zh-CN"/>
        </w:rPr>
        <w:t>关联关系名单</w:t>
      </w:r>
    </w:p>
    <w:p w14:paraId="15812AB9">
      <w:pPr>
        <w:spacing w:line="500" w:lineRule="exact"/>
        <w:ind w:firstLine="560" w:firstLineChars="200"/>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val="en-US" w:eastAsia="zh-CN"/>
        </w:rPr>
        <w:t>十五、</w:t>
      </w:r>
      <w:r>
        <w:rPr>
          <w:rFonts w:hint="default" w:ascii="Times New Roman" w:hAnsi="Times New Roman" w:eastAsia="仿宋_GB2312" w:cs="Times New Roman"/>
          <w:color w:val="auto"/>
          <w:sz w:val="28"/>
          <w:szCs w:val="28"/>
          <w:lang w:eastAsia="zh-CN"/>
        </w:rPr>
        <w:t>产品适用政府采购政策情况表（节能、环保）</w:t>
      </w:r>
    </w:p>
    <w:p w14:paraId="1750AD30">
      <w:pPr>
        <w:spacing w:line="50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十</w:t>
      </w:r>
      <w:r>
        <w:rPr>
          <w:rFonts w:ascii="Times New Roman" w:hAnsi="Times New Roman" w:eastAsia="仿宋_GB2312" w:cs="Times New Roman"/>
          <w:color w:val="auto"/>
          <w:sz w:val="28"/>
          <w:szCs w:val="28"/>
          <w:lang w:val="en-US" w:eastAsia="zh-CN"/>
        </w:rPr>
        <w:t>六</w:t>
      </w:r>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eastAsia="zh-CN"/>
        </w:rPr>
        <w:t>其他文件</w:t>
      </w:r>
    </w:p>
    <w:p w14:paraId="0D10C3D6">
      <w:pPr>
        <w:spacing w:line="500" w:lineRule="exact"/>
        <w:ind w:firstLine="560" w:firstLineChars="200"/>
        <w:rPr>
          <w:rFonts w:hint="default" w:ascii="Times New Roman" w:hAnsi="Times New Roman" w:eastAsia="仿宋_GB2312" w:cs="Times New Roman"/>
          <w:color w:val="auto"/>
          <w:sz w:val="28"/>
          <w:szCs w:val="28"/>
          <w:lang w:val="en-US" w:eastAsia="zh-CN"/>
        </w:rPr>
      </w:pPr>
    </w:p>
    <w:p w14:paraId="5735A176">
      <w:pPr>
        <w:spacing w:line="500" w:lineRule="exact"/>
        <w:ind w:firstLine="560" w:firstLineChars="200"/>
        <w:jc w:val="center"/>
        <w:outlineLvl w:val="1"/>
        <w:rPr>
          <w:rFonts w:hint="default" w:ascii="微软雅黑" w:hAnsi="Times New Roman" w:eastAsia="微软雅黑" w:cs="Times New Roman"/>
          <w:color w:val="auto"/>
          <w:sz w:val="28"/>
          <w:szCs w:val="28"/>
          <w:lang w:eastAsia="zh-CN"/>
        </w:rPr>
      </w:pPr>
      <w:bookmarkStart w:id="57" w:name="_Toc442868323"/>
      <w:bookmarkStart w:id="58" w:name="_Toc1666758381"/>
      <w:bookmarkStart w:id="59" w:name="_Toc1892257381_WPSOffice_Level3"/>
      <w:bookmarkStart w:id="60" w:name="_Toc740001715"/>
      <w:r>
        <w:rPr>
          <w:rFonts w:hint="default" w:ascii="Times New Roman" w:hAnsi="Times New Roman" w:eastAsia="黑体" w:cs="Times New Roman"/>
          <w:color w:val="auto"/>
          <w:sz w:val="28"/>
          <w:szCs w:val="28"/>
          <w:lang w:eastAsia="zh-CN"/>
        </w:rPr>
        <w:br w:type="page"/>
      </w:r>
      <w:bookmarkEnd w:id="57"/>
      <w:bookmarkEnd w:id="58"/>
      <w:bookmarkEnd w:id="59"/>
      <w:bookmarkEnd w:id="60"/>
      <w:bookmarkStart w:id="61" w:name="_Toc1274130635"/>
      <w:bookmarkStart w:id="62" w:name="_Toc1480748811"/>
      <w:bookmarkStart w:id="63" w:name="_Toc1970836454"/>
      <w:bookmarkStart w:id="64" w:name="_Toc730361247"/>
      <w:bookmarkStart w:id="65" w:name="_Toc1541909372_WPSOffice_Level3"/>
      <w:bookmarkStart w:id="66" w:name="_Toc262140077"/>
      <w:bookmarkStart w:id="67" w:name="_Toc1876865389"/>
      <w:bookmarkStart w:id="68" w:name="_Toc1727898814"/>
      <w:bookmarkStart w:id="69" w:name="_Toc1950934252"/>
      <w:bookmarkStart w:id="70" w:name="_Toc831756679"/>
      <w:bookmarkStart w:id="71" w:name="_Toc1793820901_WPSOffice_Level3"/>
      <w:r>
        <w:rPr>
          <w:rFonts w:ascii="微软雅黑" w:hAnsi="Times New Roman" w:eastAsia="微软雅黑" w:cs="Times New Roman"/>
          <w:bCs/>
          <w:color w:val="auto"/>
          <w:sz w:val="30"/>
          <w:szCs w:val="30"/>
          <w:lang w:val="en-US" w:eastAsia="zh-CN"/>
        </w:rPr>
        <w:t>一、法人或者非法人组织的营业执照等证明文件或自然人的身份证明</w:t>
      </w:r>
      <w:bookmarkEnd w:id="61"/>
      <w:bookmarkEnd w:id="62"/>
      <w:bookmarkEnd w:id="63"/>
      <w:bookmarkEnd w:id="64"/>
      <w:bookmarkEnd w:id="65"/>
      <w:bookmarkEnd w:id="66"/>
      <w:bookmarkEnd w:id="67"/>
      <w:bookmarkEnd w:id="68"/>
      <w:bookmarkEnd w:id="69"/>
      <w:bookmarkEnd w:id="70"/>
      <w:bookmarkEnd w:id="71"/>
    </w:p>
    <w:p w14:paraId="3F8018F7">
      <w:pPr>
        <w:rPr>
          <w:rFonts w:hint="default" w:ascii="Times New Roman" w:hAnsi="Times New Roman" w:cs="Times New Roman"/>
          <w:color w:val="auto"/>
          <w:lang w:eastAsia="zh-CN"/>
        </w:rPr>
      </w:pPr>
    </w:p>
    <w:p w14:paraId="304A8131">
      <w:pPr>
        <w:pStyle w:val="168"/>
        <w:tabs>
          <w:tab w:val="left" w:pos="5580"/>
        </w:tabs>
        <w:spacing w:line="360" w:lineRule="auto"/>
        <w:ind w:left="540" w:firstLine="480"/>
        <w:jc w:val="center"/>
        <w:rPr>
          <w:rFonts w:ascii="Times New Roman" w:hAnsi="Times New Roman" w:cs="Times New Roman"/>
          <w:b/>
          <w:bCs/>
          <w:color w:val="auto"/>
          <w:sz w:val="24"/>
          <w:szCs w:val="24"/>
        </w:rPr>
      </w:pPr>
    </w:p>
    <w:p w14:paraId="354AF6E3">
      <w:pPr>
        <w:pStyle w:val="168"/>
        <w:tabs>
          <w:tab w:val="left" w:pos="5580"/>
        </w:tabs>
        <w:spacing w:line="360" w:lineRule="auto"/>
        <w:ind w:left="540" w:firstLine="480"/>
        <w:rPr>
          <w:rFonts w:ascii="Times New Roman" w:hAnsi="Times New Roman" w:cs="Times New Roman"/>
          <w:b/>
          <w:bCs/>
          <w:color w:val="auto"/>
          <w:sz w:val="24"/>
          <w:szCs w:val="24"/>
        </w:rPr>
      </w:pPr>
    </w:p>
    <w:p w14:paraId="17EE4440">
      <w:pPr>
        <w:pStyle w:val="168"/>
        <w:tabs>
          <w:tab w:val="left" w:pos="5580"/>
        </w:tabs>
        <w:spacing w:line="360" w:lineRule="auto"/>
        <w:ind w:left="540" w:firstLine="480"/>
        <w:rPr>
          <w:rFonts w:ascii="Times New Roman" w:hAnsi="Times New Roman" w:cs="Times New Roman"/>
          <w:b/>
          <w:bCs/>
          <w:color w:val="auto"/>
          <w:sz w:val="24"/>
          <w:szCs w:val="24"/>
        </w:rPr>
      </w:pPr>
    </w:p>
    <w:p w14:paraId="2ABD004D">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说明：</w:t>
      </w:r>
      <w:r>
        <w:rPr>
          <w:rFonts w:hint="default" w:ascii="Times New Roman" w:hAnsi="Times New Roman" w:eastAsia="仿宋_GB2312" w:cs="Times New Roman"/>
          <w:color w:val="auto"/>
          <w:sz w:val="28"/>
          <w:szCs w:val="28"/>
          <w:lang w:val="en-US" w:eastAsia="zh-CN"/>
        </w:rPr>
        <w:t>1.</w:t>
      </w:r>
      <w:r>
        <w:rPr>
          <w:rFonts w:hint="default" w:ascii="Times New Roman" w:hAnsi="Times New Roman" w:eastAsia="仿宋_GB2312" w:cs="Times New Roman"/>
          <w:color w:val="auto"/>
          <w:sz w:val="28"/>
          <w:szCs w:val="28"/>
          <w:lang w:eastAsia="zh-CN"/>
        </w:rPr>
        <w:t>提供有效的营业执照等证明文件原件或复印件的扫描件。</w:t>
      </w:r>
    </w:p>
    <w:p w14:paraId="2FC15487">
      <w:pPr>
        <w:spacing w:line="500" w:lineRule="exact"/>
        <w:ind w:firstLine="560" w:firstLineChars="200"/>
        <w:rPr>
          <w:rFonts w:hint="default" w:ascii="Times New Roman" w:hAnsi="Times New Roman" w:eastAsia="仿宋_GB2312" w:cs="Times New Roman"/>
          <w:color w:val="auto"/>
          <w:sz w:val="28"/>
          <w:szCs w:val="28"/>
          <w:lang w:val="en-US" w:eastAsia="zh-CN"/>
        </w:rPr>
      </w:pPr>
      <w:bookmarkStart w:id="72" w:name="_Toc2081420463_WPSOffice_Level3"/>
      <w:bookmarkStart w:id="73" w:name="_Toc67715126_WPSOffice_Level3"/>
      <w:r>
        <w:rPr>
          <w:rFonts w:hint="default"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lang w:eastAsia="zh-CN"/>
        </w:rPr>
        <w:t>供应商为自然人的，应提供身份证明原件或复印件的扫描件。</w:t>
      </w:r>
      <w:bookmarkEnd w:id="72"/>
      <w:bookmarkEnd w:id="73"/>
    </w:p>
    <w:p w14:paraId="26D48E9E">
      <w:pPr>
        <w:spacing w:line="500" w:lineRule="exact"/>
        <w:ind w:firstLine="560" w:firstLineChars="200"/>
        <w:rPr>
          <w:rFonts w:hint="default" w:ascii="Times New Roman" w:hAnsi="Times New Roman" w:eastAsia="仿宋_GB2312" w:cs="Times New Roman"/>
          <w:color w:val="auto"/>
          <w:sz w:val="28"/>
          <w:szCs w:val="28"/>
          <w:lang w:val="en-US" w:eastAsia="zh-CN"/>
        </w:rPr>
      </w:pPr>
      <w:bookmarkStart w:id="74" w:name="_Toc781251951_WPSOffice_Level3"/>
      <w:bookmarkStart w:id="75" w:name="_Toc1215272460_WPSOffice_Level3"/>
      <w:r>
        <w:rPr>
          <w:rFonts w:hint="default"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eastAsia="zh-CN"/>
        </w:rPr>
        <w:t>联合体磋商应提供联合体各方满足以上要求的证明文件。</w:t>
      </w:r>
      <w:bookmarkEnd w:id="74"/>
      <w:bookmarkEnd w:id="75"/>
    </w:p>
    <w:p w14:paraId="4370197E">
      <w:pPr>
        <w:pStyle w:val="168"/>
        <w:tabs>
          <w:tab w:val="left" w:pos="5580"/>
        </w:tabs>
        <w:spacing w:line="360" w:lineRule="auto"/>
        <w:rPr>
          <w:rFonts w:ascii="Times New Roman" w:hAnsi="Times New Roman" w:eastAsia="仿宋_GB2312" w:cs="Times New Roman"/>
          <w:color w:val="auto"/>
          <w:sz w:val="28"/>
          <w:szCs w:val="28"/>
        </w:rPr>
      </w:pPr>
    </w:p>
    <w:p w14:paraId="3E8EC54C">
      <w:pPr>
        <w:jc w:val="left"/>
        <w:rPr>
          <w:rFonts w:hint="default" w:ascii="Times New Roman" w:hAnsi="Times New Roman" w:eastAsia="宋体" w:cs="Times New Roman"/>
          <w:color w:val="auto"/>
          <w:sz w:val="28"/>
          <w:szCs w:val="28"/>
          <w:lang w:eastAsia="zh-CN"/>
        </w:rPr>
      </w:pPr>
      <w:r>
        <w:rPr>
          <w:rFonts w:hint="default" w:ascii="Times New Roman" w:hAnsi="Times New Roman" w:eastAsia="宋体" w:cs="Times New Roman"/>
          <w:color w:val="auto"/>
          <w:sz w:val="28"/>
          <w:szCs w:val="28"/>
          <w:lang w:eastAsia="zh-CN"/>
        </w:rPr>
        <w:br w:type="page"/>
      </w:r>
      <w:bookmarkStart w:id="76" w:name="_Toc1319467764"/>
      <w:bookmarkStart w:id="77" w:name="_Toc1557063548"/>
      <w:bookmarkStart w:id="78" w:name="_Toc1215314597"/>
      <w:bookmarkStart w:id="79" w:name="_Toc456633459_WPSOffice_Level3"/>
      <w:bookmarkStart w:id="80" w:name="_Toc868984799"/>
    </w:p>
    <w:p w14:paraId="0633DC3D">
      <w:pPr>
        <w:spacing w:line="500" w:lineRule="exact"/>
        <w:ind w:firstLine="600" w:firstLineChars="200"/>
        <w:jc w:val="center"/>
        <w:outlineLvl w:val="1"/>
        <w:rPr>
          <w:rFonts w:hint="default" w:ascii="微软雅黑" w:hAnsi="Times New Roman" w:eastAsia="微软雅黑" w:cs="Times New Roman"/>
          <w:bCs/>
          <w:color w:val="auto"/>
          <w:sz w:val="30"/>
          <w:szCs w:val="30"/>
          <w:lang w:val="en-US" w:eastAsia="zh-CN"/>
        </w:rPr>
      </w:pPr>
      <w:bookmarkStart w:id="81" w:name="_Toc1494493586"/>
      <w:bookmarkStart w:id="82" w:name="_Toc574791252"/>
      <w:bookmarkStart w:id="83" w:name="_Toc1521751422"/>
      <w:bookmarkStart w:id="84" w:name="_Toc937091873"/>
      <w:bookmarkStart w:id="85" w:name="_Toc86417259"/>
      <w:r>
        <w:rPr>
          <w:rFonts w:hint="default" w:ascii="微软雅黑" w:hAnsi="Times New Roman" w:eastAsia="微软雅黑" w:cs="Times New Roman"/>
          <w:bCs/>
          <w:color w:val="auto"/>
          <w:sz w:val="30"/>
          <w:szCs w:val="30"/>
          <w:lang w:val="en-US" w:eastAsia="zh-CN"/>
        </w:rPr>
        <w:t>二、具有良好的商业信誉和健全的财务会计制度</w:t>
      </w:r>
      <w:bookmarkEnd w:id="76"/>
      <w:bookmarkEnd w:id="77"/>
      <w:bookmarkEnd w:id="78"/>
      <w:bookmarkEnd w:id="79"/>
      <w:bookmarkEnd w:id="80"/>
      <w:bookmarkEnd w:id="81"/>
      <w:bookmarkEnd w:id="82"/>
      <w:bookmarkEnd w:id="83"/>
      <w:bookmarkEnd w:id="84"/>
      <w:bookmarkEnd w:id="85"/>
    </w:p>
    <w:p w14:paraId="0E94CBA8">
      <w:pPr>
        <w:spacing w:line="360" w:lineRule="auto"/>
        <w:jc w:val="center"/>
        <w:rPr>
          <w:rFonts w:hint="default" w:ascii="Times New Roman" w:hAnsi="Times New Roman" w:eastAsia="宋体" w:cs="Times New Roman"/>
          <w:color w:val="auto"/>
          <w:sz w:val="28"/>
          <w:szCs w:val="28"/>
          <w:lang w:eastAsia="zh-CN"/>
        </w:rPr>
      </w:pPr>
    </w:p>
    <w:p w14:paraId="7D55A80C">
      <w:pPr>
        <w:rPr>
          <w:rFonts w:hint="default" w:ascii="Times New Roman" w:hAnsi="Times New Roman" w:cs="Times New Roman"/>
          <w:color w:val="auto"/>
          <w:lang w:eastAsia="zh-CN"/>
        </w:rPr>
      </w:pPr>
    </w:p>
    <w:p w14:paraId="5A1CC127">
      <w:pPr>
        <w:tabs>
          <w:tab w:val="left" w:pos="5580"/>
        </w:tabs>
        <w:spacing w:line="360" w:lineRule="auto"/>
        <w:ind w:left="1080" w:hanging="540"/>
        <w:jc w:val="center"/>
        <w:rPr>
          <w:rFonts w:hint="default" w:ascii="Times New Roman" w:hAnsi="Times New Roman" w:eastAsia="宋体" w:cs="Times New Roman"/>
          <w:b/>
          <w:bCs/>
          <w:color w:val="auto"/>
          <w:sz w:val="24"/>
          <w:szCs w:val="24"/>
          <w:lang w:val="en-US" w:eastAsia="zh-CN"/>
        </w:rPr>
      </w:pPr>
    </w:p>
    <w:p w14:paraId="1C2AEB7B">
      <w:pPr>
        <w:tabs>
          <w:tab w:val="left" w:pos="3060"/>
          <w:tab w:val="left" w:pos="5580"/>
        </w:tabs>
        <w:spacing w:line="360" w:lineRule="auto"/>
        <w:ind w:left="1080" w:hanging="540"/>
        <w:rPr>
          <w:rFonts w:hint="default" w:ascii="Times New Roman" w:hAnsi="Times New Roman" w:eastAsia="宋体" w:cs="Times New Roman"/>
          <w:b/>
          <w:bCs/>
          <w:color w:val="auto"/>
          <w:sz w:val="24"/>
          <w:szCs w:val="24"/>
          <w:lang w:val="en-US" w:eastAsia="zh-CN"/>
        </w:rPr>
      </w:pPr>
    </w:p>
    <w:p w14:paraId="3598A041">
      <w:pPr>
        <w:tabs>
          <w:tab w:val="left" w:pos="5580"/>
        </w:tabs>
        <w:spacing w:line="360" w:lineRule="auto"/>
        <w:ind w:left="1080" w:hanging="540"/>
        <w:jc w:val="center"/>
        <w:rPr>
          <w:rFonts w:hint="default" w:ascii="Times New Roman" w:hAnsi="Times New Roman" w:eastAsia="宋体" w:cs="Times New Roman"/>
          <w:b/>
          <w:bCs/>
          <w:color w:val="auto"/>
          <w:sz w:val="24"/>
          <w:szCs w:val="24"/>
          <w:lang w:val="en-US" w:eastAsia="zh-CN"/>
        </w:rPr>
      </w:pPr>
    </w:p>
    <w:p w14:paraId="3B48BDE6">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说明：</w:t>
      </w:r>
    </w:p>
    <w:p w14:paraId="70A9E3B0">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1.提供供应商</w:t>
      </w:r>
      <w:r>
        <w:rPr>
          <w:rFonts w:ascii="Times New Roman" w:hAnsi="Times New Roman" w:eastAsia="仿宋_GB2312" w:cs="Times New Roman"/>
          <w:color w:val="auto"/>
          <w:sz w:val="28"/>
          <w:szCs w:val="28"/>
          <w:lang w:val="en-US" w:eastAsia="zh-CN"/>
        </w:rPr>
        <w:t>2025</w:t>
      </w:r>
      <w:r>
        <w:rPr>
          <w:rFonts w:hint="default" w:ascii="Times New Roman" w:hAnsi="Times New Roman" w:eastAsia="仿宋_GB2312" w:cs="Times New Roman"/>
          <w:color w:val="auto"/>
          <w:sz w:val="28"/>
          <w:szCs w:val="28"/>
          <w:lang w:val="en-US" w:eastAsia="zh-CN"/>
        </w:rPr>
        <w:t>年度财务审计报告，要求注册会计师签字并加盖会计师印章；截止到响应文件开启时间，供应商成立时间不足</w:t>
      </w:r>
      <w:r>
        <w:rPr>
          <w:rFonts w:ascii="Times New Roman" w:hAnsi="Times New Roman" w:eastAsia="仿宋_GB2312" w:cs="Times New Roman"/>
          <w:color w:val="auto"/>
          <w:sz w:val="28"/>
          <w:szCs w:val="28"/>
          <w:lang w:val="en-US" w:eastAsia="zh-CN"/>
        </w:rPr>
        <w:t>1年</w:t>
      </w:r>
      <w:r>
        <w:rPr>
          <w:rFonts w:hint="default" w:ascii="Times New Roman" w:hAnsi="Times New Roman" w:eastAsia="仿宋_GB2312" w:cs="Times New Roman"/>
          <w:color w:val="auto"/>
          <w:sz w:val="28"/>
          <w:szCs w:val="28"/>
          <w:lang w:val="en-US" w:eastAsia="zh-CN"/>
        </w:rPr>
        <w:t>的，可提供银行资信证明材料。</w:t>
      </w:r>
    </w:p>
    <w:p w14:paraId="4090CD8D">
      <w:pPr>
        <w:spacing w:line="500" w:lineRule="exact"/>
        <w:ind w:firstLine="480" w:firstLineChars="200"/>
        <w:jc w:val="center"/>
        <w:outlineLvl w:val="1"/>
        <w:rPr>
          <w:rFonts w:hint="default" w:ascii="微软雅黑" w:hAnsi="Times New Roman" w:eastAsia="微软雅黑" w:cs="Times New Roman"/>
          <w:bCs/>
          <w:color w:val="auto"/>
          <w:sz w:val="30"/>
          <w:szCs w:val="30"/>
          <w:lang w:val="en-US" w:eastAsia="zh-CN"/>
        </w:rPr>
      </w:pPr>
      <w:r>
        <w:rPr>
          <w:rFonts w:hint="default" w:ascii="Times New Roman" w:hAnsi="Times New Roman" w:cs="Times New Roman"/>
          <w:color w:val="auto"/>
          <w:sz w:val="24"/>
          <w:szCs w:val="24"/>
          <w:lang w:eastAsia="zh-CN"/>
        </w:rPr>
        <w:br w:type="page"/>
      </w:r>
      <w:bookmarkStart w:id="86" w:name="_Toc1968479748"/>
      <w:bookmarkStart w:id="87" w:name="_Toc942688044_WPSOffice_Level3"/>
      <w:bookmarkStart w:id="88" w:name="_Toc1125237527"/>
      <w:bookmarkStart w:id="89" w:name="_Toc224741966"/>
      <w:bookmarkStart w:id="90" w:name="_Toc1030212309"/>
      <w:bookmarkStart w:id="91" w:name="_Toc1998858666"/>
      <w:bookmarkStart w:id="92" w:name="_Toc2082821673"/>
      <w:bookmarkStart w:id="93" w:name="_Toc1656782056"/>
      <w:bookmarkStart w:id="94" w:name="_Toc840223094"/>
      <w:bookmarkStart w:id="95" w:name="_Toc436443482"/>
      <w:bookmarkStart w:id="96" w:name="_Toc1079740645"/>
      <w:r>
        <w:rPr>
          <w:rFonts w:ascii="微软雅黑" w:hAnsi="Times New Roman" w:eastAsia="微软雅黑" w:cs="Times New Roman"/>
          <w:bCs/>
          <w:color w:val="auto"/>
          <w:sz w:val="30"/>
          <w:szCs w:val="30"/>
          <w:lang w:val="en-US" w:eastAsia="zh-CN"/>
        </w:rPr>
        <w:t>三</w:t>
      </w:r>
      <w:r>
        <w:rPr>
          <w:rFonts w:hint="default" w:ascii="微软雅黑" w:hAnsi="Times New Roman" w:eastAsia="微软雅黑" w:cs="Times New Roman"/>
          <w:bCs/>
          <w:color w:val="auto"/>
          <w:sz w:val="30"/>
          <w:szCs w:val="30"/>
          <w:lang w:val="en-US" w:eastAsia="zh-CN"/>
        </w:rPr>
        <w:t>、依法</w:t>
      </w:r>
      <w:bookmarkEnd w:id="86"/>
      <w:r>
        <w:rPr>
          <w:rFonts w:hint="default" w:ascii="微软雅黑" w:hAnsi="Times New Roman" w:eastAsia="微软雅黑" w:cs="Times New Roman"/>
          <w:bCs/>
          <w:color w:val="auto"/>
          <w:sz w:val="30"/>
          <w:szCs w:val="30"/>
          <w:lang w:val="en-US" w:eastAsia="zh-CN"/>
        </w:rPr>
        <w:t>缴纳税收和社会保障资金的良好记录</w:t>
      </w:r>
      <w:bookmarkEnd w:id="87"/>
      <w:bookmarkEnd w:id="88"/>
      <w:bookmarkEnd w:id="89"/>
      <w:bookmarkEnd w:id="90"/>
      <w:bookmarkEnd w:id="91"/>
      <w:bookmarkEnd w:id="92"/>
      <w:bookmarkEnd w:id="93"/>
      <w:bookmarkEnd w:id="94"/>
      <w:bookmarkEnd w:id="95"/>
      <w:bookmarkEnd w:id="96"/>
    </w:p>
    <w:p w14:paraId="0E2A6262">
      <w:pPr>
        <w:pStyle w:val="168"/>
        <w:tabs>
          <w:tab w:val="left" w:pos="5580"/>
        </w:tabs>
        <w:spacing w:line="360" w:lineRule="auto"/>
        <w:ind w:left="1080" w:hanging="540"/>
        <w:jc w:val="center"/>
        <w:rPr>
          <w:rFonts w:ascii="Times New Roman" w:hAnsi="Times New Roman" w:cs="Times New Roman"/>
          <w:b/>
          <w:bCs/>
          <w:color w:val="auto"/>
          <w:sz w:val="24"/>
          <w:szCs w:val="24"/>
        </w:rPr>
      </w:pPr>
    </w:p>
    <w:p w14:paraId="0B0CFA02">
      <w:pPr>
        <w:pStyle w:val="168"/>
        <w:tabs>
          <w:tab w:val="left" w:pos="5580"/>
        </w:tabs>
        <w:spacing w:line="360" w:lineRule="auto"/>
        <w:ind w:left="840"/>
        <w:rPr>
          <w:rFonts w:ascii="Times New Roman" w:hAnsi="Times New Roman" w:cs="Times New Roman"/>
          <w:b/>
          <w:bCs/>
          <w:color w:val="auto"/>
          <w:sz w:val="24"/>
          <w:szCs w:val="24"/>
        </w:rPr>
      </w:pPr>
    </w:p>
    <w:p w14:paraId="0BDFDF3E">
      <w:pPr>
        <w:spacing w:line="50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说明：</w:t>
      </w:r>
    </w:p>
    <w:p w14:paraId="26841010">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  1.供应商提供自202</w:t>
      </w:r>
      <w:r>
        <w:rPr>
          <w:rFonts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lang w:val="en-US" w:eastAsia="zh-CN"/>
        </w:rPr>
        <w:t>年1月1日以来至少一个月的纳税证明和社保缴纳证明，依法免税或不需要缴纳社会保障资金的，应提供相应文件证明其依法免税或不需要缴纳。</w:t>
      </w:r>
    </w:p>
    <w:p w14:paraId="3368F4AE">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  2.如果是联合体磋商，联合体各方均需提供相关材料。</w:t>
      </w:r>
    </w:p>
    <w:p w14:paraId="5C7F79E5">
      <w:pPr>
        <w:spacing w:line="360" w:lineRule="auto"/>
        <w:jc w:val="center"/>
        <w:rPr>
          <w:rFonts w:hint="default" w:ascii="Times New Roman" w:hAnsi="Times New Roman" w:eastAsia="方正小标宋_GBK"/>
          <w:color w:val="auto"/>
          <w:sz w:val="30"/>
          <w:szCs w:val="30"/>
          <w:lang w:val="en-US" w:eastAsia="zh-CN"/>
        </w:rPr>
      </w:pPr>
      <w:r>
        <w:rPr>
          <w:rFonts w:ascii="Times New Roman" w:hAnsi="Times New Roman" w:eastAsia="方正小标宋_GBK"/>
          <w:color w:val="auto"/>
          <w:sz w:val="30"/>
          <w:szCs w:val="30"/>
          <w:lang w:val="en-US" w:eastAsia="zh-CN"/>
        </w:rPr>
        <w:br w:type="page"/>
      </w:r>
    </w:p>
    <w:p w14:paraId="2174395C">
      <w:pPr>
        <w:spacing w:line="500" w:lineRule="exact"/>
        <w:ind w:firstLine="600" w:firstLineChars="200"/>
        <w:jc w:val="center"/>
        <w:outlineLvl w:val="1"/>
        <w:rPr>
          <w:rFonts w:hint="default" w:ascii="微软雅黑" w:hAnsi="Times New Roman" w:eastAsia="微软雅黑" w:cs="Times New Roman"/>
          <w:bCs/>
          <w:color w:val="auto"/>
          <w:sz w:val="30"/>
          <w:szCs w:val="30"/>
          <w:lang w:val="en-US" w:eastAsia="zh-CN"/>
        </w:rPr>
      </w:pPr>
      <w:r>
        <w:rPr>
          <w:rFonts w:ascii="微软雅黑" w:hAnsi="Times New Roman" w:eastAsia="微软雅黑" w:cs="Times New Roman"/>
          <w:bCs/>
          <w:color w:val="auto"/>
          <w:sz w:val="30"/>
          <w:szCs w:val="30"/>
          <w:lang w:val="en-US" w:eastAsia="zh-CN"/>
        </w:rPr>
        <w:t>四</w:t>
      </w:r>
      <w:r>
        <w:rPr>
          <w:rFonts w:hint="default" w:ascii="微软雅黑" w:hAnsi="Times New Roman" w:eastAsia="微软雅黑" w:cs="Times New Roman"/>
          <w:bCs/>
          <w:color w:val="auto"/>
          <w:sz w:val="30"/>
          <w:szCs w:val="30"/>
          <w:lang w:val="en-US" w:eastAsia="zh-CN"/>
        </w:rPr>
        <w:t>、具有履行合同所必需的设备和专业技术能力</w:t>
      </w:r>
    </w:p>
    <w:p w14:paraId="5C75F738">
      <w:pPr>
        <w:tabs>
          <w:tab w:val="left" w:pos="6300"/>
        </w:tabs>
        <w:snapToGrid w:val="0"/>
        <w:spacing w:line="360" w:lineRule="auto"/>
        <w:jc w:val="left"/>
        <w:rPr>
          <w:rFonts w:hint="default" w:ascii="Times New Roman" w:hAnsi="Times New Roman" w:eastAsia="仿宋_GB2312" w:cs="Times New Roman"/>
          <w:color w:val="auto"/>
          <w:sz w:val="28"/>
          <w:szCs w:val="28"/>
          <w:lang w:val="en-US" w:eastAsia="zh-CN"/>
        </w:rPr>
      </w:pPr>
    </w:p>
    <w:p w14:paraId="02C938DF">
      <w:pPr>
        <w:tabs>
          <w:tab w:val="left" w:pos="6300"/>
        </w:tabs>
        <w:snapToGrid w:val="0"/>
        <w:spacing w:line="360" w:lineRule="auto"/>
        <w:jc w:val="left"/>
        <w:rPr>
          <w:rFonts w:hint="default" w:ascii="Times New Roman" w:hAnsi="Times New Roman" w:eastAsia="仿宋_GB2312" w:cs="Times New Roman"/>
          <w:color w:val="auto"/>
          <w:sz w:val="28"/>
          <w:szCs w:val="28"/>
          <w:u w:val="single"/>
          <w:lang w:val="en-US" w:eastAsia="zh-CN"/>
        </w:rPr>
      </w:pPr>
      <w:r>
        <w:rPr>
          <w:rFonts w:hint="default" w:ascii="Times New Roman" w:hAnsi="Times New Roman" w:eastAsia="仿宋_GB2312" w:cs="Times New Roman"/>
          <w:color w:val="auto"/>
          <w:sz w:val="28"/>
          <w:szCs w:val="28"/>
          <w:lang w:val="en-US" w:eastAsia="zh-CN"/>
        </w:rPr>
        <w:t>致：</w:t>
      </w:r>
      <w:r>
        <w:rPr>
          <w:rFonts w:ascii="Times New Roman" w:hAnsi="Times New Roman" w:eastAsia="仿宋_GB2312" w:cs="Times New Roman"/>
          <w:color w:val="auto"/>
          <w:sz w:val="28"/>
          <w:szCs w:val="28"/>
          <w:u w:val="single"/>
          <w:lang w:val="en" w:eastAsia="zh-CN"/>
        </w:rPr>
        <w:t>郑州铁路职业技术学院</w:t>
      </w:r>
      <w:r>
        <w:rPr>
          <w:rFonts w:hint="default" w:ascii="Times New Roman" w:hAnsi="Times New Roman" w:eastAsia="仿宋_GB2312" w:cs="Times New Roman"/>
          <w:color w:val="auto"/>
          <w:sz w:val="28"/>
          <w:szCs w:val="28"/>
          <w:u w:val="single"/>
          <w:lang w:val="en-US" w:eastAsia="zh-CN"/>
        </w:rPr>
        <w:t xml:space="preserve"> </w:t>
      </w:r>
    </w:p>
    <w:p w14:paraId="7C976A32">
      <w:pPr>
        <w:spacing w:line="50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我（单位/本人，以下统称我单位）自愿参加采购项目编号为</w:t>
      </w:r>
      <w:r>
        <w:rPr>
          <w:rFonts w:hint="default" w:ascii="Times New Roman" w:hAnsi="Times New Roman" w:eastAsia="仿宋_GB2312" w:cs="Times New Roman"/>
          <w:color w:val="auto"/>
          <w:sz w:val="28"/>
          <w:szCs w:val="28"/>
          <w:u w:val="single"/>
          <w:lang w:val="en-US" w:eastAsia="zh-CN"/>
        </w:rPr>
        <w:t xml:space="preserve"> </w:t>
      </w:r>
      <w:r>
        <w:rPr>
          <w:rFonts w:ascii="Times New Roman" w:hAnsi="Times New Roman" w:eastAsia="仿宋_GB2312" w:cs="Times New Roman"/>
          <w:color w:val="auto"/>
          <w:sz w:val="28"/>
          <w:szCs w:val="28"/>
          <w:u w:val="single"/>
          <w:lang w:val="en-US" w:eastAsia="zh-CN"/>
        </w:rPr>
        <w:t>豫财磋商采购-2026-853</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val="en-US" w:eastAsia="zh-CN"/>
        </w:rPr>
        <w:t>的</w:t>
      </w:r>
      <w:r>
        <w:rPr>
          <w:rFonts w:ascii="Times New Roman" w:hAnsi="Times New Roman" w:eastAsia="仿宋_GB2312" w:cs="Times New Roman"/>
          <w:color w:val="auto"/>
          <w:sz w:val="28"/>
          <w:szCs w:val="28"/>
          <w:u w:val="single"/>
          <w:lang w:val="en" w:eastAsia="zh-CN"/>
        </w:rPr>
        <w:t>郑州铁路职业技术学院工科基础实训室项目</w:t>
      </w:r>
      <w:r>
        <w:rPr>
          <w:rFonts w:hint="default" w:ascii="Times New Roman" w:hAnsi="Times New Roman" w:eastAsia="仿宋_GB2312" w:cs="Times New Roman"/>
          <w:color w:val="auto"/>
          <w:sz w:val="28"/>
          <w:szCs w:val="28"/>
          <w:lang w:val="en-US" w:eastAsia="zh-CN"/>
        </w:rPr>
        <w:t>的磋商响应,并做出如下承诺：</w:t>
      </w:r>
    </w:p>
    <w:p w14:paraId="57D2004B">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我方具有履行合同所必需的设备和专业技术能力。</w:t>
      </w:r>
    </w:p>
    <w:p w14:paraId="2E621F07">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我方保证上述信息的真实和准确，并愿意承担因我方就此弄虚作假所引起的一切法律后果。</w:t>
      </w:r>
    </w:p>
    <w:p w14:paraId="054D2AF6">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特此声明！</w:t>
      </w:r>
    </w:p>
    <w:p w14:paraId="7C75C38E">
      <w:pPr>
        <w:spacing w:line="360" w:lineRule="exact"/>
        <w:ind w:firstLine="3640" w:firstLineChars="1300"/>
        <w:rPr>
          <w:rFonts w:hint="default" w:ascii="Times New Roman" w:hAnsi="Times New Roman" w:eastAsia="仿宋_GB2312" w:cs="Times New Roman"/>
          <w:color w:val="auto"/>
          <w:sz w:val="28"/>
          <w:szCs w:val="28"/>
          <w:lang w:eastAsia="zh-CN"/>
        </w:rPr>
      </w:pPr>
    </w:p>
    <w:p w14:paraId="4CDC1486">
      <w:pPr>
        <w:spacing w:line="500" w:lineRule="exact"/>
        <w:ind w:firstLine="2800" w:firstLineChars="10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供应商（企业电子签章）：</w:t>
      </w:r>
    </w:p>
    <w:p w14:paraId="320C2EEC">
      <w:pPr>
        <w:spacing w:line="500" w:lineRule="exact"/>
        <w:ind w:firstLine="2800" w:firstLineChars="1000"/>
        <w:rPr>
          <w:rFonts w:hint="default" w:ascii="Times New Roman" w:hAnsi="Times New Roman" w:eastAsia="仿宋_GB2312" w:cs="Times New Roman"/>
          <w:color w:val="auto"/>
          <w:sz w:val="28"/>
          <w:szCs w:val="28"/>
          <w:lang w:val="en-US" w:eastAsia="zh-CN"/>
        </w:rPr>
      </w:pPr>
    </w:p>
    <w:p w14:paraId="1870F033">
      <w:pPr>
        <w:spacing w:line="500" w:lineRule="exact"/>
        <w:ind w:firstLine="2800" w:firstLineChars="10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   日期：</w:t>
      </w:r>
      <w:r>
        <w:rPr>
          <w:rFonts w:hint="default" w:ascii="Times New Roman" w:hAnsi="Times New Roman" w:eastAsia="仿宋_GB2312" w:cs="Times New Roman"/>
          <w:color w:val="auto"/>
          <w:sz w:val="28"/>
          <w:szCs w:val="28"/>
          <w:u w:val="single"/>
          <w:lang w:val="en" w:eastAsia="zh-CN"/>
        </w:rPr>
        <w:t xml:space="preserve">     </w:t>
      </w:r>
      <w:r>
        <w:rPr>
          <w:rFonts w:hint="default" w:ascii="Times New Roman" w:hAnsi="Times New Roman" w:eastAsia="仿宋_GB2312" w:cs="Times New Roman"/>
          <w:color w:val="auto"/>
          <w:sz w:val="28"/>
          <w:szCs w:val="28"/>
          <w:lang w:val="en" w:eastAsia="zh-CN"/>
        </w:rPr>
        <w:t xml:space="preserve"> </w:t>
      </w:r>
      <w:r>
        <w:rPr>
          <w:rFonts w:hint="default" w:ascii="Times New Roman" w:hAnsi="Times New Roman" w:eastAsia="仿宋_GB2312" w:cs="Times New Roman"/>
          <w:color w:val="auto"/>
          <w:sz w:val="28"/>
          <w:szCs w:val="28"/>
          <w:lang w:val="en-US" w:eastAsia="zh-CN"/>
        </w:rPr>
        <w:t>年</w:t>
      </w:r>
      <w:r>
        <w:rPr>
          <w:rFonts w:hint="default" w:ascii="Times New Roman" w:hAnsi="Times New Roman" w:eastAsia="仿宋_GB2312" w:cs="Times New Roman"/>
          <w:color w:val="auto"/>
          <w:sz w:val="28"/>
          <w:szCs w:val="28"/>
          <w:u w:val="single"/>
          <w:lang w:val="en" w:eastAsia="zh-CN"/>
        </w:rPr>
        <w:t xml:space="preserve">   </w:t>
      </w:r>
      <w:r>
        <w:rPr>
          <w:rFonts w:hint="default" w:ascii="Times New Roman" w:hAnsi="Times New Roman" w:eastAsia="仿宋_GB2312" w:cs="Times New Roman"/>
          <w:color w:val="auto"/>
          <w:sz w:val="28"/>
          <w:szCs w:val="28"/>
          <w:lang w:val="en-US" w:eastAsia="zh-CN"/>
        </w:rPr>
        <w:t>月</w:t>
      </w:r>
      <w:r>
        <w:rPr>
          <w:rFonts w:hint="default" w:ascii="Times New Roman" w:hAnsi="Times New Roman" w:eastAsia="仿宋_GB2312" w:cs="Times New Roman"/>
          <w:color w:val="auto"/>
          <w:sz w:val="28"/>
          <w:szCs w:val="28"/>
          <w:u w:val="single"/>
          <w:lang w:val="en" w:eastAsia="zh-CN"/>
        </w:rPr>
        <w:t xml:space="preserve">   </w:t>
      </w:r>
      <w:r>
        <w:rPr>
          <w:rFonts w:hint="default" w:ascii="Times New Roman" w:hAnsi="Times New Roman" w:eastAsia="仿宋_GB2312" w:cs="Times New Roman"/>
          <w:color w:val="auto"/>
          <w:sz w:val="28"/>
          <w:szCs w:val="28"/>
          <w:lang w:val="en-US" w:eastAsia="zh-CN"/>
        </w:rPr>
        <w:t>日</w:t>
      </w:r>
    </w:p>
    <w:p w14:paraId="3FBB8D8C">
      <w:pPr>
        <w:spacing w:line="500" w:lineRule="exact"/>
        <w:ind w:firstLine="560" w:firstLineChars="200"/>
        <w:jc w:val="center"/>
        <w:outlineLvl w:val="1"/>
        <w:rPr>
          <w:rFonts w:hint="default" w:ascii="微软雅黑" w:hAnsi="Times New Roman" w:eastAsia="微软雅黑" w:cs="Times New Roman"/>
          <w:bCs/>
          <w:color w:val="auto"/>
          <w:sz w:val="30"/>
          <w:szCs w:val="30"/>
          <w:lang w:val="en-US" w:eastAsia="zh-CN"/>
        </w:rPr>
      </w:pPr>
      <w:r>
        <w:rPr>
          <w:rFonts w:hint="default" w:ascii="Times New Roman" w:hAnsi="Times New Roman"/>
          <w:color w:val="auto"/>
          <w:sz w:val="28"/>
          <w:szCs w:val="28"/>
          <w:lang w:eastAsia="zh-CN"/>
        </w:rPr>
        <w:br w:type="page"/>
      </w:r>
      <w:bookmarkStart w:id="97" w:name="_Toc2139213640"/>
      <w:bookmarkStart w:id="98" w:name="_Toc1989881438"/>
      <w:bookmarkStart w:id="99" w:name="_Toc2058865505"/>
      <w:bookmarkStart w:id="100" w:name="_Toc1625950936"/>
      <w:bookmarkStart w:id="101" w:name="_Toc1835514155"/>
      <w:bookmarkStart w:id="102" w:name="_Toc897167010_WPSOffice_Level3"/>
      <w:bookmarkStart w:id="103" w:name="_Toc2070828746"/>
      <w:bookmarkStart w:id="104" w:name="_Toc289243999"/>
      <w:bookmarkStart w:id="105" w:name="_Toc288533216"/>
      <w:bookmarkStart w:id="106" w:name="_Toc242026376"/>
      <w:bookmarkStart w:id="107" w:name="_Toc1206650936"/>
      <w:r>
        <w:rPr>
          <w:rFonts w:ascii="微软雅黑" w:hAnsi="Times New Roman" w:eastAsia="微软雅黑" w:cs="Times New Roman"/>
          <w:bCs/>
          <w:color w:val="auto"/>
          <w:sz w:val="30"/>
          <w:szCs w:val="30"/>
          <w:lang w:val="en-US" w:eastAsia="zh-CN"/>
        </w:rPr>
        <w:t>五</w:t>
      </w:r>
      <w:r>
        <w:rPr>
          <w:rFonts w:hint="default" w:ascii="微软雅黑" w:hAnsi="Times New Roman" w:eastAsia="微软雅黑" w:cs="Times New Roman"/>
          <w:bCs/>
          <w:color w:val="auto"/>
          <w:sz w:val="30"/>
          <w:szCs w:val="30"/>
          <w:lang w:val="en-US" w:eastAsia="zh-CN"/>
        </w:rPr>
        <w:t>、参加政府采购活动前3年内在经营活动中没有重大违法记录的</w:t>
      </w:r>
      <w:bookmarkEnd w:id="97"/>
      <w:bookmarkEnd w:id="98"/>
      <w:bookmarkEnd w:id="99"/>
      <w:bookmarkEnd w:id="100"/>
      <w:bookmarkEnd w:id="101"/>
      <w:bookmarkEnd w:id="102"/>
      <w:r>
        <w:rPr>
          <w:rFonts w:hint="default" w:ascii="微软雅黑" w:hAnsi="Times New Roman" w:eastAsia="微软雅黑" w:cs="Times New Roman"/>
          <w:bCs/>
          <w:color w:val="auto"/>
          <w:sz w:val="30"/>
          <w:szCs w:val="30"/>
          <w:lang w:val="en-US" w:eastAsia="zh-CN"/>
        </w:rPr>
        <w:t>声明</w:t>
      </w:r>
      <w:bookmarkEnd w:id="103"/>
      <w:bookmarkEnd w:id="104"/>
      <w:bookmarkEnd w:id="105"/>
      <w:bookmarkEnd w:id="106"/>
      <w:bookmarkEnd w:id="107"/>
    </w:p>
    <w:p w14:paraId="13D39C69">
      <w:pPr>
        <w:tabs>
          <w:tab w:val="left" w:pos="6300"/>
        </w:tabs>
        <w:snapToGrid w:val="0"/>
        <w:spacing w:line="360" w:lineRule="auto"/>
        <w:jc w:val="left"/>
        <w:rPr>
          <w:rFonts w:hint="default" w:ascii="Times New Roman" w:hAnsi="Times New Roman" w:eastAsia="仿宋_GB2312" w:cs="Times New Roman"/>
          <w:color w:val="auto"/>
          <w:sz w:val="28"/>
          <w:szCs w:val="28"/>
          <w:lang w:val="en-US" w:eastAsia="zh-CN"/>
        </w:rPr>
      </w:pPr>
      <w:bookmarkStart w:id="108" w:name="_Hlk103703179"/>
    </w:p>
    <w:p w14:paraId="19321678">
      <w:pPr>
        <w:tabs>
          <w:tab w:val="left" w:pos="6300"/>
        </w:tabs>
        <w:snapToGrid w:val="0"/>
        <w:spacing w:line="360" w:lineRule="auto"/>
        <w:jc w:val="left"/>
        <w:rPr>
          <w:rFonts w:hint="default" w:ascii="Times New Roman" w:hAnsi="Times New Roman" w:eastAsia="仿宋_GB2312" w:cs="Times New Roman"/>
          <w:color w:val="auto"/>
          <w:sz w:val="28"/>
          <w:szCs w:val="28"/>
          <w:u w:val="single"/>
          <w:lang w:val="en-US" w:eastAsia="zh-CN"/>
        </w:rPr>
      </w:pPr>
      <w:r>
        <w:rPr>
          <w:rFonts w:hint="default" w:ascii="Times New Roman" w:hAnsi="Times New Roman" w:eastAsia="仿宋_GB2312" w:cs="Times New Roman"/>
          <w:color w:val="auto"/>
          <w:sz w:val="28"/>
          <w:szCs w:val="28"/>
          <w:lang w:val="en-US" w:eastAsia="zh-CN"/>
        </w:rPr>
        <w:t>致：</w:t>
      </w:r>
      <w:r>
        <w:rPr>
          <w:rFonts w:ascii="Times New Roman" w:hAnsi="Times New Roman" w:eastAsia="仿宋_GB2312" w:cs="Times New Roman"/>
          <w:color w:val="auto"/>
          <w:sz w:val="28"/>
          <w:szCs w:val="28"/>
          <w:u w:val="single"/>
          <w:lang w:val="en" w:eastAsia="zh-CN"/>
        </w:rPr>
        <w:t>郑州铁路职业技术学院</w:t>
      </w:r>
      <w:r>
        <w:rPr>
          <w:rFonts w:hint="default" w:ascii="Times New Roman" w:hAnsi="Times New Roman" w:eastAsia="仿宋_GB2312" w:cs="Times New Roman"/>
          <w:color w:val="auto"/>
          <w:sz w:val="28"/>
          <w:szCs w:val="28"/>
          <w:u w:val="single"/>
          <w:lang w:val="en-US" w:eastAsia="zh-CN"/>
        </w:rPr>
        <w:t xml:space="preserve"> </w:t>
      </w:r>
    </w:p>
    <w:p w14:paraId="3194AE92">
      <w:pPr>
        <w:spacing w:line="50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我（单位/本人，以下统称我单位）自愿参加采购项目编号为</w:t>
      </w:r>
      <w:r>
        <w:rPr>
          <w:rFonts w:hint="default" w:ascii="Times New Roman" w:hAnsi="Times New Roman" w:eastAsia="仿宋_GB2312" w:cs="Times New Roman"/>
          <w:color w:val="auto"/>
          <w:sz w:val="28"/>
          <w:szCs w:val="28"/>
          <w:u w:val="single"/>
          <w:lang w:val="en-US" w:eastAsia="zh-CN"/>
        </w:rPr>
        <w:t xml:space="preserve"> </w:t>
      </w:r>
      <w:r>
        <w:rPr>
          <w:rFonts w:ascii="Times New Roman" w:hAnsi="Times New Roman" w:eastAsia="仿宋_GB2312" w:cs="Times New Roman"/>
          <w:color w:val="auto"/>
          <w:sz w:val="28"/>
          <w:szCs w:val="28"/>
          <w:u w:val="single"/>
          <w:lang w:val="en-US" w:eastAsia="zh-CN"/>
        </w:rPr>
        <w:t>豫财磋商采购-2026-853</w:t>
      </w:r>
      <w:r>
        <w:rPr>
          <w:rFonts w:hint="default" w:ascii="Times New Roman" w:hAnsi="Times New Roman" w:eastAsia="仿宋_GB2312" w:cs="Times New Roman"/>
          <w:color w:val="auto"/>
          <w:sz w:val="28"/>
          <w:szCs w:val="28"/>
          <w:lang w:val="en-US" w:eastAsia="zh-CN"/>
        </w:rPr>
        <w:t>的</w:t>
      </w:r>
      <w:r>
        <w:rPr>
          <w:rFonts w:ascii="Times New Roman" w:hAnsi="Times New Roman" w:eastAsia="仿宋_GB2312" w:cs="Times New Roman"/>
          <w:color w:val="auto"/>
          <w:sz w:val="28"/>
          <w:szCs w:val="28"/>
          <w:u w:val="single"/>
          <w:lang w:val="en" w:eastAsia="zh-CN"/>
        </w:rPr>
        <w:t>郑州铁路职业技术学院工科基础实训室项目</w:t>
      </w:r>
      <w:r>
        <w:rPr>
          <w:rFonts w:hint="default" w:ascii="Times New Roman" w:hAnsi="Times New Roman" w:eastAsia="仿宋_GB2312" w:cs="Times New Roman"/>
          <w:color w:val="auto"/>
          <w:sz w:val="28"/>
          <w:szCs w:val="28"/>
          <w:lang w:val="en-US" w:eastAsia="zh-CN"/>
        </w:rPr>
        <w:t>的磋商响应,并做出如下承诺：</w:t>
      </w:r>
    </w:p>
    <w:bookmarkEnd w:id="108"/>
    <w:p w14:paraId="2FF9DAA0">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我公司信誉良好，参加政府采购活动前3年内，在经营活动中没有重大违法记录。在“信用中国”网站（www.creditchina.gov.cn）未被列入失信被执行人、重大税收违法案件当事人名单；在 “中国政府采购网” （www.ccgp.gov.cn）未被列入政府采购严重违法失信行为记录名单。</w:t>
      </w:r>
    </w:p>
    <w:p w14:paraId="1F44FFD2">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我方保证上述信息的真实和准确，并愿意承担因我方就此弄虚作假所引起的一切法律后果。</w:t>
      </w:r>
    </w:p>
    <w:p w14:paraId="3516F102">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特此声明！</w:t>
      </w:r>
    </w:p>
    <w:p w14:paraId="4C28ABC6">
      <w:pPr>
        <w:tabs>
          <w:tab w:val="left" w:pos="6300"/>
        </w:tabs>
        <w:snapToGrid w:val="0"/>
        <w:spacing w:line="360" w:lineRule="auto"/>
        <w:ind w:firstLine="277" w:firstLineChars="99"/>
        <w:rPr>
          <w:rFonts w:hint="default" w:ascii="Times New Roman" w:hAnsi="Times New Roman" w:eastAsia="仿宋_GB2312" w:cs="Times New Roman"/>
          <w:color w:val="auto"/>
          <w:sz w:val="28"/>
          <w:szCs w:val="28"/>
          <w:lang w:eastAsia="zh-CN"/>
        </w:rPr>
      </w:pPr>
    </w:p>
    <w:p w14:paraId="4F52A0CC">
      <w:pPr>
        <w:spacing w:line="500" w:lineRule="exact"/>
        <w:ind w:firstLine="3640" w:firstLineChars="13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供应商（企业电子签章）：</w:t>
      </w:r>
    </w:p>
    <w:p w14:paraId="2FEF9218">
      <w:pPr>
        <w:spacing w:line="360" w:lineRule="auto"/>
        <w:rPr>
          <w:rFonts w:hint="default" w:ascii="Times New Roman" w:hAnsi="Times New Roman" w:eastAsia="仿宋_GB2312" w:cs="Times New Roman"/>
          <w:color w:val="auto"/>
          <w:sz w:val="28"/>
          <w:szCs w:val="28"/>
          <w:lang w:eastAsia="zh-CN"/>
        </w:rPr>
      </w:pPr>
    </w:p>
    <w:p w14:paraId="14C47059">
      <w:pPr>
        <w:tabs>
          <w:tab w:val="left" w:pos="6300"/>
        </w:tabs>
        <w:snapToGrid w:val="0"/>
        <w:spacing w:line="360" w:lineRule="auto"/>
        <w:ind w:firstLine="277" w:firstLineChars="99"/>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              日期：</w:t>
      </w:r>
      <w:r>
        <w:rPr>
          <w:rFonts w:hint="default" w:ascii="Times New Roman" w:hAnsi="Times New Roman" w:eastAsia="仿宋_GB2312" w:cs="Times New Roman"/>
          <w:color w:val="auto"/>
          <w:sz w:val="28"/>
          <w:szCs w:val="28"/>
          <w:u w:val="single"/>
          <w:lang w:val="en" w:eastAsia="zh-CN"/>
        </w:rPr>
        <w:t xml:space="preserve">      </w:t>
      </w:r>
      <w:r>
        <w:rPr>
          <w:rFonts w:hint="default" w:ascii="Times New Roman" w:hAnsi="Times New Roman" w:eastAsia="仿宋_GB2312" w:cs="Times New Roman"/>
          <w:color w:val="auto"/>
          <w:sz w:val="28"/>
          <w:szCs w:val="28"/>
          <w:lang w:val="en-US" w:eastAsia="zh-CN"/>
        </w:rPr>
        <w:t>年</w:t>
      </w:r>
      <w:r>
        <w:rPr>
          <w:rFonts w:hint="default" w:ascii="Times New Roman" w:hAnsi="Times New Roman" w:eastAsia="仿宋_GB2312" w:cs="Times New Roman"/>
          <w:color w:val="auto"/>
          <w:sz w:val="28"/>
          <w:szCs w:val="28"/>
          <w:u w:val="single"/>
          <w:lang w:val="en" w:eastAsia="zh-CN"/>
        </w:rPr>
        <w:t xml:space="preserve">   </w:t>
      </w:r>
      <w:r>
        <w:rPr>
          <w:rFonts w:hint="default" w:ascii="Times New Roman" w:hAnsi="Times New Roman" w:eastAsia="仿宋_GB2312" w:cs="Times New Roman"/>
          <w:color w:val="auto"/>
          <w:sz w:val="28"/>
          <w:szCs w:val="28"/>
          <w:lang w:val="en-US" w:eastAsia="zh-CN"/>
        </w:rPr>
        <w:t>月</w:t>
      </w:r>
      <w:r>
        <w:rPr>
          <w:rFonts w:hint="default" w:ascii="Times New Roman" w:hAnsi="Times New Roman" w:eastAsia="仿宋_GB2312" w:cs="Times New Roman"/>
          <w:color w:val="auto"/>
          <w:sz w:val="28"/>
          <w:szCs w:val="28"/>
          <w:u w:val="single"/>
          <w:lang w:val="en" w:eastAsia="zh-CN"/>
        </w:rPr>
        <w:t xml:space="preserve">   </w:t>
      </w:r>
      <w:r>
        <w:rPr>
          <w:rFonts w:hint="default" w:ascii="Times New Roman" w:hAnsi="Times New Roman" w:eastAsia="仿宋_GB2312" w:cs="Times New Roman"/>
          <w:color w:val="auto"/>
          <w:sz w:val="28"/>
          <w:szCs w:val="28"/>
          <w:lang w:val="en-US" w:eastAsia="zh-CN"/>
        </w:rPr>
        <w:t>日</w:t>
      </w:r>
    </w:p>
    <w:p w14:paraId="4F16C0B3">
      <w:pPr>
        <w:pStyle w:val="168"/>
        <w:tabs>
          <w:tab w:val="left" w:pos="5580"/>
        </w:tabs>
        <w:spacing w:line="360" w:lineRule="auto"/>
        <w:rPr>
          <w:rFonts w:ascii="Times New Roman" w:hAnsi="Times New Roman" w:cs="Times New Roman"/>
          <w:color w:val="auto"/>
          <w:sz w:val="24"/>
          <w:szCs w:val="24"/>
        </w:rPr>
      </w:pPr>
    </w:p>
    <w:p w14:paraId="36EB7FF9">
      <w:pPr>
        <w:pStyle w:val="168"/>
        <w:tabs>
          <w:tab w:val="left" w:pos="5580"/>
        </w:tabs>
        <w:spacing w:line="360" w:lineRule="auto"/>
        <w:rPr>
          <w:rFonts w:ascii="Times New Roman" w:hAnsi="Times New Roman" w:eastAsia="仿宋_GB2312" w:cs="Times New Roman"/>
          <w:color w:val="auto"/>
          <w:sz w:val="28"/>
          <w:szCs w:val="28"/>
          <w:lang w:val="zh-TW"/>
        </w:rPr>
      </w:pPr>
      <w:r>
        <w:rPr>
          <w:rFonts w:ascii="Times New Roman" w:hAnsi="Times New Roman" w:eastAsia="仿宋_GB2312" w:cs="Times New Roman"/>
          <w:color w:val="auto"/>
          <w:sz w:val="28"/>
          <w:szCs w:val="28"/>
        </w:rPr>
        <w:t xml:space="preserve">  </w:t>
      </w:r>
      <w:r>
        <w:rPr>
          <w:rFonts w:ascii="Times New Roman" w:hAnsi="Times New Roman" w:eastAsia="仿宋_GB2312" w:cs="Times New Roman"/>
          <w:color w:val="auto"/>
          <w:sz w:val="28"/>
          <w:szCs w:val="28"/>
          <w:lang w:val="zh-TW"/>
        </w:rPr>
        <w:t>说明：</w:t>
      </w:r>
    </w:p>
    <w:p w14:paraId="03995159">
      <w:pPr>
        <w:pStyle w:val="168"/>
        <w:tabs>
          <w:tab w:val="left" w:pos="5580"/>
        </w:tabs>
        <w:spacing w:line="360" w:lineRule="auto"/>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rPr>
        <w:t xml:space="preserve">  1.</w:t>
      </w:r>
      <w:r>
        <w:rPr>
          <w:rFonts w:ascii="Times New Roman" w:hAnsi="Times New Roman" w:eastAsia="仿宋_GB2312" w:cs="Times New Roman"/>
          <w:color w:val="auto"/>
          <w:sz w:val="28"/>
          <w:szCs w:val="28"/>
          <w:lang w:val="zh-TW"/>
        </w:rPr>
        <w:t>供应商应按照相关法规规定如实做出说明。</w:t>
      </w:r>
    </w:p>
    <w:p w14:paraId="2BD2674D">
      <w:pPr>
        <w:pStyle w:val="168"/>
        <w:tabs>
          <w:tab w:val="left" w:pos="5580"/>
        </w:tabs>
        <w:spacing w:line="360" w:lineRule="auto"/>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rPr>
        <w:t xml:space="preserve">  2</w:t>
      </w:r>
      <w:r>
        <w:rPr>
          <w:rFonts w:ascii="Times New Roman" w:hAnsi="Times New Roman" w:eastAsia="仿宋_GB2312" w:cs="Times New Roman"/>
          <w:color w:val="auto"/>
          <w:sz w:val="28"/>
          <w:szCs w:val="28"/>
          <w:lang w:val="zh-TW"/>
        </w:rPr>
        <w:t>．按照</w:t>
      </w:r>
      <w:r>
        <w:rPr>
          <w:rFonts w:ascii="Times New Roman" w:hAnsi="Times New Roman" w:eastAsia="仿宋_GB2312" w:cs="Times New Roman"/>
          <w:color w:val="auto"/>
          <w:sz w:val="28"/>
          <w:szCs w:val="28"/>
          <w:lang w:val="en"/>
        </w:rPr>
        <w:t>竞争性磋商文件</w:t>
      </w:r>
      <w:r>
        <w:rPr>
          <w:rFonts w:ascii="Times New Roman" w:hAnsi="Times New Roman" w:eastAsia="仿宋_GB2312" w:cs="Times New Roman"/>
          <w:color w:val="auto"/>
          <w:sz w:val="28"/>
          <w:szCs w:val="28"/>
          <w:lang w:val="zh-TW"/>
        </w:rPr>
        <w:t>的规定企业电子签章（自然人磋商响应的无需盖章，需要签字）。</w:t>
      </w:r>
    </w:p>
    <w:p w14:paraId="41D1AFA4">
      <w:pPr>
        <w:pStyle w:val="168"/>
        <w:tabs>
          <w:tab w:val="left" w:pos="5580"/>
        </w:tabs>
        <w:spacing w:line="360" w:lineRule="auto"/>
        <w:rPr>
          <w:rFonts w:ascii="Times New Roman" w:hAnsi="Times New Roman" w:eastAsia="仿宋_GB2312" w:cs="Times New Roman"/>
          <w:color w:val="auto"/>
          <w:sz w:val="28"/>
          <w:szCs w:val="28"/>
          <w:lang w:val="zh-TW"/>
        </w:rPr>
      </w:pPr>
      <w:r>
        <w:rPr>
          <w:rFonts w:ascii="Times New Roman" w:hAnsi="Times New Roman" w:eastAsia="仿宋_GB2312" w:cs="Times New Roman"/>
          <w:color w:val="auto"/>
          <w:sz w:val="28"/>
          <w:szCs w:val="28"/>
        </w:rPr>
        <w:t xml:space="preserve">  3.</w:t>
      </w:r>
      <w:r>
        <w:rPr>
          <w:rFonts w:ascii="Times New Roman" w:hAnsi="Times New Roman" w:eastAsia="仿宋_GB2312" w:cs="Times New Roman"/>
          <w:color w:val="auto"/>
          <w:sz w:val="28"/>
          <w:szCs w:val="28"/>
          <w:lang w:val="zh-TW"/>
        </w:rPr>
        <w:t>如果是联合体磋商，联合体各方均需提供上述证明。</w:t>
      </w:r>
    </w:p>
    <w:p w14:paraId="244C0909">
      <w:pPr>
        <w:spacing w:line="360" w:lineRule="auto"/>
        <w:jc w:val="center"/>
        <w:rPr>
          <w:rFonts w:hint="default" w:ascii="Times New Roman" w:hAnsi="Times New Roman" w:eastAsia="方正小标宋_GBK"/>
          <w:color w:val="auto"/>
          <w:sz w:val="30"/>
          <w:szCs w:val="30"/>
          <w:lang w:val="en-US" w:eastAsia="zh-CN"/>
        </w:rPr>
      </w:pPr>
      <w:bookmarkStart w:id="109" w:name="_Toc1614236527"/>
      <w:bookmarkStart w:id="110" w:name="_Toc1360762617"/>
      <w:bookmarkStart w:id="111" w:name="_Toc1971926637"/>
      <w:bookmarkStart w:id="112" w:name="_Toc996756161"/>
      <w:bookmarkStart w:id="113" w:name="_Toc1938095027"/>
      <w:bookmarkStart w:id="114" w:name="_Toc1462517689"/>
      <w:bookmarkStart w:id="115" w:name="_Toc474620139"/>
      <w:bookmarkStart w:id="116" w:name="_Toc1237822054"/>
      <w:bookmarkStart w:id="117" w:name="_Toc2073666225_WPSOffice_Level3"/>
      <w:bookmarkStart w:id="118" w:name="_Toc1267967234"/>
      <w:bookmarkStart w:id="119" w:name="_Toc1412570441"/>
      <w:r>
        <w:rPr>
          <w:rFonts w:hint="default" w:ascii="Times New Roman" w:hAnsi="Times New Roman" w:eastAsia="方正小标宋_GBK"/>
          <w:color w:val="auto"/>
          <w:sz w:val="30"/>
          <w:szCs w:val="30"/>
          <w:lang w:val="en-US" w:eastAsia="zh-CN"/>
        </w:rPr>
        <w:br w:type="page"/>
      </w:r>
    </w:p>
    <w:p w14:paraId="14036BAC">
      <w:pPr>
        <w:spacing w:line="500" w:lineRule="exact"/>
        <w:ind w:firstLine="600" w:firstLineChars="200"/>
        <w:jc w:val="center"/>
        <w:outlineLvl w:val="1"/>
        <w:rPr>
          <w:rFonts w:hint="default" w:ascii="微软雅黑" w:hAnsi="Times New Roman" w:eastAsia="微软雅黑" w:cs="Times New Roman"/>
          <w:bCs/>
          <w:color w:val="auto"/>
          <w:sz w:val="30"/>
          <w:szCs w:val="30"/>
          <w:lang w:val="en-US" w:eastAsia="zh-CN"/>
        </w:rPr>
      </w:pPr>
      <w:r>
        <w:rPr>
          <w:rFonts w:hint="default" w:ascii="微软雅黑" w:hAnsi="Times New Roman" w:eastAsia="微软雅黑" w:cs="Times New Roman"/>
          <w:bCs/>
          <w:color w:val="auto"/>
          <w:sz w:val="30"/>
          <w:szCs w:val="30"/>
          <w:lang w:val="en-US" w:eastAsia="zh-CN"/>
        </w:rPr>
        <w:t>六、其他资格证明文件</w:t>
      </w:r>
      <w:bookmarkEnd w:id="109"/>
      <w:bookmarkEnd w:id="110"/>
      <w:bookmarkEnd w:id="111"/>
      <w:bookmarkEnd w:id="112"/>
      <w:bookmarkEnd w:id="113"/>
      <w:bookmarkEnd w:id="114"/>
      <w:bookmarkEnd w:id="115"/>
      <w:bookmarkEnd w:id="116"/>
      <w:bookmarkEnd w:id="117"/>
      <w:bookmarkEnd w:id="118"/>
      <w:bookmarkEnd w:id="119"/>
    </w:p>
    <w:p w14:paraId="6246714F">
      <w:pPr>
        <w:spacing w:line="360" w:lineRule="auto"/>
        <w:ind w:left="1080" w:hanging="540"/>
        <w:jc w:val="center"/>
        <w:rPr>
          <w:rFonts w:hint="default" w:ascii="Times New Roman" w:hAnsi="Times New Roman" w:eastAsia="宋体" w:cs="Times New Roman"/>
          <w:b/>
          <w:bCs/>
          <w:color w:val="auto"/>
          <w:sz w:val="24"/>
          <w:szCs w:val="24"/>
          <w:lang w:val="en-US" w:eastAsia="zh-CN"/>
        </w:rPr>
      </w:pPr>
    </w:p>
    <w:p w14:paraId="4375DD02">
      <w:pPr>
        <w:pStyle w:val="168"/>
        <w:tabs>
          <w:tab w:val="left" w:pos="5580"/>
        </w:tabs>
        <w:spacing w:line="360" w:lineRule="auto"/>
        <w:ind w:firstLine="840" w:firstLineChars="300"/>
        <w:rPr>
          <w:rFonts w:ascii="Times New Roman" w:hAnsi="Times New Roman" w:eastAsia="仿宋_GB2312" w:cs="Times New Roman"/>
          <w:color w:val="auto"/>
          <w:sz w:val="28"/>
          <w:szCs w:val="28"/>
          <w:lang w:val="zh-TW"/>
        </w:rPr>
      </w:pPr>
    </w:p>
    <w:p w14:paraId="1BAC727E">
      <w:pPr>
        <w:pStyle w:val="168"/>
        <w:tabs>
          <w:tab w:val="left" w:pos="5580"/>
        </w:tabs>
        <w:spacing w:line="360" w:lineRule="auto"/>
        <w:rPr>
          <w:rFonts w:ascii="Times New Roman" w:hAnsi="Times New Roman" w:eastAsia="仿宋_GB2312" w:cs="Times New Roman"/>
          <w:color w:val="auto"/>
          <w:sz w:val="28"/>
          <w:szCs w:val="28"/>
          <w:lang w:val="zh-TW"/>
        </w:rPr>
      </w:pPr>
      <w:r>
        <w:rPr>
          <w:rFonts w:ascii="Times New Roman" w:hAnsi="Times New Roman" w:eastAsia="仿宋_GB2312" w:cs="Times New Roman"/>
          <w:color w:val="auto"/>
          <w:sz w:val="28"/>
          <w:szCs w:val="28"/>
          <w:lang w:val="zh-TW"/>
        </w:rPr>
        <w:t>说明：1.应提供的其他资格证明文件。</w:t>
      </w:r>
    </w:p>
    <w:p w14:paraId="41B0FA4E">
      <w:pPr>
        <w:pStyle w:val="168"/>
        <w:tabs>
          <w:tab w:val="left" w:pos="5580"/>
        </w:tabs>
        <w:spacing w:line="360" w:lineRule="auto"/>
        <w:rPr>
          <w:rFonts w:ascii="Times New Roman" w:hAnsi="Times New Roman" w:eastAsia="仿宋_GB2312" w:cs="Times New Roman"/>
          <w:color w:val="auto"/>
          <w:sz w:val="28"/>
          <w:szCs w:val="28"/>
          <w:lang w:val="zh-TW"/>
        </w:rPr>
      </w:pPr>
      <w:r>
        <w:rPr>
          <w:rFonts w:ascii="Times New Roman" w:hAnsi="Times New Roman" w:eastAsia="仿宋_GB2312" w:cs="Times New Roman"/>
          <w:color w:val="auto"/>
          <w:sz w:val="28"/>
          <w:szCs w:val="28"/>
          <w:lang w:val="zh-TW"/>
        </w:rPr>
        <w:t xml:space="preserve">      2.原件或复印件的扫描件上应加盖企业电子签章（自然人磋商响应的无需盖章，需要签字）。</w:t>
      </w:r>
    </w:p>
    <w:p w14:paraId="3D7F5475">
      <w:pPr>
        <w:pStyle w:val="168"/>
        <w:tabs>
          <w:tab w:val="left" w:pos="5580"/>
        </w:tabs>
        <w:spacing w:line="360" w:lineRule="auto"/>
        <w:ind w:firstLine="840" w:firstLineChars="300"/>
        <w:rPr>
          <w:rFonts w:ascii="Times New Roman" w:hAnsi="Times New Roman" w:eastAsia="仿宋_GB2312" w:cs="Times New Roman"/>
          <w:color w:val="auto"/>
          <w:sz w:val="28"/>
          <w:szCs w:val="28"/>
          <w:lang w:val="zh-TW"/>
        </w:rPr>
      </w:pPr>
      <w:r>
        <w:rPr>
          <w:rFonts w:ascii="Times New Roman" w:hAnsi="Times New Roman" w:eastAsia="仿宋_GB2312" w:cs="Times New Roman"/>
          <w:color w:val="auto"/>
          <w:sz w:val="28"/>
          <w:szCs w:val="28"/>
          <w:lang w:val="zh-TW"/>
        </w:rPr>
        <w:t>3. 如果是联合体磋商，联合体各方需提供的满足</w:t>
      </w:r>
      <w:r>
        <w:rPr>
          <w:rFonts w:ascii="Times New Roman" w:hAnsi="Times New Roman" w:eastAsia="仿宋_GB2312" w:cs="Times New Roman"/>
          <w:color w:val="auto"/>
          <w:sz w:val="28"/>
          <w:szCs w:val="28"/>
        </w:rPr>
        <w:t>竞争性磋商文件</w:t>
      </w:r>
      <w:r>
        <w:rPr>
          <w:rFonts w:ascii="Times New Roman" w:hAnsi="Times New Roman" w:eastAsia="仿宋_GB2312" w:cs="Times New Roman"/>
          <w:color w:val="auto"/>
          <w:sz w:val="28"/>
          <w:szCs w:val="28"/>
          <w:lang w:val="zh-TW"/>
        </w:rPr>
        <w:t>要求的其他资格证明文件。</w:t>
      </w:r>
    </w:p>
    <w:p w14:paraId="58D7E957">
      <w:pPr>
        <w:pStyle w:val="168"/>
        <w:tabs>
          <w:tab w:val="left" w:pos="5580"/>
        </w:tabs>
        <w:spacing w:line="360" w:lineRule="auto"/>
        <w:ind w:firstLine="840" w:firstLineChars="300"/>
        <w:rPr>
          <w:rFonts w:ascii="Times New Roman" w:hAnsi="Times New Roman" w:eastAsia="仿宋_GB2312" w:cs="Times New Roman"/>
          <w:color w:val="auto"/>
          <w:sz w:val="28"/>
          <w:szCs w:val="28"/>
          <w:lang w:val="zh-TW"/>
        </w:rPr>
      </w:pPr>
    </w:p>
    <w:p w14:paraId="4B0FEB98">
      <w:pPr>
        <w:spacing w:line="500" w:lineRule="exact"/>
        <w:ind w:firstLine="560" w:firstLineChars="200"/>
        <w:jc w:val="center"/>
        <w:outlineLvl w:val="1"/>
        <w:rPr>
          <w:rFonts w:hint="default" w:ascii="微软雅黑" w:hAnsi="Times New Roman" w:eastAsia="微软雅黑" w:cs="Times New Roman"/>
          <w:bCs/>
          <w:color w:val="auto"/>
          <w:sz w:val="30"/>
          <w:szCs w:val="30"/>
          <w:lang w:val="en-US" w:eastAsia="zh-CN"/>
        </w:rPr>
      </w:pPr>
      <w:bookmarkStart w:id="120" w:name="_Toc1004533822"/>
      <w:bookmarkStart w:id="121" w:name="_Toc520566279"/>
      <w:bookmarkStart w:id="122" w:name="_Toc1383476989"/>
      <w:bookmarkStart w:id="123" w:name="_Toc1358550999"/>
      <w:bookmarkStart w:id="124" w:name="_Toc1032668283"/>
      <w:bookmarkStart w:id="125" w:name="_Toc653176911"/>
      <w:bookmarkStart w:id="126" w:name="_Toc343930138"/>
      <w:bookmarkStart w:id="127" w:name="_Toc1795185313"/>
      <w:bookmarkStart w:id="128" w:name="_Toc796765497"/>
      <w:r>
        <w:rPr>
          <w:rFonts w:hint="default" w:ascii="Times New Roman" w:hAnsi="Times New Roman" w:eastAsia="黑体"/>
          <w:color w:val="auto"/>
          <w:sz w:val="28"/>
          <w:szCs w:val="28"/>
          <w:lang w:eastAsia="zh-CN"/>
        </w:rPr>
        <w:br w:type="page"/>
      </w:r>
      <w:r>
        <w:rPr>
          <w:rFonts w:hint="default" w:ascii="微软雅黑" w:hAnsi="Times New Roman" w:eastAsia="微软雅黑" w:cs="Times New Roman"/>
          <w:bCs/>
          <w:color w:val="auto"/>
          <w:sz w:val="30"/>
          <w:szCs w:val="30"/>
          <w:lang w:val="en-US" w:eastAsia="zh-CN"/>
        </w:rPr>
        <w:t>七、磋商响应函</w:t>
      </w:r>
      <w:bookmarkEnd w:id="120"/>
      <w:bookmarkEnd w:id="121"/>
      <w:bookmarkEnd w:id="122"/>
      <w:bookmarkEnd w:id="123"/>
      <w:bookmarkEnd w:id="124"/>
      <w:bookmarkEnd w:id="125"/>
      <w:bookmarkEnd w:id="126"/>
      <w:bookmarkEnd w:id="127"/>
      <w:bookmarkEnd w:id="128"/>
    </w:p>
    <w:p w14:paraId="232FE9DB">
      <w:pPr>
        <w:spacing w:line="360" w:lineRule="auto"/>
        <w:rPr>
          <w:rFonts w:hint="default" w:ascii="Times New Roman" w:hAnsi="Times New Roman" w:eastAsia="仿宋_GB2312" w:cs="Times New Roman"/>
          <w:color w:val="auto"/>
          <w:sz w:val="28"/>
          <w:szCs w:val="28"/>
          <w:lang w:eastAsia="zh-CN"/>
        </w:rPr>
      </w:pPr>
    </w:p>
    <w:p w14:paraId="3CCE0381">
      <w:pPr>
        <w:spacing w:line="360" w:lineRule="auto"/>
        <w:rPr>
          <w:rFonts w:hint="default" w:ascii="Times New Roman" w:hAnsi="Times New Roman" w:eastAsia="仿宋_GB2312" w:cs="Times New Roman"/>
          <w:color w:val="auto"/>
          <w:sz w:val="28"/>
          <w:szCs w:val="28"/>
          <w:u w:val="single"/>
          <w:lang w:eastAsia="zh-CN"/>
        </w:rPr>
      </w:pPr>
      <w:r>
        <w:rPr>
          <w:rFonts w:hint="default" w:ascii="Times New Roman" w:hAnsi="Times New Roman" w:eastAsia="仿宋_GB2312" w:cs="Times New Roman"/>
          <w:color w:val="auto"/>
          <w:sz w:val="28"/>
          <w:szCs w:val="28"/>
          <w:lang w:eastAsia="zh-CN"/>
        </w:rPr>
        <w:t>致：</w:t>
      </w:r>
      <w:r>
        <w:rPr>
          <w:rFonts w:hint="default" w:ascii="Times New Roman" w:hAnsi="Times New Roman" w:eastAsia="仿宋_GB2312" w:cs="Times New Roman"/>
          <w:color w:val="auto"/>
          <w:sz w:val="28"/>
          <w:szCs w:val="28"/>
          <w:u w:val="single"/>
          <w:lang w:val="en-US" w:eastAsia="zh-CN"/>
        </w:rPr>
        <w:t xml:space="preserve"> </w:t>
      </w:r>
      <w:r>
        <w:rPr>
          <w:rFonts w:ascii="Times New Roman" w:hAnsi="Times New Roman" w:eastAsia="仿宋_GB2312" w:cs="Times New Roman"/>
          <w:color w:val="auto"/>
          <w:sz w:val="28"/>
          <w:szCs w:val="28"/>
          <w:u w:val="single"/>
          <w:lang w:val="en" w:eastAsia="zh-CN"/>
        </w:rPr>
        <w:t>郑州铁路职业技术学院</w:t>
      </w:r>
      <w:r>
        <w:rPr>
          <w:rFonts w:hint="default" w:ascii="Times New Roman" w:hAnsi="Times New Roman" w:eastAsia="仿宋_GB2312" w:cs="Times New Roman"/>
          <w:color w:val="auto"/>
          <w:sz w:val="28"/>
          <w:szCs w:val="28"/>
          <w:u w:val="single"/>
          <w:lang w:eastAsia="zh-CN"/>
        </w:rPr>
        <w:t xml:space="preserve"> </w:t>
      </w:r>
    </w:p>
    <w:p w14:paraId="46694B2C">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我们收到了采购编号为</w:t>
      </w:r>
      <w:r>
        <w:rPr>
          <w:rFonts w:hint="default" w:ascii="Times New Roman" w:hAnsi="Times New Roman" w:eastAsia="仿宋_GB2312" w:cs="Times New Roman"/>
          <w:color w:val="auto"/>
          <w:sz w:val="28"/>
          <w:szCs w:val="28"/>
          <w:u w:val="single"/>
          <w:lang w:eastAsia="zh-CN"/>
        </w:rPr>
        <w:t xml:space="preserve"> </w:t>
      </w:r>
      <w:r>
        <w:rPr>
          <w:rFonts w:ascii="Times New Roman" w:hAnsi="Times New Roman" w:eastAsia="仿宋_GB2312" w:cs="Times New Roman"/>
          <w:color w:val="auto"/>
          <w:sz w:val="28"/>
          <w:szCs w:val="28"/>
          <w:u w:val="single"/>
          <w:lang w:val="en-US" w:eastAsia="zh-CN"/>
        </w:rPr>
        <w:t>豫财磋商采购-2026-853</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eastAsia="zh-CN"/>
        </w:rPr>
        <w:t>的</w:t>
      </w:r>
      <w:r>
        <w:rPr>
          <w:rFonts w:ascii="Times New Roman" w:hAnsi="Times New Roman" w:eastAsia="仿宋_GB2312" w:cs="Times New Roman"/>
          <w:color w:val="auto"/>
          <w:sz w:val="28"/>
          <w:szCs w:val="28"/>
          <w:u w:val="single"/>
          <w:lang w:val="en" w:eastAsia="zh-CN"/>
        </w:rPr>
        <w:t>郑州铁路职业技术学院工科基础实训室项目</w:t>
      </w:r>
      <w:r>
        <w:rPr>
          <w:rFonts w:hint="default" w:ascii="Times New Roman" w:hAnsi="Times New Roman" w:eastAsia="仿宋_GB2312" w:cs="Times New Roman"/>
          <w:color w:val="auto"/>
          <w:sz w:val="28"/>
          <w:szCs w:val="28"/>
          <w:lang w:eastAsia="zh-CN"/>
        </w:rPr>
        <w:t>采购文件，经详细研究，我们决定参加该项目的竞争性磋商活动并按要求提交竞争性磋商响应文件。我们郑重声明以下诸点并负法律责任</w:t>
      </w:r>
      <w:r>
        <w:rPr>
          <w:rFonts w:hint="default" w:ascii="Times New Roman" w:hAnsi="Times New Roman" w:eastAsia="仿宋_GB2312" w:cs="Times New Roman"/>
          <w:color w:val="auto"/>
          <w:sz w:val="28"/>
          <w:szCs w:val="28"/>
          <w:lang w:val="en-US" w:eastAsia="zh-CN"/>
        </w:rPr>
        <w:t>：</w:t>
      </w:r>
    </w:p>
    <w:p w14:paraId="5075B29F">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(1) </w:t>
      </w:r>
      <w:r>
        <w:rPr>
          <w:rFonts w:hint="default" w:ascii="Times New Roman" w:hAnsi="Times New Roman" w:eastAsia="仿宋_GB2312" w:cs="Times New Roman"/>
          <w:color w:val="auto"/>
          <w:sz w:val="28"/>
          <w:szCs w:val="28"/>
          <w:lang w:eastAsia="zh-CN"/>
        </w:rPr>
        <w:t>愿按照采购文件中规定的条款和要求，提供完成采购文件规定的全部工作，首次磋商响应总报价为（大写）</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eastAsia="zh-CN"/>
        </w:rPr>
        <w:t>元人民币，（小写）￥：</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eastAsia="zh-CN"/>
        </w:rPr>
        <w:t>元）。</w:t>
      </w:r>
    </w:p>
    <w:p w14:paraId="4E525D38">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(2) </w:t>
      </w:r>
      <w:r>
        <w:rPr>
          <w:rFonts w:hint="default" w:ascii="Times New Roman" w:hAnsi="Times New Roman" w:eastAsia="仿宋_GB2312" w:cs="Times New Roman"/>
          <w:color w:val="auto"/>
          <w:sz w:val="28"/>
          <w:szCs w:val="28"/>
          <w:lang w:eastAsia="zh-CN"/>
        </w:rPr>
        <w:t>如果我们的竞争性磋商响应文件被接受，我们将履行</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中规定的各项要求。</w:t>
      </w:r>
    </w:p>
    <w:p w14:paraId="48CF16EB">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(3) </w:t>
      </w:r>
      <w:r>
        <w:rPr>
          <w:rFonts w:hint="default" w:ascii="Times New Roman" w:hAnsi="Times New Roman" w:eastAsia="仿宋_GB2312" w:cs="Times New Roman"/>
          <w:color w:val="auto"/>
          <w:sz w:val="28"/>
          <w:szCs w:val="28"/>
          <w:lang w:eastAsia="zh-CN"/>
        </w:rPr>
        <w:t>我们同意本</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中有关响应文件有效期的规定。如果成交，有效期延长至合同终止日止。</w:t>
      </w:r>
    </w:p>
    <w:p w14:paraId="4BAF0C96">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(4) </w:t>
      </w:r>
      <w:r>
        <w:rPr>
          <w:rFonts w:hint="default" w:ascii="Times New Roman" w:hAnsi="Times New Roman" w:eastAsia="仿宋_GB2312" w:cs="Times New Roman"/>
          <w:color w:val="auto"/>
          <w:sz w:val="28"/>
          <w:szCs w:val="28"/>
          <w:lang w:eastAsia="zh-CN"/>
        </w:rPr>
        <w:t>我们愿提供</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中要求的所有文件资料。</w:t>
      </w:r>
    </w:p>
    <w:p w14:paraId="1582C0D1">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(5) </w:t>
      </w:r>
      <w:r>
        <w:rPr>
          <w:rFonts w:hint="default" w:ascii="Times New Roman" w:hAnsi="Times New Roman" w:eastAsia="仿宋_GB2312" w:cs="Times New Roman"/>
          <w:color w:val="auto"/>
          <w:sz w:val="28"/>
          <w:szCs w:val="28"/>
          <w:lang w:eastAsia="zh-CN"/>
        </w:rPr>
        <w:t>我们已经详细审核了全部采购文件，如有需要澄清的问题，我们同意按采购文件规定的时间向采购人提出。逾期不提，我公司同意放弃对这方面有不明及误解的权利。</w:t>
      </w:r>
    </w:p>
    <w:p w14:paraId="542BE219">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(6) </w:t>
      </w:r>
      <w:r>
        <w:rPr>
          <w:rFonts w:hint="default" w:ascii="Times New Roman" w:hAnsi="Times New Roman" w:eastAsia="仿宋_GB2312" w:cs="Times New Roman"/>
          <w:color w:val="auto"/>
          <w:sz w:val="28"/>
          <w:szCs w:val="28"/>
          <w:lang w:eastAsia="zh-CN"/>
        </w:rPr>
        <w:t>我们承诺，与采购人聘请的为此项目提供咨询服务及任何附属机构均无关联，非采购人的附属机构。</w:t>
      </w:r>
    </w:p>
    <w:p w14:paraId="328DC08F">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(7) </w:t>
      </w:r>
      <w:r>
        <w:rPr>
          <w:rFonts w:hint="default" w:ascii="Times New Roman" w:hAnsi="Times New Roman" w:eastAsia="仿宋_GB2312" w:cs="Times New Roman"/>
          <w:color w:val="auto"/>
          <w:sz w:val="28"/>
          <w:szCs w:val="28"/>
          <w:lang w:eastAsia="zh-CN"/>
        </w:rPr>
        <w:t>我公司同意提供按照采购人可能要求的与其磋商响应有关的一切数据或资料，完全理解采购人不一定接受最低价的磋商响应或收到的任何磋商响应。</w:t>
      </w:r>
    </w:p>
    <w:p w14:paraId="032101DF">
      <w:pPr>
        <w:spacing w:line="360" w:lineRule="auto"/>
        <w:ind w:firstLine="48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(8) </w:t>
      </w:r>
      <w:r>
        <w:rPr>
          <w:rFonts w:hint="default" w:ascii="Times New Roman" w:hAnsi="Times New Roman" w:eastAsia="仿宋_GB2312" w:cs="Times New Roman"/>
          <w:color w:val="auto"/>
          <w:sz w:val="28"/>
          <w:szCs w:val="28"/>
          <w:lang w:eastAsia="zh-CN"/>
        </w:rPr>
        <w:t>如果我们的竞争性磋商响应文件被接受，我们将按</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的规定签订并严格履行合同中的责任和义务。</w:t>
      </w:r>
    </w:p>
    <w:p w14:paraId="24518C46">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val="en" w:eastAsia="zh-CN"/>
        </w:rPr>
        <w:t>9</w:t>
      </w:r>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eastAsia="zh-CN"/>
        </w:rPr>
        <w:t>我公司公平竞争参加本次竞争性磋商活动。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677F1F1D">
      <w:pPr>
        <w:spacing w:line="360" w:lineRule="auto"/>
        <w:ind w:firstLine="280" w:firstLineChars="1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 (10)</w:t>
      </w:r>
      <w:r>
        <w:rPr>
          <w:rFonts w:hint="default" w:ascii="Times New Roman" w:hAnsi="Times New Roman" w:eastAsia="仿宋_GB2312" w:cs="Times New Roman"/>
          <w:color w:val="auto"/>
          <w:sz w:val="28"/>
          <w:szCs w:val="28"/>
          <w:lang w:eastAsia="zh-CN"/>
        </w:rPr>
        <w:t>我公司独立参加采购项目，未组成联合体参加磋商响应。</w:t>
      </w:r>
    </w:p>
    <w:p w14:paraId="12D98988">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val="en" w:eastAsia="zh-CN"/>
        </w:rPr>
        <w:t>1</w:t>
      </w:r>
      <w:r>
        <w:rPr>
          <w:rFonts w:hint="default" w:ascii="Times New Roman" w:hAnsi="Times New Roman" w:eastAsia="仿宋_GB2312" w:cs="Times New Roman"/>
          <w:color w:val="auto"/>
          <w:sz w:val="28"/>
          <w:szCs w:val="28"/>
          <w:lang w:val="en-US" w:eastAsia="zh-CN"/>
        </w:rPr>
        <w:t xml:space="preserve">1) </w:t>
      </w:r>
      <w:r>
        <w:rPr>
          <w:rFonts w:hint="default" w:ascii="Times New Roman" w:hAnsi="Times New Roman" w:eastAsia="仿宋_GB2312" w:cs="Times New Roman"/>
          <w:color w:val="auto"/>
          <w:sz w:val="28"/>
          <w:szCs w:val="28"/>
          <w:lang w:eastAsia="zh-CN"/>
        </w:rPr>
        <w:t>除不可抗力外，我公司如果发生以下行为，将在行为发生的10个工作日内，向贵方支付本</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公布的最高限价的2%作为违约赔偿金。</w:t>
      </w:r>
    </w:p>
    <w:p w14:paraId="3E7DF2C2">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fldChar w:fldCharType="begin"/>
      </w:r>
      <w:r>
        <w:rPr>
          <w:rFonts w:hint="default" w:ascii="Times New Roman" w:hAnsi="Times New Roman" w:eastAsia="仿宋_GB2312" w:cs="Times New Roman"/>
          <w:color w:val="auto"/>
          <w:sz w:val="28"/>
          <w:szCs w:val="28"/>
          <w:lang w:eastAsia="zh-CN"/>
        </w:rPr>
        <w:instrText xml:space="preserve"> = 1 \* GB3 \* MERGEFORMAT </w:instrText>
      </w:r>
      <w:r>
        <w:rPr>
          <w:rFonts w:hint="default" w:ascii="Times New Roman" w:hAnsi="Times New Roman" w:eastAsia="仿宋_GB2312" w:cs="Times New Roman"/>
          <w:color w:val="auto"/>
          <w:sz w:val="28"/>
          <w:szCs w:val="28"/>
          <w:lang w:eastAsia="zh-CN"/>
        </w:rPr>
        <w:fldChar w:fldCharType="separate"/>
      </w:r>
      <w:r>
        <w:rPr>
          <w:rFonts w:hint="default" w:ascii="Times New Roman" w:hAnsi="Times New Roman" w:eastAsia="仿宋_GB2312" w:cs="Times New Roman"/>
          <w:color w:val="auto"/>
          <w:sz w:val="28"/>
          <w:szCs w:val="28"/>
          <w:lang w:eastAsia="zh-CN"/>
        </w:rPr>
        <w:t>①</w:t>
      </w:r>
      <w:r>
        <w:rPr>
          <w:rFonts w:hint="default" w:ascii="Times New Roman" w:hAnsi="Times New Roman" w:eastAsia="仿宋_GB2312" w:cs="Times New Roman"/>
          <w:color w:val="auto"/>
          <w:sz w:val="28"/>
          <w:szCs w:val="28"/>
          <w:lang w:eastAsia="zh-CN"/>
        </w:rPr>
        <w:fldChar w:fldCharType="end"/>
      </w:r>
      <w:r>
        <w:rPr>
          <w:rFonts w:hint="default" w:ascii="Times New Roman" w:hAnsi="Times New Roman" w:eastAsia="仿宋_GB2312" w:cs="Times New Roman"/>
          <w:color w:val="auto"/>
          <w:sz w:val="28"/>
          <w:szCs w:val="28"/>
          <w:lang w:eastAsia="zh-CN"/>
        </w:rPr>
        <w:t>在</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规定的响应文件有效期内实质上修改或撤回磋商响应文件；</w:t>
      </w:r>
    </w:p>
    <w:p w14:paraId="00D6D9D7">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fldChar w:fldCharType="begin"/>
      </w:r>
      <w:r>
        <w:rPr>
          <w:rFonts w:hint="default" w:ascii="Times New Roman" w:hAnsi="Times New Roman" w:eastAsia="仿宋_GB2312" w:cs="Times New Roman"/>
          <w:color w:val="auto"/>
          <w:sz w:val="28"/>
          <w:szCs w:val="28"/>
          <w:lang w:eastAsia="zh-CN"/>
        </w:rPr>
        <w:instrText xml:space="preserve"> = 2 \* GB3 \* MERGEFORMAT </w:instrText>
      </w:r>
      <w:r>
        <w:rPr>
          <w:rFonts w:hint="default" w:ascii="Times New Roman" w:hAnsi="Times New Roman" w:eastAsia="仿宋_GB2312" w:cs="Times New Roman"/>
          <w:color w:val="auto"/>
          <w:sz w:val="28"/>
          <w:szCs w:val="28"/>
          <w:lang w:eastAsia="zh-CN"/>
        </w:rPr>
        <w:fldChar w:fldCharType="separate"/>
      </w:r>
      <w:r>
        <w:rPr>
          <w:rFonts w:hint="default" w:ascii="Times New Roman" w:hAnsi="Times New Roman" w:eastAsia="仿宋_GB2312" w:cs="Times New Roman"/>
          <w:color w:val="auto"/>
          <w:sz w:val="28"/>
          <w:szCs w:val="28"/>
          <w:lang w:eastAsia="zh-CN"/>
        </w:rPr>
        <w:t>②</w:t>
      </w:r>
      <w:r>
        <w:rPr>
          <w:rFonts w:hint="default" w:ascii="Times New Roman" w:hAnsi="Times New Roman" w:eastAsia="仿宋_GB2312" w:cs="Times New Roman"/>
          <w:color w:val="auto"/>
          <w:sz w:val="28"/>
          <w:szCs w:val="28"/>
          <w:lang w:eastAsia="zh-CN"/>
        </w:rPr>
        <w:fldChar w:fldCharType="end"/>
      </w:r>
      <w:r>
        <w:rPr>
          <w:rFonts w:hint="default" w:ascii="Times New Roman" w:hAnsi="Times New Roman" w:eastAsia="仿宋_GB2312" w:cs="Times New Roman"/>
          <w:color w:val="auto"/>
          <w:sz w:val="28"/>
          <w:szCs w:val="28"/>
          <w:lang w:eastAsia="zh-CN"/>
        </w:rPr>
        <w:t>成交后不依法与采购人签订合同；</w:t>
      </w:r>
    </w:p>
    <w:p w14:paraId="4D6FCD05">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fldChar w:fldCharType="begin"/>
      </w:r>
      <w:r>
        <w:rPr>
          <w:rFonts w:hint="default" w:ascii="Times New Roman" w:hAnsi="Times New Roman" w:eastAsia="仿宋_GB2312" w:cs="Times New Roman"/>
          <w:color w:val="auto"/>
          <w:sz w:val="28"/>
          <w:szCs w:val="28"/>
          <w:lang w:eastAsia="zh-CN"/>
        </w:rPr>
        <w:instrText xml:space="preserve"> = 3 \* GB3 \* MERGEFORMAT </w:instrText>
      </w:r>
      <w:r>
        <w:rPr>
          <w:rFonts w:hint="default" w:ascii="Times New Roman" w:hAnsi="Times New Roman" w:eastAsia="仿宋_GB2312" w:cs="Times New Roman"/>
          <w:color w:val="auto"/>
          <w:sz w:val="28"/>
          <w:szCs w:val="28"/>
          <w:lang w:eastAsia="zh-CN"/>
        </w:rPr>
        <w:fldChar w:fldCharType="separate"/>
      </w:r>
      <w:r>
        <w:rPr>
          <w:rFonts w:hint="default" w:ascii="Times New Roman" w:hAnsi="Times New Roman" w:eastAsia="仿宋_GB2312" w:cs="Times New Roman"/>
          <w:color w:val="auto"/>
          <w:sz w:val="28"/>
          <w:szCs w:val="28"/>
          <w:lang w:eastAsia="zh-CN"/>
        </w:rPr>
        <w:t>③</w:t>
      </w:r>
      <w:r>
        <w:rPr>
          <w:rFonts w:hint="default" w:ascii="Times New Roman" w:hAnsi="Times New Roman" w:eastAsia="仿宋_GB2312" w:cs="Times New Roman"/>
          <w:color w:val="auto"/>
          <w:sz w:val="28"/>
          <w:szCs w:val="28"/>
          <w:lang w:eastAsia="zh-CN"/>
        </w:rPr>
        <w:fldChar w:fldCharType="end"/>
      </w:r>
      <w:r>
        <w:rPr>
          <w:rFonts w:hint="default" w:ascii="Times New Roman" w:hAnsi="Times New Roman" w:eastAsia="仿宋_GB2312" w:cs="Times New Roman"/>
          <w:color w:val="auto"/>
          <w:sz w:val="28"/>
          <w:szCs w:val="28"/>
          <w:lang w:eastAsia="zh-CN"/>
        </w:rPr>
        <w:t>在竞争性磋商响应文件中提供虚假材料。</w:t>
      </w:r>
    </w:p>
    <w:p w14:paraId="55191055">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val="en" w:eastAsia="zh-CN"/>
        </w:rPr>
        <w:t>1</w:t>
      </w:r>
      <w:r>
        <w:rPr>
          <w:rFonts w:hint="default" w:ascii="Times New Roman" w:hAnsi="Times New Roman" w:eastAsia="仿宋_GB2312" w:cs="Times New Roman"/>
          <w:color w:val="auto"/>
          <w:sz w:val="28"/>
          <w:szCs w:val="28"/>
          <w:lang w:val="en-US" w:eastAsia="zh-CN"/>
        </w:rPr>
        <w:t xml:space="preserve">2) </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eastAsia="zh-CN"/>
        </w:rPr>
        <w:t>（其他补充说明）。</w:t>
      </w:r>
    </w:p>
    <w:p w14:paraId="3D94782D">
      <w:pPr>
        <w:spacing w:line="360" w:lineRule="auto"/>
        <w:ind w:firstLine="560"/>
        <w:rPr>
          <w:rFonts w:hint="default" w:ascii="Times New Roman" w:hAnsi="Times New Roman" w:eastAsia="仿宋_GB2312" w:cs="Times New Roman"/>
          <w:color w:val="auto"/>
          <w:sz w:val="28"/>
          <w:szCs w:val="28"/>
          <w:lang w:eastAsia="zh-CN"/>
        </w:rPr>
      </w:pPr>
    </w:p>
    <w:p w14:paraId="03D33463">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与本磋商响应有关的正式通讯地址：</w:t>
      </w:r>
    </w:p>
    <w:p w14:paraId="588D6BDE">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地  址：                             邮  编：</w:t>
      </w:r>
    </w:p>
    <w:p w14:paraId="446FFC70">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电  话：                             传  真：</w:t>
      </w:r>
    </w:p>
    <w:p w14:paraId="173437E5">
      <w:pPr>
        <w:spacing w:line="360" w:lineRule="auto"/>
        <w:ind w:firstLine="465"/>
        <w:rPr>
          <w:rFonts w:hint="default" w:ascii="Times New Roman" w:hAnsi="Times New Roman" w:eastAsia="仿宋_GB2312" w:cs="Times New Roman"/>
          <w:color w:val="auto"/>
          <w:sz w:val="28"/>
          <w:szCs w:val="28"/>
          <w:lang w:eastAsia="zh-CN"/>
        </w:rPr>
      </w:pPr>
    </w:p>
    <w:p w14:paraId="4951128D">
      <w:pPr>
        <w:spacing w:line="360" w:lineRule="auto"/>
        <w:ind w:firstLine="465"/>
        <w:rPr>
          <w:rFonts w:hint="default" w:ascii="Times New Roman" w:hAnsi="Times New Roman" w:eastAsia="仿宋_GB2312" w:cs="Times New Roman"/>
          <w:color w:val="auto"/>
          <w:sz w:val="28"/>
          <w:szCs w:val="28"/>
          <w:lang w:eastAsia="zh-CN"/>
        </w:rPr>
      </w:pPr>
    </w:p>
    <w:p w14:paraId="46417434">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供应商（企业电子签章）：</w:t>
      </w:r>
    </w:p>
    <w:p w14:paraId="5813C595">
      <w:pPr>
        <w:spacing w:line="360" w:lineRule="auto"/>
        <w:ind w:firstLine="48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 xml:space="preserve">法定代表人（个人电子签章）：                                                                                </w:t>
      </w:r>
      <w:r>
        <w:rPr>
          <w:rFonts w:hint="default" w:ascii="Times New Roman" w:hAnsi="Times New Roman" w:eastAsia="仿宋_GB2312" w:cs="Times New Roman"/>
          <w:color w:val="auto"/>
          <w:sz w:val="28"/>
          <w:szCs w:val="28"/>
          <w:lang w:val="en-US" w:eastAsia="zh-CN"/>
        </w:rPr>
        <w:t xml:space="preserve">                </w:t>
      </w:r>
    </w:p>
    <w:p w14:paraId="098FC50A">
      <w:pPr>
        <w:spacing w:line="400" w:lineRule="exact"/>
        <w:ind w:firstLine="465"/>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                                   </w:t>
      </w:r>
    </w:p>
    <w:p w14:paraId="6B86D74A">
      <w:pPr>
        <w:spacing w:line="360" w:lineRule="auto"/>
        <w:ind w:firstLine="3712" w:firstLineChars="1326"/>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日期：</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年</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月</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日</w:t>
      </w:r>
    </w:p>
    <w:p w14:paraId="2EFE16BD">
      <w:pPr>
        <w:spacing w:line="500" w:lineRule="exact"/>
        <w:ind w:firstLine="560" w:firstLineChars="200"/>
        <w:jc w:val="center"/>
        <w:outlineLvl w:val="1"/>
        <w:rPr>
          <w:rFonts w:hint="default" w:ascii="微软雅黑" w:hAnsi="Times New Roman" w:eastAsia="微软雅黑" w:cs="Times New Roman"/>
          <w:bCs/>
          <w:color w:val="auto"/>
          <w:sz w:val="30"/>
          <w:szCs w:val="30"/>
          <w:lang w:val="en-US" w:eastAsia="zh-CN"/>
        </w:rPr>
      </w:pPr>
      <w:bookmarkStart w:id="129" w:name="_Toc74240237"/>
      <w:bookmarkStart w:id="130" w:name="_Toc2582321"/>
      <w:bookmarkStart w:id="131" w:name="_Toc20897"/>
      <w:bookmarkStart w:id="132" w:name="_Toc532473507"/>
      <w:bookmarkStart w:id="133" w:name="_Toc515647818"/>
      <w:bookmarkStart w:id="134" w:name="_Toc1881"/>
      <w:r>
        <w:rPr>
          <w:rFonts w:hint="default" w:ascii="Times New Roman" w:hAnsi="Times New Roman" w:eastAsia="黑体"/>
          <w:color w:val="auto"/>
          <w:sz w:val="28"/>
          <w:szCs w:val="28"/>
          <w:lang w:val="en-US" w:eastAsia="zh-CN"/>
        </w:rPr>
        <w:br w:type="page"/>
      </w:r>
      <w:bookmarkStart w:id="135" w:name="_Toc1472753336"/>
      <w:bookmarkStart w:id="136" w:name="_Toc1552610899"/>
      <w:bookmarkStart w:id="137" w:name="_Toc1050158208"/>
      <w:bookmarkStart w:id="138" w:name="_Toc942115178"/>
      <w:bookmarkStart w:id="139" w:name="_Toc607874351"/>
      <w:r>
        <w:rPr>
          <w:rFonts w:hint="default" w:ascii="微软雅黑" w:hAnsi="Times New Roman" w:eastAsia="微软雅黑" w:cs="Times New Roman"/>
          <w:bCs/>
          <w:color w:val="auto"/>
          <w:sz w:val="30"/>
          <w:szCs w:val="30"/>
          <w:lang w:val="en-US" w:eastAsia="zh-CN"/>
        </w:rPr>
        <w:t>八、法定代表人身份证明书</w:t>
      </w:r>
      <w:bookmarkEnd w:id="135"/>
      <w:bookmarkEnd w:id="136"/>
      <w:bookmarkEnd w:id="137"/>
      <w:bookmarkEnd w:id="138"/>
      <w:bookmarkEnd w:id="139"/>
    </w:p>
    <w:p w14:paraId="64BB1704">
      <w:pPr>
        <w:spacing w:line="360" w:lineRule="auto"/>
        <w:rPr>
          <w:rFonts w:hint="default" w:ascii="Times New Roman" w:hAnsi="Times New Roman" w:eastAsia="宋体" w:cs="Times New Roman"/>
          <w:color w:val="auto"/>
          <w:sz w:val="28"/>
          <w:szCs w:val="28"/>
          <w:lang w:val="en-US" w:eastAsia="zh-CN"/>
        </w:rPr>
      </w:pPr>
    </w:p>
    <w:p w14:paraId="786EE3CB">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致</w:t>
      </w:r>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val="en" w:eastAsia="zh-CN"/>
        </w:rPr>
        <w:t xml:space="preserve"> </w:t>
      </w:r>
      <w:r>
        <w:rPr>
          <w:rFonts w:ascii="Times New Roman" w:hAnsi="Times New Roman" w:eastAsia="仿宋_GB2312" w:cs="Times New Roman"/>
          <w:color w:val="auto"/>
          <w:sz w:val="28"/>
          <w:szCs w:val="28"/>
          <w:u w:val="single"/>
          <w:lang w:val="en" w:eastAsia="zh-CN"/>
        </w:rPr>
        <w:t>郑州铁路职业技术学院</w:t>
      </w:r>
    </w:p>
    <w:p w14:paraId="5125DFCD">
      <w:pPr>
        <w:spacing w:line="360" w:lineRule="auto"/>
        <w:ind w:firstLine="6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eastAsia="zh-CN"/>
        </w:rPr>
        <w:t>（姓名、性别、年龄、身份证号码）在我单位任</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eastAsia="zh-CN"/>
        </w:rPr>
        <w:t>（董事长、总经理等）职务，是我单位的法定代表人。</w:t>
      </w:r>
    </w:p>
    <w:p w14:paraId="35079B75">
      <w:pPr>
        <w:spacing w:line="360" w:lineRule="auto"/>
        <w:ind w:firstLine="480"/>
        <w:rPr>
          <w:rFonts w:hint="default" w:ascii="Times New Roman" w:hAnsi="Times New Roman" w:eastAsia="仿宋_GB2312" w:cs="Times New Roman"/>
          <w:color w:val="auto"/>
          <w:sz w:val="28"/>
          <w:szCs w:val="28"/>
          <w:lang w:val="en-US" w:eastAsia="zh-CN"/>
        </w:rPr>
      </w:pPr>
    </w:p>
    <w:p w14:paraId="7FE3A520">
      <w:pPr>
        <w:spacing w:line="360" w:lineRule="auto"/>
        <w:ind w:firstLine="480"/>
        <w:rPr>
          <w:rFonts w:hint="default" w:ascii="Times New Roman" w:hAnsi="Times New Roman" w:eastAsia="仿宋_GB2312" w:cs="Times New Roman"/>
          <w:color w:val="auto"/>
          <w:sz w:val="28"/>
          <w:szCs w:val="28"/>
          <w:lang w:val="en-US" w:eastAsia="zh-CN"/>
        </w:rPr>
      </w:pPr>
    </w:p>
    <w:p w14:paraId="5B42C3B8">
      <w:pPr>
        <w:spacing w:line="360" w:lineRule="auto"/>
        <w:ind w:firstLine="6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特此证明。</w:t>
      </w:r>
    </w:p>
    <w:p w14:paraId="2B5B56DE">
      <w:pPr>
        <w:spacing w:line="360" w:lineRule="auto"/>
        <w:ind w:firstLine="480"/>
        <w:rPr>
          <w:rFonts w:hint="default" w:ascii="Times New Roman" w:hAnsi="Times New Roman" w:eastAsia="仿宋_GB2312" w:cs="Times New Roman"/>
          <w:color w:val="auto"/>
          <w:sz w:val="28"/>
          <w:szCs w:val="28"/>
          <w:lang w:val="en-US" w:eastAsia="zh-CN"/>
        </w:rPr>
      </w:pPr>
    </w:p>
    <w:p w14:paraId="6A204123">
      <w:pPr>
        <w:spacing w:line="360" w:lineRule="auto"/>
        <w:ind w:firstLine="480"/>
        <w:rPr>
          <w:rFonts w:hint="default" w:ascii="Times New Roman" w:hAnsi="Times New Roman" w:eastAsia="仿宋_GB2312" w:cs="Times New Roman"/>
          <w:color w:val="auto"/>
          <w:sz w:val="28"/>
          <w:szCs w:val="28"/>
          <w:lang w:val="en-US" w:eastAsia="zh-CN"/>
        </w:rPr>
      </w:pPr>
    </w:p>
    <w:p w14:paraId="726FC848">
      <w:pPr>
        <w:spacing w:line="360" w:lineRule="auto"/>
        <w:ind w:firstLine="480"/>
        <w:rPr>
          <w:rFonts w:hint="default" w:ascii="Times New Roman" w:hAnsi="Times New Roman" w:eastAsia="仿宋_GB2312" w:cs="Times New Roman"/>
          <w:color w:val="auto"/>
          <w:sz w:val="28"/>
          <w:szCs w:val="28"/>
          <w:lang w:val="en-US" w:eastAsia="zh-CN"/>
        </w:rPr>
      </w:pPr>
    </w:p>
    <w:p w14:paraId="456379ED">
      <w:pPr>
        <w:pStyle w:val="168"/>
        <w:tabs>
          <w:tab w:val="left" w:pos="5580"/>
        </w:tabs>
        <w:spacing w:line="360" w:lineRule="auto"/>
        <w:ind w:firstLine="360"/>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lang w:val="zh-TW"/>
        </w:rPr>
        <w:t>供应商（企业电子签章）：</w:t>
      </w:r>
      <w:r>
        <w:rPr>
          <w:rFonts w:ascii="Times New Roman" w:hAnsi="Times New Roman" w:eastAsia="仿宋_GB2312" w:cs="Times New Roman"/>
          <w:color w:val="auto"/>
          <w:sz w:val="28"/>
          <w:szCs w:val="28"/>
          <w:u w:val="single"/>
        </w:rPr>
        <w:t xml:space="preserve">                             </w:t>
      </w:r>
    </w:p>
    <w:p w14:paraId="14495809">
      <w:pPr>
        <w:pStyle w:val="168"/>
        <w:tabs>
          <w:tab w:val="left" w:pos="5580"/>
        </w:tabs>
        <w:spacing w:line="360" w:lineRule="auto"/>
        <w:ind w:left="269" w:firstLine="120"/>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lang w:val="zh-TW"/>
        </w:rPr>
        <w:t>详细通讯地址：</w:t>
      </w:r>
      <w:r>
        <w:rPr>
          <w:rFonts w:ascii="Times New Roman" w:hAnsi="Times New Roman" w:eastAsia="仿宋_GB2312" w:cs="Times New Roman"/>
          <w:color w:val="auto"/>
          <w:sz w:val="28"/>
          <w:szCs w:val="28"/>
          <w:u w:val="single"/>
        </w:rPr>
        <w:t xml:space="preserve">                                </w:t>
      </w:r>
    </w:p>
    <w:p w14:paraId="5CC30A10">
      <w:pPr>
        <w:pStyle w:val="168"/>
        <w:tabs>
          <w:tab w:val="left" w:pos="5580"/>
        </w:tabs>
        <w:spacing w:line="360" w:lineRule="auto"/>
        <w:ind w:firstLine="360"/>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lang w:val="zh-TW"/>
        </w:rPr>
        <w:t>邮 政 编 码 ：</w:t>
      </w:r>
      <w:r>
        <w:rPr>
          <w:rFonts w:ascii="Times New Roman" w:hAnsi="Times New Roman" w:eastAsia="仿宋_GB2312" w:cs="Times New Roman"/>
          <w:color w:val="auto"/>
          <w:sz w:val="28"/>
          <w:szCs w:val="28"/>
          <w:u w:val="single"/>
        </w:rPr>
        <w:t xml:space="preserve">                                </w:t>
      </w:r>
    </w:p>
    <w:p w14:paraId="4165FBE0">
      <w:pPr>
        <w:pStyle w:val="168"/>
        <w:tabs>
          <w:tab w:val="left" w:pos="5580"/>
        </w:tabs>
        <w:spacing w:line="360" w:lineRule="auto"/>
        <w:ind w:firstLine="360"/>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lang w:val="zh-TW"/>
        </w:rPr>
        <w:t>传　　　　真：</w:t>
      </w:r>
      <w:r>
        <w:rPr>
          <w:rFonts w:ascii="Times New Roman" w:hAnsi="Times New Roman" w:eastAsia="仿宋_GB2312" w:cs="Times New Roman"/>
          <w:color w:val="auto"/>
          <w:sz w:val="28"/>
          <w:szCs w:val="28"/>
          <w:u w:val="single"/>
        </w:rPr>
        <w:t xml:space="preserve">                                </w:t>
      </w:r>
    </w:p>
    <w:p w14:paraId="007CA814">
      <w:pPr>
        <w:pStyle w:val="168"/>
        <w:tabs>
          <w:tab w:val="left" w:pos="5580"/>
        </w:tabs>
        <w:spacing w:line="360" w:lineRule="auto"/>
        <w:ind w:firstLine="360"/>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lang w:val="zh-TW"/>
        </w:rPr>
        <w:t>电　　　　话：</w:t>
      </w:r>
      <w:r>
        <w:rPr>
          <w:rFonts w:ascii="Times New Roman" w:hAnsi="Times New Roman" w:eastAsia="仿宋_GB2312" w:cs="Times New Roman"/>
          <w:color w:val="auto"/>
          <w:sz w:val="28"/>
          <w:szCs w:val="28"/>
          <w:u w:val="single"/>
        </w:rPr>
        <w:t xml:space="preserve">                                </w:t>
      </w:r>
    </w:p>
    <w:tbl>
      <w:tblPr>
        <w:tblStyle w:val="52"/>
        <w:tblW w:w="0" w:type="auto"/>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4484"/>
        <w:gridCol w:w="4485"/>
      </w:tblGrid>
      <w:tr w14:paraId="429237A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2486" w:hRule="atLeast"/>
          <w:jc w:val="center"/>
        </w:trPr>
        <w:tc>
          <w:tcPr>
            <w:tcW w:w="4484"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948C9BA">
            <w:pPr>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法定代表人身份证（人像面）</w:t>
            </w:r>
          </w:p>
        </w:tc>
        <w:tc>
          <w:tcPr>
            <w:tcW w:w="448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86FC2D6">
            <w:pPr>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法定代表人身份证（国徽面）</w:t>
            </w:r>
          </w:p>
        </w:tc>
      </w:tr>
    </w:tbl>
    <w:p w14:paraId="7E6DC613">
      <w:pPr>
        <w:spacing w:line="360" w:lineRule="auto"/>
        <w:ind w:firstLine="480"/>
        <w:rPr>
          <w:rFonts w:hint="default" w:ascii="Times New Roman" w:hAnsi="Times New Roman" w:eastAsia="仿宋_GB2312" w:cs="Times New Roman"/>
          <w:color w:val="auto"/>
          <w:sz w:val="28"/>
          <w:szCs w:val="28"/>
          <w:lang w:val="en-US" w:eastAsia="zh-CN"/>
        </w:rPr>
      </w:pPr>
    </w:p>
    <w:p w14:paraId="5454C0E2">
      <w:pPr>
        <w:spacing w:line="360" w:lineRule="auto"/>
        <w:ind w:firstLine="6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注：自然人磋商响应的无需提供。</w:t>
      </w:r>
    </w:p>
    <w:p w14:paraId="52789337">
      <w:pPr>
        <w:rPr>
          <w:rFonts w:hint="default" w:ascii="Times New Roman" w:hAnsi="Times New Roman" w:cs="Times New Roman"/>
          <w:color w:val="auto"/>
          <w:lang w:eastAsia="zh-CN"/>
        </w:rPr>
      </w:pPr>
    </w:p>
    <w:p w14:paraId="76B47B25">
      <w:pPr>
        <w:pStyle w:val="16"/>
        <w:rPr>
          <w:rFonts w:ascii="Times New Roman" w:hAnsi="Times New Roman"/>
        </w:rPr>
      </w:pPr>
    </w:p>
    <w:p w14:paraId="04E5364D">
      <w:pPr>
        <w:pStyle w:val="16"/>
        <w:rPr>
          <w:rFonts w:ascii="Times New Roman" w:hAnsi="Times New Roman"/>
        </w:rPr>
      </w:pPr>
    </w:p>
    <w:p w14:paraId="6860E530">
      <w:pPr>
        <w:pStyle w:val="39"/>
        <w:ind w:left="556" w:hanging="278"/>
        <w:rPr>
          <w:rFonts w:hint="default" w:cs="Times New Roman"/>
          <w:color w:val="auto"/>
          <w:lang w:eastAsia="zh-CN"/>
        </w:rPr>
        <w:sectPr>
          <w:headerReference r:id="rId5" w:type="default"/>
          <w:footerReference r:id="rId6" w:type="default"/>
          <w:pgSz w:w="11906" w:h="16838"/>
          <w:pgMar w:top="1440" w:right="1797" w:bottom="1440" w:left="1797" w:header="851" w:footer="992" w:gutter="0"/>
          <w:cols w:space="720" w:num="1"/>
          <w:docGrid w:linePitch="312" w:charSpace="0"/>
        </w:sectPr>
      </w:pPr>
    </w:p>
    <w:p w14:paraId="68454BA2">
      <w:pPr>
        <w:spacing w:line="500" w:lineRule="exact"/>
        <w:jc w:val="center"/>
        <w:outlineLvl w:val="1"/>
        <w:rPr>
          <w:rFonts w:hint="default" w:ascii="微软雅黑" w:hAnsi="Times New Roman" w:eastAsia="微软雅黑" w:cs="Times New Roman"/>
          <w:bCs/>
          <w:color w:val="auto"/>
          <w:sz w:val="30"/>
          <w:szCs w:val="30"/>
          <w:lang w:val="en-US" w:eastAsia="zh-CN"/>
        </w:rPr>
      </w:pPr>
      <w:bookmarkStart w:id="140" w:name="_Toc169296229"/>
      <w:bookmarkStart w:id="141" w:name="_Toc1255393211"/>
      <w:bookmarkStart w:id="142" w:name="_Toc828720957"/>
      <w:bookmarkStart w:id="143" w:name="_Toc320103337"/>
      <w:bookmarkStart w:id="144" w:name="_Toc1046173163"/>
      <w:r>
        <w:rPr>
          <w:rFonts w:hint="default" w:ascii="微软雅黑" w:hAnsi="Times New Roman" w:eastAsia="微软雅黑" w:cs="Times New Roman"/>
          <w:bCs/>
          <w:color w:val="auto"/>
          <w:sz w:val="30"/>
          <w:szCs w:val="30"/>
          <w:lang w:val="en-US" w:eastAsia="zh-CN"/>
        </w:rPr>
        <w:t>九、磋商响应报价表格</w:t>
      </w:r>
      <w:bookmarkEnd w:id="140"/>
      <w:bookmarkEnd w:id="141"/>
      <w:bookmarkEnd w:id="142"/>
      <w:bookmarkEnd w:id="143"/>
      <w:bookmarkEnd w:id="144"/>
    </w:p>
    <w:p w14:paraId="457386F4">
      <w:pPr>
        <w:jc w:val="center"/>
        <w:outlineLvl w:val="2"/>
        <w:rPr>
          <w:rFonts w:hint="default" w:ascii="Times New Roman" w:hAnsi="Times New Roman" w:eastAsia="黑体" w:cs="Times New Roman"/>
          <w:b/>
          <w:bCs/>
          <w:color w:val="auto"/>
          <w:sz w:val="28"/>
          <w:szCs w:val="28"/>
          <w:lang w:eastAsia="zh-CN"/>
        </w:rPr>
      </w:pPr>
      <w:bookmarkStart w:id="145" w:name="_Toc55824951"/>
      <w:bookmarkStart w:id="146" w:name="_Toc1289935819"/>
      <w:bookmarkStart w:id="147" w:name="_Toc1320150736"/>
      <w:bookmarkStart w:id="148" w:name="_Toc562840553"/>
      <w:r>
        <w:rPr>
          <w:rFonts w:hint="default" w:ascii="Times New Roman" w:hAnsi="Times New Roman" w:eastAsia="黑体" w:cs="Times New Roman"/>
          <w:b/>
          <w:bCs/>
          <w:color w:val="auto"/>
          <w:sz w:val="28"/>
          <w:szCs w:val="28"/>
          <w:lang w:eastAsia="zh-CN"/>
        </w:rPr>
        <w:t>1</w:t>
      </w:r>
      <w:r>
        <w:rPr>
          <w:rFonts w:hint="default" w:ascii="Times New Roman" w:hAnsi="Times New Roman" w:eastAsia="黑体" w:cs="Times New Roman"/>
          <w:b/>
          <w:bCs/>
          <w:color w:val="auto"/>
          <w:sz w:val="28"/>
          <w:szCs w:val="28"/>
          <w:lang w:val="en-US" w:eastAsia="zh-CN"/>
        </w:rPr>
        <w:t xml:space="preserve">. </w:t>
      </w:r>
      <w:r>
        <w:rPr>
          <w:rFonts w:hint="default" w:ascii="Times New Roman" w:hAnsi="Times New Roman" w:eastAsia="黑体" w:cs="Times New Roman"/>
          <w:b/>
          <w:bCs/>
          <w:color w:val="auto"/>
          <w:sz w:val="28"/>
          <w:szCs w:val="28"/>
          <w:lang w:eastAsia="zh-CN"/>
        </w:rPr>
        <w:t>磋商响应主要内容汇总表</w:t>
      </w:r>
      <w:bookmarkEnd w:id="145"/>
      <w:bookmarkEnd w:id="146"/>
      <w:bookmarkEnd w:id="147"/>
      <w:bookmarkEnd w:id="148"/>
    </w:p>
    <w:p w14:paraId="7C0D1734">
      <w:pPr>
        <w:spacing w:line="500" w:lineRule="exact"/>
        <w:jc w:val="center"/>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采购编号：</w:t>
      </w:r>
      <w:r>
        <w:rPr>
          <w:rFonts w:hint="default" w:ascii="Times New Roman" w:hAnsi="Times New Roman" w:eastAsia="仿宋_GB2312" w:cs="Times New Roman"/>
          <w:b/>
          <w:bCs/>
          <w:color w:val="auto"/>
          <w:sz w:val="28"/>
          <w:szCs w:val="28"/>
          <w:u w:val="single"/>
          <w:lang w:val="en-US" w:eastAsia="zh-CN"/>
        </w:rPr>
        <w:t xml:space="preserve"> </w:t>
      </w:r>
      <w:r>
        <w:rPr>
          <w:rFonts w:ascii="Times New Roman" w:hAnsi="Times New Roman" w:eastAsia="仿宋_GB2312" w:cs="Times New Roman"/>
          <w:b/>
          <w:bCs/>
          <w:color w:val="auto"/>
          <w:sz w:val="28"/>
          <w:szCs w:val="28"/>
          <w:u w:val="single"/>
          <w:lang w:val="en-US" w:eastAsia="zh-CN"/>
        </w:rPr>
        <w:t>豫财磋商采购-2026-853</w:t>
      </w:r>
      <w:r>
        <w:rPr>
          <w:rFonts w:hint="default" w:ascii="Times New Roman" w:hAnsi="Times New Roman" w:eastAsia="仿宋_GB2312" w:cs="Times New Roman"/>
          <w:b/>
          <w:bCs/>
          <w:color w:val="auto"/>
          <w:sz w:val="28"/>
          <w:szCs w:val="28"/>
          <w:u w:val="single"/>
          <w:lang w:val="en-US" w:eastAsia="zh-CN"/>
        </w:rPr>
        <w:t xml:space="preserve"> </w:t>
      </w:r>
      <w:r>
        <w:rPr>
          <w:rFonts w:hint="default" w:ascii="Times New Roman" w:hAnsi="Times New Roman" w:eastAsia="仿宋_GB2312" w:cs="Times New Roman"/>
          <w:b/>
          <w:bCs/>
          <w:color w:val="auto"/>
          <w:sz w:val="28"/>
          <w:szCs w:val="28"/>
          <w:lang w:val="en-US" w:eastAsia="zh-CN"/>
        </w:rPr>
        <w:t xml:space="preserve">     </w:t>
      </w:r>
      <w:r>
        <w:rPr>
          <w:rFonts w:hint="default" w:ascii="Times New Roman" w:hAnsi="Times New Roman" w:eastAsia="仿宋_GB2312" w:cs="Times New Roman"/>
          <w:b/>
          <w:bCs/>
          <w:color w:val="auto"/>
          <w:sz w:val="28"/>
          <w:szCs w:val="28"/>
          <w:lang w:eastAsia="zh-CN"/>
        </w:rPr>
        <w:t>金额单位：元人民币</w:t>
      </w:r>
    </w:p>
    <w:tbl>
      <w:tblPr>
        <w:tblStyle w:val="52"/>
        <w:tblW w:w="8790"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1815"/>
        <w:gridCol w:w="6975"/>
      </w:tblGrid>
      <w:tr w14:paraId="36E15A6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7" w:hRule="atLeast"/>
          <w:jc w:val="center"/>
        </w:trPr>
        <w:tc>
          <w:tcPr>
            <w:tcW w:w="181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D401A8E">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项目名称</w:t>
            </w:r>
          </w:p>
        </w:tc>
        <w:tc>
          <w:tcPr>
            <w:tcW w:w="697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F478C62">
            <w:pPr>
              <w:spacing w:line="500" w:lineRule="exact"/>
              <w:rPr>
                <w:rFonts w:hint="default" w:ascii="Times New Roman" w:hAnsi="Times New Roman" w:eastAsia="仿宋_GB2312" w:cs="Times New Roman"/>
                <w:color w:val="auto"/>
                <w:sz w:val="28"/>
                <w:szCs w:val="28"/>
                <w:lang w:val="en-US" w:eastAsia="zh-CN"/>
              </w:rPr>
            </w:pPr>
            <w:r>
              <w:rPr>
                <w:rFonts w:ascii="Times New Roman" w:hAnsi="Times New Roman" w:eastAsia="仿宋_GB2312" w:cs="Times New Roman"/>
                <w:bCs/>
                <w:color w:val="auto"/>
                <w:kern w:val="0"/>
                <w:sz w:val="28"/>
                <w:szCs w:val="28"/>
                <w:lang w:val="en" w:eastAsia="zh-CN"/>
              </w:rPr>
              <w:t>郑州铁路职业技术学院工科基础实训室项目</w:t>
            </w:r>
          </w:p>
        </w:tc>
      </w:tr>
      <w:tr w14:paraId="0325712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7" w:hRule="atLeast"/>
          <w:jc w:val="center"/>
        </w:trPr>
        <w:tc>
          <w:tcPr>
            <w:tcW w:w="181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E56E4BB">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供应商名称</w:t>
            </w:r>
          </w:p>
        </w:tc>
        <w:tc>
          <w:tcPr>
            <w:tcW w:w="697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691D1AB">
            <w:pPr>
              <w:spacing w:line="500" w:lineRule="exact"/>
              <w:ind w:firstLine="560" w:firstLineChars="200"/>
              <w:rPr>
                <w:rFonts w:hint="default" w:ascii="Times New Roman" w:hAnsi="Times New Roman" w:eastAsia="仿宋_GB2312" w:cs="Times New Roman"/>
                <w:color w:val="auto"/>
                <w:sz w:val="28"/>
                <w:szCs w:val="28"/>
                <w:lang w:eastAsia="zh-CN"/>
              </w:rPr>
            </w:pPr>
          </w:p>
        </w:tc>
      </w:tr>
      <w:tr w14:paraId="43A520F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7" w:hRule="atLeast"/>
          <w:jc w:val="center"/>
        </w:trPr>
        <w:tc>
          <w:tcPr>
            <w:tcW w:w="181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E72AB73">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首次总报价（大写）</w:t>
            </w:r>
          </w:p>
        </w:tc>
        <w:tc>
          <w:tcPr>
            <w:tcW w:w="697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0284328">
            <w:pPr>
              <w:spacing w:line="500" w:lineRule="exact"/>
              <w:ind w:firstLine="560" w:firstLineChars="200"/>
              <w:rPr>
                <w:rFonts w:hint="default" w:ascii="Times New Roman" w:hAnsi="Times New Roman" w:eastAsia="仿宋_GB2312" w:cs="Times New Roman"/>
                <w:color w:val="auto"/>
                <w:sz w:val="28"/>
                <w:szCs w:val="28"/>
                <w:lang w:eastAsia="zh-CN"/>
              </w:rPr>
            </w:pPr>
          </w:p>
        </w:tc>
      </w:tr>
      <w:tr w14:paraId="3B7A398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7" w:hRule="atLeast"/>
          <w:jc w:val="center"/>
        </w:trPr>
        <w:tc>
          <w:tcPr>
            <w:tcW w:w="181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0EF3A04">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首次总报价（小写）</w:t>
            </w:r>
          </w:p>
        </w:tc>
        <w:tc>
          <w:tcPr>
            <w:tcW w:w="697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4917674">
            <w:pPr>
              <w:spacing w:line="500" w:lineRule="exact"/>
              <w:ind w:firstLine="560" w:firstLineChars="200"/>
              <w:rPr>
                <w:rFonts w:hint="default" w:ascii="Times New Roman" w:hAnsi="Times New Roman" w:eastAsia="仿宋_GB2312" w:cs="Times New Roman"/>
                <w:color w:val="auto"/>
                <w:sz w:val="28"/>
                <w:szCs w:val="28"/>
                <w:lang w:eastAsia="zh-CN"/>
              </w:rPr>
            </w:pPr>
          </w:p>
        </w:tc>
      </w:tr>
      <w:tr w14:paraId="7E3CBAD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7" w:hRule="atLeast"/>
          <w:jc w:val="center"/>
        </w:trPr>
        <w:tc>
          <w:tcPr>
            <w:tcW w:w="181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AFDAD68">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交货期</w:t>
            </w:r>
          </w:p>
        </w:tc>
        <w:tc>
          <w:tcPr>
            <w:tcW w:w="697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0F265EB">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合同签订后</w:t>
            </w:r>
            <w:r>
              <w:rPr>
                <w:rFonts w:ascii="Times New Roman" w:hAnsi="Times New Roman" w:eastAsia="仿宋_GB2312" w:cs="Times New Roman"/>
                <w:color w:val="auto"/>
                <w:sz w:val="28"/>
                <w:szCs w:val="28"/>
                <w:lang w:val="en-US" w:eastAsia="zh-CN"/>
              </w:rPr>
              <w:t>10</w:t>
            </w:r>
            <w:r>
              <w:rPr>
                <w:rFonts w:hint="default" w:ascii="Times New Roman" w:hAnsi="Times New Roman" w:eastAsia="仿宋_GB2312" w:cs="Times New Roman"/>
                <w:color w:val="auto"/>
                <w:sz w:val="28"/>
                <w:szCs w:val="28"/>
                <w:lang w:val="en-US" w:eastAsia="zh-CN"/>
              </w:rPr>
              <w:t>个日历日内完成本项目的供货、安装及调试。</w:t>
            </w:r>
          </w:p>
        </w:tc>
      </w:tr>
      <w:tr w14:paraId="1C6282D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7" w:hRule="atLeast"/>
          <w:jc w:val="center"/>
        </w:trPr>
        <w:tc>
          <w:tcPr>
            <w:tcW w:w="181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AD9AFF6">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交货地点</w:t>
            </w:r>
          </w:p>
        </w:tc>
        <w:tc>
          <w:tcPr>
            <w:tcW w:w="697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C405DFE">
            <w:pPr>
              <w:spacing w:line="500" w:lineRule="exact"/>
              <w:rPr>
                <w:rFonts w:hint="default" w:ascii="Times New Roman" w:hAnsi="Times New Roman" w:eastAsia="仿宋_GB2312" w:cs="Times New Roman"/>
                <w:color w:val="auto"/>
                <w:sz w:val="28"/>
                <w:szCs w:val="28"/>
                <w:lang w:val="en-US" w:eastAsia="zh-CN"/>
              </w:rPr>
            </w:pPr>
            <w:r>
              <w:rPr>
                <w:rFonts w:ascii="Times New Roman" w:hAnsi="Times New Roman" w:eastAsia="仿宋_GB2312" w:cs="Times New Roman"/>
                <w:bCs/>
                <w:color w:val="auto"/>
                <w:kern w:val="0"/>
                <w:sz w:val="28"/>
                <w:szCs w:val="28"/>
                <w:lang w:val="en" w:eastAsia="zh-CN"/>
              </w:rPr>
              <w:t>郑州铁路职业技术学院</w:t>
            </w:r>
            <w:r>
              <w:rPr>
                <w:rFonts w:ascii="仿宋_GB2312" w:hAnsi="仿宋_GB2312" w:eastAsia="仿宋_GB2312" w:cs="仿宋_GB2312"/>
                <w:bCs/>
                <w:color w:val="auto"/>
                <w:kern w:val="0"/>
                <w:sz w:val="28"/>
                <w:szCs w:val="28"/>
                <w:lang w:val="en-US" w:eastAsia="zh-CN"/>
              </w:rPr>
              <w:t>兰考校区（</w:t>
            </w:r>
            <w:r>
              <w:rPr>
                <w:rFonts w:ascii="Times New Roman" w:hAnsi="Times New Roman" w:eastAsia="仿宋_GB2312" w:cs="Times New Roman"/>
                <w:color w:val="auto"/>
                <w:sz w:val="28"/>
                <w:szCs w:val="28"/>
                <w:lang w:val="en-US" w:eastAsia="zh-CN"/>
              </w:rPr>
              <w:t>河南省开封市兰考县中州路与慧明路交叉口西460米</w:t>
            </w:r>
            <w:r>
              <w:rPr>
                <w:rFonts w:ascii="仿宋_GB2312" w:hAnsi="仿宋_GB2312" w:eastAsia="仿宋_GB2312" w:cs="仿宋_GB2312"/>
                <w:bCs/>
                <w:color w:val="auto"/>
                <w:kern w:val="0"/>
                <w:sz w:val="28"/>
                <w:szCs w:val="28"/>
                <w:lang w:val="en-US" w:eastAsia="zh-CN"/>
              </w:rPr>
              <w:t>）</w:t>
            </w:r>
          </w:p>
        </w:tc>
      </w:tr>
      <w:tr w14:paraId="30F6A09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7" w:hRule="atLeast"/>
          <w:jc w:val="center"/>
        </w:trPr>
        <w:tc>
          <w:tcPr>
            <w:tcW w:w="181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A43047F">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质量保证期</w:t>
            </w:r>
          </w:p>
        </w:tc>
        <w:tc>
          <w:tcPr>
            <w:tcW w:w="697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810360E">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PMingLiU" w:cs="Times New Roman"/>
                <w:color w:val="auto"/>
                <w:sz w:val="28"/>
                <w:szCs w:val="28"/>
                <w:u w:val="single"/>
                <w:lang w:eastAsia="zh-CN"/>
              </w:rPr>
              <w:t>5</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年</w:t>
            </w:r>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eastAsia="zh-CN"/>
              </w:rPr>
              <w:t>从验收合格之日起开始计算</w:t>
            </w:r>
          </w:p>
        </w:tc>
      </w:tr>
      <w:tr w14:paraId="2CDBB29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7" w:hRule="atLeast"/>
          <w:jc w:val="center"/>
        </w:trPr>
        <w:tc>
          <w:tcPr>
            <w:tcW w:w="181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07B6ABF">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响应文件有效期</w:t>
            </w:r>
          </w:p>
        </w:tc>
        <w:tc>
          <w:tcPr>
            <w:tcW w:w="697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9BAC31B">
            <w:pPr>
              <w:spacing w:line="500" w:lineRule="exact"/>
              <w:rPr>
                <w:rFonts w:hint="default" w:ascii="Times New Roman" w:hAnsi="Times New Roman" w:eastAsia="仿宋_GB2312" w:cs="Times New Roman"/>
                <w:color w:val="auto"/>
                <w:sz w:val="28"/>
                <w:szCs w:val="28"/>
                <w:lang w:val="en" w:eastAsia="zh-CN"/>
              </w:rPr>
            </w:pPr>
            <w:r>
              <w:rPr>
                <w:rFonts w:hint="default" w:ascii="Times New Roman" w:hAnsi="Times New Roman" w:eastAsia="仿宋_GB2312" w:cs="Times New Roman"/>
                <w:color w:val="auto"/>
                <w:sz w:val="28"/>
                <w:szCs w:val="28"/>
                <w:lang w:val="en" w:eastAsia="zh-CN"/>
              </w:rPr>
              <w:t>自响应文件提交截止时间起60天</w:t>
            </w:r>
          </w:p>
        </w:tc>
      </w:tr>
      <w:tr w14:paraId="0BF21DE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7" w:hRule="atLeast"/>
          <w:jc w:val="center"/>
        </w:trPr>
        <w:tc>
          <w:tcPr>
            <w:tcW w:w="181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35FDAD0">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付款方式</w:t>
            </w:r>
          </w:p>
        </w:tc>
        <w:tc>
          <w:tcPr>
            <w:tcW w:w="697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F5A0803">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满足采购人要求</w:t>
            </w:r>
          </w:p>
        </w:tc>
      </w:tr>
      <w:tr w14:paraId="5D41DDD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7" w:hRule="atLeast"/>
          <w:jc w:val="center"/>
        </w:trPr>
        <w:tc>
          <w:tcPr>
            <w:tcW w:w="181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27177E6">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合同条款</w:t>
            </w:r>
          </w:p>
        </w:tc>
        <w:tc>
          <w:tcPr>
            <w:tcW w:w="697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611A05D">
            <w:pPr>
              <w:spacing w:line="50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满足采购人要求</w:t>
            </w:r>
          </w:p>
        </w:tc>
      </w:tr>
      <w:tr w14:paraId="300E9BE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31" w:hRule="atLeast"/>
          <w:jc w:val="center"/>
        </w:trPr>
        <w:tc>
          <w:tcPr>
            <w:tcW w:w="181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2E9251A">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其他声明</w:t>
            </w:r>
          </w:p>
        </w:tc>
        <w:tc>
          <w:tcPr>
            <w:tcW w:w="697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5412AAB">
            <w:pPr>
              <w:spacing w:line="500" w:lineRule="exact"/>
              <w:ind w:firstLine="560" w:firstLineChars="200"/>
              <w:rPr>
                <w:rFonts w:hint="default" w:ascii="Times New Roman" w:hAnsi="Times New Roman" w:eastAsia="仿宋_GB2312" w:cs="Times New Roman"/>
                <w:color w:val="auto"/>
                <w:sz w:val="28"/>
                <w:szCs w:val="28"/>
                <w:lang w:eastAsia="zh-CN"/>
              </w:rPr>
            </w:pPr>
          </w:p>
        </w:tc>
      </w:tr>
    </w:tbl>
    <w:p w14:paraId="3B7F5564">
      <w:pPr>
        <w:widowControl w:val="0"/>
        <w:jc w:val="center"/>
        <w:rPr>
          <w:rFonts w:hint="default" w:ascii="Times New Roman" w:hAnsi="Times New Roman" w:eastAsia="仿宋_GB2312" w:cs="Times New Roman"/>
          <w:color w:val="auto"/>
          <w:sz w:val="28"/>
          <w:szCs w:val="28"/>
        </w:rPr>
      </w:pPr>
    </w:p>
    <w:p w14:paraId="1EFBB5D2">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供应商（企业电子签章）：</w:t>
      </w:r>
    </w:p>
    <w:p w14:paraId="397B009F">
      <w:pPr>
        <w:spacing w:line="500" w:lineRule="exact"/>
        <w:ind w:firstLine="560" w:firstLineChars="200"/>
        <w:rPr>
          <w:rFonts w:hint="default" w:ascii="Times New Roman" w:hAnsi="Times New Roman" w:eastAsia="黑体" w:cs="Times New Roman"/>
          <w:color w:val="auto"/>
          <w:sz w:val="28"/>
          <w:szCs w:val="28"/>
          <w:lang w:val="en-US" w:eastAsia="zh-CN"/>
        </w:rPr>
        <w:sectPr>
          <w:headerReference r:id="rId7" w:type="default"/>
          <w:footerReference r:id="rId8" w:type="default"/>
          <w:pgSz w:w="11900" w:h="16840"/>
          <w:pgMar w:top="1440" w:right="1800" w:bottom="1440" w:left="1800" w:header="851" w:footer="992" w:gutter="0"/>
          <w:cols w:space="720" w:num="1"/>
        </w:sectPr>
      </w:pPr>
      <w:r>
        <w:rPr>
          <w:rFonts w:hint="default" w:ascii="Times New Roman" w:hAnsi="Times New Roman" w:eastAsia="仿宋_GB2312" w:cs="Times New Roman"/>
          <w:color w:val="auto"/>
          <w:sz w:val="28"/>
          <w:szCs w:val="28"/>
          <w:lang w:val="en-US" w:eastAsia="zh-CN"/>
        </w:rPr>
        <w:t>法定代表人（个人电子签章）：</w:t>
      </w:r>
      <w:bookmarkStart w:id="149" w:name="_Toc145274497"/>
      <w:bookmarkStart w:id="150" w:name="_Toc1752312956"/>
      <w:bookmarkStart w:id="151" w:name="_Toc1901647701"/>
      <w:bookmarkStart w:id="152" w:name="_Toc1593252031"/>
    </w:p>
    <w:p w14:paraId="3ED3AA9B">
      <w:pPr>
        <w:pStyle w:val="4"/>
        <w:spacing w:before="0" w:after="0" w:line="360" w:lineRule="auto"/>
        <w:jc w:val="center"/>
        <w:rPr>
          <w:rFonts w:hint="default" w:ascii="Times New Roman" w:hAnsi="Times New Roman" w:eastAsia="黑体" w:cs="Times New Roman"/>
          <w:color w:val="auto"/>
          <w:sz w:val="28"/>
          <w:szCs w:val="28"/>
          <w:lang w:eastAsia="zh-CN"/>
        </w:rPr>
      </w:pPr>
      <w:bookmarkStart w:id="153" w:name="_Toc2036135302"/>
      <w:bookmarkStart w:id="154" w:name="_Toc842364303"/>
      <w:bookmarkStart w:id="155" w:name="_Toc189277313"/>
      <w:bookmarkStart w:id="156" w:name="_Toc517460750"/>
      <w:r>
        <w:rPr>
          <w:rFonts w:hint="default" w:ascii="Times New Roman" w:hAnsi="Times New Roman" w:eastAsia="黑体" w:cs="Times New Roman"/>
          <w:color w:val="auto"/>
          <w:sz w:val="28"/>
          <w:szCs w:val="28"/>
          <w:lang w:val="en-US" w:eastAsia="zh-CN"/>
        </w:rPr>
        <w:t>2.</w:t>
      </w:r>
      <w:r>
        <w:rPr>
          <w:rFonts w:hint="default" w:ascii="Times New Roman" w:hAnsi="Times New Roman" w:eastAsia="黑体" w:cs="Times New Roman"/>
          <w:color w:val="auto"/>
          <w:sz w:val="28"/>
          <w:szCs w:val="28"/>
          <w:lang w:val="en" w:eastAsia="zh-CN"/>
        </w:rPr>
        <w:t xml:space="preserve"> </w:t>
      </w:r>
      <w:bookmarkEnd w:id="129"/>
      <w:bookmarkEnd w:id="130"/>
      <w:bookmarkEnd w:id="149"/>
      <w:bookmarkEnd w:id="150"/>
      <w:bookmarkEnd w:id="151"/>
      <w:bookmarkEnd w:id="152"/>
      <w:bookmarkEnd w:id="153"/>
      <w:bookmarkEnd w:id="154"/>
      <w:bookmarkEnd w:id="155"/>
      <w:bookmarkEnd w:id="156"/>
      <w:r>
        <w:rPr>
          <w:rFonts w:hint="default" w:ascii="Times New Roman" w:hAnsi="Times New Roman" w:eastAsia="黑体" w:cs="Times New Roman"/>
          <w:color w:val="auto"/>
          <w:sz w:val="28"/>
          <w:szCs w:val="28"/>
          <w:lang w:eastAsia="zh-CN"/>
        </w:rPr>
        <w:t>磋商响应分项报价表</w:t>
      </w:r>
      <w:r>
        <w:rPr>
          <w:rFonts w:ascii="Times New Roman" w:hAnsi="Times New Roman" w:eastAsia="黑体" w:cs="Times New Roman"/>
          <w:color w:val="auto"/>
          <w:sz w:val="28"/>
          <w:szCs w:val="28"/>
          <w:lang w:eastAsia="zh-CN"/>
        </w:rPr>
        <w:t xml:space="preserve"> </w:t>
      </w:r>
    </w:p>
    <w:bookmarkEnd w:id="131"/>
    <w:bookmarkEnd w:id="132"/>
    <w:bookmarkEnd w:id="133"/>
    <w:bookmarkEnd w:id="134"/>
    <w:p w14:paraId="5944C3CA">
      <w:pPr>
        <w:pStyle w:val="24"/>
        <w:spacing w:line="360" w:lineRule="auto"/>
        <w:ind w:left="269" w:leftChars="128"/>
        <w:jc w:val="left"/>
        <w:rPr>
          <w:rFonts w:ascii="Times New Roman" w:hAnsi="Times New Roman" w:eastAsia="仿宋_GB2312"/>
          <w:bCs/>
          <w:sz w:val="28"/>
          <w:szCs w:val="28"/>
          <w:lang w:val="en"/>
        </w:rPr>
      </w:pPr>
      <w:r>
        <w:rPr>
          <w:rFonts w:ascii="Times New Roman" w:hAnsi="Times New Roman" w:eastAsia="仿宋_GB2312"/>
          <w:kern w:val="2"/>
          <w:sz w:val="28"/>
          <w:szCs w:val="28"/>
        </w:rPr>
        <w:t>项目名称：</w:t>
      </w:r>
      <w:r>
        <w:rPr>
          <w:rFonts w:hint="eastAsia" w:ascii="Times New Roman" w:hAnsi="Times New Roman" w:eastAsia="仿宋_GB2312"/>
          <w:bCs/>
          <w:sz w:val="28"/>
          <w:szCs w:val="28"/>
          <w:lang w:val="en"/>
        </w:rPr>
        <w:t>郑州铁路职业技术学院工科基础实训室项目</w:t>
      </w:r>
    </w:p>
    <w:p w14:paraId="3E180129">
      <w:pPr>
        <w:pStyle w:val="24"/>
        <w:spacing w:line="360" w:lineRule="auto"/>
        <w:ind w:left="269" w:leftChars="128"/>
        <w:jc w:val="left"/>
        <w:rPr>
          <w:rFonts w:ascii="Times New Roman" w:hAnsi="Times New Roman" w:eastAsia="仿宋_GB2312"/>
          <w:kern w:val="2"/>
          <w:sz w:val="28"/>
          <w:szCs w:val="28"/>
        </w:rPr>
      </w:pPr>
      <w:r>
        <w:rPr>
          <w:rFonts w:ascii="Times New Roman" w:hAnsi="Times New Roman" w:eastAsia="仿宋_GB2312"/>
          <w:kern w:val="2"/>
          <w:sz w:val="28"/>
          <w:szCs w:val="28"/>
        </w:rPr>
        <w:t>采购编号：</w:t>
      </w:r>
      <w:r>
        <w:rPr>
          <w:rFonts w:hint="eastAsia" w:ascii="Times New Roman" w:hAnsi="Times New Roman" w:eastAsia="仿宋_GB2312"/>
          <w:kern w:val="2"/>
          <w:sz w:val="28"/>
          <w:szCs w:val="28"/>
          <w:u w:val="single"/>
        </w:rPr>
        <w:t>豫财磋商采购-2026-853</w:t>
      </w:r>
      <w:r>
        <w:rPr>
          <w:rFonts w:ascii="Times New Roman" w:hAnsi="Times New Roman" w:eastAsia="仿宋_GB2312"/>
          <w:kern w:val="2"/>
          <w:sz w:val="28"/>
          <w:szCs w:val="28"/>
        </w:rPr>
        <w:t xml:space="preserve">                                报价单位：</w:t>
      </w:r>
      <w:r>
        <w:rPr>
          <w:rFonts w:ascii="Times New Roman" w:hAnsi="Times New Roman" w:eastAsia="仿宋_GB2312"/>
          <w:kern w:val="2"/>
          <w:sz w:val="28"/>
          <w:szCs w:val="28"/>
          <w:u w:val="single"/>
        </w:rPr>
        <w:t>人民币元</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5"/>
        <w:gridCol w:w="2812"/>
        <w:gridCol w:w="1087"/>
        <w:gridCol w:w="1641"/>
        <w:gridCol w:w="1004"/>
        <w:gridCol w:w="1246"/>
        <w:gridCol w:w="2273"/>
        <w:gridCol w:w="810"/>
        <w:gridCol w:w="1094"/>
        <w:gridCol w:w="1100"/>
      </w:tblGrid>
      <w:tr w14:paraId="02602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025" w:type="dxa"/>
            <w:vAlign w:val="center"/>
          </w:tcPr>
          <w:p w14:paraId="39F1677F">
            <w:pPr>
              <w:spacing w:line="500" w:lineRule="exact"/>
              <w:jc w:val="center"/>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序号</w:t>
            </w:r>
          </w:p>
        </w:tc>
        <w:tc>
          <w:tcPr>
            <w:tcW w:w="2812" w:type="dxa"/>
            <w:vAlign w:val="center"/>
          </w:tcPr>
          <w:p w14:paraId="7D1C58A9">
            <w:pPr>
              <w:spacing w:line="500" w:lineRule="exact"/>
              <w:jc w:val="center"/>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名称</w:t>
            </w:r>
          </w:p>
        </w:tc>
        <w:tc>
          <w:tcPr>
            <w:tcW w:w="1087" w:type="dxa"/>
            <w:vAlign w:val="center"/>
          </w:tcPr>
          <w:p w14:paraId="43825051">
            <w:pPr>
              <w:spacing w:line="500" w:lineRule="exact"/>
              <w:jc w:val="center"/>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品牌</w:t>
            </w:r>
          </w:p>
        </w:tc>
        <w:tc>
          <w:tcPr>
            <w:tcW w:w="1641" w:type="dxa"/>
            <w:vAlign w:val="center"/>
          </w:tcPr>
          <w:p w14:paraId="79501641">
            <w:pPr>
              <w:spacing w:line="500" w:lineRule="exact"/>
              <w:jc w:val="center"/>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型号和规格</w:t>
            </w:r>
          </w:p>
        </w:tc>
        <w:tc>
          <w:tcPr>
            <w:tcW w:w="1004" w:type="dxa"/>
            <w:vAlign w:val="center"/>
          </w:tcPr>
          <w:p w14:paraId="1072ABDC">
            <w:pPr>
              <w:spacing w:line="500" w:lineRule="exact"/>
              <w:jc w:val="center"/>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数量</w:t>
            </w:r>
          </w:p>
        </w:tc>
        <w:tc>
          <w:tcPr>
            <w:tcW w:w="1246" w:type="dxa"/>
            <w:vAlign w:val="center"/>
          </w:tcPr>
          <w:p w14:paraId="1A37CE4C">
            <w:pPr>
              <w:spacing w:line="500" w:lineRule="exact"/>
              <w:jc w:val="center"/>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原产地</w:t>
            </w:r>
          </w:p>
        </w:tc>
        <w:tc>
          <w:tcPr>
            <w:tcW w:w="2273" w:type="dxa"/>
            <w:vAlign w:val="center"/>
          </w:tcPr>
          <w:p w14:paraId="69F1F600">
            <w:pPr>
              <w:spacing w:line="500" w:lineRule="exact"/>
              <w:jc w:val="center"/>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制造商</w:t>
            </w:r>
          </w:p>
          <w:p w14:paraId="02774747">
            <w:pPr>
              <w:spacing w:line="500" w:lineRule="exact"/>
              <w:jc w:val="center"/>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（服务商）名称</w:t>
            </w:r>
          </w:p>
        </w:tc>
        <w:tc>
          <w:tcPr>
            <w:tcW w:w="810" w:type="dxa"/>
            <w:vAlign w:val="center"/>
          </w:tcPr>
          <w:p w14:paraId="34F62A23">
            <w:pPr>
              <w:spacing w:line="500" w:lineRule="exact"/>
              <w:jc w:val="center"/>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单价</w:t>
            </w:r>
          </w:p>
        </w:tc>
        <w:tc>
          <w:tcPr>
            <w:tcW w:w="1094" w:type="dxa"/>
            <w:vAlign w:val="center"/>
          </w:tcPr>
          <w:p w14:paraId="62BB5529">
            <w:pPr>
              <w:spacing w:line="500" w:lineRule="exact"/>
              <w:jc w:val="center"/>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总价</w:t>
            </w:r>
          </w:p>
        </w:tc>
        <w:tc>
          <w:tcPr>
            <w:tcW w:w="1100" w:type="dxa"/>
            <w:vAlign w:val="center"/>
          </w:tcPr>
          <w:p w14:paraId="47BEEB92">
            <w:pPr>
              <w:spacing w:line="500" w:lineRule="exact"/>
              <w:jc w:val="center"/>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备注</w:t>
            </w:r>
          </w:p>
        </w:tc>
      </w:tr>
      <w:tr w14:paraId="37D4A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025" w:type="dxa"/>
            <w:vAlign w:val="center"/>
          </w:tcPr>
          <w:p w14:paraId="3E995E35">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1</w:t>
            </w:r>
          </w:p>
        </w:tc>
        <w:tc>
          <w:tcPr>
            <w:tcW w:w="2812" w:type="dxa"/>
            <w:vAlign w:val="center"/>
          </w:tcPr>
          <w:p w14:paraId="1CBFFA50">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货物名称</w:t>
            </w:r>
          </w:p>
        </w:tc>
        <w:tc>
          <w:tcPr>
            <w:tcW w:w="1087" w:type="dxa"/>
          </w:tcPr>
          <w:p w14:paraId="0BF29E7D">
            <w:pPr>
              <w:spacing w:line="500" w:lineRule="exact"/>
              <w:jc w:val="center"/>
              <w:rPr>
                <w:rFonts w:hint="default" w:ascii="Times New Roman" w:hAnsi="Times New Roman" w:eastAsia="仿宋_GB2312" w:cs="Times New Roman"/>
                <w:color w:val="auto"/>
                <w:sz w:val="28"/>
                <w:szCs w:val="28"/>
                <w:lang w:eastAsia="zh-CN"/>
              </w:rPr>
            </w:pPr>
          </w:p>
        </w:tc>
        <w:tc>
          <w:tcPr>
            <w:tcW w:w="1641" w:type="dxa"/>
            <w:vAlign w:val="center"/>
          </w:tcPr>
          <w:p w14:paraId="75B6E990">
            <w:pPr>
              <w:spacing w:line="500" w:lineRule="exact"/>
              <w:jc w:val="center"/>
              <w:rPr>
                <w:rFonts w:hint="default" w:ascii="Times New Roman" w:hAnsi="Times New Roman" w:eastAsia="仿宋_GB2312" w:cs="Times New Roman"/>
                <w:color w:val="auto"/>
                <w:sz w:val="28"/>
                <w:szCs w:val="28"/>
                <w:lang w:eastAsia="zh-CN"/>
              </w:rPr>
            </w:pPr>
          </w:p>
        </w:tc>
        <w:tc>
          <w:tcPr>
            <w:tcW w:w="1004" w:type="dxa"/>
            <w:vAlign w:val="center"/>
          </w:tcPr>
          <w:p w14:paraId="052B3672">
            <w:pPr>
              <w:spacing w:line="500" w:lineRule="exact"/>
              <w:jc w:val="center"/>
              <w:rPr>
                <w:rFonts w:hint="default" w:ascii="Times New Roman" w:hAnsi="Times New Roman" w:eastAsia="仿宋_GB2312" w:cs="Times New Roman"/>
                <w:color w:val="auto"/>
                <w:sz w:val="28"/>
                <w:szCs w:val="28"/>
                <w:lang w:eastAsia="zh-CN"/>
              </w:rPr>
            </w:pPr>
          </w:p>
        </w:tc>
        <w:tc>
          <w:tcPr>
            <w:tcW w:w="1246" w:type="dxa"/>
            <w:vAlign w:val="center"/>
          </w:tcPr>
          <w:p w14:paraId="65D47413">
            <w:pPr>
              <w:spacing w:line="500" w:lineRule="exact"/>
              <w:jc w:val="center"/>
              <w:rPr>
                <w:rFonts w:hint="default" w:ascii="Times New Roman" w:hAnsi="Times New Roman" w:eastAsia="仿宋_GB2312" w:cs="Times New Roman"/>
                <w:color w:val="auto"/>
                <w:sz w:val="28"/>
                <w:szCs w:val="28"/>
                <w:lang w:eastAsia="zh-CN"/>
              </w:rPr>
            </w:pPr>
          </w:p>
        </w:tc>
        <w:tc>
          <w:tcPr>
            <w:tcW w:w="2273" w:type="dxa"/>
            <w:vAlign w:val="center"/>
          </w:tcPr>
          <w:p w14:paraId="2275F3BE">
            <w:pPr>
              <w:spacing w:line="500" w:lineRule="exact"/>
              <w:jc w:val="center"/>
              <w:rPr>
                <w:rFonts w:hint="default" w:ascii="Times New Roman" w:hAnsi="Times New Roman" w:eastAsia="仿宋_GB2312" w:cs="Times New Roman"/>
                <w:color w:val="auto"/>
                <w:sz w:val="28"/>
                <w:szCs w:val="28"/>
                <w:lang w:eastAsia="zh-CN"/>
              </w:rPr>
            </w:pPr>
          </w:p>
        </w:tc>
        <w:tc>
          <w:tcPr>
            <w:tcW w:w="810" w:type="dxa"/>
            <w:vAlign w:val="center"/>
          </w:tcPr>
          <w:p w14:paraId="221476A6">
            <w:pPr>
              <w:spacing w:line="500" w:lineRule="exact"/>
              <w:jc w:val="center"/>
              <w:rPr>
                <w:rFonts w:hint="default" w:ascii="Times New Roman" w:hAnsi="Times New Roman" w:eastAsia="仿宋_GB2312" w:cs="Times New Roman"/>
                <w:color w:val="auto"/>
                <w:sz w:val="28"/>
                <w:szCs w:val="28"/>
                <w:lang w:eastAsia="zh-CN"/>
              </w:rPr>
            </w:pPr>
          </w:p>
        </w:tc>
        <w:tc>
          <w:tcPr>
            <w:tcW w:w="1094" w:type="dxa"/>
            <w:vAlign w:val="center"/>
          </w:tcPr>
          <w:p w14:paraId="061881BE">
            <w:pPr>
              <w:spacing w:line="500" w:lineRule="exact"/>
              <w:jc w:val="center"/>
              <w:rPr>
                <w:rFonts w:hint="default" w:ascii="Times New Roman" w:hAnsi="Times New Roman" w:eastAsia="仿宋_GB2312" w:cs="Times New Roman"/>
                <w:color w:val="auto"/>
                <w:sz w:val="28"/>
                <w:szCs w:val="28"/>
                <w:lang w:eastAsia="zh-CN"/>
              </w:rPr>
            </w:pPr>
          </w:p>
        </w:tc>
        <w:tc>
          <w:tcPr>
            <w:tcW w:w="1100" w:type="dxa"/>
            <w:vAlign w:val="center"/>
          </w:tcPr>
          <w:p w14:paraId="75361BC7">
            <w:pPr>
              <w:spacing w:line="500" w:lineRule="exact"/>
              <w:jc w:val="center"/>
              <w:rPr>
                <w:rFonts w:hint="default" w:ascii="Times New Roman" w:hAnsi="Times New Roman" w:eastAsia="仿宋_GB2312" w:cs="Times New Roman"/>
                <w:color w:val="auto"/>
                <w:sz w:val="28"/>
                <w:szCs w:val="28"/>
                <w:lang w:eastAsia="zh-CN"/>
              </w:rPr>
            </w:pPr>
          </w:p>
        </w:tc>
      </w:tr>
      <w:tr w14:paraId="66235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025" w:type="dxa"/>
            <w:vAlign w:val="center"/>
          </w:tcPr>
          <w:p w14:paraId="73E26FD8">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w:t>
            </w:r>
          </w:p>
        </w:tc>
        <w:tc>
          <w:tcPr>
            <w:tcW w:w="2812" w:type="dxa"/>
            <w:vAlign w:val="center"/>
          </w:tcPr>
          <w:p w14:paraId="50E99C51">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备品备件</w:t>
            </w:r>
          </w:p>
        </w:tc>
        <w:tc>
          <w:tcPr>
            <w:tcW w:w="1087" w:type="dxa"/>
          </w:tcPr>
          <w:p w14:paraId="2D1EAA2A">
            <w:pPr>
              <w:spacing w:line="500" w:lineRule="exact"/>
              <w:jc w:val="center"/>
              <w:rPr>
                <w:rFonts w:hint="default" w:ascii="Times New Roman" w:hAnsi="Times New Roman" w:eastAsia="仿宋_GB2312" w:cs="Times New Roman"/>
                <w:color w:val="auto"/>
                <w:sz w:val="28"/>
                <w:szCs w:val="28"/>
                <w:lang w:eastAsia="zh-CN"/>
              </w:rPr>
            </w:pPr>
          </w:p>
        </w:tc>
        <w:tc>
          <w:tcPr>
            <w:tcW w:w="1641" w:type="dxa"/>
            <w:vAlign w:val="center"/>
          </w:tcPr>
          <w:p w14:paraId="0C72E5D4">
            <w:pPr>
              <w:spacing w:line="500" w:lineRule="exact"/>
              <w:jc w:val="center"/>
              <w:rPr>
                <w:rFonts w:hint="default" w:ascii="Times New Roman" w:hAnsi="Times New Roman" w:eastAsia="仿宋_GB2312" w:cs="Times New Roman"/>
                <w:color w:val="auto"/>
                <w:sz w:val="28"/>
                <w:szCs w:val="28"/>
                <w:lang w:eastAsia="zh-CN"/>
              </w:rPr>
            </w:pPr>
          </w:p>
        </w:tc>
        <w:tc>
          <w:tcPr>
            <w:tcW w:w="1004" w:type="dxa"/>
            <w:vAlign w:val="center"/>
          </w:tcPr>
          <w:p w14:paraId="2EE79DF4">
            <w:pPr>
              <w:spacing w:line="500" w:lineRule="exact"/>
              <w:jc w:val="center"/>
              <w:rPr>
                <w:rFonts w:hint="default" w:ascii="Times New Roman" w:hAnsi="Times New Roman" w:eastAsia="仿宋_GB2312" w:cs="Times New Roman"/>
                <w:color w:val="auto"/>
                <w:sz w:val="28"/>
                <w:szCs w:val="28"/>
                <w:lang w:eastAsia="zh-CN"/>
              </w:rPr>
            </w:pPr>
          </w:p>
        </w:tc>
        <w:tc>
          <w:tcPr>
            <w:tcW w:w="1246" w:type="dxa"/>
            <w:vAlign w:val="center"/>
          </w:tcPr>
          <w:p w14:paraId="06A36C5E">
            <w:pPr>
              <w:spacing w:line="500" w:lineRule="exact"/>
              <w:jc w:val="center"/>
              <w:rPr>
                <w:rFonts w:hint="default" w:ascii="Times New Roman" w:hAnsi="Times New Roman" w:eastAsia="仿宋_GB2312" w:cs="Times New Roman"/>
                <w:color w:val="auto"/>
                <w:sz w:val="28"/>
                <w:szCs w:val="28"/>
                <w:lang w:eastAsia="zh-CN"/>
              </w:rPr>
            </w:pPr>
          </w:p>
        </w:tc>
        <w:tc>
          <w:tcPr>
            <w:tcW w:w="2273" w:type="dxa"/>
            <w:vAlign w:val="center"/>
          </w:tcPr>
          <w:p w14:paraId="4680F3A4">
            <w:pPr>
              <w:spacing w:line="500" w:lineRule="exact"/>
              <w:jc w:val="center"/>
              <w:rPr>
                <w:rFonts w:hint="default" w:ascii="Times New Roman" w:hAnsi="Times New Roman" w:eastAsia="仿宋_GB2312" w:cs="Times New Roman"/>
                <w:color w:val="auto"/>
                <w:sz w:val="28"/>
                <w:szCs w:val="28"/>
                <w:lang w:eastAsia="zh-CN"/>
              </w:rPr>
            </w:pPr>
          </w:p>
        </w:tc>
        <w:tc>
          <w:tcPr>
            <w:tcW w:w="810" w:type="dxa"/>
            <w:vAlign w:val="center"/>
          </w:tcPr>
          <w:p w14:paraId="5C0FBBD5">
            <w:pPr>
              <w:spacing w:line="500" w:lineRule="exact"/>
              <w:jc w:val="center"/>
              <w:rPr>
                <w:rFonts w:hint="default" w:ascii="Times New Roman" w:hAnsi="Times New Roman" w:eastAsia="仿宋_GB2312" w:cs="Times New Roman"/>
                <w:color w:val="auto"/>
                <w:sz w:val="28"/>
                <w:szCs w:val="28"/>
                <w:lang w:eastAsia="zh-CN"/>
              </w:rPr>
            </w:pPr>
          </w:p>
        </w:tc>
        <w:tc>
          <w:tcPr>
            <w:tcW w:w="1094" w:type="dxa"/>
            <w:vAlign w:val="center"/>
          </w:tcPr>
          <w:p w14:paraId="62A5D1BD">
            <w:pPr>
              <w:spacing w:line="500" w:lineRule="exact"/>
              <w:jc w:val="center"/>
              <w:rPr>
                <w:rFonts w:hint="default" w:ascii="Times New Roman" w:hAnsi="Times New Roman" w:eastAsia="仿宋_GB2312" w:cs="Times New Roman"/>
                <w:color w:val="auto"/>
                <w:sz w:val="28"/>
                <w:szCs w:val="28"/>
                <w:lang w:eastAsia="zh-CN"/>
              </w:rPr>
            </w:pPr>
          </w:p>
        </w:tc>
        <w:tc>
          <w:tcPr>
            <w:tcW w:w="1100" w:type="dxa"/>
            <w:vAlign w:val="center"/>
          </w:tcPr>
          <w:p w14:paraId="0E6C2711">
            <w:pPr>
              <w:spacing w:line="500" w:lineRule="exact"/>
              <w:jc w:val="center"/>
              <w:rPr>
                <w:rFonts w:hint="default" w:ascii="Times New Roman" w:hAnsi="Times New Roman" w:eastAsia="仿宋_GB2312" w:cs="Times New Roman"/>
                <w:color w:val="auto"/>
                <w:sz w:val="28"/>
                <w:szCs w:val="28"/>
                <w:lang w:eastAsia="zh-CN"/>
              </w:rPr>
            </w:pPr>
          </w:p>
        </w:tc>
      </w:tr>
      <w:tr w14:paraId="5D862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025" w:type="dxa"/>
            <w:vAlign w:val="center"/>
          </w:tcPr>
          <w:p w14:paraId="75D0F095">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p>
        </w:tc>
        <w:tc>
          <w:tcPr>
            <w:tcW w:w="2812" w:type="dxa"/>
            <w:vAlign w:val="center"/>
          </w:tcPr>
          <w:p w14:paraId="6BAA6FCC">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专用工具</w:t>
            </w:r>
          </w:p>
        </w:tc>
        <w:tc>
          <w:tcPr>
            <w:tcW w:w="1087" w:type="dxa"/>
          </w:tcPr>
          <w:p w14:paraId="048FE611">
            <w:pPr>
              <w:spacing w:line="500" w:lineRule="exact"/>
              <w:jc w:val="center"/>
              <w:rPr>
                <w:rFonts w:hint="default" w:ascii="Times New Roman" w:hAnsi="Times New Roman" w:eastAsia="仿宋_GB2312" w:cs="Times New Roman"/>
                <w:color w:val="auto"/>
                <w:sz w:val="28"/>
                <w:szCs w:val="28"/>
                <w:lang w:eastAsia="zh-CN"/>
              </w:rPr>
            </w:pPr>
          </w:p>
        </w:tc>
        <w:tc>
          <w:tcPr>
            <w:tcW w:w="1641" w:type="dxa"/>
            <w:vAlign w:val="center"/>
          </w:tcPr>
          <w:p w14:paraId="1F79BE85">
            <w:pPr>
              <w:spacing w:line="500" w:lineRule="exact"/>
              <w:jc w:val="center"/>
              <w:rPr>
                <w:rFonts w:hint="default" w:ascii="Times New Roman" w:hAnsi="Times New Roman" w:eastAsia="仿宋_GB2312" w:cs="Times New Roman"/>
                <w:color w:val="auto"/>
                <w:sz w:val="28"/>
                <w:szCs w:val="28"/>
                <w:lang w:eastAsia="zh-CN"/>
              </w:rPr>
            </w:pPr>
          </w:p>
        </w:tc>
        <w:tc>
          <w:tcPr>
            <w:tcW w:w="1004" w:type="dxa"/>
            <w:vAlign w:val="center"/>
          </w:tcPr>
          <w:p w14:paraId="1C8EAB77">
            <w:pPr>
              <w:spacing w:line="500" w:lineRule="exact"/>
              <w:jc w:val="center"/>
              <w:rPr>
                <w:rFonts w:hint="default" w:ascii="Times New Roman" w:hAnsi="Times New Roman" w:eastAsia="仿宋_GB2312" w:cs="Times New Roman"/>
                <w:color w:val="auto"/>
                <w:sz w:val="28"/>
                <w:szCs w:val="28"/>
                <w:lang w:eastAsia="zh-CN"/>
              </w:rPr>
            </w:pPr>
          </w:p>
        </w:tc>
        <w:tc>
          <w:tcPr>
            <w:tcW w:w="1246" w:type="dxa"/>
            <w:vAlign w:val="center"/>
          </w:tcPr>
          <w:p w14:paraId="2854C215">
            <w:pPr>
              <w:spacing w:line="500" w:lineRule="exact"/>
              <w:jc w:val="center"/>
              <w:rPr>
                <w:rFonts w:hint="default" w:ascii="Times New Roman" w:hAnsi="Times New Roman" w:eastAsia="仿宋_GB2312" w:cs="Times New Roman"/>
                <w:color w:val="auto"/>
                <w:sz w:val="28"/>
                <w:szCs w:val="28"/>
                <w:lang w:eastAsia="zh-CN"/>
              </w:rPr>
            </w:pPr>
          </w:p>
        </w:tc>
        <w:tc>
          <w:tcPr>
            <w:tcW w:w="2273" w:type="dxa"/>
            <w:vAlign w:val="center"/>
          </w:tcPr>
          <w:p w14:paraId="56A66EE7">
            <w:pPr>
              <w:spacing w:line="500" w:lineRule="exact"/>
              <w:jc w:val="center"/>
              <w:rPr>
                <w:rFonts w:hint="default" w:ascii="Times New Roman" w:hAnsi="Times New Roman" w:eastAsia="仿宋_GB2312" w:cs="Times New Roman"/>
                <w:color w:val="auto"/>
                <w:sz w:val="28"/>
                <w:szCs w:val="28"/>
                <w:lang w:eastAsia="zh-CN"/>
              </w:rPr>
            </w:pPr>
          </w:p>
        </w:tc>
        <w:tc>
          <w:tcPr>
            <w:tcW w:w="810" w:type="dxa"/>
            <w:vAlign w:val="center"/>
          </w:tcPr>
          <w:p w14:paraId="49F97480">
            <w:pPr>
              <w:spacing w:line="500" w:lineRule="exact"/>
              <w:jc w:val="center"/>
              <w:rPr>
                <w:rFonts w:hint="default" w:ascii="Times New Roman" w:hAnsi="Times New Roman" w:eastAsia="仿宋_GB2312" w:cs="Times New Roman"/>
                <w:color w:val="auto"/>
                <w:sz w:val="28"/>
                <w:szCs w:val="28"/>
                <w:lang w:eastAsia="zh-CN"/>
              </w:rPr>
            </w:pPr>
          </w:p>
        </w:tc>
        <w:tc>
          <w:tcPr>
            <w:tcW w:w="1094" w:type="dxa"/>
            <w:vAlign w:val="center"/>
          </w:tcPr>
          <w:p w14:paraId="01F73183">
            <w:pPr>
              <w:spacing w:line="500" w:lineRule="exact"/>
              <w:jc w:val="center"/>
              <w:rPr>
                <w:rFonts w:hint="default" w:ascii="Times New Roman" w:hAnsi="Times New Roman" w:eastAsia="仿宋_GB2312" w:cs="Times New Roman"/>
                <w:color w:val="auto"/>
                <w:sz w:val="28"/>
                <w:szCs w:val="28"/>
                <w:lang w:eastAsia="zh-CN"/>
              </w:rPr>
            </w:pPr>
          </w:p>
        </w:tc>
        <w:tc>
          <w:tcPr>
            <w:tcW w:w="1100" w:type="dxa"/>
            <w:vAlign w:val="center"/>
          </w:tcPr>
          <w:p w14:paraId="03332E5C">
            <w:pPr>
              <w:spacing w:line="500" w:lineRule="exact"/>
              <w:jc w:val="center"/>
              <w:rPr>
                <w:rFonts w:hint="default" w:ascii="Times New Roman" w:hAnsi="Times New Roman" w:eastAsia="仿宋_GB2312" w:cs="Times New Roman"/>
                <w:color w:val="auto"/>
                <w:sz w:val="28"/>
                <w:szCs w:val="28"/>
                <w:lang w:eastAsia="zh-CN"/>
              </w:rPr>
            </w:pPr>
          </w:p>
        </w:tc>
      </w:tr>
      <w:tr w14:paraId="005BC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025" w:type="dxa"/>
            <w:vAlign w:val="center"/>
          </w:tcPr>
          <w:p w14:paraId="7DEBC649">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4</w:t>
            </w:r>
          </w:p>
        </w:tc>
        <w:tc>
          <w:tcPr>
            <w:tcW w:w="2812" w:type="dxa"/>
            <w:vAlign w:val="center"/>
          </w:tcPr>
          <w:p w14:paraId="5922D97A">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运输（含保险）</w:t>
            </w:r>
          </w:p>
        </w:tc>
        <w:tc>
          <w:tcPr>
            <w:tcW w:w="1087" w:type="dxa"/>
          </w:tcPr>
          <w:p w14:paraId="28FDFA02">
            <w:pPr>
              <w:spacing w:line="500" w:lineRule="exact"/>
              <w:jc w:val="center"/>
              <w:rPr>
                <w:rFonts w:hint="default" w:ascii="Times New Roman" w:hAnsi="Times New Roman" w:eastAsia="仿宋_GB2312" w:cs="Times New Roman"/>
                <w:color w:val="auto"/>
                <w:sz w:val="28"/>
                <w:szCs w:val="28"/>
                <w:lang w:eastAsia="zh-CN"/>
              </w:rPr>
            </w:pPr>
          </w:p>
        </w:tc>
        <w:tc>
          <w:tcPr>
            <w:tcW w:w="1641" w:type="dxa"/>
            <w:vAlign w:val="center"/>
          </w:tcPr>
          <w:p w14:paraId="326CECA7">
            <w:pPr>
              <w:spacing w:line="500" w:lineRule="exact"/>
              <w:jc w:val="center"/>
              <w:rPr>
                <w:rFonts w:hint="default" w:ascii="Times New Roman" w:hAnsi="Times New Roman" w:eastAsia="仿宋_GB2312" w:cs="Times New Roman"/>
                <w:color w:val="auto"/>
                <w:sz w:val="28"/>
                <w:szCs w:val="28"/>
                <w:lang w:eastAsia="zh-CN"/>
              </w:rPr>
            </w:pPr>
          </w:p>
        </w:tc>
        <w:tc>
          <w:tcPr>
            <w:tcW w:w="1004" w:type="dxa"/>
            <w:vAlign w:val="center"/>
          </w:tcPr>
          <w:p w14:paraId="17BF98EA">
            <w:pPr>
              <w:spacing w:line="500" w:lineRule="exact"/>
              <w:jc w:val="center"/>
              <w:rPr>
                <w:rFonts w:hint="default" w:ascii="Times New Roman" w:hAnsi="Times New Roman" w:eastAsia="仿宋_GB2312" w:cs="Times New Roman"/>
                <w:color w:val="auto"/>
                <w:sz w:val="28"/>
                <w:szCs w:val="28"/>
                <w:lang w:eastAsia="zh-CN"/>
              </w:rPr>
            </w:pPr>
          </w:p>
        </w:tc>
        <w:tc>
          <w:tcPr>
            <w:tcW w:w="1246" w:type="dxa"/>
            <w:vAlign w:val="center"/>
          </w:tcPr>
          <w:p w14:paraId="2C59FF1C">
            <w:pPr>
              <w:spacing w:line="500" w:lineRule="exact"/>
              <w:jc w:val="center"/>
              <w:rPr>
                <w:rFonts w:hint="default" w:ascii="Times New Roman" w:hAnsi="Times New Roman" w:eastAsia="仿宋_GB2312" w:cs="Times New Roman"/>
                <w:color w:val="auto"/>
                <w:sz w:val="28"/>
                <w:szCs w:val="28"/>
                <w:lang w:eastAsia="zh-CN"/>
              </w:rPr>
            </w:pPr>
          </w:p>
        </w:tc>
        <w:tc>
          <w:tcPr>
            <w:tcW w:w="2273" w:type="dxa"/>
            <w:vAlign w:val="center"/>
          </w:tcPr>
          <w:p w14:paraId="139C8E32">
            <w:pPr>
              <w:spacing w:line="500" w:lineRule="exact"/>
              <w:jc w:val="center"/>
              <w:rPr>
                <w:rFonts w:hint="default" w:ascii="Times New Roman" w:hAnsi="Times New Roman" w:eastAsia="仿宋_GB2312" w:cs="Times New Roman"/>
                <w:color w:val="auto"/>
                <w:sz w:val="28"/>
                <w:szCs w:val="28"/>
                <w:lang w:eastAsia="zh-CN"/>
              </w:rPr>
            </w:pPr>
          </w:p>
        </w:tc>
        <w:tc>
          <w:tcPr>
            <w:tcW w:w="810" w:type="dxa"/>
            <w:vAlign w:val="center"/>
          </w:tcPr>
          <w:p w14:paraId="7807D067">
            <w:pPr>
              <w:spacing w:line="500" w:lineRule="exact"/>
              <w:jc w:val="center"/>
              <w:rPr>
                <w:rFonts w:hint="default" w:ascii="Times New Roman" w:hAnsi="Times New Roman" w:eastAsia="仿宋_GB2312" w:cs="Times New Roman"/>
                <w:color w:val="auto"/>
                <w:sz w:val="28"/>
                <w:szCs w:val="28"/>
                <w:lang w:eastAsia="zh-CN"/>
              </w:rPr>
            </w:pPr>
          </w:p>
        </w:tc>
        <w:tc>
          <w:tcPr>
            <w:tcW w:w="1094" w:type="dxa"/>
            <w:vAlign w:val="center"/>
          </w:tcPr>
          <w:p w14:paraId="5ED3011E">
            <w:pPr>
              <w:spacing w:line="500" w:lineRule="exact"/>
              <w:jc w:val="center"/>
              <w:rPr>
                <w:rFonts w:hint="default" w:ascii="Times New Roman" w:hAnsi="Times New Roman" w:eastAsia="仿宋_GB2312" w:cs="Times New Roman"/>
                <w:color w:val="auto"/>
                <w:sz w:val="28"/>
                <w:szCs w:val="28"/>
                <w:lang w:eastAsia="zh-CN"/>
              </w:rPr>
            </w:pPr>
          </w:p>
        </w:tc>
        <w:tc>
          <w:tcPr>
            <w:tcW w:w="1100" w:type="dxa"/>
            <w:vAlign w:val="center"/>
          </w:tcPr>
          <w:p w14:paraId="5FDEC5EC">
            <w:pPr>
              <w:spacing w:line="500" w:lineRule="exact"/>
              <w:jc w:val="center"/>
              <w:rPr>
                <w:rFonts w:hint="default" w:ascii="Times New Roman" w:hAnsi="Times New Roman" w:eastAsia="仿宋_GB2312" w:cs="Times New Roman"/>
                <w:color w:val="auto"/>
                <w:sz w:val="28"/>
                <w:szCs w:val="28"/>
                <w:lang w:eastAsia="zh-CN"/>
              </w:rPr>
            </w:pPr>
          </w:p>
        </w:tc>
      </w:tr>
      <w:tr w14:paraId="6B830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025" w:type="dxa"/>
            <w:vAlign w:val="center"/>
          </w:tcPr>
          <w:p w14:paraId="5C4A1FA6">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5</w:t>
            </w:r>
          </w:p>
        </w:tc>
        <w:tc>
          <w:tcPr>
            <w:tcW w:w="2812" w:type="dxa"/>
            <w:vAlign w:val="center"/>
          </w:tcPr>
          <w:p w14:paraId="22AD1C18">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安装、调试、检验</w:t>
            </w:r>
          </w:p>
        </w:tc>
        <w:tc>
          <w:tcPr>
            <w:tcW w:w="1087" w:type="dxa"/>
          </w:tcPr>
          <w:p w14:paraId="661B7F16">
            <w:pPr>
              <w:spacing w:line="500" w:lineRule="exact"/>
              <w:jc w:val="center"/>
              <w:rPr>
                <w:rFonts w:hint="default" w:ascii="Times New Roman" w:hAnsi="Times New Roman" w:eastAsia="仿宋_GB2312" w:cs="Times New Roman"/>
                <w:color w:val="auto"/>
                <w:sz w:val="28"/>
                <w:szCs w:val="28"/>
                <w:lang w:eastAsia="zh-CN"/>
              </w:rPr>
            </w:pPr>
          </w:p>
        </w:tc>
        <w:tc>
          <w:tcPr>
            <w:tcW w:w="1641" w:type="dxa"/>
            <w:vAlign w:val="center"/>
          </w:tcPr>
          <w:p w14:paraId="47E75BF0">
            <w:pPr>
              <w:spacing w:line="500" w:lineRule="exact"/>
              <w:jc w:val="center"/>
              <w:rPr>
                <w:rFonts w:hint="default" w:ascii="Times New Roman" w:hAnsi="Times New Roman" w:eastAsia="仿宋_GB2312" w:cs="Times New Roman"/>
                <w:color w:val="auto"/>
                <w:sz w:val="28"/>
                <w:szCs w:val="28"/>
                <w:lang w:eastAsia="zh-CN"/>
              </w:rPr>
            </w:pPr>
          </w:p>
        </w:tc>
        <w:tc>
          <w:tcPr>
            <w:tcW w:w="1004" w:type="dxa"/>
            <w:vAlign w:val="center"/>
          </w:tcPr>
          <w:p w14:paraId="11BEE413">
            <w:pPr>
              <w:spacing w:line="500" w:lineRule="exact"/>
              <w:jc w:val="center"/>
              <w:rPr>
                <w:rFonts w:hint="default" w:ascii="Times New Roman" w:hAnsi="Times New Roman" w:eastAsia="仿宋_GB2312" w:cs="Times New Roman"/>
                <w:color w:val="auto"/>
                <w:sz w:val="28"/>
                <w:szCs w:val="28"/>
                <w:lang w:eastAsia="zh-CN"/>
              </w:rPr>
            </w:pPr>
          </w:p>
        </w:tc>
        <w:tc>
          <w:tcPr>
            <w:tcW w:w="1246" w:type="dxa"/>
            <w:vAlign w:val="center"/>
          </w:tcPr>
          <w:p w14:paraId="6340773B">
            <w:pPr>
              <w:spacing w:line="500" w:lineRule="exact"/>
              <w:jc w:val="center"/>
              <w:rPr>
                <w:rFonts w:hint="default" w:ascii="Times New Roman" w:hAnsi="Times New Roman" w:eastAsia="仿宋_GB2312" w:cs="Times New Roman"/>
                <w:color w:val="auto"/>
                <w:sz w:val="28"/>
                <w:szCs w:val="28"/>
                <w:lang w:eastAsia="zh-CN"/>
              </w:rPr>
            </w:pPr>
          </w:p>
        </w:tc>
        <w:tc>
          <w:tcPr>
            <w:tcW w:w="2273" w:type="dxa"/>
            <w:vAlign w:val="center"/>
          </w:tcPr>
          <w:p w14:paraId="3B2AF377">
            <w:pPr>
              <w:spacing w:line="500" w:lineRule="exact"/>
              <w:jc w:val="center"/>
              <w:rPr>
                <w:rFonts w:hint="default" w:ascii="Times New Roman" w:hAnsi="Times New Roman" w:eastAsia="仿宋_GB2312" w:cs="Times New Roman"/>
                <w:color w:val="auto"/>
                <w:sz w:val="28"/>
                <w:szCs w:val="28"/>
                <w:lang w:eastAsia="zh-CN"/>
              </w:rPr>
            </w:pPr>
          </w:p>
        </w:tc>
        <w:tc>
          <w:tcPr>
            <w:tcW w:w="810" w:type="dxa"/>
            <w:vAlign w:val="center"/>
          </w:tcPr>
          <w:p w14:paraId="79CAFEAF">
            <w:pPr>
              <w:spacing w:line="500" w:lineRule="exact"/>
              <w:jc w:val="center"/>
              <w:rPr>
                <w:rFonts w:hint="default" w:ascii="Times New Roman" w:hAnsi="Times New Roman" w:eastAsia="仿宋_GB2312" w:cs="Times New Roman"/>
                <w:color w:val="auto"/>
                <w:sz w:val="28"/>
                <w:szCs w:val="28"/>
                <w:lang w:eastAsia="zh-CN"/>
              </w:rPr>
            </w:pPr>
          </w:p>
        </w:tc>
        <w:tc>
          <w:tcPr>
            <w:tcW w:w="1094" w:type="dxa"/>
            <w:vAlign w:val="center"/>
          </w:tcPr>
          <w:p w14:paraId="7B997356">
            <w:pPr>
              <w:spacing w:line="500" w:lineRule="exact"/>
              <w:jc w:val="center"/>
              <w:rPr>
                <w:rFonts w:hint="default" w:ascii="Times New Roman" w:hAnsi="Times New Roman" w:eastAsia="仿宋_GB2312" w:cs="Times New Roman"/>
                <w:color w:val="auto"/>
                <w:sz w:val="28"/>
                <w:szCs w:val="28"/>
                <w:lang w:eastAsia="zh-CN"/>
              </w:rPr>
            </w:pPr>
          </w:p>
        </w:tc>
        <w:tc>
          <w:tcPr>
            <w:tcW w:w="1100" w:type="dxa"/>
            <w:vAlign w:val="center"/>
          </w:tcPr>
          <w:p w14:paraId="48EA9C82">
            <w:pPr>
              <w:spacing w:line="500" w:lineRule="exact"/>
              <w:jc w:val="center"/>
              <w:rPr>
                <w:rFonts w:hint="default" w:ascii="Times New Roman" w:hAnsi="Times New Roman" w:eastAsia="仿宋_GB2312" w:cs="Times New Roman"/>
                <w:color w:val="auto"/>
                <w:sz w:val="28"/>
                <w:szCs w:val="28"/>
                <w:lang w:eastAsia="zh-CN"/>
              </w:rPr>
            </w:pPr>
          </w:p>
        </w:tc>
      </w:tr>
      <w:tr w14:paraId="2994A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025" w:type="dxa"/>
            <w:vAlign w:val="center"/>
          </w:tcPr>
          <w:p w14:paraId="1BD27A97">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6</w:t>
            </w:r>
          </w:p>
        </w:tc>
        <w:tc>
          <w:tcPr>
            <w:tcW w:w="2812" w:type="dxa"/>
            <w:vAlign w:val="center"/>
          </w:tcPr>
          <w:p w14:paraId="74B5C400">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培训</w:t>
            </w:r>
          </w:p>
        </w:tc>
        <w:tc>
          <w:tcPr>
            <w:tcW w:w="1087" w:type="dxa"/>
          </w:tcPr>
          <w:p w14:paraId="7C2D2956">
            <w:pPr>
              <w:spacing w:line="500" w:lineRule="exact"/>
              <w:jc w:val="center"/>
              <w:rPr>
                <w:rFonts w:hint="default" w:ascii="Times New Roman" w:hAnsi="Times New Roman" w:eastAsia="仿宋_GB2312" w:cs="Times New Roman"/>
                <w:color w:val="auto"/>
                <w:sz w:val="28"/>
                <w:szCs w:val="28"/>
                <w:lang w:eastAsia="zh-CN"/>
              </w:rPr>
            </w:pPr>
          </w:p>
        </w:tc>
        <w:tc>
          <w:tcPr>
            <w:tcW w:w="1641" w:type="dxa"/>
            <w:vAlign w:val="center"/>
          </w:tcPr>
          <w:p w14:paraId="6B97B376">
            <w:pPr>
              <w:spacing w:line="500" w:lineRule="exact"/>
              <w:jc w:val="center"/>
              <w:rPr>
                <w:rFonts w:hint="default" w:ascii="Times New Roman" w:hAnsi="Times New Roman" w:eastAsia="仿宋_GB2312" w:cs="Times New Roman"/>
                <w:color w:val="auto"/>
                <w:sz w:val="28"/>
                <w:szCs w:val="28"/>
                <w:lang w:eastAsia="zh-CN"/>
              </w:rPr>
            </w:pPr>
          </w:p>
        </w:tc>
        <w:tc>
          <w:tcPr>
            <w:tcW w:w="1004" w:type="dxa"/>
            <w:vAlign w:val="center"/>
          </w:tcPr>
          <w:p w14:paraId="35CCB35F">
            <w:pPr>
              <w:spacing w:line="500" w:lineRule="exact"/>
              <w:jc w:val="center"/>
              <w:rPr>
                <w:rFonts w:hint="default" w:ascii="Times New Roman" w:hAnsi="Times New Roman" w:eastAsia="仿宋_GB2312" w:cs="Times New Roman"/>
                <w:color w:val="auto"/>
                <w:sz w:val="28"/>
                <w:szCs w:val="28"/>
                <w:lang w:eastAsia="zh-CN"/>
              </w:rPr>
            </w:pPr>
          </w:p>
        </w:tc>
        <w:tc>
          <w:tcPr>
            <w:tcW w:w="1246" w:type="dxa"/>
            <w:vAlign w:val="center"/>
          </w:tcPr>
          <w:p w14:paraId="090A26F2">
            <w:pPr>
              <w:spacing w:line="500" w:lineRule="exact"/>
              <w:jc w:val="center"/>
              <w:rPr>
                <w:rFonts w:hint="default" w:ascii="Times New Roman" w:hAnsi="Times New Roman" w:eastAsia="仿宋_GB2312" w:cs="Times New Roman"/>
                <w:color w:val="auto"/>
                <w:sz w:val="28"/>
                <w:szCs w:val="28"/>
                <w:lang w:eastAsia="zh-CN"/>
              </w:rPr>
            </w:pPr>
          </w:p>
        </w:tc>
        <w:tc>
          <w:tcPr>
            <w:tcW w:w="2273" w:type="dxa"/>
            <w:vAlign w:val="center"/>
          </w:tcPr>
          <w:p w14:paraId="6584C6D0">
            <w:pPr>
              <w:spacing w:line="500" w:lineRule="exact"/>
              <w:jc w:val="center"/>
              <w:rPr>
                <w:rFonts w:hint="default" w:ascii="Times New Roman" w:hAnsi="Times New Roman" w:eastAsia="仿宋_GB2312" w:cs="Times New Roman"/>
                <w:color w:val="auto"/>
                <w:sz w:val="28"/>
                <w:szCs w:val="28"/>
                <w:lang w:eastAsia="zh-CN"/>
              </w:rPr>
            </w:pPr>
          </w:p>
        </w:tc>
        <w:tc>
          <w:tcPr>
            <w:tcW w:w="810" w:type="dxa"/>
            <w:vAlign w:val="center"/>
          </w:tcPr>
          <w:p w14:paraId="31CBFC8B">
            <w:pPr>
              <w:spacing w:line="500" w:lineRule="exact"/>
              <w:jc w:val="center"/>
              <w:rPr>
                <w:rFonts w:hint="default" w:ascii="Times New Roman" w:hAnsi="Times New Roman" w:eastAsia="仿宋_GB2312" w:cs="Times New Roman"/>
                <w:color w:val="auto"/>
                <w:sz w:val="28"/>
                <w:szCs w:val="28"/>
                <w:lang w:eastAsia="zh-CN"/>
              </w:rPr>
            </w:pPr>
          </w:p>
        </w:tc>
        <w:tc>
          <w:tcPr>
            <w:tcW w:w="1094" w:type="dxa"/>
            <w:vAlign w:val="center"/>
          </w:tcPr>
          <w:p w14:paraId="79A4384F">
            <w:pPr>
              <w:spacing w:line="500" w:lineRule="exact"/>
              <w:jc w:val="center"/>
              <w:rPr>
                <w:rFonts w:hint="default" w:ascii="Times New Roman" w:hAnsi="Times New Roman" w:eastAsia="仿宋_GB2312" w:cs="Times New Roman"/>
                <w:color w:val="auto"/>
                <w:sz w:val="28"/>
                <w:szCs w:val="28"/>
                <w:lang w:eastAsia="zh-CN"/>
              </w:rPr>
            </w:pPr>
          </w:p>
        </w:tc>
        <w:tc>
          <w:tcPr>
            <w:tcW w:w="1100" w:type="dxa"/>
            <w:vAlign w:val="center"/>
          </w:tcPr>
          <w:p w14:paraId="2C112A68">
            <w:pPr>
              <w:spacing w:line="500" w:lineRule="exact"/>
              <w:jc w:val="center"/>
              <w:rPr>
                <w:rFonts w:hint="default" w:ascii="Times New Roman" w:hAnsi="Times New Roman" w:eastAsia="仿宋_GB2312" w:cs="Times New Roman"/>
                <w:color w:val="auto"/>
                <w:sz w:val="28"/>
                <w:szCs w:val="28"/>
                <w:lang w:eastAsia="zh-CN"/>
              </w:rPr>
            </w:pPr>
          </w:p>
        </w:tc>
      </w:tr>
      <w:tr w14:paraId="45385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025" w:type="dxa"/>
            <w:vAlign w:val="center"/>
          </w:tcPr>
          <w:p w14:paraId="47CDF9AD">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7</w:t>
            </w:r>
          </w:p>
        </w:tc>
        <w:tc>
          <w:tcPr>
            <w:tcW w:w="2812" w:type="dxa"/>
            <w:vAlign w:val="center"/>
          </w:tcPr>
          <w:p w14:paraId="43F03BD6">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技术服务</w:t>
            </w:r>
          </w:p>
        </w:tc>
        <w:tc>
          <w:tcPr>
            <w:tcW w:w="1087" w:type="dxa"/>
          </w:tcPr>
          <w:p w14:paraId="72346059">
            <w:pPr>
              <w:spacing w:line="500" w:lineRule="exact"/>
              <w:jc w:val="center"/>
              <w:rPr>
                <w:rFonts w:hint="default" w:ascii="Times New Roman" w:hAnsi="Times New Roman" w:eastAsia="仿宋_GB2312" w:cs="Times New Roman"/>
                <w:color w:val="auto"/>
                <w:sz w:val="28"/>
                <w:szCs w:val="28"/>
                <w:lang w:eastAsia="zh-CN"/>
              </w:rPr>
            </w:pPr>
          </w:p>
        </w:tc>
        <w:tc>
          <w:tcPr>
            <w:tcW w:w="1641" w:type="dxa"/>
            <w:vAlign w:val="center"/>
          </w:tcPr>
          <w:p w14:paraId="5E612DD7">
            <w:pPr>
              <w:spacing w:line="500" w:lineRule="exact"/>
              <w:jc w:val="center"/>
              <w:rPr>
                <w:rFonts w:hint="default" w:ascii="Times New Roman" w:hAnsi="Times New Roman" w:eastAsia="仿宋_GB2312" w:cs="Times New Roman"/>
                <w:color w:val="auto"/>
                <w:sz w:val="28"/>
                <w:szCs w:val="28"/>
                <w:lang w:eastAsia="zh-CN"/>
              </w:rPr>
            </w:pPr>
          </w:p>
        </w:tc>
        <w:tc>
          <w:tcPr>
            <w:tcW w:w="1004" w:type="dxa"/>
            <w:vAlign w:val="center"/>
          </w:tcPr>
          <w:p w14:paraId="51288684">
            <w:pPr>
              <w:spacing w:line="500" w:lineRule="exact"/>
              <w:jc w:val="center"/>
              <w:rPr>
                <w:rFonts w:hint="default" w:ascii="Times New Roman" w:hAnsi="Times New Roman" w:eastAsia="仿宋_GB2312" w:cs="Times New Roman"/>
                <w:color w:val="auto"/>
                <w:sz w:val="28"/>
                <w:szCs w:val="28"/>
                <w:lang w:eastAsia="zh-CN"/>
              </w:rPr>
            </w:pPr>
          </w:p>
        </w:tc>
        <w:tc>
          <w:tcPr>
            <w:tcW w:w="1246" w:type="dxa"/>
            <w:vAlign w:val="center"/>
          </w:tcPr>
          <w:p w14:paraId="1ABD67FF">
            <w:pPr>
              <w:spacing w:line="500" w:lineRule="exact"/>
              <w:jc w:val="center"/>
              <w:rPr>
                <w:rFonts w:hint="default" w:ascii="Times New Roman" w:hAnsi="Times New Roman" w:eastAsia="仿宋_GB2312" w:cs="Times New Roman"/>
                <w:color w:val="auto"/>
                <w:sz w:val="28"/>
                <w:szCs w:val="28"/>
                <w:lang w:eastAsia="zh-CN"/>
              </w:rPr>
            </w:pPr>
          </w:p>
        </w:tc>
        <w:tc>
          <w:tcPr>
            <w:tcW w:w="2273" w:type="dxa"/>
            <w:vAlign w:val="center"/>
          </w:tcPr>
          <w:p w14:paraId="6F4B66A5">
            <w:pPr>
              <w:spacing w:line="500" w:lineRule="exact"/>
              <w:jc w:val="center"/>
              <w:rPr>
                <w:rFonts w:hint="default" w:ascii="Times New Roman" w:hAnsi="Times New Roman" w:eastAsia="仿宋_GB2312" w:cs="Times New Roman"/>
                <w:color w:val="auto"/>
                <w:sz w:val="28"/>
                <w:szCs w:val="28"/>
                <w:lang w:eastAsia="zh-CN"/>
              </w:rPr>
            </w:pPr>
          </w:p>
        </w:tc>
        <w:tc>
          <w:tcPr>
            <w:tcW w:w="810" w:type="dxa"/>
            <w:vAlign w:val="center"/>
          </w:tcPr>
          <w:p w14:paraId="3AADACF2">
            <w:pPr>
              <w:spacing w:line="500" w:lineRule="exact"/>
              <w:jc w:val="center"/>
              <w:rPr>
                <w:rFonts w:hint="default" w:ascii="Times New Roman" w:hAnsi="Times New Roman" w:eastAsia="仿宋_GB2312" w:cs="Times New Roman"/>
                <w:color w:val="auto"/>
                <w:sz w:val="28"/>
                <w:szCs w:val="28"/>
                <w:lang w:eastAsia="zh-CN"/>
              </w:rPr>
            </w:pPr>
          </w:p>
        </w:tc>
        <w:tc>
          <w:tcPr>
            <w:tcW w:w="1094" w:type="dxa"/>
            <w:vAlign w:val="center"/>
          </w:tcPr>
          <w:p w14:paraId="33D0940F">
            <w:pPr>
              <w:spacing w:line="500" w:lineRule="exact"/>
              <w:jc w:val="center"/>
              <w:rPr>
                <w:rFonts w:hint="default" w:ascii="Times New Roman" w:hAnsi="Times New Roman" w:eastAsia="仿宋_GB2312" w:cs="Times New Roman"/>
                <w:color w:val="auto"/>
                <w:sz w:val="28"/>
                <w:szCs w:val="28"/>
                <w:lang w:eastAsia="zh-CN"/>
              </w:rPr>
            </w:pPr>
          </w:p>
        </w:tc>
        <w:tc>
          <w:tcPr>
            <w:tcW w:w="1100" w:type="dxa"/>
            <w:vAlign w:val="center"/>
          </w:tcPr>
          <w:p w14:paraId="63CCDC9D">
            <w:pPr>
              <w:spacing w:line="500" w:lineRule="exact"/>
              <w:jc w:val="center"/>
              <w:rPr>
                <w:rFonts w:hint="default" w:ascii="Times New Roman" w:hAnsi="Times New Roman" w:eastAsia="仿宋_GB2312" w:cs="Times New Roman"/>
                <w:color w:val="auto"/>
                <w:sz w:val="28"/>
                <w:szCs w:val="28"/>
                <w:lang w:eastAsia="zh-CN"/>
              </w:rPr>
            </w:pPr>
          </w:p>
        </w:tc>
      </w:tr>
      <w:tr w14:paraId="2F67A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1025" w:type="dxa"/>
            <w:vAlign w:val="center"/>
          </w:tcPr>
          <w:p w14:paraId="1CCA34F6">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8</w:t>
            </w:r>
          </w:p>
        </w:tc>
        <w:tc>
          <w:tcPr>
            <w:tcW w:w="2812" w:type="dxa"/>
            <w:vAlign w:val="center"/>
          </w:tcPr>
          <w:p w14:paraId="145E8C39">
            <w:pPr>
              <w:spacing w:line="500" w:lineRule="exact"/>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w:t>
            </w:r>
          </w:p>
        </w:tc>
        <w:tc>
          <w:tcPr>
            <w:tcW w:w="1087" w:type="dxa"/>
          </w:tcPr>
          <w:p w14:paraId="0A362BCB">
            <w:pPr>
              <w:spacing w:line="500" w:lineRule="exact"/>
              <w:jc w:val="center"/>
              <w:rPr>
                <w:rFonts w:hint="default" w:ascii="Times New Roman" w:hAnsi="Times New Roman" w:eastAsia="仿宋_GB2312" w:cs="Times New Roman"/>
                <w:color w:val="auto"/>
                <w:sz w:val="28"/>
                <w:szCs w:val="28"/>
                <w:lang w:eastAsia="zh-CN"/>
              </w:rPr>
            </w:pPr>
          </w:p>
        </w:tc>
        <w:tc>
          <w:tcPr>
            <w:tcW w:w="1641" w:type="dxa"/>
            <w:vAlign w:val="center"/>
          </w:tcPr>
          <w:p w14:paraId="5B3AD05A">
            <w:pPr>
              <w:spacing w:line="500" w:lineRule="exact"/>
              <w:jc w:val="center"/>
              <w:rPr>
                <w:rFonts w:hint="default" w:ascii="Times New Roman" w:hAnsi="Times New Roman" w:eastAsia="仿宋_GB2312" w:cs="Times New Roman"/>
                <w:color w:val="auto"/>
                <w:sz w:val="28"/>
                <w:szCs w:val="28"/>
                <w:lang w:eastAsia="zh-CN"/>
              </w:rPr>
            </w:pPr>
          </w:p>
        </w:tc>
        <w:tc>
          <w:tcPr>
            <w:tcW w:w="1004" w:type="dxa"/>
            <w:vAlign w:val="center"/>
          </w:tcPr>
          <w:p w14:paraId="7A580314">
            <w:pPr>
              <w:spacing w:line="500" w:lineRule="exact"/>
              <w:jc w:val="center"/>
              <w:rPr>
                <w:rFonts w:hint="default" w:ascii="Times New Roman" w:hAnsi="Times New Roman" w:eastAsia="仿宋_GB2312" w:cs="Times New Roman"/>
                <w:color w:val="auto"/>
                <w:sz w:val="28"/>
                <w:szCs w:val="28"/>
                <w:lang w:eastAsia="zh-CN"/>
              </w:rPr>
            </w:pPr>
          </w:p>
        </w:tc>
        <w:tc>
          <w:tcPr>
            <w:tcW w:w="1246" w:type="dxa"/>
            <w:vAlign w:val="center"/>
          </w:tcPr>
          <w:p w14:paraId="1D7B162C">
            <w:pPr>
              <w:spacing w:line="500" w:lineRule="exact"/>
              <w:jc w:val="center"/>
              <w:rPr>
                <w:rFonts w:hint="default" w:ascii="Times New Roman" w:hAnsi="Times New Roman" w:eastAsia="仿宋_GB2312" w:cs="Times New Roman"/>
                <w:color w:val="auto"/>
                <w:sz w:val="28"/>
                <w:szCs w:val="28"/>
                <w:lang w:eastAsia="zh-CN"/>
              </w:rPr>
            </w:pPr>
          </w:p>
        </w:tc>
        <w:tc>
          <w:tcPr>
            <w:tcW w:w="2273" w:type="dxa"/>
            <w:vAlign w:val="center"/>
          </w:tcPr>
          <w:p w14:paraId="160E4BDC">
            <w:pPr>
              <w:spacing w:line="500" w:lineRule="exact"/>
              <w:jc w:val="center"/>
              <w:rPr>
                <w:rFonts w:hint="default" w:ascii="Times New Roman" w:hAnsi="Times New Roman" w:eastAsia="仿宋_GB2312" w:cs="Times New Roman"/>
                <w:color w:val="auto"/>
                <w:sz w:val="28"/>
                <w:szCs w:val="28"/>
                <w:lang w:eastAsia="zh-CN"/>
              </w:rPr>
            </w:pPr>
          </w:p>
        </w:tc>
        <w:tc>
          <w:tcPr>
            <w:tcW w:w="810" w:type="dxa"/>
            <w:vAlign w:val="center"/>
          </w:tcPr>
          <w:p w14:paraId="3D810167">
            <w:pPr>
              <w:spacing w:line="500" w:lineRule="exact"/>
              <w:jc w:val="center"/>
              <w:rPr>
                <w:rFonts w:hint="default" w:ascii="Times New Roman" w:hAnsi="Times New Roman" w:eastAsia="仿宋_GB2312" w:cs="Times New Roman"/>
                <w:color w:val="auto"/>
                <w:sz w:val="28"/>
                <w:szCs w:val="28"/>
                <w:lang w:eastAsia="zh-CN"/>
              </w:rPr>
            </w:pPr>
          </w:p>
        </w:tc>
        <w:tc>
          <w:tcPr>
            <w:tcW w:w="1094" w:type="dxa"/>
            <w:vAlign w:val="center"/>
          </w:tcPr>
          <w:p w14:paraId="191F9507">
            <w:pPr>
              <w:spacing w:line="500" w:lineRule="exact"/>
              <w:jc w:val="center"/>
              <w:rPr>
                <w:rFonts w:hint="default" w:ascii="Times New Roman" w:hAnsi="Times New Roman" w:eastAsia="仿宋_GB2312" w:cs="Times New Roman"/>
                <w:color w:val="auto"/>
                <w:sz w:val="28"/>
                <w:szCs w:val="28"/>
                <w:lang w:eastAsia="zh-CN"/>
              </w:rPr>
            </w:pPr>
          </w:p>
        </w:tc>
        <w:tc>
          <w:tcPr>
            <w:tcW w:w="1100" w:type="dxa"/>
            <w:vAlign w:val="center"/>
          </w:tcPr>
          <w:p w14:paraId="6BA4E164">
            <w:pPr>
              <w:spacing w:line="500" w:lineRule="exact"/>
              <w:jc w:val="center"/>
              <w:rPr>
                <w:rFonts w:hint="default" w:ascii="Times New Roman" w:hAnsi="Times New Roman" w:eastAsia="仿宋_GB2312" w:cs="Times New Roman"/>
                <w:color w:val="auto"/>
                <w:sz w:val="28"/>
                <w:szCs w:val="28"/>
                <w:lang w:eastAsia="zh-CN"/>
              </w:rPr>
            </w:pPr>
          </w:p>
        </w:tc>
      </w:tr>
      <w:tr w14:paraId="03D0F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4" w:hRule="atLeast"/>
          <w:jc w:val="center"/>
        </w:trPr>
        <w:tc>
          <w:tcPr>
            <w:tcW w:w="14092" w:type="dxa"/>
            <w:gridSpan w:val="10"/>
            <w:vAlign w:val="center"/>
          </w:tcPr>
          <w:p w14:paraId="3784FC54">
            <w:pPr>
              <w:spacing w:line="500" w:lineRule="exact"/>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总价：</w:t>
            </w:r>
          </w:p>
        </w:tc>
      </w:tr>
    </w:tbl>
    <w:p w14:paraId="0303A585">
      <w:pPr>
        <w:pStyle w:val="24"/>
        <w:spacing w:line="360" w:lineRule="auto"/>
        <w:rPr>
          <w:rFonts w:hint="eastAsia" w:ascii="仿宋_GB2312" w:hAnsi="仿宋_GB2312" w:eastAsia="仿宋_GB2312" w:cs="仿宋_GB2312"/>
          <w:sz w:val="24"/>
          <w:szCs w:val="24"/>
        </w:rPr>
        <w:sectPr>
          <w:pgSz w:w="16840" w:h="11900" w:orient="landscape"/>
          <w:pgMar w:top="1800" w:right="1440" w:bottom="1800" w:left="1440" w:header="851" w:footer="992" w:gutter="0"/>
          <w:cols w:space="720" w:num="1"/>
        </w:sectPr>
      </w:pPr>
      <w:bookmarkStart w:id="157" w:name="_Toc1749081767"/>
      <w:bookmarkStart w:id="158" w:name="_Toc821511257"/>
      <w:bookmarkStart w:id="159" w:name="_Toc585133884"/>
      <w:bookmarkStart w:id="160" w:name="_Toc131578556"/>
      <w:bookmarkStart w:id="161" w:name="_Toc893708091"/>
      <w:bookmarkStart w:id="162" w:name="_Toc1147996828"/>
      <w:bookmarkStart w:id="163" w:name="_Toc1251267079"/>
      <w:bookmarkStart w:id="164" w:name="_Toc643738620"/>
      <w:bookmarkStart w:id="165" w:name="_Toc74240239"/>
      <w:bookmarkStart w:id="166" w:name="_Toc2582323"/>
      <w:bookmarkStart w:id="167" w:name="_Toc1973880807"/>
      <w:bookmarkStart w:id="168" w:name="_Toc299604904"/>
      <w:r>
        <w:rPr>
          <w:rFonts w:hint="eastAsia" w:ascii="仿宋_GB2312" w:hAnsi="仿宋_GB2312" w:eastAsia="仿宋_GB2312" w:cs="仿宋_GB2312"/>
          <w:sz w:val="24"/>
          <w:szCs w:val="24"/>
        </w:rPr>
        <w:t>注:1、格式可自拟；2、货物的品牌、型号和规格、制造商（服务商）名称应当填写清楚无误，若是定制产品，不能写明品牌、型号和规格的，应当填写“定制”，并且填写定制的制造商名称；</w:t>
      </w:r>
      <w:r>
        <w:rPr>
          <w:rFonts w:ascii="仿宋_GB2312" w:hAnsi="仿宋_GB2312" w:eastAsia="仿宋_GB2312" w:cs="仿宋_GB2312"/>
          <w:sz w:val="24"/>
          <w:szCs w:val="24"/>
        </w:rPr>
        <w:t>3</w:t>
      </w:r>
      <w:r>
        <w:rPr>
          <w:rFonts w:hint="eastAsia" w:ascii="仿宋_GB2312" w:hAnsi="仿宋_GB2312" w:eastAsia="仿宋_GB2312" w:cs="仿宋_GB2312"/>
          <w:sz w:val="24"/>
          <w:szCs w:val="24"/>
        </w:rPr>
        <w:t>、供应商的单项报价不能超过最高单价限价，否则响应无效。</w:t>
      </w:r>
    </w:p>
    <w:p w14:paraId="3DF1915E">
      <w:pPr>
        <w:spacing w:line="500" w:lineRule="exact"/>
        <w:jc w:val="center"/>
        <w:outlineLvl w:val="1"/>
        <w:rPr>
          <w:rFonts w:hint="default" w:ascii="微软雅黑" w:hAnsi="Times New Roman" w:eastAsia="微软雅黑" w:cs="Times New Roman"/>
          <w:bCs/>
          <w:color w:val="auto"/>
          <w:sz w:val="30"/>
          <w:szCs w:val="30"/>
          <w:lang w:val="en-US" w:eastAsia="zh-CN"/>
        </w:rPr>
      </w:pPr>
      <w:r>
        <w:rPr>
          <w:rFonts w:hint="default" w:ascii="微软雅黑" w:hAnsi="Times New Roman" w:eastAsia="微软雅黑" w:cs="Times New Roman"/>
          <w:bCs/>
          <w:color w:val="auto"/>
          <w:sz w:val="30"/>
          <w:szCs w:val="30"/>
          <w:lang w:val="en-US" w:eastAsia="zh-CN"/>
        </w:rPr>
        <w:t>十、商务条款偏离表</w:t>
      </w:r>
      <w:bookmarkEnd w:id="157"/>
      <w:bookmarkEnd w:id="158"/>
      <w:bookmarkEnd w:id="159"/>
      <w:bookmarkEnd w:id="160"/>
      <w:bookmarkEnd w:id="161"/>
      <w:bookmarkEnd w:id="162"/>
      <w:bookmarkEnd w:id="163"/>
    </w:p>
    <w:p w14:paraId="7762A9E0">
      <w:pPr>
        <w:pStyle w:val="24"/>
        <w:spacing w:line="360" w:lineRule="auto"/>
        <w:rPr>
          <w:rFonts w:ascii="Times New Roman" w:hAnsi="Times New Roman" w:eastAsia="仿宋_GB2312"/>
          <w:kern w:val="2"/>
          <w:sz w:val="28"/>
          <w:szCs w:val="28"/>
        </w:rPr>
      </w:pPr>
      <w:r>
        <w:rPr>
          <w:rFonts w:ascii="Times New Roman" w:hAnsi="Times New Roman" w:eastAsia="仿宋_GB2312"/>
          <w:kern w:val="2"/>
          <w:sz w:val="28"/>
          <w:szCs w:val="28"/>
        </w:rPr>
        <w:t>项目名称：</w:t>
      </w:r>
      <w:r>
        <w:rPr>
          <w:rFonts w:hint="eastAsia" w:ascii="Times New Roman" w:hAnsi="Times New Roman" w:eastAsia="仿宋_GB2312"/>
          <w:sz w:val="28"/>
          <w:szCs w:val="28"/>
          <w:u w:val="single"/>
          <w:lang w:val="en"/>
        </w:rPr>
        <w:t>郑州铁路职业技术学院工科基础实训室项目</w:t>
      </w:r>
    </w:p>
    <w:p w14:paraId="1F1BE858">
      <w:pPr>
        <w:pStyle w:val="24"/>
        <w:spacing w:line="360" w:lineRule="auto"/>
        <w:rPr>
          <w:rFonts w:ascii="Times New Roman" w:hAnsi="Times New Roman"/>
          <w:sz w:val="24"/>
          <w:szCs w:val="24"/>
        </w:rPr>
      </w:pPr>
      <w:r>
        <w:rPr>
          <w:rFonts w:ascii="Times New Roman" w:hAnsi="Times New Roman" w:eastAsia="仿宋_GB2312"/>
          <w:kern w:val="2"/>
          <w:sz w:val="28"/>
          <w:szCs w:val="28"/>
        </w:rPr>
        <w:t>采购编号：</w:t>
      </w:r>
      <w:r>
        <w:rPr>
          <w:rFonts w:hint="eastAsia" w:ascii="Times New Roman" w:hAnsi="Times New Roman" w:eastAsia="仿宋_GB2312"/>
          <w:kern w:val="2"/>
          <w:sz w:val="28"/>
          <w:szCs w:val="28"/>
          <w:u w:val="single"/>
        </w:rPr>
        <w:t>豫财磋商采购-2026-853</w:t>
      </w:r>
    </w:p>
    <w:tbl>
      <w:tblPr>
        <w:tblStyle w:val="52"/>
        <w:tblW w:w="90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
        <w:gridCol w:w="3363"/>
        <w:gridCol w:w="3851"/>
        <w:gridCol w:w="876"/>
      </w:tblGrid>
      <w:tr w14:paraId="2AA9F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jc w:val="center"/>
        </w:trPr>
        <w:tc>
          <w:tcPr>
            <w:tcW w:w="937" w:type="dxa"/>
            <w:vAlign w:val="center"/>
          </w:tcPr>
          <w:p w14:paraId="0CAD3616">
            <w:pPr>
              <w:spacing w:line="500" w:lineRule="exact"/>
              <w:jc w:val="center"/>
              <w:rPr>
                <w:rFonts w:hint="default" w:ascii="Times New Roman" w:hAnsi="Times New Roman" w:eastAsia="宋体" w:cs="Times New Roman"/>
                <w:b/>
                <w:color w:val="auto"/>
                <w:sz w:val="24"/>
                <w:szCs w:val="24"/>
                <w:lang w:eastAsia="zh-CN"/>
              </w:rPr>
            </w:pPr>
            <w:r>
              <w:rPr>
                <w:rFonts w:hint="default" w:ascii="Times New Roman" w:hAnsi="Times New Roman" w:eastAsia="宋体" w:cs="Times New Roman"/>
                <w:b/>
                <w:color w:val="auto"/>
                <w:sz w:val="24"/>
                <w:szCs w:val="24"/>
                <w:lang w:eastAsia="zh-CN"/>
              </w:rPr>
              <w:t>序号</w:t>
            </w:r>
          </w:p>
        </w:tc>
        <w:tc>
          <w:tcPr>
            <w:tcW w:w="3363" w:type="dxa"/>
            <w:vAlign w:val="center"/>
          </w:tcPr>
          <w:p w14:paraId="6C00B3B8">
            <w:pPr>
              <w:spacing w:line="500" w:lineRule="exact"/>
              <w:jc w:val="center"/>
              <w:rPr>
                <w:rFonts w:hint="default" w:ascii="Times New Roman" w:hAnsi="Times New Roman" w:eastAsia="宋体" w:cs="Times New Roman"/>
                <w:b/>
                <w:color w:val="auto"/>
                <w:sz w:val="24"/>
                <w:szCs w:val="24"/>
                <w:lang w:eastAsia="zh-CN"/>
              </w:rPr>
            </w:pPr>
            <w:r>
              <w:rPr>
                <w:rFonts w:hint="default" w:ascii="Times New Roman" w:hAnsi="Times New Roman" w:eastAsia="宋体" w:cs="Times New Roman"/>
                <w:b/>
                <w:color w:val="auto"/>
                <w:sz w:val="24"/>
                <w:szCs w:val="24"/>
                <w:lang w:val="en" w:eastAsia="zh-CN"/>
              </w:rPr>
              <w:t>竞争性磋商文件</w:t>
            </w:r>
            <w:r>
              <w:rPr>
                <w:rFonts w:hint="default" w:ascii="Times New Roman" w:hAnsi="Times New Roman" w:eastAsia="宋体" w:cs="Times New Roman"/>
                <w:b/>
                <w:color w:val="auto"/>
                <w:sz w:val="24"/>
                <w:szCs w:val="24"/>
                <w:lang w:eastAsia="zh-CN"/>
              </w:rPr>
              <w:t>的商务条款</w:t>
            </w:r>
          </w:p>
        </w:tc>
        <w:tc>
          <w:tcPr>
            <w:tcW w:w="3851" w:type="dxa"/>
            <w:vAlign w:val="center"/>
          </w:tcPr>
          <w:p w14:paraId="71FB8FDA">
            <w:pPr>
              <w:spacing w:line="500" w:lineRule="exact"/>
              <w:jc w:val="center"/>
              <w:rPr>
                <w:rFonts w:hint="default" w:ascii="Times New Roman" w:hAnsi="Times New Roman" w:eastAsia="宋体" w:cs="Times New Roman"/>
                <w:b/>
                <w:color w:val="auto"/>
                <w:sz w:val="24"/>
                <w:szCs w:val="24"/>
                <w:lang w:eastAsia="zh-CN"/>
              </w:rPr>
            </w:pPr>
            <w:r>
              <w:rPr>
                <w:rFonts w:hint="default" w:ascii="Times New Roman" w:hAnsi="Times New Roman" w:eastAsia="宋体" w:cs="Times New Roman"/>
                <w:b/>
                <w:color w:val="auto"/>
                <w:sz w:val="24"/>
                <w:szCs w:val="24"/>
                <w:lang w:eastAsia="zh-CN"/>
              </w:rPr>
              <w:t>竞争性磋商响应文件的商务条款</w:t>
            </w:r>
          </w:p>
        </w:tc>
        <w:tc>
          <w:tcPr>
            <w:tcW w:w="876" w:type="dxa"/>
            <w:vAlign w:val="center"/>
          </w:tcPr>
          <w:p w14:paraId="5ACAA1B1">
            <w:pPr>
              <w:spacing w:line="500" w:lineRule="exact"/>
              <w:jc w:val="center"/>
              <w:rPr>
                <w:rFonts w:hint="default" w:ascii="Times New Roman" w:hAnsi="Times New Roman" w:eastAsia="宋体" w:cs="Times New Roman"/>
                <w:b/>
                <w:color w:val="auto"/>
                <w:sz w:val="24"/>
                <w:szCs w:val="24"/>
                <w:lang w:eastAsia="zh-CN"/>
              </w:rPr>
            </w:pPr>
            <w:r>
              <w:rPr>
                <w:rFonts w:hint="default" w:ascii="Times New Roman" w:hAnsi="Times New Roman" w:eastAsia="宋体" w:cs="Times New Roman"/>
                <w:b/>
                <w:color w:val="auto"/>
                <w:sz w:val="24"/>
                <w:szCs w:val="24"/>
                <w:lang w:eastAsia="zh-CN"/>
              </w:rPr>
              <w:t>说明</w:t>
            </w:r>
          </w:p>
        </w:tc>
      </w:tr>
      <w:tr w14:paraId="2D44A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37" w:type="dxa"/>
          </w:tcPr>
          <w:p w14:paraId="56134C05">
            <w:pPr>
              <w:pStyle w:val="24"/>
              <w:spacing w:line="360" w:lineRule="auto"/>
              <w:ind w:left="540" w:leftChars="257" w:firstLine="480"/>
              <w:rPr>
                <w:rFonts w:ascii="Times New Roman" w:hAnsi="Times New Roman"/>
                <w:kern w:val="2"/>
                <w:sz w:val="24"/>
                <w:szCs w:val="24"/>
              </w:rPr>
            </w:pPr>
          </w:p>
        </w:tc>
        <w:tc>
          <w:tcPr>
            <w:tcW w:w="3363" w:type="dxa"/>
          </w:tcPr>
          <w:p w14:paraId="3D583668">
            <w:pPr>
              <w:pStyle w:val="24"/>
              <w:spacing w:line="360" w:lineRule="auto"/>
              <w:ind w:left="540" w:leftChars="257" w:firstLine="480"/>
              <w:jc w:val="center"/>
              <w:rPr>
                <w:rFonts w:ascii="Times New Roman" w:hAnsi="Times New Roman"/>
                <w:kern w:val="2"/>
                <w:sz w:val="24"/>
                <w:szCs w:val="24"/>
              </w:rPr>
            </w:pPr>
          </w:p>
        </w:tc>
        <w:tc>
          <w:tcPr>
            <w:tcW w:w="3851" w:type="dxa"/>
          </w:tcPr>
          <w:p w14:paraId="7C2BFE68">
            <w:pPr>
              <w:pStyle w:val="24"/>
              <w:spacing w:line="360" w:lineRule="auto"/>
              <w:ind w:left="540" w:leftChars="257" w:firstLine="480"/>
              <w:jc w:val="center"/>
              <w:rPr>
                <w:rFonts w:ascii="Times New Roman" w:hAnsi="Times New Roman"/>
                <w:kern w:val="2"/>
                <w:sz w:val="24"/>
                <w:szCs w:val="24"/>
              </w:rPr>
            </w:pPr>
          </w:p>
        </w:tc>
        <w:tc>
          <w:tcPr>
            <w:tcW w:w="876" w:type="dxa"/>
          </w:tcPr>
          <w:p w14:paraId="3ECBD8B0">
            <w:pPr>
              <w:pStyle w:val="24"/>
              <w:spacing w:line="360" w:lineRule="auto"/>
              <w:ind w:left="540" w:leftChars="257" w:firstLine="480"/>
              <w:rPr>
                <w:rFonts w:ascii="Times New Roman" w:hAnsi="Times New Roman"/>
                <w:kern w:val="2"/>
                <w:sz w:val="24"/>
                <w:szCs w:val="24"/>
              </w:rPr>
            </w:pPr>
          </w:p>
        </w:tc>
      </w:tr>
      <w:tr w14:paraId="2B397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37" w:type="dxa"/>
          </w:tcPr>
          <w:p w14:paraId="3E39FE6A">
            <w:pPr>
              <w:pStyle w:val="24"/>
              <w:spacing w:line="360" w:lineRule="auto"/>
              <w:ind w:left="540" w:leftChars="257" w:firstLine="480"/>
              <w:rPr>
                <w:rFonts w:ascii="Times New Roman" w:hAnsi="Times New Roman"/>
                <w:kern w:val="2"/>
                <w:sz w:val="24"/>
                <w:szCs w:val="24"/>
              </w:rPr>
            </w:pPr>
          </w:p>
        </w:tc>
        <w:tc>
          <w:tcPr>
            <w:tcW w:w="3363" w:type="dxa"/>
          </w:tcPr>
          <w:p w14:paraId="51E2087D">
            <w:pPr>
              <w:spacing w:line="500" w:lineRule="exact"/>
              <w:jc w:val="center"/>
              <w:rPr>
                <w:rFonts w:hint="default" w:ascii="Times New Roman" w:hAnsi="Times New Roman" w:cs="Times New Roman"/>
                <w:color w:val="auto"/>
                <w:sz w:val="24"/>
                <w:szCs w:val="24"/>
              </w:rPr>
            </w:pPr>
          </w:p>
        </w:tc>
        <w:tc>
          <w:tcPr>
            <w:tcW w:w="3851" w:type="dxa"/>
          </w:tcPr>
          <w:p w14:paraId="676C9766">
            <w:pPr>
              <w:spacing w:line="500" w:lineRule="exact"/>
              <w:jc w:val="center"/>
              <w:rPr>
                <w:rFonts w:hint="default" w:ascii="Times New Roman" w:hAnsi="Times New Roman" w:cs="Times New Roman"/>
                <w:color w:val="auto"/>
                <w:sz w:val="24"/>
                <w:szCs w:val="24"/>
              </w:rPr>
            </w:pPr>
          </w:p>
        </w:tc>
        <w:tc>
          <w:tcPr>
            <w:tcW w:w="876" w:type="dxa"/>
          </w:tcPr>
          <w:p w14:paraId="4BF904C9">
            <w:pPr>
              <w:pStyle w:val="24"/>
              <w:spacing w:line="360" w:lineRule="auto"/>
              <w:ind w:left="540" w:leftChars="257" w:firstLine="480"/>
              <w:rPr>
                <w:rFonts w:ascii="Times New Roman" w:hAnsi="Times New Roman"/>
                <w:kern w:val="2"/>
                <w:sz w:val="24"/>
                <w:szCs w:val="24"/>
              </w:rPr>
            </w:pPr>
          </w:p>
        </w:tc>
      </w:tr>
      <w:tr w14:paraId="04DBF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37" w:type="dxa"/>
          </w:tcPr>
          <w:p w14:paraId="57EF049D">
            <w:pPr>
              <w:pStyle w:val="24"/>
              <w:spacing w:line="360" w:lineRule="auto"/>
              <w:ind w:left="540" w:leftChars="257" w:firstLine="480"/>
              <w:rPr>
                <w:rFonts w:ascii="Times New Roman" w:hAnsi="Times New Roman"/>
                <w:kern w:val="2"/>
                <w:sz w:val="24"/>
                <w:szCs w:val="24"/>
              </w:rPr>
            </w:pPr>
          </w:p>
        </w:tc>
        <w:tc>
          <w:tcPr>
            <w:tcW w:w="3363" w:type="dxa"/>
          </w:tcPr>
          <w:p w14:paraId="0790EBBB">
            <w:pPr>
              <w:pStyle w:val="24"/>
              <w:spacing w:line="360" w:lineRule="auto"/>
              <w:ind w:left="540" w:leftChars="257" w:firstLine="480"/>
              <w:rPr>
                <w:rFonts w:ascii="Times New Roman" w:hAnsi="Times New Roman"/>
                <w:kern w:val="2"/>
                <w:sz w:val="24"/>
                <w:szCs w:val="24"/>
              </w:rPr>
            </w:pPr>
          </w:p>
        </w:tc>
        <w:tc>
          <w:tcPr>
            <w:tcW w:w="3851" w:type="dxa"/>
          </w:tcPr>
          <w:p w14:paraId="5DB01F9A">
            <w:pPr>
              <w:pStyle w:val="24"/>
              <w:spacing w:line="360" w:lineRule="auto"/>
              <w:ind w:left="540" w:leftChars="257" w:firstLine="480"/>
              <w:rPr>
                <w:rFonts w:ascii="Times New Roman" w:hAnsi="Times New Roman"/>
                <w:kern w:val="2"/>
                <w:sz w:val="24"/>
                <w:szCs w:val="24"/>
              </w:rPr>
            </w:pPr>
          </w:p>
        </w:tc>
        <w:tc>
          <w:tcPr>
            <w:tcW w:w="876" w:type="dxa"/>
          </w:tcPr>
          <w:p w14:paraId="48B93967">
            <w:pPr>
              <w:pStyle w:val="24"/>
              <w:spacing w:line="360" w:lineRule="auto"/>
              <w:ind w:left="540" w:leftChars="257" w:firstLine="480"/>
              <w:rPr>
                <w:rFonts w:ascii="Times New Roman" w:hAnsi="Times New Roman"/>
                <w:kern w:val="2"/>
                <w:sz w:val="24"/>
                <w:szCs w:val="24"/>
              </w:rPr>
            </w:pPr>
          </w:p>
        </w:tc>
      </w:tr>
      <w:tr w14:paraId="0C4B6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37" w:type="dxa"/>
          </w:tcPr>
          <w:p w14:paraId="04D8D11F">
            <w:pPr>
              <w:pStyle w:val="24"/>
              <w:spacing w:line="360" w:lineRule="auto"/>
              <w:ind w:left="540" w:leftChars="257" w:firstLine="480"/>
              <w:rPr>
                <w:rFonts w:ascii="Times New Roman" w:hAnsi="Times New Roman"/>
                <w:kern w:val="2"/>
                <w:sz w:val="24"/>
                <w:szCs w:val="24"/>
              </w:rPr>
            </w:pPr>
          </w:p>
        </w:tc>
        <w:tc>
          <w:tcPr>
            <w:tcW w:w="3363" w:type="dxa"/>
          </w:tcPr>
          <w:p w14:paraId="0CDB3ED9">
            <w:pPr>
              <w:pStyle w:val="24"/>
              <w:spacing w:line="360" w:lineRule="auto"/>
              <w:ind w:left="540" w:leftChars="257" w:firstLine="480"/>
              <w:rPr>
                <w:rFonts w:ascii="Times New Roman" w:hAnsi="Times New Roman"/>
                <w:kern w:val="2"/>
                <w:sz w:val="24"/>
                <w:szCs w:val="24"/>
              </w:rPr>
            </w:pPr>
          </w:p>
        </w:tc>
        <w:tc>
          <w:tcPr>
            <w:tcW w:w="3851" w:type="dxa"/>
          </w:tcPr>
          <w:p w14:paraId="5206C13B">
            <w:pPr>
              <w:spacing w:line="500" w:lineRule="exact"/>
              <w:jc w:val="center"/>
              <w:rPr>
                <w:rFonts w:hint="default" w:ascii="Times New Roman" w:hAnsi="Times New Roman" w:cs="Times New Roman"/>
                <w:color w:val="auto"/>
                <w:sz w:val="24"/>
                <w:szCs w:val="24"/>
              </w:rPr>
            </w:pPr>
          </w:p>
        </w:tc>
        <w:tc>
          <w:tcPr>
            <w:tcW w:w="876" w:type="dxa"/>
          </w:tcPr>
          <w:p w14:paraId="682FC953">
            <w:pPr>
              <w:pStyle w:val="24"/>
              <w:spacing w:line="360" w:lineRule="auto"/>
              <w:ind w:left="540" w:leftChars="257" w:firstLine="480"/>
              <w:rPr>
                <w:rFonts w:ascii="Times New Roman" w:hAnsi="Times New Roman"/>
                <w:kern w:val="2"/>
                <w:sz w:val="24"/>
                <w:szCs w:val="24"/>
              </w:rPr>
            </w:pPr>
          </w:p>
        </w:tc>
      </w:tr>
      <w:tr w14:paraId="671B8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37" w:type="dxa"/>
          </w:tcPr>
          <w:p w14:paraId="44B9E30D">
            <w:pPr>
              <w:pStyle w:val="24"/>
              <w:spacing w:line="360" w:lineRule="auto"/>
              <w:ind w:left="540" w:leftChars="257" w:firstLine="480"/>
              <w:rPr>
                <w:rFonts w:ascii="Times New Roman" w:hAnsi="Times New Roman"/>
                <w:kern w:val="2"/>
                <w:sz w:val="24"/>
                <w:szCs w:val="24"/>
              </w:rPr>
            </w:pPr>
          </w:p>
        </w:tc>
        <w:tc>
          <w:tcPr>
            <w:tcW w:w="3363" w:type="dxa"/>
          </w:tcPr>
          <w:p w14:paraId="2A484596">
            <w:pPr>
              <w:spacing w:line="500" w:lineRule="exact"/>
              <w:jc w:val="center"/>
              <w:rPr>
                <w:rFonts w:hint="default" w:ascii="Times New Roman" w:hAnsi="Times New Roman" w:cs="Times New Roman"/>
                <w:color w:val="auto"/>
                <w:sz w:val="24"/>
                <w:szCs w:val="24"/>
              </w:rPr>
            </w:pPr>
          </w:p>
        </w:tc>
        <w:tc>
          <w:tcPr>
            <w:tcW w:w="3851" w:type="dxa"/>
          </w:tcPr>
          <w:p w14:paraId="31A2597E">
            <w:pPr>
              <w:pStyle w:val="24"/>
              <w:spacing w:line="360" w:lineRule="auto"/>
              <w:ind w:left="540" w:leftChars="257" w:firstLine="480"/>
              <w:rPr>
                <w:rFonts w:ascii="Times New Roman" w:hAnsi="Times New Roman"/>
                <w:kern w:val="2"/>
                <w:sz w:val="24"/>
                <w:szCs w:val="24"/>
              </w:rPr>
            </w:pPr>
          </w:p>
        </w:tc>
        <w:tc>
          <w:tcPr>
            <w:tcW w:w="876" w:type="dxa"/>
          </w:tcPr>
          <w:p w14:paraId="3C5013FC">
            <w:pPr>
              <w:pStyle w:val="24"/>
              <w:spacing w:line="360" w:lineRule="auto"/>
              <w:ind w:left="540" w:leftChars="257" w:firstLine="480"/>
              <w:rPr>
                <w:rFonts w:ascii="Times New Roman" w:hAnsi="Times New Roman"/>
                <w:kern w:val="2"/>
                <w:sz w:val="24"/>
                <w:szCs w:val="24"/>
              </w:rPr>
            </w:pPr>
          </w:p>
        </w:tc>
      </w:tr>
      <w:tr w14:paraId="7D5AF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37" w:type="dxa"/>
          </w:tcPr>
          <w:p w14:paraId="25791E3A">
            <w:pPr>
              <w:pStyle w:val="24"/>
              <w:spacing w:line="360" w:lineRule="auto"/>
              <w:ind w:left="540" w:leftChars="257" w:firstLine="480"/>
              <w:rPr>
                <w:rFonts w:ascii="Times New Roman" w:hAnsi="Times New Roman"/>
                <w:kern w:val="2"/>
                <w:sz w:val="24"/>
                <w:szCs w:val="24"/>
              </w:rPr>
            </w:pPr>
          </w:p>
        </w:tc>
        <w:tc>
          <w:tcPr>
            <w:tcW w:w="3363" w:type="dxa"/>
          </w:tcPr>
          <w:p w14:paraId="32894FCB">
            <w:pPr>
              <w:pStyle w:val="24"/>
              <w:spacing w:line="360" w:lineRule="auto"/>
              <w:ind w:left="540" w:leftChars="257" w:firstLine="480"/>
              <w:rPr>
                <w:rFonts w:ascii="Times New Roman" w:hAnsi="Times New Roman"/>
                <w:kern w:val="2"/>
                <w:sz w:val="24"/>
                <w:szCs w:val="24"/>
              </w:rPr>
            </w:pPr>
          </w:p>
        </w:tc>
        <w:tc>
          <w:tcPr>
            <w:tcW w:w="3851" w:type="dxa"/>
          </w:tcPr>
          <w:p w14:paraId="58C6E57A">
            <w:pPr>
              <w:pStyle w:val="24"/>
              <w:spacing w:line="360" w:lineRule="auto"/>
              <w:ind w:left="540" w:leftChars="257" w:firstLine="480"/>
              <w:rPr>
                <w:rFonts w:ascii="Times New Roman" w:hAnsi="Times New Roman"/>
                <w:kern w:val="2"/>
                <w:sz w:val="24"/>
                <w:szCs w:val="24"/>
              </w:rPr>
            </w:pPr>
          </w:p>
        </w:tc>
        <w:tc>
          <w:tcPr>
            <w:tcW w:w="876" w:type="dxa"/>
          </w:tcPr>
          <w:p w14:paraId="615E6524">
            <w:pPr>
              <w:pStyle w:val="24"/>
              <w:spacing w:line="360" w:lineRule="auto"/>
              <w:ind w:left="540" w:leftChars="257" w:firstLine="480"/>
              <w:rPr>
                <w:rFonts w:ascii="Times New Roman" w:hAnsi="Times New Roman"/>
                <w:kern w:val="2"/>
                <w:sz w:val="24"/>
                <w:szCs w:val="24"/>
              </w:rPr>
            </w:pPr>
          </w:p>
        </w:tc>
      </w:tr>
      <w:tr w14:paraId="18A7E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37" w:type="dxa"/>
          </w:tcPr>
          <w:p w14:paraId="26E362D4">
            <w:pPr>
              <w:pStyle w:val="24"/>
              <w:spacing w:line="360" w:lineRule="auto"/>
              <w:ind w:left="540" w:leftChars="257" w:firstLine="480"/>
              <w:rPr>
                <w:rFonts w:ascii="Times New Roman" w:hAnsi="Times New Roman"/>
                <w:kern w:val="2"/>
                <w:sz w:val="24"/>
                <w:szCs w:val="24"/>
              </w:rPr>
            </w:pPr>
          </w:p>
        </w:tc>
        <w:tc>
          <w:tcPr>
            <w:tcW w:w="3363" w:type="dxa"/>
          </w:tcPr>
          <w:p w14:paraId="7C531423">
            <w:pPr>
              <w:pStyle w:val="24"/>
              <w:spacing w:line="360" w:lineRule="auto"/>
              <w:ind w:left="540" w:leftChars="257" w:firstLine="480"/>
              <w:rPr>
                <w:rFonts w:ascii="Times New Roman" w:hAnsi="Times New Roman"/>
                <w:kern w:val="2"/>
                <w:sz w:val="24"/>
                <w:szCs w:val="24"/>
              </w:rPr>
            </w:pPr>
          </w:p>
        </w:tc>
        <w:tc>
          <w:tcPr>
            <w:tcW w:w="3851" w:type="dxa"/>
          </w:tcPr>
          <w:p w14:paraId="1A387A9A">
            <w:pPr>
              <w:pStyle w:val="24"/>
              <w:spacing w:line="360" w:lineRule="auto"/>
              <w:ind w:left="540" w:leftChars="257" w:firstLine="480"/>
              <w:rPr>
                <w:rFonts w:ascii="Times New Roman" w:hAnsi="Times New Roman"/>
                <w:kern w:val="2"/>
                <w:sz w:val="24"/>
                <w:szCs w:val="24"/>
              </w:rPr>
            </w:pPr>
          </w:p>
        </w:tc>
        <w:tc>
          <w:tcPr>
            <w:tcW w:w="876" w:type="dxa"/>
          </w:tcPr>
          <w:p w14:paraId="03C43167">
            <w:pPr>
              <w:pStyle w:val="24"/>
              <w:spacing w:line="360" w:lineRule="auto"/>
              <w:ind w:left="540" w:leftChars="257" w:firstLine="480"/>
              <w:rPr>
                <w:rFonts w:ascii="Times New Roman" w:hAnsi="Times New Roman"/>
                <w:kern w:val="2"/>
                <w:sz w:val="24"/>
                <w:szCs w:val="24"/>
              </w:rPr>
            </w:pPr>
          </w:p>
        </w:tc>
      </w:tr>
      <w:tr w14:paraId="7DAD7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37" w:type="dxa"/>
          </w:tcPr>
          <w:p w14:paraId="7D299BAE">
            <w:pPr>
              <w:pStyle w:val="24"/>
              <w:spacing w:line="360" w:lineRule="auto"/>
              <w:ind w:left="540" w:leftChars="257" w:firstLine="480"/>
              <w:rPr>
                <w:rFonts w:ascii="Times New Roman" w:hAnsi="Times New Roman"/>
                <w:kern w:val="2"/>
                <w:sz w:val="24"/>
                <w:szCs w:val="24"/>
              </w:rPr>
            </w:pPr>
          </w:p>
        </w:tc>
        <w:tc>
          <w:tcPr>
            <w:tcW w:w="3363" w:type="dxa"/>
          </w:tcPr>
          <w:p w14:paraId="40465B98">
            <w:pPr>
              <w:pStyle w:val="24"/>
              <w:spacing w:line="360" w:lineRule="auto"/>
              <w:ind w:left="540" w:leftChars="257" w:firstLine="480"/>
              <w:rPr>
                <w:rFonts w:ascii="Times New Roman" w:hAnsi="Times New Roman"/>
                <w:kern w:val="2"/>
                <w:sz w:val="24"/>
                <w:szCs w:val="24"/>
              </w:rPr>
            </w:pPr>
          </w:p>
        </w:tc>
        <w:tc>
          <w:tcPr>
            <w:tcW w:w="3851" w:type="dxa"/>
          </w:tcPr>
          <w:p w14:paraId="6634B9F2">
            <w:pPr>
              <w:pStyle w:val="24"/>
              <w:spacing w:line="360" w:lineRule="auto"/>
              <w:ind w:left="540" w:leftChars="257" w:firstLine="480"/>
              <w:rPr>
                <w:rFonts w:ascii="Times New Roman" w:hAnsi="Times New Roman"/>
                <w:kern w:val="2"/>
                <w:sz w:val="24"/>
                <w:szCs w:val="24"/>
              </w:rPr>
            </w:pPr>
          </w:p>
        </w:tc>
        <w:tc>
          <w:tcPr>
            <w:tcW w:w="876" w:type="dxa"/>
          </w:tcPr>
          <w:p w14:paraId="0FCE700E">
            <w:pPr>
              <w:pStyle w:val="24"/>
              <w:spacing w:line="360" w:lineRule="auto"/>
              <w:ind w:left="540" w:leftChars="257" w:firstLine="480"/>
              <w:rPr>
                <w:rFonts w:ascii="Times New Roman" w:hAnsi="Times New Roman"/>
                <w:kern w:val="2"/>
                <w:sz w:val="24"/>
                <w:szCs w:val="24"/>
              </w:rPr>
            </w:pPr>
          </w:p>
        </w:tc>
      </w:tr>
      <w:tr w14:paraId="249EE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37" w:type="dxa"/>
          </w:tcPr>
          <w:p w14:paraId="0276BEAA">
            <w:pPr>
              <w:pStyle w:val="24"/>
              <w:spacing w:line="360" w:lineRule="auto"/>
              <w:ind w:left="540" w:leftChars="257" w:firstLine="480"/>
              <w:rPr>
                <w:rFonts w:ascii="Times New Roman" w:hAnsi="Times New Roman"/>
                <w:kern w:val="2"/>
                <w:sz w:val="24"/>
                <w:szCs w:val="24"/>
              </w:rPr>
            </w:pPr>
          </w:p>
        </w:tc>
        <w:tc>
          <w:tcPr>
            <w:tcW w:w="3363" w:type="dxa"/>
          </w:tcPr>
          <w:p w14:paraId="207D20A7">
            <w:pPr>
              <w:pStyle w:val="24"/>
              <w:spacing w:line="360" w:lineRule="auto"/>
              <w:ind w:left="540" w:leftChars="257" w:firstLine="480"/>
              <w:rPr>
                <w:rFonts w:ascii="Times New Roman" w:hAnsi="Times New Roman"/>
                <w:kern w:val="2"/>
                <w:sz w:val="24"/>
                <w:szCs w:val="24"/>
              </w:rPr>
            </w:pPr>
          </w:p>
        </w:tc>
        <w:tc>
          <w:tcPr>
            <w:tcW w:w="3851" w:type="dxa"/>
          </w:tcPr>
          <w:p w14:paraId="7B5A768A">
            <w:pPr>
              <w:pStyle w:val="24"/>
              <w:spacing w:line="360" w:lineRule="auto"/>
              <w:ind w:left="540" w:leftChars="257" w:firstLine="480"/>
              <w:rPr>
                <w:rFonts w:ascii="Times New Roman" w:hAnsi="Times New Roman"/>
                <w:kern w:val="2"/>
                <w:sz w:val="24"/>
                <w:szCs w:val="24"/>
              </w:rPr>
            </w:pPr>
          </w:p>
        </w:tc>
        <w:tc>
          <w:tcPr>
            <w:tcW w:w="876" w:type="dxa"/>
          </w:tcPr>
          <w:p w14:paraId="5882951A">
            <w:pPr>
              <w:pStyle w:val="24"/>
              <w:spacing w:line="360" w:lineRule="auto"/>
              <w:ind w:left="540" w:leftChars="257" w:firstLine="480"/>
              <w:rPr>
                <w:rFonts w:ascii="Times New Roman" w:hAnsi="Times New Roman"/>
                <w:kern w:val="2"/>
                <w:sz w:val="24"/>
                <w:szCs w:val="24"/>
              </w:rPr>
            </w:pPr>
          </w:p>
        </w:tc>
      </w:tr>
      <w:tr w14:paraId="0208D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37" w:type="dxa"/>
          </w:tcPr>
          <w:p w14:paraId="7E489F9A">
            <w:pPr>
              <w:pStyle w:val="24"/>
              <w:spacing w:line="360" w:lineRule="auto"/>
              <w:ind w:left="540" w:leftChars="257" w:firstLine="480"/>
              <w:rPr>
                <w:rFonts w:ascii="Times New Roman" w:hAnsi="Times New Roman"/>
                <w:kern w:val="2"/>
                <w:sz w:val="24"/>
                <w:szCs w:val="24"/>
              </w:rPr>
            </w:pPr>
          </w:p>
        </w:tc>
        <w:tc>
          <w:tcPr>
            <w:tcW w:w="3363" w:type="dxa"/>
          </w:tcPr>
          <w:p w14:paraId="431FD101">
            <w:pPr>
              <w:pStyle w:val="24"/>
              <w:spacing w:line="360" w:lineRule="auto"/>
              <w:ind w:left="540" w:leftChars="257" w:firstLine="480"/>
              <w:rPr>
                <w:rFonts w:ascii="Times New Roman" w:hAnsi="Times New Roman"/>
                <w:kern w:val="2"/>
                <w:sz w:val="24"/>
                <w:szCs w:val="24"/>
              </w:rPr>
            </w:pPr>
          </w:p>
        </w:tc>
        <w:tc>
          <w:tcPr>
            <w:tcW w:w="3851" w:type="dxa"/>
          </w:tcPr>
          <w:p w14:paraId="36A1E928">
            <w:pPr>
              <w:pStyle w:val="24"/>
              <w:spacing w:line="360" w:lineRule="auto"/>
              <w:ind w:left="540" w:leftChars="257" w:firstLine="480"/>
              <w:rPr>
                <w:rFonts w:ascii="Times New Roman" w:hAnsi="Times New Roman"/>
                <w:kern w:val="2"/>
                <w:sz w:val="24"/>
                <w:szCs w:val="24"/>
              </w:rPr>
            </w:pPr>
          </w:p>
        </w:tc>
        <w:tc>
          <w:tcPr>
            <w:tcW w:w="876" w:type="dxa"/>
          </w:tcPr>
          <w:p w14:paraId="7C7A7C8B">
            <w:pPr>
              <w:pStyle w:val="24"/>
              <w:spacing w:line="360" w:lineRule="auto"/>
              <w:ind w:left="540" w:leftChars="257" w:firstLine="480"/>
              <w:rPr>
                <w:rFonts w:ascii="Times New Roman" w:hAnsi="Times New Roman"/>
                <w:kern w:val="2"/>
                <w:sz w:val="24"/>
                <w:szCs w:val="24"/>
              </w:rPr>
            </w:pPr>
          </w:p>
        </w:tc>
      </w:tr>
      <w:tr w14:paraId="2B2F0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937" w:type="dxa"/>
          </w:tcPr>
          <w:p w14:paraId="286A92BE">
            <w:pPr>
              <w:pStyle w:val="24"/>
              <w:spacing w:line="360" w:lineRule="auto"/>
              <w:ind w:left="540" w:leftChars="257" w:firstLine="480"/>
              <w:rPr>
                <w:rFonts w:ascii="Times New Roman" w:hAnsi="Times New Roman"/>
                <w:kern w:val="2"/>
                <w:sz w:val="24"/>
                <w:szCs w:val="24"/>
              </w:rPr>
            </w:pPr>
          </w:p>
        </w:tc>
        <w:tc>
          <w:tcPr>
            <w:tcW w:w="3363" w:type="dxa"/>
          </w:tcPr>
          <w:p w14:paraId="1B8C541A">
            <w:pPr>
              <w:pStyle w:val="24"/>
              <w:spacing w:line="360" w:lineRule="auto"/>
              <w:ind w:left="540" w:leftChars="257" w:firstLine="480"/>
              <w:rPr>
                <w:rFonts w:ascii="Times New Roman" w:hAnsi="Times New Roman"/>
                <w:kern w:val="2"/>
                <w:sz w:val="24"/>
                <w:szCs w:val="24"/>
              </w:rPr>
            </w:pPr>
          </w:p>
        </w:tc>
        <w:tc>
          <w:tcPr>
            <w:tcW w:w="3851" w:type="dxa"/>
          </w:tcPr>
          <w:p w14:paraId="71832217">
            <w:pPr>
              <w:pStyle w:val="24"/>
              <w:spacing w:line="360" w:lineRule="auto"/>
              <w:ind w:left="540" w:leftChars="257" w:firstLine="480"/>
              <w:rPr>
                <w:rFonts w:ascii="Times New Roman" w:hAnsi="Times New Roman"/>
                <w:kern w:val="2"/>
                <w:sz w:val="24"/>
                <w:szCs w:val="24"/>
              </w:rPr>
            </w:pPr>
          </w:p>
        </w:tc>
        <w:tc>
          <w:tcPr>
            <w:tcW w:w="876" w:type="dxa"/>
          </w:tcPr>
          <w:p w14:paraId="4EBFB27B">
            <w:pPr>
              <w:pStyle w:val="24"/>
              <w:spacing w:line="360" w:lineRule="auto"/>
              <w:ind w:left="540" w:leftChars="257" w:firstLine="480"/>
              <w:rPr>
                <w:rFonts w:ascii="Times New Roman" w:hAnsi="Times New Roman"/>
                <w:kern w:val="2"/>
                <w:sz w:val="24"/>
                <w:szCs w:val="24"/>
              </w:rPr>
            </w:pPr>
          </w:p>
        </w:tc>
      </w:tr>
    </w:tbl>
    <w:p w14:paraId="466DAA12">
      <w:pPr>
        <w:pStyle w:val="24"/>
        <w:spacing w:line="360" w:lineRule="auto"/>
        <w:rPr>
          <w:rFonts w:ascii="Times New Roman" w:hAnsi="Times New Roman"/>
          <w:sz w:val="24"/>
          <w:szCs w:val="24"/>
        </w:rPr>
      </w:pPr>
    </w:p>
    <w:p w14:paraId="782255B8">
      <w:pPr>
        <w:spacing w:line="500" w:lineRule="exact"/>
        <w:jc w:val="left"/>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供应商（企业电子签章）：</w:t>
      </w:r>
      <w:r>
        <w:rPr>
          <w:rFonts w:hint="default" w:ascii="Times New Roman" w:hAnsi="Times New Roman" w:eastAsia="仿宋_GB2312" w:cs="Times New Roman"/>
          <w:b/>
          <w:bCs/>
          <w:color w:val="auto"/>
          <w:sz w:val="28"/>
          <w:szCs w:val="28"/>
          <w:u w:val="single"/>
          <w:lang w:val="en-US" w:eastAsia="zh-CN"/>
        </w:rPr>
        <w:t xml:space="preserve">           </w:t>
      </w:r>
      <w:r>
        <w:rPr>
          <w:rFonts w:hint="default" w:ascii="Times New Roman" w:hAnsi="Times New Roman" w:eastAsia="仿宋_GB2312" w:cs="Times New Roman"/>
          <w:b/>
          <w:bCs/>
          <w:color w:val="auto"/>
          <w:sz w:val="28"/>
          <w:szCs w:val="28"/>
          <w:lang w:eastAsia="zh-CN"/>
        </w:rPr>
        <w:t xml:space="preserve">                 </w:t>
      </w:r>
    </w:p>
    <w:p w14:paraId="583F643C">
      <w:pPr>
        <w:spacing w:line="500" w:lineRule="exact"/>
        <w:jc w:val="center"/>
        <w:outlineLvl w:val="1"/>
        <w:rPr>
          <w:rFonts w:hint="default" w:ascii="微软雅黑" w:hAnsi="Times New Roman" w:eastAsia="微软雅黑" w:cs="Times New Roman"/>
          <w:bCs/>
          <w:color w:val="auto"/>
          <w:sz w:val="30"/>
          <w:szCs w:val="30"/>
          <w:lang w:val="en-US" w:eastAsia="zh-CN"/>
        </w:rPr>
      </w:pPr>
      <w:bookmarkStart w:id="169" w:name="_Hlt520274911"/>
      <w:bookmarkEnd w:id="169"/>
      <w:bookmarkStart w:id="170" w:name="_Hlt520343392"/>
      <w:bookmarkEnd w:id="170"/>
      <w:bookmarkStart w:id="171" w:name="_Hlt520350957"/>
      <w:bookmarkEnd w:id="171"/>
      <w:bookmarkStart w:id="172" w:name="_Hlt520273711"/>
      <w:bookmarkEnd w:id="172"/>
      <w:bookmarkStart w:id="173" w:name="_Hlt520350918"/>
      <w:bookmarkEnd w:id="173"/>
      <w:bookmarkStart w:id="174" w:name="_Hlt520274407"/>
      <w:bookmarkEnd w:id="174"/>
      <w:bookmarkStart w:id="175" w:name="_Hlt520343000"/>
      <w:bookmarkEnd w:id="175"/>
      <w:bookmarkStart w:id="176" w:name="_Hlt520274393"/>
      <w:bookmarkEnd w:id="176"/>
      <w:bookmarkStart w:id="177" w:name="_Hlt520271212"/>
      <w:bookmarkEnd w:id="177"/>
      <w:bookmarkStart w:id="178" w:name="_Hlt520273973"/>
      <w:bookmarkEnd w:id="178"/>
      <w:bookmarkStart w:id="179" w:name="_Hlt520274065"/>
      <w:bookmarkEnd w:id="179"/>
      <w:r>
        <w:rPr>
          <w:rFonts w:hint="default" w:ascii="微软雅黑" w:hAnsi="Times New Roman" w:eastAsia="微软雅黑"/>
          <w:b/>
          <w:color w:val="auto"/>
          <w:sz w:val="30"/>
          <w:szCs w:val="30"/>
          <w:lang w:val="en-US" w:eastAsia="zh-CN"/>
        </w:rPr>
        <w:br w:type="page"/>
      </w:r>
      <w:bookmarkStart w:id="180" w:name="_Toc987616865"/>
      <w:bookmarkStart w:id="181" w:name="_Toc142693684"/>
      <w:bookmarkStart w:id="182" w:name="_Toc1764653932"/>
      <w:bookmarkStart w:id="183" w:name="_Toc656280486"/>
      <w:bookmarkStart w:id="184" w:name="_Toc1868917719"/>
      <w:bookmarkStart w:id="185" w:name="_Toc804892690"/>
      <w:bookmarkStart w:id="186" w:name="_Toc37830125"/>
      <w:r>
        <w:rPr>
          <w:rFonts w:hint="default" w:ascii="微软雅黑" w:hAnsi="Times New Roman" w:eastAsia="微软雅黑" w:cs="Times New Roman"/>
          <w:bCs/>
          <w:color w:val="auto"/>
          <w:sz w:val="30"/>
          <w:szCs w:val="30"/>
          <w:lang w:val="en-US" w:eastAsia="zh-CN"/>
        </w:rPr>
        <w:t>十一、技术规格偏离表</w:t>
      </w:r>
      <w:bookmarkEnd w:id="164"/>
      <w:bookmarkEnd w:id="165"/>
      <w:bookmarkEnd w:id="166"/>
      <w:bookmarkEnd w:id="167"/>
      <w:bookmarkEnd w:id="180"/>
      <w:bookmarkEnd w:id="181"/>
      <w:bookmarkEnd w:id="182"/>
      <w:bookmarkEnd w:id="183"/>
      <w:bookmarkEnd w:id="184"/>
      <w:bookmarkEnd w:id="185"/>
      <w:bookmarkEnd w:id="186"/>
    </w:p>
    <w:p w14:paraId="12F53D52">
      <w:pPr>
        <w:pStyle w:val="24"/>
        <w:spacing w:line="360" w:lineRule="auto"/>
        <w:rPr>
          <w:rFonts w:ascii="Times New Roman" w:hAnsi="Times New Roman" w:eastAsia="仿宋_GB2312"/>
          <w:kern w:val="2"/>
          <w:sz w:val="28"/>
          <w:szCs w:val="28"/>
        </w:rPr>
      </w:pPr>
    </w:p>
    <w:p w14:paraId="653E3F5D">
      <w:pPr>
        <w:pStyle w:val="24"/>
        <w:spacing w:line="360" w:lineRule="auto"/>
        <w:rPr>
          <w:rFonts w:ascii="Times New Roman" w:hAnsi="Times New Roman" w:eastAsia="仿宋_GB2312"/>
          <w:kern w:val="2"/>
          <w:sz w:val="28"/>
          <w:szCs w:val="28"/>
        </w:rPr>
      </w:pPr>
      <w:r>
        <w:rPr>
          <w:rFonts w:ascii="Times New Roman" w:hAnsi="Times New Roman" w:eastAsia="仿宋_GB2312"/>
          <w:kern w:val="2"/>
          <w:sz w:val="28"/>
          <w:szCs w:val="28"/>
        </w:rPr>
        <w:t>项目名称：</w:t>
      </w:r>
      <w:r>
        <w:rPr>
          <w:rFonts w:hint="eastAsia" w:ascii="Times New Roman" w:hAnsi="Times New Roman" w:eastAsia="仿宋_GB2312"/>
          <w:sz w:val="28"/>
          <w:szCs w:val="28"/>
          <w:u w:val="single"/>
          <w:lang w:val="en"/>
        </w:rPr>
        <w:t>郑州铁路职业技术学院工科基础实训室项目</w:t>
      </w:r>
    </w:p>
    <w:p w14:paraId="2011C50E">
      <w:pPr>
        <w:pStyle w:val="24"/>
        <w:spacing w:line="360" w:lineRule="auto"/>
        <w:rPr>
          <w:rFonts w:ascii="Times New Roman" w:hAnsi="Times New Roman"/>
          <w:sz w:val="24"/>
          <w:szCs w:val="24"/>
        </w:rPr>
      </w:pPr>
      <w:r>
        <w:rPr>
          <w:rFonts w:ascii="Times New Roman" w:hAnsi="Times New Roman" w:eastAsia="仿宋_GB2312"/>
          <w:kern w:val="2"/>
          <w:sz w:val="28"/>
          <w:szCs w:val="28"/>
        </w:rPr>
        <w:t>采购编号：</w:t>
      </w:r>
      <w:r>
        <w:rPr>
          <w:rFonts w:hint="eastAsia" w:ascii="Times New Roman" w:hAnsi="Times New Roman" w:eastAsia="仿宋_GB2312"/>
          <w:kern w:val="2"/>
          <w:sz w:val="28"/>
          <w:szCs w:val="28"/>
          <w:u w:val="single"/>
        </w:rPr>
        <w:t>豫财磋商采购-2026-853</w:t>
      </w:r>
      <w:r>
        <w:rPr>
          <w:rFonts w:ascii="Times New Roman" w:hAnsi="Times New Roman" w:eastAsia="仿宋_GB2312"/>
          <w:kern w:val="2"/>
          <w:sz w:val="28"/>
          <w:szCs w:val="28"/>
          <w:u w:val="single"/>
        </w:rPr>
        <w:t xml:space="preserve"> </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3195"/>
        <w:gridCol w:w="1245"/>
        <w:gridCol w:w="1320"/>
        <w:gridCol w:w="1050"/>
        <w:gridCol w:w="1068"/>
      </w:tblGrid>
      <w:tr w14:paraId="759EE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08" w:type="dxa"/>
            <w:vAlign w:val="center"/>
          </w:tcPr>
          <w:p w14:paraId="64C15DA2">
            <w:pPr>
              <w:pStyle w:val="24"/>
              <w:spacing w:line="360" w:lineRule="auto"/>
              <w:ind w:left="-31" w:leftChars="-15"/>
              <w:jc w:val="center"/>
              <w:rPr>
                <w:rFonts w:ascii="Times New Roman" w:hAnsi="Times New Roman"/>
                <w:b/>
                <w:kern w:val="2"/>
                <w:sz w:val="24"/>
                <w:szCs w:val="24"/>
              </w:rPr>
            </w:pPr>
            <w:r>
              <w:rPr>
                <w:rFonts w:ascii="Times New Roman" w:hAnsi="Times New Roman"/>
                <w:b/>
                <w:kern w:val="2"/>
                <w:sz w:val="24"/>
                <w:szCs w:val="24"/>
              </w:rPr>
              <w:t>序号</w:t>
            </w:r>
          </w:p>
        </w:tc>
        <w:tc>
          <w:tcPr>
            <w:tcW w:w="3195" w:type="dxa"/>
            <w:vAlign w:val="center"/>
          </w:tcPr>
          <w:p w14:paraId="69320EDA">
            <w:pPr>
              <w:pStyle w:val="24"/>
              <w:spacing w:line="360" w:lineRule="auto"/>
              <w:jc w:val="center"/>
              <w:rPr>
                <w:rFonts w:ascii="Times New Roman" w:hAnsi="Times New Roman"/>
                <w:b/>
                <w:kern w:val="2"/>
                <w:sz w:val="24"/>
                <w:szCs w:val="24"/>
              </w:rPr>
            </w:pPr>
            <w:r>
              <w:rPr>
                <w:rFonts w:ascii="Times New Roman" w:hAnsi="Times New Roman"/>
                <w:b/>
                <w:kern w:val="2"/>
                <w:sz w:val="24"/>
                <w:szCs w:val="24"/>
              </w:rPr>
              <w:t>货物名称及伴随服务内容</w:t>
            </w:r>
          </w:p>
        </w:tc>
        <w:tc>
          <w:tcPr>
            <w:tcW w:w="1245" w:type="dxa"/>
            <w:vAlign w:val="center"/>
          </w:tcPr>
          <w:p w14:paraId="4070BCD4">
            <w:pPr>
              <w:pStyle w:val="24"/>
              <w:spacing w:line="360" w:lineRule="auto"/>
              <w:ind w:left="-206" w:leftChars="-98" w:right="-166" w:rightChars="-79"/>
              <w:jc w:val="center"/>
              <w:rPr>
                <w:rFonts w:ascii="Times New Roman" w:hAnsi="Times New Roman"/>
                <w:b/>
                <w:kern w:val="2"/>
                <w:sz w:val="24"/>
                <w:szCs w:val="24"/>
              </w:rPr>
            </w:pPr>
            <w:r>
              <w:rPr>
                <w:rFonts w:ascii="Times New Roman" w:hAnsi="Times New Roman"/>
                <w:b/>
                <w:kern w:val="2"/>
                <w:sz w:val="24"/>
                <w:szCs w:val="24"/>
              </w:rPr>
              <w:t>采购要求</w:t>
            </w:r>
          </w:p>
        </w:tc>
        <w:tc>
          <w:tcPr>
            <w:tcW w:w="1320" w:type="dxa"/>
            <w:vAlign w:val="center"/>
          </w:tcPr>
          <w:p w14:paraId="4008DF9E">
            <w:pPr>
              <w:pStyle w:val="24"/>
              <w:spacing w:line="360" w:lineRule="auto"/>
              <w:ind w:left="-48" w:leftChars="-23"/>
              <w:jc w:val="center"/>
              <w:rPr>
                <w:rFonts w:ascii="Times New Roman" w:hAnsi="Times New Roman"/>
                <w:b/>
                <w:kern w:val="2"/>
                <w:sz w:val="24"/>
                <w:szCs w:val="24"/>
              </w:rPr>
            </w:pPr>
            <w:r>
              <w:rPr>
                <w:rFonts w:ascii="Times New Roman" w:hAnsi="Times New Roman"/>
                <w:b/>
                <w:kern w:val="2"/>
                <w:sz w:val="24"/>
                <w:szCs w:val="24"/>
              </w:rPr>
              <w:t>磋商响应</w:t>
            </w:r>
          </w:p>
        </w:tc>
        <w:tc>
          <w:tcPr>
            <w:tcW w:w="1050" w:type="dxa"/>
            <w:vAlign w:val="center"/>
          </w:tcPr>
          <w:p w14:paraId="2F7778A1">
            <w:pPr>
              <w:pStyle w:val="24"/>
              <w:spacing w:line="360" w:lineRule="auto"/>
              <w:ind w:left="-34" w:leftChars="-16"/>
              <w:jc w:val="center"/>
              <w:rPr>
                <w:rFonts w:ascii="Times New Roman" w:hAnsi="Times New Roman"/>
                <w:b/>
                <w:kern w:val="2"/>
                <w:sz w:val="24"/>
                <w:szCs w:val="24"/>
              </w:rPr>
            </w:pPr>
            <w:r>
              <w:rPr>
                <w:rFonts w:ascii="Times New Roman" w:hAnsi="Times New Roman"/>
                <w:b/>
                <w:kern w:val="2"/>
                <w:sz w:val="24"/>
                <w:szCs w:val="24"/>
              </w:rPr>
              <w:t>偏离</w:t>
            </w:r>
          </w:p>
        </w:tc>
        <w:tc>
          <w:tcPr>
            <w:tcW w:w="1068" w:type="dxa"/>
            <w:vAlign w:val="center"/>
          </w:tcPr>
          <w:p w14:paraId="155B963A">
            <w:pPr>
              <w:pStyle w:val="24"/>
              <w:spacing w:line="360" w:lineRule="auto"/>
              <w:ind w:left="-82" w:leftChars="-39"/>
              <w:jc w:val="center"/>
              <w:rPr>
                <w:rFonts w:ascii="Times New Roman" w:hAnsi="Times New Roman"/>
                <w:b/>
                <w:kern w:val="2"/>
                <w:sz w:val="24"/>
                <w:szCs w:val="24"/>
              </w:rPr>
            </w:pPr>
            <w:r>
              <w:rPr>
                <w:rFonts w:ascii="Times New Roman" w:hAnsi="Times New Roman"/>
                <w:b/>
                <w:kern w:val="2"/>
                <w:sz w:val="24"/>
                <w:szCs w:val="24"/>
              </w:rPr>
              <w:t>说明</w:t>
            </w:r>
          </w:p>
        </w:tc>
      </w:tr>
      <w:tr w14:paraId="2BA36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08" w:type="dxa"/>
          </w:tcPr>
          <w:p w14:paraId="6CBBF724">
            <w:pPr>
              <w:pStyle w:val="24"/>
              <w:spacing w:line="360" w:lineRule="auto"/>
              <w:ind w:left="540" w:leftChars="257" w:firstLine="480"/>
              <w:rPr>
                <w:rFonts w:ascii="Times New Roman" w:hAnsi="Times New Roman"/>
                <w:kern w:val="2"/>
                <w:sz w:val="24"/>
                <w:szCs w:val="24"/>
              </w:rPr>
            </w:pPr>
          </w:p>
        </w:tc>
        <w:tc>
          <w:tcPr>
            <w:tcW w:w="3195" w:type="dxa"/>
          </w:tcPr>
          <w:p w14:paraId="020501DD">
            <w:pPr>
              <w:pStyle w:val="24"/>
              <w:spacing w:line="360" w:lineRule="auto"/>
              <w:ind w:left="540" w:leftChars="257" w:firstLine="480"/>
              <w:rPr>
                <w:rFonts w:ascii="Times New Roman" w:hAnsi="Times New Roman"/>
                <w:kern w:val="2"/>
                <w:sz w:val="24"/>
                <w:szCs w:val="24"/>
              </w:rPr>
            </w:pPr>
          </w:p>
        </w:tc>
        <w:tc>
          <w:tcPr>
            <w:tcW w:w="1245" w:type="dxa"/>
          </w:tcPr>
          <w:p w14:paraId="1525306A">
            <w:pPr>
              <w:pStyle w:val="24"/>
              <w:spacing w:line="360" w:lineRule="auto"/>
              <w:ind w:left="540" w:leftChars="257" w:firstLine="480"/>
              <w:rPr>
                <w:rFonts w:ascii="Times New Roman" w:hAnsi="Times New Roman"/>
                <w:kern w:val="2"/>
                <w:sz w:val="24"/>
                <w:szCs w:val="24"/>
              </w:rPr>
            </w:pPr>
          </w:p>
        </w:tc>
        <w:tc>
          <w:tcPr>
            <w:tcW w:w="1320" w:type="dxa"/>
          </w:tcPr>
          <w:p w14:paraId="4EBEFDAB">
            <w:pPr>
              <w:pStyle w:val="24"/>
              <w:spacing w:line="360" w:lineRule="auto"/>
              <w:ind w:left="540" w:leftChars="257" w:firstLine="480"/>
              <w:rPr>
                <w:rFonts w:ascii="Times New Roman" w:hAnsi="Times New Roman"/>
                <w:kern w:val="2"/>
                <w:sz w:val="24"/>
                <w:szCs w:val="24"/>
              </w:rPr>
            </w:pPr>
          </w:p>
        </w:tc>
        <w:tc>
          <w:tcPr>
            <w:tcW w:w="1050" w:type="dxa"/>
          </w:tcPr>
          <w:p w14:paraId="10166B95">
            <w:pPr>
              <w:pStyle w:val="24"/>
              <w:spacing w:line="360" w:lineRule="auto"/>
              <w:ind w:left="540" w:leftChars="257" w:firstLine="480"/>
              <w:rPr>
                <w:rFonts w:ascii="Times New Roman" w:hAnsi="Times New Roman"/>
                <w:kern w:val="2"/>
                <w:sz w:val="24"/>
                <w:szCs w:val="24"/>
              </w:rPr>
            </w:pPr>
          </w:p>
        </w:tc>
        <w:tc>
          <w:tcPr>
            <w:tcW w:w="1068" w:type="dxa"/>
          </w:tcPr>
          <w:p w14:paraId="4729DA2B">
            <w:pPr>
              <w:pStyle w:val="24"/>
              <w:spacing w:line="360" w:lineRule="auto"/>
              <w:ind w:left="540" w:leftChars="257" w:firstLine="480"/>
              <w:rPr>
                <w:rFonts w:ascii="Times New Roman" w:hAnsi="Times New Roman"/>
                <w:kern w:val="2"/>
                <w:sz w:val="24"/>
                <w:szCs w:val="24"/>
              </w:rPr>
            </w:pPr>
          </w:p>
        </w:tc>
      </w:tr>
      <w:tr w14:paraId="2E9D9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08" w:type="dxa"/>
          </w:tcPr>
          <w:p w14:paraId="37F761B9">
            <w:pPr>
              <w:pStyle w:val="24"/>
              <w:spacing w:line="360" w:lineRule="auto"/>
              <w:ind w:left="540" w:leftChars="257" w:firstLine="480"/>
              <w:rPr>
                <w:rFonts w:ascii="Times New Roman" w:hAnsi="Times New Roman"/>
                <w:kern w:val="2"/>
                <w:sz w:val="24"/>
                <w:szCs w:val="24"/>
              </w:rPr>
            </w:pPr>
          </w:p>
        </w:tc>
        <w:tc>
          <w:tcPr>
            <w:tcW w:w="3195" w:type="dxa"/>
          </w:tcPr>
          <w:p w14:paraId="286CD2F8">
            <w:pPr>
              <w:pStyle w:val="24"/>
              <w:spacing w:line="360" w:lineRule="auto"/>
              <w:ind w:left="540" w:leftChars="257" w:firstLine="480"/>
              <w:rPr>
                <w:rFonts w:ascii="Times New Roman" w:hAnsi="Times New Roman"/>
                <w:kern w:val="2"/>
                <w:sz w:val="24"/>
                <w:szCs w:val="24"/>
              </w:rPr>
            </w:pPr>
          </w:p>
        </w:tc>
        <w:tc>
          <w:tcPr>
            <w:tcW w:w="1245" w:type="dxa"/>
          </w:tcPr>
          <w:p w14:paraId="71E648FC">
            <w:pPr>
              <w:pStyle w:val="24"/>
              <w:spacing w:line="360" w:lineRule="auto"/>
              <w:ind w:left="540" w:leftChars="257" w:firstLine="480"/>
              <w:rPr>
                <w:rFonts w:ascii="Times New Roman" w:hAnsi="Times New Roman"/>
                <w:kern w:val="2"/>
                <w:sz w:val="24"/>
                <w:szCs w:val="24"/>
              </w:rPr>
            </w:pPr>
          </w:p>
        </w:tc>
        <w:tc>
          <w:tcPr>
            <w:tcW w:w="1320" w:type="dxa"/>
          </w:tcPr>
          <w:p w14:paraId="2A8AE408">
            <w:pPr>
              <w:pStyle w:val="24"/>
              <w:spacing w:line="360" w:lineRule="auto"/>
              <w:ind w:left="540" w:leftChars="257" w:firstLine="480"/>
              <w:rPr>
                <w:rFonts w:ascii="Times New Roman" w:hAnsi="Times New Roman"/>
                <w:kern w:val="2"/>
                <w:sz w:val="24"/>
                <w:szCs w:val="24"/>
              </w:rPr>
            </w:pPr>
          </w:p>
        </w:tc>
        <w:tc>
          <w:tcPr>
            <w:tcW w:w="1050" w:type="dxa"/>
          </w:tcPr>
          <w:p w14:paraId="2D5AE3BE">
            <w:pPr>
              <w:pStyle w:val="24"/>
              <w:spacing w:line="360" w:lineRule="auto"/>
              <w:ind w:left="540" w:leftChars="257" w:firstLine="480"/>
              <w:rPr>
                <w:rFonts w:ascii="Times New Roman" w:hAnsi="Times New Roman"/>
                <w:kern w:val="2"/>
                <w:sz w:val="24"/>
                <w:szCs w:val="24"/>
              </w:rPr>
            </w:pPr>
          </w:p>
        </w:tc>
        <w:tc>
          <w:tcPr>
            <w:tcW w:w="1068" w:type="dxa"/>
          </w:tcPr>
          <w:p w14:paraId="12DFCBE3">
            <w:pPr>
              <w:pStyle w:val="24"/>
              <w:spacing w:line="360" w:lineRule="auto"/>
              <w:ind w:left="540" w:leftChars="257" w:firstLine="480"/>
              <w:rPr>
                <w:rFonts w:ascii="Times New Roman" w:hAnsi="Times New Roman"/>
                <w:kern w:val="2"/>
                <w:sz w:val="24"/>
                <w:szCs w:val="24"/>
              </w:rPr>
            </w:pPr>
          </w:p>
        </w:tc>
      </w:tr>
      <w:tr w14:paraId="285D4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08" w:type="dxa"/>
          </w:tcPr>
          <w:p w14:paraId="6DE25F70">
            <w:pPr>
              <w:pStyle w:val="24"/>
              <w:spacing w:line="360" w:lineRule="auto"/>
              <w:ind w:left="540" w:leftChars="257" w:firstLine="480"/>
              <w:rPr>
                <w:rFonts w:ascii="Times New Roman" w:hAnsi="Times New Roman"/>
                <w:kern w:val="2"/>
                <w:sz w:val="24"/>
                <w:szCs w:val="24"/>
              </w:rPr>
            </w:pPr>
          </w:p>
        </w:tc>
        <w:tc>
          <w:tcPr>
            <w:tcW w:w="3195" w:type="dxa"/>
          </w:tcPr>
          <w:p w14:paraId="20744A65">
            <w:pPr>
              <w:pStyle w:val="24"/>
              <w:spacing w:line="360" w:lineRule="auto"/>
              <w:ind w:left="540" w:leftChars="257" w:firstLine="480"/>
              <w:rPr>
                <w:rFonts w:ascii="Times New Roman" w:hAnsi="Times New Roman"/>
                <w:kern w:val="2"/>
                <w:sz w:val="24"/>
                <w:szCs w:val="24"/>
              </w:rPr>
            </w:pPr>
          </w:p>
        </w:tc>
        <w:tc>
          <w:tcPr>
            <w:tcW w:w="1245" w:type="dxa"/>
          </w:tcPr>
          <w:p w14:paraId="2856BE2A">
            <w:pPr>
              <w:pStyle w:val="24"/>
              <w:spacing w:line="360" w:lineRule="auto"/>
              <w:ind w:left="540" w:leftChars="257" w:firstLine="480"/>
              <w:rPr>
                <w:rFonts w:ascii="Times New Roman" w:hAnsi="Times New Roman"/>
                <w:kern w:val="2"/>
                <w:sz w:val="24"/>
                <w:szCs w:val="24"/>
              </w:rPr>
            </w:pPr>
          </w:p>
        </w:tc>
        <w:tc>
          <w:tcPr>
            <w:tcW w:w="1320" w:type="dxa"/>
          </w:tcPr>
          <w:p w14:paraId="22CA10F3">
            <w:pPr>
              <w:pStyle w:val="24"/>
              <w:spacing w:line="360" w:lineRule="auto"/>
              <w:ind w:left="540" w:leftChars="257" w:firstLine="480"/>
              <w:rPr>
                <w:rFonts w:ascii="Times New Roman" w:hAnsi="Times New Roman"/>
                <w:kern w:val="2"/>
                <w:sz w:val="24"/>
                <w:szCs w:val="24"/>
              </w:rPr>
            </w:pPr>
          </w:p>
        </w:tc>
        <w:tc>
          <w:tcPr>
            <w:tcW w:w="1050" w:type="dxa"/>
          </w:tcPr>
          <w:p w14:paraId="3CF8FCE4">
            <w:pPr>
              <w:pStyle w:val="24"/>
              <w:spacing w:line="360" w:lineRule="auto"/>
              <w:ind w:left="540" w:leftChars="257" w:firstLine="480"/>
              <w:rPr>
                <w:rFonts w:ascii="Times New Roman" w:hAnsi="Times New Roman"/>
                <w:kern w:val="2"/>
                <w:sz w:val="24"/>
                <w:szCs w:val="24"/>
              </w:rPr>
            </w:pPr>
          </w:p>
        </w:tc>
        <w:tc>
          <w:tcPr>
            <w:tcW w:w="1068" w:type="dxa"/>
          </w:tcPr>
          <w:p w14:paraId="370A7CAA">
            <w:pPr>
              <w:pStyle w:val="24"/>
              <w:spacing w:line="360" w:lineRule="auto"/>
              <w:ind w:left="540" w:leftChars="257" w:firstLine="480"/>
              <w:rPr>
                <w:rFonts w:ascii="Times New Roman" w:hAnsi="Times New Roman"/>
                <w:kern w:val="2"/>
                <w:sz w:val="24"/>
                <w:szCs w:val="24"/>
              </w:rPr>
            </w:pPr>
          </w:p>
        </w:tc>
      </w:tr>
      <w:tr w14:paraId="0D4F5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08" w:type="dxa"/>
          </w:tcPr>
          <w:p w14:paraId="1D12F155">
            <w:pPr>
              <w:pStyle w:val="24"/>
              <w:spacing w:line="360" w:lineRule="auto"/>
              <w:ind w:left="540" w:leftChars="257" w:firstLine="480"/>
              <w:rPr>
                <w:rFonts w:ascii="Times New Roman" w:hAnsi="Times New Roman"/>
                <w:kern w:val="2"/>
                <w:sz w:val="24"/>
                <w:szCs w:val="24"/>
              </w:rPr>
            </w:pPr>
          </w:p>
        </w:tc>
        <w:tc>
          <w:tcPr>
            <w:tcW w:w="3195" w:type="dxa"/>
          </w:tcPr>
          <w:p w14:paraId="7AC100CC">
            <w:pPr>
              <w:pStyle w:val="24"/>
              <w:spacing w:line="360" w:lineRule="auto"/>
              <w:ind w:left="540" w:leftChars="257" w:firstLine="480"/>
              <w:rPr>
                <w:rFonts w:ascii="Times New Roman" w:hAnsi="Times New Roman"/>
                <w:kern w:val="2"/>
                <w:sz w:val="24"/>
                <w:szCs w:val="24"/>
              </w:rPr>
            </w:pPr>
          </w:p>
        </w:tc>
        <w:tc>
          <w:tcPr>
            <w:tcW w:w="1245" w:type="dxa"/>
          </w:tcPr>
          <w:p w14:paraId="594897C8">
            <w:pPr>
              <w:pStyle w:val="24"/>
              <w:spacing w:line="360" w:lineRule="auto"/>
              <w:ind w:left="540" w:leftChars="257" w:firstLine="480"/>
              <w:rPr>
                <w:rFonts w:ascii="Times New Roman" w:hAnsi="Times New Roman"/>
                <w:kern w:val="2"/>
                <w:sz w:val="24"/>
                <w:szCs w:val="24"/>
              </w:rPr>
            </w:pPr>
          </w:p>
        </w:tc>
        <w:tc>
          <w:tcPr>
            <w:tcW w:w="1320" w:type="dxa"/>
          </w:tcPr>
          <w:p w14:paraId="50F3AF4B">
            <w:pPr>
              <w:pStyle w:val="24"/>
              <w:spacing w:line="360" w:lineRule="auto"/>
              <w:ind w:left="540" w:leftChars="257" w:firstLine="480"/>
              <w:rPr>
                <w:rFonts w:ascii="Times New Roman" w:hAnsi="Times New Roman"/>
                <w:kern w:val="2"/>
                <w:sz w:val="24"/>
                <w:szCs w:val="24"/>
              </w:rPr>
            </w:pPr>
          </w:p>
        </w:tc>
        <w:tc>
          <w:tcPr>
            <w:tcW w:w="1050" w:type="dxa"/>
          </w:tcPr>
          <w:p w14:paraId="2F98AFB5">
            <w:pPr>
              <w:pStyle w:val="24"/>
              <w:spacing w:line="360" w:lineRule="auto"/>
              <w:ind w:left="540" w:leftChars="257" w:firstLine="480"/>
              <w:rPr>
                <w:rFonts w:ascii="Times New Roman" w:hAnsi="Times New Roman"/>
                <w:kern w:val="2"/>
                <w:sz w:val="24"/>
                <w:szCs w:val="24"/>
              </w:rPr>
            </w:pPr>
          </w:p>
        </w:tc>
        <w:tc>
          <w:tcPr>
            <w:tcW w:w="1068" w:type="dxa"/>
          </w:tcPr>
          <w:p w14:paraId="0F9975F8">
            <w:pPr>
              <w:pStyle w:val="24"/>
              <w:spacing w:line="360" w:lineRule="auto"/>
              <w:ind w:left="540" w:leftChars="257" w:firstLine="480"/>
              <w:rPr>
                <w:rFonts w:ascii="Times New Roman" w:hAnsi="Times New Roman"/>
                <w:kern w:val="2"/>
                <w:sz w:val="24"/>
                <w:szCs w:val="24"/>
              </w:rPr>
            </w:pPr>
          </w:p>
        </w:tc>
      </w:tr>
      <w:tr w14:paraId="577D5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08" w:type="dxa"/>
          </w:tcPr>
          <w:p w14:paraId="38873D3D">
            <w:pPr>
              <w:pStyle w:val="24"/>
              <w:spacing w:line="360" w:lineRule="auto"/>
              <w:ind w:left="540" w:leftChars="257" w:firstLine="480"/>
              <w:rPr>
                <w:rFonts w:ascii="Times New Roman" w:hAnsi="Times New Roman"/>
                <w:kern w:val="2"/>
                <w:sz w:val="24"/>
                <w:szCs w:val="24"/>
              </w:rPr>
            </w:pPr>
          </w:p>
        </w:tc>
        <w:tc>
          <w:tcPr>
            <w:tcW w:w="3195" w:type="dxa"/>
          </w:tcPr>
          <w:p w14:paraId="37451D56">
            <w:pPr>
              <w:pStyle w:val="24"/>
              <w:spacing w:line="360" w:lineRule="auto"/>
              <w:ind w:left="540" w:leftChars="257" w:firstLine="480"/>
              <w:rPr>
                <w:rFonts w:ascii="Times New Roman" w:hAnsi="Times New Roman"/>
                <w:kern w:val="2"/>
                <w:sz w:val="24"/>
                <w:szCs w:val="24"/>
              </w:rPr>
            </w:pPr>
          </w:p>
        </w:tc>
        <w:tc>
          <w:tcPr>
            <w:tcW w:w="1245" w:type="dxa"/>
          </w:tcPr>
          <w:p w14:paraId="71832D5A">
            <w:pPr>
              <w:pStyle w:val="24"/>
              <w:spacing w:line="360" w:lineRule="auto"/>
              <w:ind w:left="540" w:leftChars="257" w:firstLine="480"/>
              <w:rPr>
                <w:rFonts w:ascii="Times New Roman" w:hAnsi="Times New Roman"/>
                <w:kern w:val="2"/>
                <w:sz w:val="24"/>
                <w:szCs w:val="24"/>
              </w:rPr>
            </w:pPr>
          </w:p>
        </w:tc>
        <w:tc>
          <w:tcPr>
            <w:tcW w:w="1320" w:type="dxa"/>
          </w:tcPr>
          <w:p w14:paraId="506FCFFA">
            <w:pPr>
              <w:pStyle w:val="24"/>
              <w:spacing w:line="360" w:lineRule="auto"/>
              <w:ind w:left="540" w:leftChars="257" w:firstLine="480"/>
              <w:rPr>
                <w:rFonts w:ascii="Times New Roman" w:hAnsi="Times New Roman"/>
                <w:kern w:val="2"/>
                <w:sz w:val="24"/>
                <w:szCs w:val="24"/>
              </w:rPr>
            </w:pPr>
          </w:p>
        </w:tc>
        <w:tc>
          <w:tcPr>
            <w:tcW w:w="1050" w:type="dxa"/>
          </w:tcPr>
          <w:p w14:paraId="6C8A9471">
            <w:pPr>
              <w:pStyle w:val="24"/>
              <w:spacing w:line="360" w:lineRule="auto"/>
              <w:ind w:left="540" w:leftChars="257" w:firstLine="480"/>
              <w:rPr>
                <w:rFonts w:ascii="Times New Roman" w:hAnsi="Times New Roman"/>
                <w:kern w:val="2"/>
                <w:sz w:val="24"/>
                <w:szCs w:val="24"/>
              </w:rPr>
            </w:pPr>
          </w:p>
        </w:tc>
        <w:tc>
          <w:tcPr>
            <w:tcW w:w="1068" w:type="dxa"/>
          </w:tcPr>
          <w:p w14:paraId="1B6D9F1A">
            <w:pPr>
              <w:pStyle w:val="24"/>
              <w:spacing w:line="360" w:lineRule="auto"/>
              <w:ind w:left="540" w:leftChars="257" w:firstLine="480"/>
              <w:rPr>
                <w:rFonts w:ascii="Times New Roman" w:hAnsi="Times New Roman"/>
                <w:kern w:val="2"/>
                <w:sz w:val="24"/>
                <w:szCs w:val="24"/>
              </w:rPr>
            </w:pPr>
          </w:p>
        </w:tc>
      </w:tr>
      <w:tr w14:paraId="71031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08" w:type="dxa"/>
          </w:tcPr>
          <w:p w14:paraId="7ED4C30F">
            <w:pPr>
              <w:pStyle w:val="24"/>
              <w:spacing w:line="360" w:lineRule="auto"/>
              <w:ind w:left="540" w:leftChars="257" w:firstLine="480"/>
              <w:rPr>
                <w:rFonts w:ascii="Times New Roman" w:hAnsi="Times New Roman"/>
                <w:kern w:val="2"/>
                <w:sz w:val="24"/>
                <w:szCs w:val="24"/>
              </w:rPr>
            </w:pPr>
          </w:p>
        </w:tc>
        <w:tc>
          <w:tcPr>
            <w:tcW w:w="3195" w:type="dxa"/>
          </w:tcPr>
          <w:p w14:paraId="434C111B">
            <w:pPr>
              <w:pStyle w:val="24"/>
              <w:spacing w:line="360" w:lineRule="auto"/>
              <w:ind w:left="540" w:leftChars="257" w:firstLine="480"/>
              <w:rPr>
                <w:rFonts w:ascii="Times New Roman" w:hAnsi="Times New Roman"/>
                <w:kern w:val="2"/>
                <w:sz w:val="24"/>
                <w:szCs w:val="24"/>
              </w:rPr>
            </w:pPr>
          </w:p>
        </w:tc>
        <w:tc>
          <w:tcPr>
            <w:tcW w:w="1245" w:type="dxa"/>
          </w:tcPr>
          <w:p w14:paraId="58391FFC">
            <w:pPr>
              <w:pStyle w:val="24"/>
              <w:spacing w:line="360" w:lineRule="auto"/>
              <w:ind w:left="540" w:leftChars="257" w:firstLine="480"/>
              <w:rPr>
                <w:rFonts w:ascii="Times New Roman" w:hAnsi="Times New Roman"/>
                <w:kern w:val="2"/>
                <w:sz w:val="24"/>
                <w:szCs w:val="24"/>
              </w:rPr>
            </w:pPr>
          </w:p>
        </w:tc>
        <w:tc>
          <w:tcPr>
            <w:tcW w:w="1320" w:type="dxa"/>
          </w:tcPr>
          <w:p w14:paraId="228CE4F5">
            <w:pPr>
              <w:pStyle w:val="24"/>
              <w:spacing w:line="360" w:lineRule="auto"/>
              <w:ind w:left="540" w:leftChars="257" w:firstLine="480"/>
              <w:rPr>
                <w:rFonts w:ascii="Times New Roman" w:hAnsi="Times New Roman"/>
                <w:kern w:val="2"/>
                <w:sz w:val="24"/>
                <w:szCs w:val="24"/>
              </w:rPr>
            </w:pPr>
          </w:p>
        </w:tc>
        <w:tc>
          <w:tcPr>
            <w:tcW w:w="1050" w:type="dxa"/>
          </w:tcPr>
          <w:p w14:paraId="12385FC0">
            <w:pPr>
              <w:pStyle w:val="24"/>
              <w:spacing w:line="360" w:lineRule="auto"/>
              <w:ind w:left="540" w:leftChars="257" w:firstLine="480"/>
              <w:rPr>
                <w:rFonts w:ascii="Times New Roman" w:hAnsi="Times New Roman"/>
                <w:kern w:val="2"/>
                <w:sz w:val="24"/>
                <w:szCs w:val="24"/>
              </w:rPr>
            </w:pPr>
          </w:p>
        </w:tc>
        <w:tc>
          <w:tcPr>
            <w:tcW w:w="1068" w:type="dxa"/>
          </w:tcPr>
          <w:p w14:paraId="17BE0CF0">
            <w:pPr>
              <w:pStyle w:val="24"/>
              <w:spacing w:line="360" w:lineRule="auto"/>
              <w:ind w:left="540" w:leftChars="257" w:firstLine="480"/>
              <w:rPr>
                <w:rFonts w:ascii="Times New Roman" w:hAnsi="Times New Roman"/>
                <w:kern w:val="2"/>
                <w:sz w:val="24"/>
                <w:szCs w:val="24"/>
              </w:rPr>
            </w:pPr>
          </w:p>
        </w:tc>
      </w:tr>
      <w:tr w14:paraId="186D8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08" w:type="dxa"/>
          </w:tcPr>
          <w:p w14:paraId="1DD2A608">
            <w:pPr>
              <w:pStyle w:val="24"/>
              <w:spacing w:line="360" w:lineRule="auto"/>
              <w:ind w:left="540" w:leftChars="257" w:firstLine="480"/>
              <w:rPr>
                <w:rFonts w:ascii="Times New Roman" w:hAnsi="Times New Roman"/>
                <w:kern w:val="2"/>
                <w:sz w:val="24"/>
                <w:szCs w:val="24"/>
              </w:rPr>
            </w:pPr>
          </w:p>
        </w:tc>
        <w:tc>
          <w:tcPr>
            <w:tcW w:w="3195" w:type="dxa"/>
          </w:tcPr>
          <w:p w14:paraId="353855F3">
            <w:pPr>
              <w:pStyle w:val="24"/>
              <w:spacing w:line="360" w:lineRule="auto"/>
              <w:ind w:left="540" w:leftChars="257" w:firstLine="480"/>
              <w:rPr>
                <w:rFonts w:ascii="Times New Roman" w:hAnsi="Times New Roman"/>
                <w:kern w:val="2"/>
                <w:sz w:val="24"/>
                <w:szCs w:val="24"/>
              </w:rPr>
            </w:pPr>
          </w:p>
        </w:tc>
        <w:tc>
          <w:tcPr>
            <w:tcW w:w="1245" w:type="dxa"/>
          </w:tcPr>
          <w:p w14:paraId="4D462B56">
            <w:pPr>
              <w:pStyle w:val="24"/>
              <w:spacing w:line="360" w:lineRule="auto"/>
              <w:ind w:left="540" w:leftChars="257" w:firstLine="480"/>
              <w:rPr>
                <w:rFonts w:ascii="Times New Roman" w:hAnsi="Times New Roman"/>
                <w:kern w:val="2"/>
                <w:sz w:val="24"/>
                <w:szCs w:val="24"/>
              </w:rPr>
            </w:pPr>
          </w:p>
        </w:tc>
        <w:tc>
          <w:tcPr>
            <w:tcW w:w="1320" w:type="dxa"/>
          </w:tcPr>
          <w:p w14:paraId="17F956D7">
            <w:pPr>
              <w:pStyle w:val="24"/>
              <w:spacing w:line="360" w:lineRule="auto"/>
              <w:ind w:left="540" w:leftChars="257" w:firstLine="480"/>
              <w:rPr>
                <w:rFonts w:ascii="Times New Roman" w:hAnsi="Times New Roman"/>
                <w:kern w:val="2"/>
                <w:sz w:val="24"/>
                <w:szCs w:val="24"/>
              </w:rPr>
            </w:pPr>
          </w:p>
        </w:tc>
        <w:tc>
          <w:tcPr>
            <w:tcW w:w="1050" w:type="dxa"/>
          </w:tcPr>
          <w:p w14:paraId="53852C5A">
            <w:pPr>
              <w:pStyle w:val="24"/>
              <w:spacing w:line="360" w:lineRule="auto"/>
              <w:ind w:left="540" w:leftChars="257" w:firstLine="480"/>
              <w:rPr>
                <w:rFonts w:ascii="Times New Roman" w:hAnsi="Times New Roman"/>
                <w:kern w:val="2"/>
                <w:sz w:val="24"/>
                <w:szCs w:val="24"/>
              </w:rPr>
            </w:pPr>
          </w:p>
        </w:tc>
        <w:tc>
          <w:tcPr>
            <w:tcW w:w="1068" w:type="dxa"/>
          </w:tcPr>
          <w:p w14:paraId="37036604">
            <w:pPr>
              <w:pStyle w:val="24"/>
              <w:spacing w:line="360" w:lineRule="auto"/>
              <w:ind w:left="540" w:leftChars="257" w:firstLine="480"/>
              <w:rPr>
                <w:rFonts w:ascii="Times New Roman" w:hAnsi="Times New Roman"/>
                <w:kern w:val="2"/>
                <w:sz w:val="24"/>
                <w:szCs w:val="24"/>
              </w:rPr>
            </w:pPr>
          </w:p>
        </w:tc>
      </w:tr>
      <w:tr w14:paraId="5BBFA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08" w:type="dxa"/>
          </w:tcPr>
          <w:p w14:paraId="3C1A0B03">
            <w:pPr>
              <w:pStyle w:val="24"/>
              <w:spacing w:line="360" w:lineRule="auto"/>
              <w:ind w:left="540" w:leftChars="257" w:firstLine="480"/>
              <w:rPr>
                <w:rFonts w:ascii="Times New Roman" w:hAnsi="Times New Roman"/>
                <w:kern w:val="2"/>
                <w:sz w:val="24"/>
                <w:szCs w:val="24"/>
              </w:rPr>
            </w:pPr>
          </w:p>
        </w:tc>
        <w:tc>
          <w:tcPr>
            <w:tcW w:w="3195" w:type="dxa"/>
          </w:tcPr>
          <w:p w14:paraId="4E2554FF">
            <w:pPr>
              <w:pStyle w:val="24"/>
              <w:spacing w:line="360" w:lineRule="auto"/>
              <w:ind w:left="540" w:leftChars="257" w:firstLine="480"/>
              <w:rPr>
                <w:rFonts w:ascii="Times New Roman" w:hAnsi="Times New Roman"/>
                <w:kern w:val="2"/>
                <w:sz w:val="24"/>
                <w:szCs w:val="24"/>
              </w:rPr>
            </w:pPr>
          </w:p>
        </w:tc>
        <w:tc>
          <w:tcPr>
            <w:tcW w:w="1245" w:type="dxa"/>
          </w:tcPr>
          <w:p w14:paraId="093A8B7D">
            <w:pPr>
              <w:pStyle w:val="24"/>
              <w:spacing w:line="360" w:lineRule="auto"/>
              <w:ind w:left="540" w:leftChars="257" w:firstLine="480"/>
              <w:rPr>
                <w:rFonts w:ascii="Times New Roman" w:hAnsi="Times New Roman"/>
                <w:kern w:val="2"/>
                <w:sz w:val="24"/>
                <w:szCs w:val="24"/>
              </w:rPr>
            </w:pPr>
          </w:p>
        </w:tc>
        <w:tc>
          <w:tcPr>
            <w:tcW w:w="1320" w:type="dxa"/>
          </w:tcPr>
          <w:p w14:paraId="2605ED83">
            <w:pPr>
              <w:pStyle w:val="24"/>
              <w:spacing w:line="360" w:lineRule="auto"/>
              <w:ind w:left="540" w:leftChars="257" w:firstLine="480"/>
              <w:rPr>
                <w:rFonts w:ascii="Times New Roman" w:hAnsi="Times New Roman"/>
                <w:kern w:val="2"/>
                <w:sz w:val="24"/>
                <w:szCs w:val="24"/>
              </w:rPr>
            </w:pPr>
          </w:p>
        </w:tc>
        <w:tc>
          <w:tcPr>
            <w:tcW w:w="1050" w:type="dxa"/>
          </w:tcPr>
          <w:p w14:paraId="4C758FC8">
            <w:pPr>
              <w:pStyle w:val="24"/>
              <w:spacing w:line="360" w:lineRule="auto"/>
              <w:ind w:left="540" w:leftChars="257" w:firstLine="480"/>
              <w:rPr>
                <w:rFonts w:ascii="Times New Roman" w:hAnsi="Times New Roman"/>
                <w:kern w:val="2"/>
                <w:sz w:val="24"/>
                <w:szCs w:val="24"/>
              </w:rPr>
            </w:pPr>
          </w:p>
        </w:tc>
        <w:tc>
          <w:tcPr>
            <w:tcW w:w="1068" w:type="dxa"/>
          </w:tcPr>
          <w:p w14:paraId="5519D9A6">
            <w:pPr>
              <w:pStyle w:val="24"/>
              <w:spacing w:line="360" w:lineRule="auto"/>
              <w:ind w:left="540" w:leftChars="257" w:firstLine="480"/>
              <w:rPr>
                <w:rFonts w:ascii="Times New Roman" w:hAnsi="Times New Roman"/>
                <w:kern w:val="2"/>
                <w:sz w:val="24"/>
                <w:szCs w:val="24"/>
              </w:rPr>
            </w:pPr>
          </w:p>
        </w:tc>
      </w:tr>
      <w:tr w14:paraId="55A79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08" w:type="dxa"/>
          </w:tcPr>
          <w:p w14:paraId="629DA52D">
            <w:pPr>
              <w:pStyle w:val="24"/>
              <w:spacing w:line="360" w:lineRule="auto"/>
              <w:ind w:left="540" w:leftChars="257" w:firstLine="480"/>
              <w:rPr>
                <w:rFonts w:ascii="Times New Roman" w:hAnsi="Times New Roman"/>
                <w:kern w:val="2"/>
                <w:sz w:val="24"/>
                <w:szCs w:val="24"/>
              </w:rPr>
            </w:pPr>
          </w:p>
        </w:tc>
        <w:tc>
          <w:tcPr>
            <w:tcW w:w="3195" w:type="dxa"/>
          </w:tcPr>
          <w:p w14:paraId="54D695A0">
            <w:pPr>
              <w:pStyle w:val="24"/>
              <w:spacing w:line="360" w:lineRule="auto"/>
              <w:ind w:left="540" w:leftChars="257" w:firstLine="480"/>
              <w:rPr>
                <w:rFonts w:ascii="Times New Roman" w:hAnsi="Times New Roman"/>
                <w:kern w:val="2"/>
                <w:sz w:val="24"/>
                <w:szCs w:val="24"/>
              </w:rPr>
            </w:pPr>
          </w:p>
        </w:tc>
        <w:tc>
          <w:tcPr>
            <w:tcW w:w="1245" w:type="dxa"/>
          </w:tcPr>
          <w:p w14:paraId="4736F2A4">
            <w:pPr>
              <w:pStyle w:val="24"/>
              <w:spacing w:line="360" w:lineRule="auto"/>
              <w:ind w:left="540" w:leftChars="257" w:firstLine="480"/>
              <w:rPr>
                <w:rFonts w:ascii="Times New Roman" w:hAnsi="Times New Roman"/>
                <w:kern w:val="2"/>
                <w:sz w:val="24"/>
                <w:szCs w:val="24"/>
              </w:rPr>
            </w:pPr>
          </w:p>
        </w:tc>
        <w:tc>
          <w:tcPr>
            <w:tcW w:w="1320" w:type="dxa"/>
          </w:tcPr>
          <w:p w14:paraId="22075D6A">
            <w:pPr>
              <w:pStyle w:val="24"/>
              <w:spacing w:line="360" w:lineRule="auto"/>
              <w:ind w:left="540" w:leftChars="257" w:firstLine="480"/>
              <w:rPr>
                <w:rFonts w:ascii="Times New Roman" w:hAnsi="Times New Roman"/>
                <w:kern w:val="2"/>
                <w:sz w:val="24"/>
                <w:szCs w:val="24"/>
              </w:rPr>
            </w:pPr>
          </w:p>
        </w:tc>
        <w:tc>
          <w:tcPr>
            <w:tcW w:w="1050" w:type="dxa"/>
          </w:tcPr>
          <w:p w14:paraId="0F976B33">
            <w:pPr>
              <w:pStyle w:val="24"/>
              <w:spacing w:line="360" w:lineRule="auto"/>
              <w:ind w:left="540" w:leftChars="257" w:firstLine="480"/>
              <w:rPr>
                <w:rFonts w:ascii="Times New Roman" w:hAnsi="Times New Roman"/>
                <w:kern w:val="2"/>
                <w:sz w:val="24"/>
                <w:szCs w:val="24"/>
              </w:rPr>
            </w:pPr>
          </w:p>
        </w:tc>
        <w:tc>
          <w:tcPr>
            <w:tcW w:w="1068" w:type="dxa"/>
          </w:tcPr>
          <w:p w14:paraId="3EF84624">
            <w:pPr>
              <w:pStyle w:val="24"/>
              <w:spacing w:line="360" w:lineRule="auto"/>
              <w:ind w:left="540" w:leftChars="257" w:firstLine="480"/>
              <w:rPr>
                <w:rFonts w:ascii="Times New Roman" w:hAnsi="Times New Roman"/>
                <w:kern w:val="2"/>
                <w:sz w:val="24"/>
                <w:szCs w:val="24"/>
              </w:rPr>
            </w:pPr>
          </w:p>
        </w:tc>
      </w:tr>
      <w:tr w14:paraId="7180D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08" w:type="dxa"/>
          </w:tcPr>
          <w:p w14:paraId="19A20793">
            <w:pPr>
              <w:pStyle w:val="24"/>
              <w:spacing w:line="360" w:lineRule="auto"/>
              <w:ind w:left="540" w:leftChars="257" w:firstLine="480"/>
              <w:rPr>
                <w:rFonts w:ascii="Times New Roman" w:hAnsi="Times New Roman"/>
                <w:kern w:val="2"/>
                <w:sz w:val="24"/>
                <w:szCs w:val="24"/>
              </w:rPr>
            </w:pPr>
          </w:p>
        </w:tc>
        <w:tc>
          <w:tcPr>
            <w:tcW w:w="3195" w:type="dxa"/>
          </w:tcPr>
          <w:p w14:paraId="78095F93">
            <w:pPr>
              <w:pStyle w:val="24"/>
              <w:spacing w:line="360" w:lineRule="auto"/>
              <w:ind w:left="540" w:leftChars="257" w:firstLine="480"/>
              <w:rPr>
                <w:rFonts w:ascii="Times New Roman" w:hAnsi="Times New Roman"/>
                <w:kern w:val="2"/>
                <w:sz w:val="24"/>
                <w:szCs w:val="24"/>
              </w:rPr>
            </w:pPr>
          </w:p>
        </w:tc>
        <w:tc>
          <w:tcPr>
            <w:tcW w:w="1245" w:type="dxa"/>
          </w:tcPr>
          <w:p w14:paraId="1AA48E0E">
            <w:pPr>
              <w:pStyle w:val="24"/>
              <w:spacing w:line="360" w:lineRule="auto"/>
              <w:ind w:left="540" w:leftChars="257" w:firstLine="480"/>
              <w:rPr>
                <w:rFonts w:ascii="Times New Roman" w:hAnsi="Times New Roman"/>
                <w:kern w:val="2"/>
                <w:sz w:val="24"/>
                <w:szCs w:val="24"/>
              </w:rPr>
            </w:pPr>
          </w:p>
        </w:tc>
        <w:tc>
          <w:tcPr>
            <w:tcW w:w="1320" w:type="dxa"/>
          </w:tcPr>
          <w:p w14:paraId="35EA681B">
            <w:pPr>
              <w:pStyle w:val="24"/>
              <w:spacing w:line="360" w:lineRule="auto"/>
              <w:ind w:left="540" w:leftChars="257" w:firstLine="480"/>
              <w:rPr>
                <w:rFonts w:ascii="Times New Roman" w:hAnsi="Times New Roman"/>
                <w:kern w:val="2"/>
                <w:sz w:val="24"/>
                <w:szCs w:val="24"/>
              </w:rPr>
            </w:pPr>
          </w:p>
        </w:tc>
        <w:tc>
          <w:tcPr>
            <w:tcW w:w="1050" w:type="dxa"/>
          </w:tcPr>
          <w:p w14:paraId="7CA8B669">
            <w:pPr>
              <w:pStyle w:val="24"/>
              <w:spacing w:line="360" w:lineRule="auto"/>
              <w:ind w:left="540" w:leftChars="257" w:firstLine="480"/>
              <w:rPr>
                <w:rFonts w:ascii="Times New Roman" w:hAnsi="Times New Roman"/>
                <w:kern w:val="2"/>
                <w:sz w:val="24"/>
                <w:szCs w:val="24"/>
              </w:rPr>
            </w:pPr>
          </w:p>
        </w:tc>
        <w:tc>
          <w:tcPr>
            <w:tcW w:w="1068" w:type="dxa"/>
          </w:tcPr>
          <w:p w14:paraId="6F6ADBD8">
            <w:pPr>
              <w:pStyle w:val="24"/>
              <w:spacing w:line="360" w:lineRule="auto"/>
              <w:ind w:left="540" w:leftChars="257" w:firstLine="480"/>
              <w:rPr>
                <w:rFonts w:ascii="Times New Roman" w:hAnsi="Times New Roman"/>
                <w:kern w:val="2"/>
                <w:sz w:val="24"/>
                <w:szCs w:val="24"/>
              </w:rPr>
            </w:pPr>
          </w:p>
        </w:tc>
      </w:tr>
      <w:tr w14:paraId="54D7A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08" w:type="dxa"/>
          </w:tcPr>
          <w:p w14:paraId="76D7D782">
            <w:pPr>
              <w:pStyle w:val="24"/>
              <w:spacing w:line="360" w:lineRule="auto"/>
              <w:ind w:left="540" w:leftChars="257" w:firstLine="480"/>
              <w:rPr>
                <w:rFonts w:ascii="Times New Roman" w:hAnsi="Times New Roman"/>
                <w:kern w:val="2"/>
                <w:sz w:val="24"/>
                <w:szCs w:val="24"/>
              </w:rPr>
            </w:pPr>
          </w:p>
        </w:tc>
        <w:tc>
          <w:tcPr>
            <w:tcW w:w="3195" w:type="dxa"/>
          </w:tcPr>
          <w:p w14:paraId="5173953B">
            <w:pPr>
              <w:pStyle w:val="24"/>
              <w:spacing w:line="360" w:lineRule="auto"/>
              <w:ind w:left="540" w:leftChars="257" w:firstLine="480"/>
              <w:rPr>
                <w:rFonts w:ascii="Times New Roman" w:hAnsi="Times New Roman"/>
                <w:kern w:val="2"/>
                <w:sz w:val="24"/>
                <w:szCs w:val="24"/>
              </w:rPr>
            </w:pPr>
          </w:p>
        </w:tc>
        <w:tc>
          <w:tcPr>
            <w:tcW w:w="1245" w:type="dxa"/>
          </w:tcPr>
          <w:p w14:paraId="5A30CDC7">
            <w:pPr>
              <w:pStyle w:val="24"/>
              <w:spacing w:line="360" w:lineRule="auto"/>
              <w:ind w:left="540" w:leftChars="257" w:firstLine="480"/>
              <w:rPr>
                <w:rFonts w:ascii="Times New Roman" w:hAnsi="Times New Roman"/>
                <w:kern w:val="2"/>
                <w:sz w:val="24"/>
                <w:szCs w:val="24"/>
              </w:rPr>
            </w:pPr>
          </w:p>
        </w:tc>
        <w:tc>
          <w:tcPr>
            <w:tcW w:w="1320" w:type="dxa"/>
          </w:tcPr>
          <w:p w14:paraId="1D5320DD">
            <w:pPr>
              <w:pStyle w:val="24"/>
              <w:spacing w:line="360" w:lineRule="auto"/>
              <w:ind w:left="540" w:leftChars="257" w:firstLine="480"/>
              <w:rPr>
                <w:rFonts w:ascii="Times New Roman" w:hAnsi="Times New Roman"/>
                <w:kern w:val="2"/>
                <w:sz w:val="24"/>
                <w:szCs w:val="24"/>
              </w:rPr>
            </w:pPr>
          </w:p>
        </w:tc>
        <w:tc>
          <w:tcPr>
            <w:tcW w:w="1050" w:type="dxa"/>
          </w:tcPr>
          <w:p w14:paraId="19208266">
            <w:pPr>
              <w:pStyle w:val="24"/>
              <w:spacing w:line="360" w:lineRule="auto"/>
              <w:ind w:left="540" w:leftChars="257" w:firstLine="480"/>
              <w:rPr>
                <w:rFonts w:ascii="Times New Roman" w:hAnsi="Times New Roman"/>
                <w:kern w:val="2"/>
                <w:sz w:val="24"/>
                <w:szCs w:val="24"/>
              </w:rPr>
            </w:pPr>
          </w:p>
        </w:tc>
        <w:tc>
          <w:tcPr>
            <w:tcW w:w="1068" w:type="dxa"/>
          </w:tcPr>
          <w:p w14:paraId="0F373ACE">
            <w:pPr>
              <w:pStyle w:val="24"/>
              <w:spacing w:line="360" w:lineRule="auto"/>
              <w:ind w:left="540" w:leftChars="257" w:firstLine="480"/>
              <w:rPr>
                <w:rFonts w:ascii="Times New Roman" w:hAnsi="Times New Roman"/>
                <w:kern w:val="2"/>
                <w:sz w:val="24"/>
                <w:szCs w:val="24"/>
              </w:rPr>
            </w:pPr>
          </w:p>
        </w:tc>
      </w:tr>
    </w:tbl>
    <w:p w14:paraId="7096596C">
      <w:pPr>
        <w:pStyle w:val="24"/>
        <w:spacing w:line="360" w:lineRule="auto"/>
        <w:ind w:left="540" w:leftChars="257" w:firstLine="480"/>
        <w:rPr>
          <w:rFonts w:ascii="Times New Roman" w:hAnsi="Times New Roman"/>
          <w:sz w:val="24"/>
          <w:szCs w:val="24"/>
        </w:rPr>
      </w:pPr>
    </w:p>
    <w:p w14:paraId="52F167D0">
      <w:pPr>
        <w:pStyle w:val="70"/>
        <w:rPr>
          <w:rFonts w:ascii="Times New Roman" w:hAnsi="Times New Roman" w:cs="Times New Roman"/>
          <w:color w:val="auto"/>
        </w:rPr>
      </w:pPr>
      <w:r>
        <w:rPr>
          <w:rFonts w:ascii="Times New Roman" w:hAnsi="Times New Roman" w:eastAsia="仿宋_GB2312" w:cs="Times New Roman"/>
          <w:b/>
          <w:bCs/>
          <w:color w:val="auto"/>
          <w:sz w:val="28"/>
          <w:szCs w:val="28"/>
          <w:lang w:val="zh-TW"/>
        </w:rPr>
        <w:t>供应商（企业电子签章）：</w:t>
      </w:r>
      <w:r>
        <w:rPr>
          <w:rFonts w:ascii="Times New Roman" w:hAnsi="Times New Roman" w:eastAsia="仿宋_GB2312" w:cs="Times New Roman"/>
          <w:b/>
          <w:bCs/>
          <w:color w:val="auto"/>
          <w:sz w:val="28"/>
          <w:szCs w:val="28"/>
          <w:u w:val="single"/>
        </w:rPr>
        <w:t xml:space="preserve">          </w:t>
      </w:r>
      <w:r>
        <w:rPr>
          <w:rFonts w:ascii="Times New Roman" w:hAnsi="Times New Roman" w:cs="Times New Roman"/>
          <w:color w:val="auto"/>
        </w:rPr>
        <w:br w:type="page"/>
      </w:r>
    </w:p>
    <w:bookmarkEnd w:id="168"/>
    <w:p w14:paraId="12287FD7">
      <w:pPr>
        <w:spacing w:line="500" w:lineRule="exact"/>
        <w:jc w:val="center"/>
        <w:outlineLvl w:val="1"/>
        <w:rPr>
          <w:rFonts w:hint="default" w:ascii="微软雅黑" w:hAnsi="Times New Roman" w:eastAsia="微软雅黑" w:cs="Times New Roman"/>
          <w:bCs/>
          <w:color w:val="auto"/>
          <w:sz w:val="30"/>
          <w:szCs w:val="30"/>
          <w:lang w:val="en-US" w:eastAsia="zh-CN"/>
        </w:rPr>
      </w:pPr>
      <w:bookmarkStart w:id="187" w:name="_Toc1407304042"/>
      <w:bookmarkStart w:id="188" w:name="_Toc2003907413"/>
      <w:bookmarkStart w:id="189" w:name="_Toc42148613"/>
      <w:bookmarkStart w:id="190" w:name="_Toc1531555161"/>
      <w:bookmarkStart w:id="191" w:name="_Toc71543325"/>
      <w:bookmarkStart w:id="192" w:name="_Toc1191518010"/>
      <w:bookmarkStart w:id="193" w:name="_Toc813965440"/>
      <w:bookmarkStart w:id="194" w:name="_Toc1783728506"/>
      <w:bookmarkStart w:id="195" w:name="_Toc2049974436"/>
      <w:bookmarkStart w:id="196" w:name="_Toc642155508"/>
      <w:bookmarkStart w:id="197" w:name="_Toc1323492610"/>
      <w:bookmarkStart w:id="198" w:name="_Toc2046346837"/>
      <w:bookmarkStart w:id="199" w:name="_Toc2114111239"/>
      <w:bookmarkStart w:id="200" w:name="_Toc1184533414"/>
      <w:bookmarkStart w:id="201" w:name="_Toc2035786603"/>
      <w:bookmarkStart w:id="202" w:name="_Toc1999724387"/>
      <w:bookmarkStart w:id="203" w:name="_Toc1497172548"/>
      <w:bookmarkStart w:id="204" w:name="_Toc973052495"/>
      <w:bookmarkStart w:id="205" w:name="_Toc1439922488"/>
      <w:r>
        <w:rPr>
          <w:rFonts w:hint="default" w:ascii="微软雅黑" w:hAnsi="Times New Roman" w:eastAsia="微软雅黑" w:cs="Times New Roman"/>
          <w:bCs/>
          <w:color w:val="auto"/>
          <w:sz w:val="30"/>
          <w:szCs w:val="30"/>
          <w:lang w:val="en-US" w:eastAsia="zh-CN"/>
        </w:rPr>
        <w:t>十二、</w:t>
      </w:r>
      <w:bookmarkEnd w:id="187"/>
      <w:bookmarkEnd w:id="188"/>
      <w:bookmarkEnd w:id="189"/>
      <w:bookmarkEnd w:id="190"/>
      <w:bookmarkStart w:id="206" w:name="_Toc960541360"/>
      <w:bookmarkStart w:id="207" w:name="_Toc447654087"/>
      <w:bookmarkStart w:id="208" w:name="_Toc89037649"/>
      <w:bookmarkStart w:id="209" w:name="_Toc1279155327"/>
      <w:r>
        <w:rPr>
          <w:rFonts w:hint="default" w:ascii="微软雅黑" w:hAnsi="Times New Roman" w:eastAsia="微软雅黑" w:cs="Times New Roman"/>
          <w:bCs/>
          <w:color w:val="auto"/>
          <w:sz w:val="30"/>
          <w:szCs w:val="30"/>
          <w:lang w:val="en-US" w:eastAsia="zh-CN"/>
        </w:rPr>
        <w:t>综合证明文件</w:t>
      </w:r>
      <w:bookmarkEnd w:id="191"/>
      <w:bookmarkEnd w:id="192"/>
      <w:bookmarkEnd w:id="193"/>
      <w:bookmarkEnd w:id="194"/>
      <w:bookmarkEnd w:id="195"/>
      <w:bookmarkEnd w:id="196"/>
      <w:bookmarkEnd w:id="206"/>
      <w:bookmarkEnd w:id="207"/>
      <w:bookmarkEnd w:id="208"/>
      <w:bookmarkEnd w:id="209"/>
    </w:p>
    <w:p w14:paraId="36BD1673">
      <w:pPr>
        <w:pStyle w:val="4"/>
        <w:spacing w:line="360" w:lineRule="exact"/>
        <w:rPr>
          <w:rFonts w:hint="default" w:ascii="Times New Roman" w:hAnsi="Times New Roman" w:eastAsia="仿宋_GB2312" w:cs="Times New Roman"/>
          <w:color w:val="auto"/>
          <w:kern w:val="0"/>
          <w:sz w:val="28"/>
          <w:szCs w:val="28"/>
          <w:lang w:eastAsia="zh-CN"/>
        </w:rPr>
      </w:pPr>
      <w:bookmarkStart w:id="210" w:name="_Toc1984592160"/>
      <w:bookmarkStart w:id="211" w:name="_Toc751864404"/>
      <w:bookmarkStart w:id="212" w:name="_Toc765014490"/>
      <w:bookmarkStart w:id="213" w:name="_Toc947281468"/>
      <w:bookmarkStart w:id="214" w:name="_Toc1325819456_WPSOffice_Level3"/>
      <w:bookmarkStart w:id="215" w:name="_Toc71543326"/>
      <w:bookmarkStart w:id="216" w:name="_Toc1974888321"/>
      <w:r>
        <w:rPr>
          <w:rFonts w:hint="default" w:ascii="Times New Roman" w:hAnsi="Times New Roman" w:eastAsia="仿宋_GB2312" w:cs="Times New Roman"/>
          <w:bCs w:val="0"/>
          <w:color w:val="auto"/>
          <w:kern w:val="0"/>
          <w:sz w:val="28"/>
          <w:szCs w:val="28"/>
          <w:lang w:val="en-US" w:eastAsia="zh-CN"/>
        </w:rPr>
        <w:t>1</w:t>
      </w:r>
      <w:r>
        <w:rPr>
          <w:rFonts w:hint="default" w:ascii="Times New Roman" w:hAnsi="Times New Roman" w:eastAsia="仿宋_GB2312" w:cs="Times New Roman"/>
          <w:color w:val="auto"/>
          <w:kern w:val="0"/>
          <w:sz w:val="28"/>
          <w:szCs w:val="28"/>
          <w:lang w:val="en-US" w:eastAsia="zh-CN"/>
        </w:rPr>
        <w:t>.</w:t>
      </w:r>
      <w:r>
        <w:rPr>
          <w:rFonts w:hint="default" w:ascii="Times New Roman" w:hAnsi="Times New Roman" w:eastAsia="仿宋_GB2312" w:cs="Times New Roman"/>
          <w:color w:val="auto"/>
          <w:kern w:val="0"/>
          <w:sz w:val="28"/>
          <w:szCs w:val="28"/>
          <w:lang w:eastAsia="zh-CN"/>
        </w:rPr>
        <w:t>综合实力</w:t>
      </w:r>
      <w:bookmarkEnd w:id="210"/>
      <w:bookmarkEnd w:id="211"/>
      <w:bookmarkEnd w:id="212"/>
      <w:bookmarkEnd w:id="213"/>
      <w:bookmarkEnd w:id="214"/>
      <w:bookmarkEnd w:id="215"/>
      <w:bookmarkEnd w:id="216"/>
    </w:p>
    <w:p w14:paraId="0F130E3A">
      <w:pPr>
        <w:spacing w:line="360" w:lineRule="auto"/>
        <w:ind w:firstLine="482"/>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根据竞争性磋商文件要求，提供供应商认证等证书。（提供认证原件扫描件，扫描不清晰的不得分，竞争性磋商文件未要求的不需要提供）</w:t>
      </w:r>
    </w:p>
    <w:p w14:paraId="69156F61">
      <w:pPr>
        <w:pStyle w:val="4"/>
        <w:spacing w:line="360" w:lineRule="exact"/>
        <w:rPr>
          <w:rFonts w:hint="default" w:ascii="Times New Roman" w:hAnsi="Times New Roman" w:eastAsia="仿宋_GB2312" w:cs="Times New Roman"/>
          <w:bCs w:val="0"/>
          <w:color w:val="auto"/>
          <w:kern w:val="0"/>
          <w:sz w:val="28"/>
          <w:szCs w:val="28"/>
          <w:lang w:eastAsia="zh-CN"/>
        </w:rPr>
      </w:pPr>
      <w:bookmarkStart w:id="217" w:name="_Toc1849820970"/>
      <w:bookmarkStart w:id="218" w:name="_Toc71543327"/>
      <w:bookmarkStart w:id="219" w:name="_Toc1281816136"/>
      <w:bookmarkStart w:id="220" w:name="_Toc799340312_WPSOffice_Level3"/>
      <w:bookmarkStart w:id="221" w:name="_Toc619505013"/>
      <w:bookmarkStart w:id="222" w:name="_Toc973020382"/>
      <w:bookmarkStart w:id="223" w:name="_Toc2110045194"/>
      <w:r>
        <w:rPr>
          <w:rFonts w:hint="default" w:ascii="Times New Roman" w:hAnsi="Times New Roman" w:eastAsia="仿宋_GB2312" w:cs="Times New Roman"/>
          <w:bCs w:val="0"/>
          <w:color w:val="auto"/>
          <w:kern w:val="0"/>
          <w:sz w:val="28"/>
          <w:szCs w:val="28"/>
          <w:lang w:val="en-US" w:eastAsia="zh-CN"/>
        </w:rPr>
        <w:t>2</w:t>
      </w:r>
      <w:r>
        <w:rPr>
          <w:rFonts w:hint="default" w:ascii="Times New Roman" w:hAnsi="Times New Roman" w:eastAsia="仿宋_GB2312" w:cs="Times New Roman"/>
          <w:color w:val="auto"/>
          <w:kern w:val="0"/>
          <w:sz w:val="28"/>
          <w:szCs w:val="28"/>
          <w:lang w:val="en-US" w:eastAsia="zh-CN"/>
        </w:rPr>
        <w:t>.</w:t>
      </w:r>
      <w:r>
        <w:rPr>
          <w:rFonts w:hint="default" w:ascii="Times New Roman" w:hAnsi="Times New Roman" w:eastAsia="仿宋_GB2312" w:cs="Times New Roman"/>
          <w:color w:val="auto"/>
          <w:kern w:val="0"/>
          <w:sz w:val="28"/>
          <w:szCs w:val="28"/>
          <w:lang w:eastAsia="zh-CN"/>
        </w:rPr>
        <w:t>类似项目业绩</w:t>
      </w:r>
      <w:bookmarkEnd w:id="217"/>
      <w:bookmarkEnd w:id="218"/>
      <w:bookmarkEnd w:id="219"/>
      <w:bookmarkEnd w:id="220"/>
      <w:bookmarkEnd w:id="221"/>
      <w:bookmarkEnd w:id="222"/>
      <w:bookmarkEnd w:id="223"/>
    </w:p>
    <w:p w14:paraId="765ED1CC">
      <w:pPr>
        <w:spacing w:line="360" w:lineRule="exact"/>
        <w:ind w:firstLine="480"/>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附表：相关项目业绩一览表</w:t>
      </w:r>
    </w:p>
    <w:tbl>
      <w:tblPr>
        <w:tblStyle w:val="52"/>
        <w:tblW w:w="9362"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1003"/>
        <w:gridCol w:w="2423"/>
        <w:gridCol w:w="2524"/>
        <w:gridCol w:w="1788"/>
        <w:gridCol w:w="1624"/>
      </w:tblGrid>
      <w:tr w14:paraId="3BC0986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61" w:hRule="atLeast"/>
          <w:jc w:val="center"/>
        </w:trPr>
        <w:tc>
          <w:tcPr>
            <w:tcW w:w="1003"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2EA37F17">
            <w:pPr>
              <w:jc w:val="center"/>
              <w:rPr>
                <w:rFonts w:hint="default" w:ascii="Times New Roman" w:hAnsi="Times New Roman" w:eastAsia="仿宋_GB2312" w:cs="Times New Roman"/>
                <w:bCs/>
                <w:color w:val="auto"/>
                <w:kern w:val="0"/>
                <w:sz w:val="28"/>
                <w:szCs w:val="28"/>
                <w:lang w:val="en-US" w:eastAsia="zh-CN"/>
              </w:rPr>
            </w:pPr>
            <w:r>
              <w:rPr>
                <w:rFonts w:ascii="Times New Roman" w:hAnsi="Times New Roman" w:eastAsia="仿宋_GB2312" w:cs="Times New Roman"/>
                <w:bCs/>
                <w:color w:val="auto"/>
                <w:kern w:val="0"/>
                <w:sz w:val="28"/>
                <w:szCs w:val="28"/>
                <w:lang w:val="en-US" w:eastAsia="zh-CN"/>
              </w:rPr>
              <w:t>序号</w:t>
            </w:r>
          </w:p>
        </w:tc>
        <w:tc>
          <w:tcPr>
            <w:tcW w:w="2423"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514F521F">
            <w:pPr>
              <w:jc w:val="center"/>
              <w:rPr>
                <w:rFonts w:hint="default" w:ascii="Times New Roman" w:hAnsi="Times New Roman" w:eastAsia="仿宋_GB2312" w:cs="Times New Roman"/>
                <w:bCs/>
                <w:color w:val="auto"/>
                <w:kern w:val="0"/>
                <w:sz w:val="28"/>
                <w:szCs w:val="28"/>
              </w:rPr>
            </w:pPr>
            <w:r>
              <w:rPr>
                <w:rFonts w:hint="default" w:ascii="Times New Roman" w:hAnsi="Times New Roman" w:eastAsia="仿宋_GB2312" w:cs="Times New Roman"/>
                <w:bCs/>
                <w:color w:val="auto"/>
                <w:kern w:val="0"/>
                <w:sz w:val="28"/>
                <w:szCs w:val="28"/>
              </w:rPr>
              <w:t>项目名称</w:t>
            </w:r>
          </w:p>
        </w:tc>
        <w:tc>
          <w:tcPr>
            <w:tcW w:w="252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6B0E5503">
            <w:pPr>
              <w:jc w:val="center"/>
              <w:rPr>
                <w:rFonts w:hint="default" w:ascii="Times New Roman" w:hAnsi="Times New Roman" w:eastAsia="仿宋_GB2312" w:cs="Times New Roman"/>
                <w:bCs/>
                <w:color w:val="auto"/>
                <w:kern w:val="0"/>
                <w:sz w:val="28"/>
                <w:szCs w:val="28"/>
              </w:rPr>
            </w:pPr>
            <w:r>
              <w:rPr>
                <w:rFonts w:hint="default" w:ascii="Times New Roman" w:hAnsi="Times New Roman" w:eastAsia="仿宋_GB2312" w:cs="Times New Roman"/>
                <w:bCs/>
                <w:color w:val="auto"/>
                <w:kern w:val="0"/>
                <w:sz w:val="28"/>
                <w:szCs w:val="28"/>
              </w:rPr>
              <w:t>简要描述</w:t>
            </w:r>
          </w:p>
        </w:tc>
        <w:tc>
          <w:tcPr>
            <w:tcW w:w="1788"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1FE0478E">
            <w:pPr>
              <w:jc w:val="center"/>
              <w:rPr>
                <w:rFonts w:hint="default" w:ascii="Times New Roman" w:hAnsi="Times New Roman" w:eastAsia="仿宋_GB2312" w:cs="Times New Roman"/>
                <w:bCs/>
                <w:color w:val="auto"/>
                <w:kern w:val="0"/>
                <w:sz w:val="28"/>
                <w:szCs w:val="28"/>
              </w:rPr>
            </w:pPr>
            <w:r>
              <w:rPr>
                <w:rFonts w:hint="default" w:ascii="Times New Roman" w:hAnsi="Times New Roman" w:eastAsia="仿宋_GB2312" w:cs="Times New Roman"/>
                <w:bCs/>
                <w:color w:val="auto"/>
                <w:kern w:val="0"/>
                <w:sz w:val="28"/>
                <w:szCs w:val="28"/>
              </w:rPr>
              <w:t>项目金额</w:t>
            </w:r>
          </w:p>
          <w:p w14:paraId="7A25E8FA">
            <w:pPr>
              <w:jc w:val="center"/>
              <w:rPr>
                <w:rFonts w:hint="default" w:ascii="Times New Roman" w:hAnsi="Times New Roman" w:eastAsia="仿宋_GB2312" w:cs="Times New Roman"/>
                <w:bCs/>
                <w:color w:val="auto"/>
                <w:kern w:val="0"/>
                <w:sz w:val="28"/>
                <w:szCs w:val="28"/>
              </w:rPr>
            </w:pPr>
            <w:r>
              <w:rPr>
                <w:rFonts w:hint="default" w:ascii="Times New Roman" w:hAnsi="Times New Roman" w:eastAsia="仿宋_GB2312" w:cs="Times New Roman"/>
                <w:bCs/>
                <w:color w:val="auto"/>
                <w:kern w:val="0"/>
                <w:sz w:val="28"/>
                <w:szCs w:val="28"/>
              </w:rPr>
              <w:t>（万元）</w:t>
            </w:r>
          </w:p>
        </w:tc>
        <w:tc>
          <w:tcPr>
            <w:tcW w:w="162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1B67A939">
            <w:pPr>
              <w:jc w:val="center"/>
              <w:rPr>
                <w:rFonts w:hint="default" w:ascii="Times New Roman" w:hAnsi="Times New Roman" w:eastAsia="仿宋_GB2312" w:cs="Times New Roman"/>
                <w:bCs/>
                <w:color w:val="auto"/>
                <w:kern w:val="0"/>
                <w:sz w:val="28"/>
                <w:szCs w:val="28"/>
              </w:rPr>
            </w:pPr>
            <w:r>
              <w:rPr>
                <w:rFonts w:hint="default" w:ascii="Times New Roman" w:hAnsi="Times New Roman" w:eastAsia="仿宋_GB2312" w:cs="Times New Roman"/>
                <w:bCs/>
                <w:color w:val="auto"/>
                <w:kern w:val="0"/>
                <w:sz w:val="28"/>
                <w:szCs w:val="28"/>
              </w:rPr>
              <w:t>项目单位</w:t>
            </w:r>
          </w:p>
          <w:p w14:paraId="72D3A07C">
            <w:pPr>
              <w:jc w:val="center"/>
              <w:rPr>
                <w:rFonts w:hint="default" w:ascii="Times New Roman" w:hAnsi="Times New Roman" w:eastAsia="仿宋_GB2312" w:cs="Times New Roman"/>
                <w:bCs/>
                <w:color w:val="auto"/>
                <w:kern w:val="0"/>
                <w:sz w:val="28"/>
                <w:szCs w:val="28"/>
              </w:rPr>
            </w:pPr>
            <w:r>
              <w:rPr>
                <w:rFonts w:hint="default" w:ascii="Times New Roman" w:hAnsi="Times New Roman" w:eastAsia="仿宋_GB2312" w:cs="Times New Roman"/>
                <w:bCs/>
                <w:color w:val="auto"/>
                <w:kern w:val="0"/>
                <w:sz w:val="28"/>
                <w:szCs w:val="28"/>
              </w:rPr>
              <w:t>联系电话</w:t>
            </w:r>
          </w:p>
        </w:tc>
      </w:tr>
      <w:tr w14:paraId="35C045D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5" w:hRule="atLeast"/>
          <w:jc w:val="center"/>
        </w:trPr>
        <w:tc>
          <w:tcPr>
            <w:tcW w:w="1003"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66A37BDC">
            <w:pPr>
              <w:rPr>
                <w:rFonts w:hint="default" w:ascii="Times New Roman" w:hAnsi="Times New Roman" w:eastAsia="仿宋_GB2312" w:cs="Times New Roman"/>
                <w:bCs/>
                <w:color w:val="auto"/>
                <w:kern w:val="0"/>
                <w:sz w:val="28"/>
                <w:szCs w:val="28"/>
              </w:rPr>
            </w:pPr>
          </w:p>
        </w:tc>
        <w:tc>
          <w:tcPr>
            <w:tcW w:w="2423"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28D39BF6">
            <w:pPr>
              <w:jc w:val="center"/>
              <w:rPr>
                <w:rFonts w:hint="default" w:ascii="Times New Roman" w:hAnsi="Times New Roman" w:eastAsia="仿宋_GB2312" w:cs="Times New Roman"/>
                <w:bCs/>
                <w:color w:val="auto"/>
                <w:kern w:val="0"/>
                <w:sz w:val="28"/>
                <w:szCs w:val="28"/>
              </w:rPr>
            </w:pPr>
          </w:p>
        </w:tc>
        <w:tc>
          <w:tcPr>
            <w:tcW w:w="252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5912FB91">
            <w:pPr>
              <w:rPr>
                <w:rFonts w:hint="default" w:ascii="Times New Roman" w:hAnsi="Times New Roman" w:eastAsia="仿宋_GB2312" w:cs="Times New Roman"/>
                <w:bCs/>
                <w:color w:val="auto"/>
                <w:kern w:val="0"/>
                <w:sz w:val="28"/>
                <w:szCs w:val="28"/>
              </w:rPr>
            </w:pPr>
          </w:p>
        </w:tc>
        <w:tc>
          <w:tcPr>
            <w:tcW w:w="1788"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4849C34A">
            <w:pPr>
              <w:rPr>
                <w:rFonts w:hint="default" w:ascii="Times New Roman" w:hAnsi="Times New Roman" w:eastAsia="仿宋_GB2312" w:cs="Times New Roman"/>
                <w:bCs/>
                <w:color w:val="auto"/>
                <w:kern w:val="0"/>
                <w:sz w:val="28"/>
                <w:szCs w:val="28"/>
              </w:rPr>
            </w:pPr>
          </w:p>
        </w:tc>
        <w:tc>
          <w:tcPr>
            <w:tcW w:w="162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50D5D103">
            <w:pPr>
              <w:rPr>
                <w:rFonts w:hint="default" w:ascii="Times New Roman" w:hAnsi="Times New Roman" w:eastAsia="仿宋_GB2312" w:cs="Times New Roman"/>
                <w:bCs/>
                <w:color w:val="auto"/>
                <w:kern w:val="0"/>
                <w:sz w:val="28"/>
                <w:szCs w:val="28"/>
              </w:rPr>
            </w:pPr>
          </w:p>
        </w:tc>
      </w:tr>
      <w:tr w14:paraId="4D33691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81" w:hRule="atLeast"/>
          <w:jc w:val="center"/>
        </w:trPr>
        <w:tc>
          <w:tcPr>
            <w:tcW w:w="1003"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2C443C92">
            <w:pPr>
              <w:rPr>
                <w:rFonts w:hint="default" w:ascii="Times New Roman" w:hAnsi="Times New Roman" w:eastAsia="仿宋_GB2312" w:cs="Times New Roman"/>
                <w:bCs/>
                <w:color w:val="auto"/>
                <w:kern w:val="0"/>
                <w:sz w:val="28"/>
                <w:szCs w:val="28"/>
              </w:rPr>
            </w:pPr>
          </w:p>
        </w:tc>
        <w:tc>
          <w:tcPr>
            <w:tcW w:w="2423"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50D4835B">
            <w:pPr>
              <w:rPr>
                <w:rFonts w:hint="default" w:ascii="Times New Roman" w:hAnsi="Times New Roman" w:eastAsia="仿宋_GB2312" w:cs="Times New Roman"/>
                <w:bCs/>
                <w:color w:val="auto"/>
                <w:kern w:val="0"/>
                <w:sz w:val="28"/>
                <w:szCs w:val="28"/>
              </w:rPr>
            </w:pPr>
          </w:p>
        </w:tc>
        <w:tc>
          <w:tcPr>
            <w:tcW w:w="252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03C01D7E">
            <w:pPr>
              <w:rPr>
                <w:rFonts w:hint="default" w:ascii="Times New Roman" w:hAnsi="Times New Roman" w:eastAsia="仿宋_GB2312" w:cs="Times New Roman"/>
                <w:bCs/>
                <w:color w:val="auto"/>
                <w:kern w:val="0"/>
                <w:sz w:val="28"/>
                <w:szCs w:val="28"/>
              </w:rPr>
            </w:pPr>
          </w:p>
        </w:tc>
        <w:tc>
          <w:tcPr>
            <w:tcW w:w="1788"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7C381FAB">
            <w:pPr>
              <w:rPr>
                <w:rFonts w:hint="default" w:ascii="Times New Roman" w:hAnsi="Times New Roman" w:eastAsia="仿宋_GB2312" w:cs="Times New Roman"/>
                <w:bCs/>
                <w:color w:val="auto"/>
                <w:kern w:val="0"/>
                <w:sz w:val="28"/>
                <w:szCs w:val="28"/>
              </w:rPr>
            </w:pPr>
          </w:p>
        </w:tc>
        <w:tc>
          <w:tcPr>
            <w:tcW w:w="162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1023EC78">
            <w:pPr>
              <w:rPr>
                <w:rFonts w:hint="default" w:ascii="Times New Roman" w:hAnsi="Times New Roman" w:eastAsia="仿宋_GB2312" w:cs="Times New Roman"/>
                <w:bCs/>
                <w:color w:val="auto"/>
                <w:kern w:val="0"/>
                <w:sz w:val="28"/>
                <w:szCs w:val="28"/>
              </w:rPr>
            </w:pPr>
          </w:p>
        </w:tc>
      </w:tr>
      <w:tr w14:paraId="51A26CC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88" w:hRule="atLeast"/>
          <w:jc w:val="center"/>
        </w:trPr>
        <w:tc>
          <w:tcPr>
            <w:tcW w:w="1003"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4854A693">
            <w:pPr>
              <w:rPr>
                <w:rFonts w:hint="default" w:ascii="Times New Roman" w:hAnsi="Times New Roman" w:eastAsia="仿宋_GB2312" w:cs="Times New Roman"/>
                <w:bCs/>
                <w:color w:val="auto"/>
                <w:kern w:val="0"/>
                <w:sz w:val="28"/>
                <w:szCs w:val="28"/>
              </w:rPr>
            </w:pPr>
          </w:p>
        </w:tc>
        <w:tc>
          <w:tcPr>
            <w:tcW w:w="2423"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728726D9">
            <w:pPr>
              <w:rPr>
                <w:rFonts w:hint="default" w:ascii="Times New Roman" w:hAnsi="Times New Roman" w:eastAsia="仿宋_GB2312" w:cs="Times New Roman"/>
                <w:bCs/>
                <w:color w:val="auto"/>
                <w:kern w:val="0"/>
                <w:sz w:val="28"/>
                <w:szCs w:val="28"/>
              </w:rPr>
            </w:pPr>
          </w:p>
        </w:tc>
        <w:tc>
          <w:tcPr>
            <w:tcW w:w="252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45EA3DAE">
            <w:pPr>
              <w:rPr>
                <w:rFonts w:hint="default" w:ascii="Times New Roman" w:hAnsi="Times New Roman" w:eastAsia="仿宋_GB2312" w:cs="Times New Roman"/>
                <w:bCs/>
                <w:color w:val="auto"/>
                <w:kern w:val="0"/>
                <w:sz w:val="28"/>
                <w:szCs w:val="28"/>
              </w:rPr>
            </w:pPr>
          </w:p>
        </w:tc>
        <w:tc>
          <w:tcPr>
            <w:tcW w:w="1788"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464D16F3">
            <w:pPr>
              <w:rPr>
                <w:rFonts w:hint="default" w:ascii="Times New Roman" w:hAnsi="Times New Roman" w:eastAsia="仿宋_GB2312" w:cs="Times New Roman"/>
                <w:bCs/>
                <w:color w:val="auto"/>
                <w:kern w:val="0"/>
                <w:sz w:val="28"/>
                <w:szCs w:val="28"/>
              </w:rPr>
            </w:pPr>
          </w:p>
        </w:tc>
        <w:tc>
          <w:tcPr>
            <w:tcW w:w="162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167640D8">
            <w:pPr>
              <w:rPr>
                <w:rFonts w:hint="default" w:ascii="Times New Roman" w:hAnsi="Times New Roman" w:eastAsia="仿宋_GB2312" w:cs="Times New Roman"/>
                <w:bCs/>
                <w:color w:val="auto"/>
                <w:kern w:val="0"/>
                <w:sz w:val="28"/>
                <w:szCs w:val="28"/>
              </w:rPr>
            </w:pPr>
          </w:p>
        </w:tc>
      </w:tr>
      <w:tr w14:paraId="1100602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88" w:hRule="atLeast"/>
          <w:jc w:val="center"/>
        </w:trPr>
        <w:tc>
          <w:tcPr>
            <w:tcW w:w="1003"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5F339449">
            <w:pPr>
              <w:rPr>
                <w:rFonts w:hint="default" w:ascii="Times New Roman" w:hAnsi="Times New Roman" w:eastAsia="仿宋_GB2312" w:cs="Times New Roman"/>
                <w:bCs/>
                <w:color w:val="auto"/>
                <w:kern w:val="0"/>
                <w:sz w:val="28"/>
                <w:szCs w:val="28"/>
              </w:rPr>
            </w:pPr>
          </w:p>
        </w:tc>
        <w:tc>
          <w:tcPr>
            <w:tcW w:w="2423"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58CCA2BD">
            <w:pPr>
              <w:rPr>
                <w:rFonts w:hint="default" w:ascii="Times New Roman" w:hAnsi="Times New Roman" w:eastAsia="仿宋_GB2312" w:cs="Times New Roman"/>
                <w:bCs/>
                <w:color w:val="auto"/>
                <w:kern w:val="0"/>
                <w:sz w:val="28"/>
                <w:szCs w:val="28"/>
              </w:rPr>
            </w:pPr>
          </w:p>
        </w:tc>
        <w:tc>
          <w:tcPr>
            <w:tcW w:w="252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3D8C0DEB">
            <w:pPr>
              <w:rPr>
                <w:rFonts w:hint="default" w:ascii="Times New Roman" w:hAnsi="Times New Roman" w:eastAsia="仿宋_GB2312" w:cs="Times New Roman"/>
                <w:bCs/>
                <w:color w:val="auto"/>
                <w:kern w:val="0"/>
                <w:sz w:val="28"/>
                <w:szCs w:val="28"/>
              </w:rPr>
            </w:pPr>
          </w:p>
        </w:tc>
        <w:tc>
          <w:tcPr>
            <w:tcW w:w="1788"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40FEC15E">
            <w:pPr>
              <w:rPr>
                <w:rFonts w:hint="default" w:ascii="Times New Roman" w:hAnsi="Times New Roman" w:eastAsia="仿宋_GB2312" w:cs="Times New Roman"/>
                <w:bCs/>
                <w:color w:val="auto"/>
                <w:kern w:val="0"/>
                <w:sz w:val="28"/>
                <w:szCs w:val="28"/>
              </w:rPr>
            </w:pPr>
          </w:p>
        </w:tc>
        <w:tc>
          <w:tcPr>
            <w:tcW w:w="162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084D1A8E">
            <w:pPr>
              <w:rPr>
                <w:rFonts w:hint="default" w:ascii="Times New Roman" w:hAnsi="Times New Roman" w:eastAsia="仿宋_GB2312" w:cs="Times New Roman"/>
                <w:bCs/>
                <w:color w:val="auto"/>
                <w:kern w:val="0"/>
                <w:sz w:val="28"/>
                <w:szCs w:val="28"/>
              </w:rPr>
            </w:pPr>
          </w:p>
        </w:tc>
      </w:tr>
      <w:tr w14:paraId="64DC741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99" w:hRule="atLeast"/>
          <w:jc w:val="center"/>
        </w:trPr>
        <w:tc>
          <w:tcPr>
            <w:tcW w:w="1003"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567666BA">
            <w:pPr>
              <w:rPr>
                <w:rFonts w:hint="default" w:ascii="Times New Roman" w:hAnsi="Times New Roman" w:eastAsia="仿宋_GB2312" w:cs="Times New Roman"/>
                <w:bCs/>
                <w:color w:val="auto"/>
                <w:kern w:val="0"/>
                <w:sz w:val="28"/>
                <w:szCs w:val="28"/>
              </w:rPr>
            </w:pPr>
          </w:p>
        </w:tc>
        <w:tc>
          <w:tcPr>
            <w:tcW w:w="2423"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174FD93F">
            <w:pPr>
              <w:rPr>
                <w:rFonts w:hint="default" w:ascii="Times New Roman" w:hAnsi="Times New Roman" w:eastAsia="仿宋_GB2312" w:cs="Times New Roman"/>
                <w:bCs/>
                <w:color w:val="auto"/>
                <w:kern w:val="0"/>
                <w:sz w:val="28"/>
                <w:szCs w:val="28"/>
              </w:rPr>
            </w:pPr>
          </w:p>
        </w:tc>
        <w:tc>
          <w:tcPr>
            <w:tcW w:w="252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6D4DFA09">
            <w:pPr>
              <w:rPr>
                <w:rFonts w:hint="default" w:ascii="Times New Roman" w:hAnsi="Times New Roman" w:eastAsia="仿宋_GB2312" w:cs="Times New Roman"/>
                <w:bCs/>
                <w:color w:val="auto"/>
                <w:kern w:val="0"/>
                <w:sz w:val="28"/>
                <w:szCs w:val="28"/>
              </w:rPr>
            </w:pPr>
          </w:p>
        </w:tc>
        <w:tc>
          <w:tcPr>
            <w:tcW w:w="1788"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637E154B">
            <w:pPr>
              <w:rPr>
                <w:rFonts w:hint="default" w:ascii="Times New Roman" w:hAnsi="Times New Roman" w:eastAsia="仿宋_GB2312" w:cs="Times New Roman"/>
                <w:bCs/>
                <w:color w:val="auto"/>
                <w:kern w:val="0"/>
                <w:sz w:val="28"/>
                <w:szCs w:val="28"/>
              </w:rPr>
            </w:pPr>
          </w:p>
        </w:tc>
        <w:tc>
          <w:tcPr>
            <w:tcW w:w="162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14:paraId="7703B8FB">
            <w:pPr>
              <w:rPr>
                <w:rFonts w:hint="default" w:ascii="Times New Roman" w:hAnsi="Times New Roman" w:eastAsia="仿宋_GB2312" w:cs="Times New Roman"/>
                <w:bCs/>
                <w:color w:val="auto"/>
                <w:kern w:val="0"/>
                <w:sz w:val="28"/>
                <w:szCs w:val="28"/>
              </w:rPr>
            </w:pPr>
          </w:p>
        </w:tc>
      </w:tr>
    </w:tbl>
    <w:p w14:paraId="785F4AFB">
      <w:pPr>
        <w:widowControl w:val="0"/>
        <w:rPr>
          <w:rFonts w:hint="default" w:ascii="Times New Roman" w:hAnsi="Times New Roman" w:eastAsia="仿宋_GB2312" w:cs="Times New Roman"/>
          <w:color w:val="auto"/>
          <w:sz w:val="28"/>
          <w:szCs w:val="28"/>
        </w:rPr>
      </w:pPr>
    </w:p>
    <w:p w14:paraId="7ACC8633">
      <w:pPr>
        <w:spacing w:line="360" w:lineRule="auto"/>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val="en-US" w:eastAsia="zh-CN"/>
        </w:rPr>
        <w:t>注：（1）供应商可按上述的格式自行编制，后附扫描件。</w:t>
      </w:r>
    </w:p>
    <w:p w14:paraId="13455F05">
      <w:pPr>
        <w:numPr>
          <w:ilvl w:val="0"/>
          <w:numId w:val="10"/>
        </w:numPr>
        <w:spacing w:line="360" w:lineRule="auto"/>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val="en-US" w:eastAsia="zh-CN"/>
        </w:rPr>
        <w:t>业绩扫描不清楚或合同总金额不明确的不予认可，虚假业绩将自行承担相关责任。</w:t>
      </w:r>
    </w:p>
    <w:p w14:paraId="675B0C78">
      <w:pPr>
        <w:spacing w:line="360" w:lineRule="auto"/>
        <w:ind w:left="282"/>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val="en-US" w:eastAsia="zh-CN"/>
        </w:rPr>
        <w:t>（3）采购文件未要求提供业绩证明文件的，供应商可不提供。</w:t>
      </w:r>
    </w:p>
    <w:p w14:paraId="2AFA46A4">
      <w:pPr>
        <w:pStyle w:val="3"/>
        <w:spacing w:before="0" w:after="0" w:line="360" w:lineRule="auto"/>
        <w:jc w:val="center"/>
        <w:rPr>
          <w:rFonts w:ascii="微软雅黑" w:hAnsi="宋体" w:eastAsia="微软雅黑" w:cs="宋体"/>
          <w:b w:val="0"/>
          <w:color w:val="auto"/>
          <w:sz w:val="30"/>
          <w:szCs w:val="30"/>
          <w:lang w:val="en-US" w:eastAsia="zh-CN"/>
        </w:rPr>
      </w:pPr>
      <w:r>
        <w:rPr>
          <w:rFonts w:hint="default" w:ascii="Times New Roman" w:hAnsi="Times New Roman" w:eastAsia="黑体"/>
          <w:color w:val="auto"/>
          <w:sz w:val="28"/>
          <w:szCs w:val="28"/>
          <w:lang w:val="en" w:eastAsia="zh-CN"/>
        </w:rPr>
        <w:br w:type="page"/>
      </w:r>
      <w:r>
        <w:rPr>
          <w:rFonts w:ascii="微软雅黑" w:hAnsi="Times New Roman" w:eastAsia="微软雅黑"/>
          <w:b w:val="0"/>
          <w:color w:val="auto"/>
          <w:sz w:val="30"/>
          <w:szCs w:val="30"/>
          <w:lang w:val="en-US" w:eastAsia="zh-CN"/>
        </w:rPr>
        <w:t>十三、</w:t>
      </w:r>
      <w:bookmarkEnd w:id="197"/>
      <w:bookmarkEnd w:id="198"/>
      <w:bookmarkEnd w:id="199"/>
      <w:bookmarkEnd w:id="200"/>
      <w:bookmarkEnd w:id="201"/>
      <w:bookmarkEnd w:id="202"/>
      <w:bookmarkEnd w:id="203"/>
      <w:bookmarkEnd w:id="204"/>
      <w:bookmarkEnd w:id="205"/>
      <w:r>
        <w:rPr>
          <w:rFonts w:ascii="微软雅黑" w:hAnsi="Times New Roman" w:eastAsia="微软雅黑"/>
          <w:b w:val="0"/>
          <w:color w:val="auto"/>
          <w:sz w:val="30"/>
          <w:szCs w:val="30"/>
          <w:lang w:val="en-US" w:eastAsia="zh-CN"/>
        </w:rPr>
        <w:t>中小企业</w:t>
      </w:r>
      <w:r>
        <w:rPr>
          <w:rFonts w:ascii="微软雅黑" w:hAnsi="宋体" w:eastAsia="微软雅黑" w:cs="宋体"/>
          <w:b w:val="0"/>
          <w:color w:val="auto"/>
          <w:sz w:val="30"/>
          <w:szCs w:val="30"/>
          <w:lang w:val="en-US" w:eastAsia="zh-CN"/>
        </w:rPr>
        <w:t>扶持</w:t>
      </w:r>
    </w:p>
    <w:p w14:paraId="5E74BC65">
      <w:pPr>
        <w:spacing w:line="360" w:lineRule="auto"/>
        <w:ind w:firstLine="640" w:firstLineChars="200"/>
        <w:rPr>
          <w:rFonts w:ascii="仿宋_GB2312" w:eastAsia="仿宋_GB2312"/>
          <w:color w:val="auto"/>
          <w:sz w:val="32"/>
          <w:szCs w:val="32"/>
          <w:lang w:val="en-US" w:eastAsia="zh-CN"/>
        </w:rPr>
      </w:pPr>
      <w:r>
        <w:rPr>
          <w:rFonts w:ascii="仿宋_GB2312" w:hAnsi="微软雅黑" w:eastAsia="仿宋_GB2312" w:cs="微软雅黑"/>
          <w:color w:val="auto"/>
          <w:sz w:val="32"/>
          <w:szCs w:val="32"/>
          <w:lang w:val="en-US" w:eastAsia="zh-CN"/>
        </w:rPr>
        <w:t>享受</w:t>
      </w:r>
      <w:r>
        <w:rPr>
          <w:rFonts w:ascii="仿宋_GB2312" w:hAnsi="Malgun Gothic Semilight" w:eastAsia="仿宋_GB2312" w:cs="Malgun Gothic Semilight"/>
          <w:color w:val="auto"/>
          <w:sz w:val="32"/>
          <w:szCs w:val="32"/>
          <w:lang w:val="en-US" w:eastAsia="zh-CN"/>
        </w:rPr>
        <w:t>《</w:t>
      </w:r>
      <w:r>
        <w:rPr>
          <w:rFonts w:ascii="仿宋_GB2312" w:hAnsi="微软雅黑" w:eastAsia="仿宋_GB2312" w:cs="微软雅黑"/>
          <w:color w:val="auto"/>
          <w:sz w:val="32"/>
          <w:szCs w:val="32"/>
          <w:lang w:val="en-US" w:eastAsia="zh-CN"/>
        </w:rPr>
        <w:t>政府采购促进中小企业发展管理办法</w:t>
      </w:r>
      <w:r>
        <w:rPr>
          <w:rFonts w:ascii="仿宋_GB2312" w:hAnsi="Malgun Gothic Semilight" w:eastAsia="仿宋_GB2312" w:cs="Malgun Gothic Semilight"/>
          <w:color w:val="auto"/>
          <w:sz w:val="32"/>
          <w:szCs w:val="32"/>
          <w:lang w:val="en-US" w:eastAsia="zh-CN"/>
        </w:rPr>
        <w:t>》《</w:t>
      </w:r>
      <w:r>
        <w:rPr>
          <w:rFonts w:ascii="仿宋_GB2312" w:hAnsi="微软雅黑" w:eastAsia="仿宋_GB2312" w:cs="微软雅黑"/>
          <w:color w:val="auto"/>
          <w:sz w:val="32"/>
          <w:szCs w:val="32"/>
          <w:lang w:val="en-US" w:eastAsia="zh-CN"/>
        </w:rPr>
        <w:t>关于进一步加大政府采购支持中小企业力度的通知</w:t>
      </w:r>
      <w:r>
        <w:rPr>
          <w:rFonts w:ascii="仿宋_GB2312" w:hAnsi="Malgun Gothic Semilight" w:eastAsia="仿宋_GB2312" w:cs="Malgun Gothic Semilight"/>
          <w:color w:val="auto"/>
          <w:sz w:val="32"/>
          <w:szCs w:val="32"/>
          <w:lang w:val="en-US" w:eastAsia="zh-CN"/>
        </w:rPr>
        <w:t>》《</w:t>
      </w:r>
      <w:r>
        <w:rPr>
          <w:rFonts w:ascii="仿宋_GB2312" w:hAnsi="微软雅黑" w:eastAsia="仿宋_GB2312" w:cs="微软雅黑"/>
          <w:color w:val="auto"/>
          <w:sz w:val="32"/>
          <w:szCs w:val="32"/>
          <w:lang w:val="en-US" w:eastAsia="zh-CN"/>
        </w:rPr>
        <w:t>关于政府采购支持监狱企业发展有关问题的通知</w:t>
      </w:r>
      <w:r>
        <w:rPr>
          <w:rFonts w:ascii="仿宋_GB2312" w:hAnsi="Malgun Gothic Semilight" w:eastAsia="仿宋_GB2312" w:cs="Malgun Gothic Semilight"/>
          <w:color w:val="auto"/>
          <w:sz w:val="32"/>
          <w:szCs w:val="32"/>
          <w:lang w:val="en-US" w:eastAsia="zh-CN"/>
        </w:rPr>
        <w:t>》</w:t>
      </w:r>
      <w:r>
        <w:rPr>
          <w:rFonts w:ascii="仿宋_GB2312" w:hAnsi="微软雅黑" w:eastAsia="仿宋_GB2312" w:cs="微软雅黑"/>
          <w:color w:val="auto"/>
          <w:sz w:val="32"/>
          <w:szCs w:val="32"/>
          <w:lang w:val="en-US" w:eastAsia="zh-CN"/>
        </w:rPr>
        <w:t>和</w:t>
      </w:r>
      <w:r>
        <w:rPr>
          <w:rFonts w:ascii="仿宋_GB2312" w:hAnsi="Malgun Gothic Semilight" w:eastAsia="仿宋_GB2312" w:cs="Malgun Gothic Semilight"/>
          <w:color w:val="auto"/>
          <w:sz w:val="32"/>
          <w:szCs w:val="32"/>
          <w:lang w:val="en-US" w:eastAsia="zh-CN"/>
        </w:rPr>
        <w:t>《</w:t>
      </w:r>
      <w:r>
        <w:rPr>
          <w:rFonts w:ascii="仿宋_GB2312" w:hAnsi="微软雅黑" w:eastAsia="仿宋_GB2312" w:cs="微软雅黑"/>
          <w:color w:val="auto"/>
          <w:sz w:val="32"/>
          <w:szCs w:val="32"/>
          <w:lang w:val="en-US" w:eastAsia="zh-CN"/>
        </w:rPr>
        <w:t>关于促进残疾人就业政府采购政策的通知</w:t>
      </w:r>
      <w:r>
        <w:rPr>
          <w:rFonts w:ascii="仿宋_GB2312" w:hAnsi="Malgun Gothic Semilight" w:eastAsia="仿宋_GB2312" w:cs="Malgun Gothic Semilight"/>
          <w:color w:val="auto"/>
          <w:sz w:val="32"/>
          <w:szCs w:val="32"/>
          <w:lang w:val="en-US" w:eastAsia="zh-CN"/>
        </w:rPr>
        <w:t>》</w:t>
      </w:r>
      <w:r>
        <w:rPr>
          <w:rFonts w:ascii="仿宋_GB2312" w:hAnsi="微软雅黑" w:eastAsia="仿宋_GB2312" w:cs="微软雅黑"/>
          <w:color w:val="auto"/>
          <w:sz w:val="32"/>
          <w:szCs w:val="32"/>
          <w:lang w:val="en-US" w:eastAsia="zh-CN"/>
        </w:rPr>
        <w:t>扶持政策的投标人提交</w:t>
      </w:r>
      <w:r>
        <w:rPr>
          <w:rFonts w:ascii="仿宋_GB2312" w:hAnsi="Malgun Gothic Semilight" w:eastAsia="仿宋_GB2312" w:cs="Malgun Gothic Semilight"/>
          <w:color w:val="auto"/>
          <w:sz w:val="32"/>
          <w:szCs w:val="32"/>
          <w:lang w:val="en-US" w:eastAsia="zh-CN"/>
        </w:rPr>
        <w:t>，</w:t>
      </w:r>
      <w:r>
        <w:rPr>
          <w:rFonts w:ascii="仿宋_GB2312" w:hAnsi="微软雅黑" w:eastAsia="仿宋_GB2312" w:cs="微软雅黑"/>
          <w:color w:val="auto"/>
          <w:sz w:val="32"/>
          <w:szCs w:val="32"/>
          <w:lang w:val="en-US" w:eastAsia="zh-CN"/>
        </w:rPr>
        <w:t>否则无需提供或可不填写以下几项内容</w:t>
      </w:r>
      <w:r>
        <w:rPr>
          <w:rFonts w:ascii="仿宋_GB2312" w:hAnsi="Malgun Gothic Semilight" w:eastAsia="仿宋_GB2312" w:cs="Malgun Gothic Semilight"/>
          <w:color w:val="auto"/>
          <w:sz w:val="32"/>
          <w:szCs w:val="32"/>
          <w:lang w:val="en-US" w:eastAsia="zh-CN"/>
        </w:rPr>
        <w:t>。</w:t>
      </w:r>
    </w:p>
    <w:p w14:paraId="3F6C5F16">
      <w:pPr>
        <w:spacing w:line="360" w:lineRule="auto"/>
        <w:ind w:firstLine="480"/>
        <w:jc w:val="center"/>
        <w:outlineLvl w:val="2"/>
        <w:rPr>
          <w:rFonts w:hint="default" w:ascii="Times New Roman" w:hAnsi="Times New Roman" w:eastAsia="仿宋_GB2312" w:cs="Times New Roman"/>
          <w:b/>
          <w:bCs/>
          <w:color w:val="auto"/>
          <w:sz w:val="28"/>
          <w:szCs w:val="28"/>
          <w:lang w:val="en-US" w:eastAsia="zh-CN"/>
        </w:rPr>
        <w:sectPr>
          <w:pgSz w:w="11900" w:h="16840"/>
          <w:pgMar w:top="1440" w:right="1800" w:bottom="1440" w:left="1800" w:header="851" w:footer="992" w:gutter="0"/>
          <w:cols w:space="720" w:num="1"/>
        </w:sectPr>
      </w:pPr>
    </w:p>
    <w:p w14:paraId="3B889427">
      <w:pPr>
        <w:spacing w:line="360" w:lineRule="auto"/>
        <w:ind w:firstLine="480"/>
        <w:jc w:val="center"/>
        <w:outlineLvl w:val="2"/>
        <w:rPr>
          <w:rFonts w:hint="default" w:ascii="Times New Roman" w:hAnsi="Times New Roman" w:eastAsia="仿宋_GB2312" w:cs="Times New Roman"/>
          <w:b/>
          <w:bCs/>
          <w:color w:val="auto"/>
          <w:sz w:val="28"/>
          <w:szCs w:val="28"/>
          <w:lang w:val="en-US" w:eastAsia="zh-CN"/>
        </w:rPr>
      </w:pPr>
      <w:r>
        <w:rPr>
          <w:rFonts w:ascii="Times New Roman" w:hAnsi="Times New Roman" w:eastAsia="仿宋_GB2312" w:cs="Times New Roman"/>
          <w:b/>
          <w:bCs/>
          <w:color w:val="auto"/>
          <w:sz w:val="28"/>
          <w:szCs w:val="28"/>
          <w:lang w:val="en-US" w:eastAsia="zh-CN"/>
        </w:rPr>
        <w:t>1.</w:t>
      </w:r>
      <w:r>
        <w:rPr>
          <w:rFonts w:hint="default" w:ascii="Times New Roman" w:hAnsi="Times New Roman" w:eastAsia="仿宋_GB2312" w:cs="Times New Roman"/>
          <w:b/>
          <w:bCs/>
          <w:color w:val="auto"/>
          <w:sz w:val="28"/>
          <w:szCs w:val="28"/>
          <w:lang w:val="en-US" w:eastAsia="zh-CN"/>
        </w:rPr>
        <w:t>中小企业声明函（货物）</w:t>
      </w:r>
    </w:p>
    <w:p w14:paraId="01A868C0">
      <w:pPr>
        <w:spacing w:line="360" w:lineRule="auto"/>
        <w:ind w:firstLine="480"/>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（供应商提供小微企业制造货物的填写，其他无需填写或不提供此项内容）</w:t>
      </w:r>
    </w:p>
    <w:p w14:paraId="34C7334A">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本公司（联合体）郑重声明，根据《政府采购促进中小企业发展管理办法》（财库[2020]46号）的规定，本公司（联合体）参加</w:t>
      </w:r>
      <w:r>
        <w:rPr>
          <w:rFonts w:hint="default" w:ascii="Times New Roman" w:hAnsi="Times New Roman" w:eastAsia="仿宋_GB2312" w:cs="Times New Roman"/>
          <w:color w:val="auto"/>
          <w:sz w:val="28"/>
          <w:szCs w:val="28"/>
          <w:u w:val="single"/>
          <w:lang w:eastAsia="zh-CN"/>
        </w:rPr>
        <w:t xml:space="preserve"> </w:t>
      </w:r>
      <w:r>
        <w:rPr>
          <w:rFonts w:ascii="Times New Roman" w:hAnsi="Times New Roman" w:eastAsia="仿宋_GB2312" w:cs="Times New Roman"/>
          <w:color w:val="auto"/>
          <w:kern w:val="0"/>
          <w:sz w:val="28"/>
          <w:szCs w:val="28"/>
          <w:u w:val="single"/>
          <w:lang w:val="en" w:eastAsia="zh-CN"/>
        </w:rPr>
        <w:t>郑州铁路职业技术学院</w:t>
      </w:r>
      <w:r>
        <w:rPr>
          <w:rFonts w:hint="default" w:ascii="Times New Roman" w:hAnsi="Times New Roman" w:eastAsia="仿宋_GB2312" w:cs="Times New Roman"/>
          <w:color w:val="auto"/>
          <w:sz w:val="28"/>
          <w:szCs w:val="28"/>
          <w:u w:val="single"/>
          <w:lang w:eastAsia="zh-CN"/>
        </w:rPr>
        <w:t>的</w:t>
      </w:r>
      <w:r>
        <w:rPr>
          <w:rFonts w:hint="default" w:ascii="Times New Roman" w:hAnsi="Times New Roman" w:eastAsia="仿宋_GB2312" w:cs="Times New Roman"/>
          <w:color w:val="auto"/>
          <w:sz w:val="28"/>
          <w:szCs w:val="28"/>
          <w:u w:val="single"/>
          <w:lang w:val="en" w:eastAsia="zh-CN"/>
        </w:rPr>
        <w:t>工科基础实训室</w:t>
      </w:r>
      <w:r>
        <w:rPr>
          <w:rFonts w:ascii="Times New Roman" w:hAnsi="Times New Roman" w:eastAsia="仿宋_GB2312" w:cs="Times New Roman"/>
          <w:color w:val="auto"/>
          <w:sz w:val="28"/>
          <w:szCs w:val="28"/>
          <w:u w:val="single"/>
          <w:lang w:val="en" w:eastAsia="zh-CN"/>
        </w:rPr>
        <w:t>项目</w:t>
      </w:r>
      <w:r>
        <w:rPr>
          <w:rFonts w:hint="default" w:ascii="Times New Roman" w:hAnsi="Times New Roman" w:eastAsia="仿宋_GB2312" w:cs="Times New Roman"/>
          <w:color w:val="auto"/>
          <w:sz w:val="28"/>
          <w:szCs w:val="28"/>
          <w:lang w:eastAsia="zh-CN"/>
        </w:rPr>
        <w:t>采购活动，提供的货物全部由符合政策要求的中小企业制造。相关企业（含联合体中的中小企业、签订分包意向协议的中小企业）的具体情况如下：</w:t>
      </w:r>
    </w:p>
    <w:p w14:paraId="590777CC">
      <w:pPr>
        <w:spacing w:line="40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1.</w:t>
      </w:r>
      <w:r>
        <w:rPr>
          <w:rFonts w:hint="default" w:ascii="Times New Roman" w:hAnsi="Times New Roman" w:eastAsia="仿宋_GB2312" w:cs="Times New Roman"/>
          <w:i/>
          <w:color w:val="auto"/>
          <w:sz w:val="28"/>
          <w:szCs w:val="28"/>
          <w:u w:val="single"/>
          <w:lang w:eastAsia="zh-CN"/>
        </w:rPr>
        <w:t>（标的名称）</w:t>
      </w:r>
      <w:r>
        <w:rPr>
          <w:rFonts w:hint="default" w:ascii="Times New Roman" w:hAnsi="Times New Roman" w:eastAsia="仿宋_GB2312" w:cs="Times New Roman"/>
          <w:color w:val="auto"/>
          <w:sz w:val="28"/>
          <w:szCs w:val="28"/>
          <w:lang w:eastAsia="zh-CN"/>
        </w:rPr>
        <w:t>，属于</w:t>
      </w:r>
      <w:r>
        <w:rPr>
          <w:rFonts w:hint="default" w:ascii="Times New Roman" w:hAnsi="Times New Roman" w:eastAsia="仿宋_GB2312" w:cs="Times New Roman"/>
          <w:i/>
          <w:color w:val="auto"/>
          <w:sz w:val="28"/>
          <w:szCs w:val="28"/>
          <w:u w:val="single"/>
          <w:lang w:eastAsia="zh-CN"/>
        </w:rPr>
        <w:t>（采购文件中明确的所属行业）</w:t>
      </w:r>
      <w:r>
        <w:rPr>
          <w:rFonts w:hint="default" w:ascii="Times New Roman" w:hAnsi="Times New Roman" w:eastAsia="仿宋_GB2312" w:cs="Times New Roman"/>
          <w:color w:val="auto"/>
          <w:sz w:val="28"/>
          <w:szCs w:val="28"/>
          <w:lang w:eastAsia="zh-CN"/>
        </w:rPr>
        <w:t>行业；制造商为</w:t>
      </w:r>
      <w:r>
        <w:rPr>
          <w:rFonts w:hint="default" w:ascii="Times New Roman" w:hAnsi="Times New Roman" w:eastAsia="仿宋_GB2312" w:cs="Times New Roman"/>
          <w:i/>
          <w:color w:val="auto"/>
          <w:sz w:val="28"/>
          <w:szCs w:val="28"/>
          <w:u w:val="single"/>
          <w:lang w:eastAsia="zh-CN"/>
        </w:rPr>
        <w:t>（企业名称）</w:t>
      </w:r>
      <w:r>
        <w:rPr>
          <w:rFonts w:hint="default" w:ascii="Times New Roman" w:hAnsi="Times New Roman" w:eastAsia="仿宋_GB2312" w:cs="Times New Roman"/>
          <w:color w:val="auto"/>
          <w:sz w:val="28"/>
          <w:szCs w:val="28"/>
          <w:lang w:eastAsia="zh-CN"/>
        </w:rPr>
        <w:t>，从业人员</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人，营业收入为</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万元，资产总额为</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万元，属于</w:t>
      </w:r>
      <w:r>
        <w:rPr>
          <w:rFonts w:hint="default" w:ascii="Times New Roman" w:hAnsi="Times New Roman" w:eastAsia="仿宋_GB2312" w:cs="Times New Roman"/>
          <w:i/>
          <w:color w:val="auto"/>
          <w:sz w:val="28"/>
          <w:szCs w:val="28"/>
          <w:u w:val="single"/>
          <w:lang w:eastAsia="zh-CN"/>
        </w:rPr>
        <w:t>（中型企业、小型企业、微型企业）</w:t>
      </w:r>
      <w:r>
        <w:rPr>
          <w:rFonts w:hint="default" w:ascii="Times New Roman" w:hAnsi="Times New Roman" w:eastAsia="仿宋_GB2312" w:cs="Times New Roman"/>
          <w:color w:val="auto"/>
          <w:sz w:val="28"/>
          <w:szCs w:val="28"/>
          <w:lang w:eastAsia="zh-CN"/>
        </w:rPr>
        <w:t>；</w:t>
      </w:r>
    </w:p>
    <w:p w14:paraId="0E8BB141">
      <w:pPr>
        <w:spacing w:line="40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w:t>
      </w:r>
      <w:r>
        <w:rPr>
          <w:rFonts w:hint="default" w:ascii="Times New Roman" w:hAnsi="Times New Roman" w:eastAsia="仿宋_GB2312" w:cs="Times New Roman"/>
          <w:i/>
          <w:color w:val="auto"/>
          <w:sz w:val="28"/>
          <w:szCs w:val="28"/>
          <w:u w:val="single"/>
          <w:lang w:eastAsia="zh-CN"/>
        </w:rPr>
        <w:t>（标的名称）</w:t>
      </w:r>
      <w:r>
        <w:rPr>
          <w:rFonts w:hint="default" w:ascii="Times New Roman" w:hAnsi="Times New Roman" w:eastAsia="仿宋_GB2312" w:cs="Times New Roman"/>
          <w:color w:val="auto"/>
          <w:sz w:val="28"/>
          <w:szCs w:val="28"/>
          <w:lang w:eastAsia="zh-CN"/>
        </w:rPr>
        <w:t>，属于</w:t>
      </w:r>
      <w:r>
        <w:rPr>
          <w:rFonts w:hint="default" w:ascii="Times New Roman" w:hAnsi="Times New Roman" w:eastAsia="仿宋_GB2312" w:cs="Times New Roman"/>
          <w:i/>
          <w:color w:val="auto"/>
          <w:sz w:val="28"/>
          <w:szCs w:val="28"/>
          <w:u w:val="single"/>
          <w:lang w:eastAsia="zh-CN"/>
        </w:rPr>
        <w:t>（采购文件中明确的所属行业）</w:t>
      </w:r>
      <w:r>
        <w:rPr>
          <w:rFonts w:hint="default" w:ascii="Times New Roman" w:hAnsi="Times New Roman" w:eastAsia="仿宋_GB2312" w:cs="Times New Roman"/>
          <w:color w:val="auto"/>
          <w:sz w:val="28"/>
          <w:szCs w:val="28"/>
          <w:lang w:eastAsia="zh-CN"/>
        </w:rPr>
        <w:t>行业；制造商为</w:t>
      </w:r>
      <w:r>
        <w:rPr>
          <w:rFonts w:hint="default" w:ascii="Times New Roman" w:hAnsi="Times New Roman" w:eastAsia="仿宋_GB2312" w:cs="Times New Roman"/>
          <w:i/>
          <w:color w:val="auto"/>
          <w:sz w:val="28"/>
          <w:szCs w:val="28"/>
          <w:u w:val="single"/>
          <w:lang w:eastAsia="zh-CN"/>
        </w:rPr>
        <w:t>（企业名称）</w:t>
      </w:r>
      <w:r>
        <w:rPr>
          <w:rFonts w:hint="default" w:ascii="Times New Roman" w:hAnsi="Times New Roman" w:eastAsia="仿宋_GB2312" w:cs="Times New Roman"/>
          <w:color w:val="auto"/>
          <w:sz w:val="28"/>
          <w:szCs w:val="28"/>
          <w:lang w:eastAsia="zh-CN"/>
        </w:rPr>
        <w:t>，从业人员</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人，营业收入为</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万元，资产总额为</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万元，属于</w:t>
      </w:r>
      <w:r>
        <w:rPr>
          <w:rFonts w:hint="default" w:ascii="Times New Roman" w:hAnsi="Times New Roman" w:eastAsia="仿宋_GB2312" w:cs="Times New Roman"/>
          <w:i/>
          <w:color w:val="auto"/>
          <w:sz w:val="28"/>
          <w:szCs w:val="28"/>
          <w:u w:val="single"/>
          <w:lang w:eastAsia="zh-CN"/>
        </w:rPr>
        <w:t>（中型企业、小型企业、微型企业）</w:t>
      </w:r>
      <w:r>
        <w:rPr>
          <w:rFonts w:hint="default" w:ascii="Times New Roman" w:hAnsi="Times New Roman" w:eastAsia="仿宋_GB2312" w:cs="Times New Roman"/>
          <w:color w:val="auto"/>
          <w:sz w:val="28"/>
          <w:szCs w:val="28"/>
          <w:lang w:eastAsia="zh-CN"/>
        </w:rPr>
        <w:t>；</w:t>
      </w:r>
    </w:p>
    <w:p w14:paraId="201BC835">
      <w:pPr>
        <w:spacing w:line="40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w:t>
      </w:r>
    </w:p>
    <w:p w14:paraId="64DC5891">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以上企业，不属于大企业的分值机构，不存在控股股东为大企业的情形，也不存在与大企业的负责人为同一人的情形。</w:t>
      </w:r>
    </w:p>
    <w:p w14:paraId="743E9F2B">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本企业对上述声明内容的真实性负责。如有虚假，将依法承担相应责任。</w:t>
      </w:r>
    </w:p>
    <w:p w14:paraId="216D356D">
      <w:pPr>
        <w:spacing w:line="360" w:lineRule="auto"/>
        <w:rPr>
          <w:rFonts w:hint="default" w:ascii="Times New Roman" w:hAnsi="Times New Roman" w:eastAsia="仿宋_GB2312" w:cs="Times New Roman"/>
          <w:color w:val="auto"/>
          <w:sz w:val="28"/>
          <w:szCs w:val="28"/>
          <w:lang w:eastAsia="zh-CN"/>
        </w:rPr>
      </w:pPr>
    </w:p>
    <w:p w14:paraId="75A7535D">
      <w:pPr>
        <w:spacing w:line="360" w:lineRule="auto"/>
        <w:ind w:firstLine="2312" w:firstLineChars="826"/>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供应商（企业电子签章）：</w:t>
      </w:r>
    </w:p>
    <w:p w14:paraId="2F35FC8A">
      <w:pPr>
        <w:spacing w:line="360" w:lineRule="auto"/>
        <w:ind w:firstLine="3080" w:firstLineChars="11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日期：</w:t>
      </w:r>
      <w:r>
        <w:rPr>
          <w:rFonts w:hint="default" w:ascii="Times New Roman" w:hAnsi="Times New Roman" w:eastAsia="仿宋_GB2312" w:cs="Times New Roman"/>
          <w:color w:val="auto"/>
          <w:sz w:val="28"/>
          <w:szCs w:val="28"/>
          <w:lang w:eastAsia="zh-CN"/>
        </w:rPr>
        <w:t>年   月   日</w:t>
      </w:r>
    </w:p>
    <w:p w14:paraId="45260762">
      <w:pPr>
        <w:pBdr>
          <w:bottom w:val="single" w:color="auto" w:sz="6" w:space="1"/>
        </w:pBdr>
        <w:spacing w:line="400" w:lineRule="exact"/>
        <w:rPr>
          <w:rFonts w:hint="default" w:ascii="Times New Roman" w:hAnsi="Times New Roman" w:eastAsia="仿宋_GB2312" w:cs="Times New Roman"/>
          <w:color w:val="auto"/>
          <w:sz w:val="28"/>
          <w:szCs w:val="28"/>
          <w:lang w:eastAsia="zh-CN"/>
        </w:rPr>
      </w:pPr>
    </w:p>
    <w:p w14:paraId="5EF61EDB">
      <w:pPr>
        <w:spacing w:line="360" w:lineRule="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从业人员、营业收入、资产总额填报上一年度数据，无上一年度数据的新成立企业可不填报。</w:t>
      </w:r>
    </w:p>
    <w:p w14:paraId="230A92C0">
      <w:pPr>
        <w:spacing w:line="360" w:lineRule="auto"/>
        <w:ind w:firstLine="480"/>
        <w:jc w:val="center"/>
        <w:outlineLvl w:val="2"/>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color w:val="auto"/>
          <w:sz w:val="24"/>
          <w:lang w:eastAsia="zh-CN"/>
        </w:rPr>
        <w:br w:type="page"/>
      </w:r>
      <w:r>
        <w:rPr>
          <w:rFonts w:ascii="Times New Roman" w:hAnsi="Times New Roman" w:eastAsia="仿宋_GB2312" w:cs="Times New Roman"/>
          <w:b/>
          <w:bCs/>
          <w:color w:val="auto"/>
          <w:sz w:val="24"/>
          <w:lang w:eastAsia="zh-CN"/>
        </w:rPr>
        <w:t>2.</w:t>
      </w:r>
      <w:r>
        <w:rPr>
          <w:rFonts w:ascii="Times New Roman" w:hAnsi="Times New Roman" w:eastAsia="仿宋_GB2312" w:cs="Times New Roman"/>
          <w:b/>
          <w:bCs/>
          <w:color w:val="auto"/>
          <w:sz w:val="28"/>
          <w:szCs w:val="28"/>
          <w:lang w:val="en-US" w:eastAsia="zh-CN"/>
        </w:rPr>
        <w:t>供应商监狱企业声明函</w:t>
      </w:r>
    </w:p>
    <w:p w14:paraId="67AC8566">
      <w:pPr>
        <w:spacing w:line="360" w:lineRule="auto"/>
        <w:ind w:left="1080" w:hanging="540"/>
        <w:jc w:val="center"/>
        <w:rPr>
          <w:rFonts w:ascii="仿宋_GB2312" w:hAnsi="仿宋_GB2312" w:eastAsia="仿宋_GB2312" w:cs="仿宋_GB2312"/>
          <w:b/>
          <w:bCs/>
          <w:color w:val="auto"/>
          <w:kern w:val="0"/>
          <w:sz w:val="28"/>
          <w:szCs w:val="28"/>
          <w:lang w:val="en-US" w:eastAsia="zh-CN"/>
        </w:rPr>
      </w:pPr>
    </w:p>
    <w:p w14:paraId="608675FD">
      <w:pPr>
        <w:pStyle w:val="70"/>
        <w:rPr>
          <w:color w:val="auto"/>
        </w:rPr>
      </w:pPr>
    </w:p>
    <w:p w14:paraId="2169663F">
      <w:pPr>
        <w:spacing w:before="100" w:after="100" w:line="360" w:lineRule="auto"/>
        <w:ind w:firstLine="480"/>
        <w:jc w:val="left"/>
        <w:rPr>
          <w:rFonts w:ascii="仿宋_GB2312" w:hAnsi="仿宋_GB2312" w:eastAsia="仿宋_GB2312" w:cs="仿宋_GB2312"/>
          <w:color w:val="auto"/>
          <w:kern w:val="0"/>
          <w:sz w:val="28"/>
          <w:szCs w:val="28"/>
          <w:lang w:eastAsia="zh-CN"/>
        </w:rPr>
      </w:pPr>
      <w:r>
        <w:rPr>
          <w:rFonts w:ascii="仿宋_GB2312" w:hAnsi="仿宋_GB2312" w:eastAsia="仿宋_GB2312" w:cs="仿宋_GB2312"/>
          <w:color w:val="auto"/>
          <w:kern w:val="0"/>
          <w:sz w:val="28"/>
          <w:szCs w:val="28"/>
          <w:lang w:val="en-US" w:eastAsia="zh-CN"/>
        </w:rPr>
        <w:t xml:space="preserve"> </w:t>
      </w:r>
      <w:r>
        <w:rPr>
          <w:rFonts w:ascii="仿宋_GB2312" w:hAnsi="仿宋_GB2312" w:eastAsia="仿宋_GB2312" w:cs="仿宋_GB2312"/>
          <w:color w:val="auto"/>
          <w:kern w:val="0"/>
          <w:sz w:val="28"/>
          <w:szCs w:val="28"/>
          <w:lang w:eastAsia="zh-CN"/>
        </w:rPr>
        <w:t>本企业（单位）郑重声明下列事项（按照实际情况勾选或填空）：</w:t>
      </w:r>
    </w:p>
    <w:p w14:paraId="6384319D">
      <w:pPr>
        <w:spacing w:before="100" w:after="100" w:line="360" w:lineRule="auto"/>
        <w:ind w:firstLine="480"/>
        <w:jc w:val="left"/>
        <w:rPr>
          <w:rFonts w:ascii="仿宋_GB2312" w:hAnsi="仿宋_GB2312" w:eastAsia="仿宋_GB2312" w:cs="仿宋_GB2312"/>
          <w:color w:val="auto"/>
          <w:kern w:val="0"/>
          <w:sz w:val="28"/>
          <w:szCs w:val="28"/>
          <w:lang w:eastAsia="zh-CN"/>
        </w:rPr>
      </w:pPr>
      <w:r>
        <w:rPr>
          <w:rFonts w:ascii="仿宋_GB2312" w:hAnsi="仿宋_GB2312" w:eastAsia="仿宋_GB2312" w:cs="仿宋_GB2312"/>
          <w:color w:val="auto"/>
          <w:kern w:val="0"/>
          <w:sz w:val="28"/>
          <w:szCs w:val="28"/>
          <w:lang w:val="en-US" w:eastAsia="zh-CN"/>
        </w:rPr>
        <w:t xml:space="preserve"> </w:t>
      </w:r>
      <w:r>
        <w:rPr>
          <w:rFonts w:ascii="仿宋_GB2312" w:hAnsi="仿宋_GB2312" w:eastAsia="仿宋_GB2312" w:cs="仿宋_GB2312"/>
          <w:color w:val="auto"/>
          <w:kern w:val="0"/>
          <w:sz w:val="28"/>
          <w:szCs w:val="28"/>
          <w:lang w:eastAsia="zh-CN"/>
        </w:rPr>
        <w:t>本企业（单位）为直接供应商，提供本企业（单位）服务。本企业（单位）</w:t>
      </w:r>
      <w:r>
        <w:rPr>
          <w:rFonts w:ascii="仿宋_GB2312" w:hAnsi="仿宋_GB2312" w:eastAsia="仿宋_GB2312" w:cs="仿宋_GB2312"/>
          <w:color w:val="auto"/>
          <w:kern w:val="0"/>
          <w:sz w:val="28"/>
          <w:szCs w:val="28"/>
          <w:u w:val="single"/>
          <w:lang w:val="en-US" w:eastAsia="zh-CN"/>
        </w:rPr>
        <w:t xml:space="preserve">        </w:t>
      </w:r>
      <w:r>
        <w:rPr>
          <w:rFonts w:ascii="仿宋_GB2312" w:hAnsi="仿宋_GB2312" w:eastAsia="仿宋_GB2312" w:cs="仿宋_GB2312"/>
          <w:color w:val="auto"/>
          <w:kern w:val="0"/>
          <w:sz w:val="28"/>
          <w:szCs w:val="28"/>
          <w:lang w:eastAsia="zh-CN"/>
        </w:rPr>
        <w:t>（请填写：是、不是）监狱企业。后附省级以上监狱管理局、戒毒管理局（含新疆生产建设兵团）出具的属于监狱企业的证明文件。</w:t>
      </w:r>
    </w:p>
    <w:p w14:paraId="61702CC0">
      <w:pPr>
        <w:spacing w:before="100" w:after="100" w:line="360" w:lineRule="auto"/>
        <w:jc w:val="left"/>
        <w:rPr>
          <w:rFonts w:ascii="仿宋_GB2312" w:hAnsi="仿宋_GB2312" w:eastAsia="仿宋_GB2312" w:cs="仿宋_GB2312"/>
          <w:color w:val="auto"/>
          <w:kern w:val="0"/>
          <w:sz w:val="28"/>
          <w:szCs w:val="28"/>
          <w:lang w:eastAsia="zh-CN"/>
        </w:rPr>
      </w:pPr>
      <w:r>
        <w:rPr>
          <w:rFonts w:ascii="仿宋_GB2312" w:hAnsi="仿宋_GB2312" w:eastAsia="仿宋_GB2312" w:cs="仿宋_GB2312"/>
          <w:color w:val="auto"/>
          <w:kern w:val="0"/>
          <w:sz w:val="28"/>
          <w:szCs w:val="28"/>
          <w:lang w:eastAsia="zh-CN"/>
        </w:rPr>
        <w:t>　　本企业（单位）对上述声明的真实性负责。如有虚假，将依法承担相应责任。</w:t>
      </w:r>
    </w:p>
    <w:p w14:paraId="27719DFD">
      <w:pPr>
        <w:spacing w:before="100" w:after="100" w:line="360" w:lineRule="auto"/>
        <w:jc w:val="left"/>
        <w:rPr>
          <w:rFonts w:ascii="仿宋_GB2312" w:hAnsi="仿宋_GB2312" w:eastAsia="仿宋_GB2312" w:cs="仿宋_GB2312"/>
          <w:color w:val="auto"/>
          <w:kern w:val="0"/>
          <w:sz w:val="28"/>
          <w:szCs w:val="28"/>
          <w:lang w:val="en-US" w:eastAsia="zh-CN"/>
        </w:rPr>
      </w:pPr>
    </w:p>
    <w:p w14:paraId="4CC6BD63">
      <w:pPr>
        <w:spacing w:before="100" w:after="100" w:line="360" w:lineRule="auto"/>
        <w:jc w:val="left"/>
        <w:rPr>
          <w:rFonts w:ascii="仿宋_GB2312" w:hAnsi="仿宋_GB2312" w:eastAsia="仿宋_GB2312" w:cs="仿宋_GB2312"/>
          <w:color w:val="auto"/>
          <w:kern w:val="0"/>
          <w:sz w:val="28"/>
          <w:szCs w:val="28"/>
          <w:lang w:val="en-US" w:eastAsia="zh-CN"/>
        </w:rPr>
      </w:pPr>
    </w:p>
    <w:p w14:paraId="7F5C6DEE">
      <w:pPr>
        <w:spacing w:line="360" w:lineRule="auto"/>
        <w:rPr>
          <w:rFonts w:ascii="仿宋_GB2312" w:hAnsi="仿宋_GB2312" w:eastAsia="仿宋_GB2312" w:cs="仿宋_GB2312"/>
          <w:b/>
          <w:bCs/>
          <w:color w:val="auto"/>
          <w:sz w:val="28"/>
          <w:szCs w:val="28"/>
          <w:lang w:val="en-US" w:eastAsia="zh-CN"/>
        </w:rPr>
      </w:pPr>
    </w:p>
    <w:p w14:paraId="17F2440A">
      <w:pPr>
        <w:spacing w:before="100" w:after="100" w:line="360" w:lineRule="auto"/>
        <w:ind w:firstLine="3960"/>
        <w:jc w:val="left"/>
        <w:rPr>
          <w:rFonts w:ascii="仿宋_GB2312" w:hAnsi="仿宋_GB2312" w:eastAsia="仿宋_GB2312" w:cs="仿宋_GB2312"/>
          <w:color w:val="auto"/>
          <w:kern w:val="0"/>
          <w:sz w:val="28"/>
          <w:szCs w:val="28"/>
          <w:lang w:eastAsia="zh-CN"/>
        </w:rPr>
      </w:pPr>
      <w:r>
        <w:rPr>
          <w:rFonts w:ascii="仿宋_GB2312" w:hAnsi="仿宋_GB2312" w:eastAsia="仿宋_GB2312" w:cs="仿宋_GB2312"/>
          <w:color w:val="auto"/>
          <w:kern w:val="0"/>
          <w:sz w:val="28"/>
          <w:szCs w:val="28"/>
          <w:lang w:eastAsia="zh-CN"/>
        </w:rPr>
        <w:t>供应商（企业电子签章）：</w:t>
      </w:r>
      <w:r>
        <w:rPr>
          <w:rFonts w:ascii="仿宋_GB2312" w:hAnsi="仿宋_GB2312" w:eastAsia="仿宋_GB2312" w:cs="仿宋_GB2312"/>
          <w:color w:val="auto"/>
          <w:kern w:val="0"/>
          <w:sz w:val="28"/>
          <w:szCs w:val="28"/>
          <w:u w:val="single"/>
          <w:lang w:val="en-US" w:eastAsia="zh-CN"/>
        </w:rPr>
        <w:t xml:space="preserve">             </w:t>
      </w:r>
    </w:p>
    <w:p w14:paraId="442901C8">
      <w:pPr>
        <w:spacing w:before="100" w:after="100" w:line="360" w:lineRule="auto"/>
        <w:ind w:firstLine="3720"/>
        <w:jc w:val="left"/>
        <w:rPr>
          <w:rFonts w:ascii="仿宋_GB2312" w:hAnsi="仿宋_GB2312" w:eastAsia="仿宋_GB2312" w:cs="仿宋_GB2312"/>
          <w:color w:val="auto"/>
          <w:kern w:val="0"/>
          <w:sz w:val="28"/>
          <w:szCs w:val="28"/>
          <w:u w:val="single"/>
          <w:lang w:eastAsia="zh-CN"/>
        </w:rPr>
      </w:pPr>
      <w:r>
        <w:rPr>
          <w:rFonts w:ascii="仿宋_GB2312" w:hAnsi="仿宋_GB2312" w:eastAsia="仿宋_GB2312" w:cs="仿宋_GB2312"/>
          <w:color w:val="auto"/>
          <w:kern w:val="0"/>
          <w:sz w:val="28"/>
          <w:szCs w:val="28"/>
          <w:lang w:eastAsia="zh-CN"/>
        </w:rPr>
        <w:t>　日　期：</w:t>
      </w:r>
      <w:r>
        <w:rPr>
          <w:rFonts w:ascii="仿宋_GB2312" w:hAnsi="仿宋_GB2312" w:eastAsia="仿宋_GB2312" w:cs="仿宋_GB2312"/>
          <w:color w:val="auto"/>
          <w:kern w:val="0"/>
          <w:sz w:val="28"/>
          <w:szCs w:val="28"/>
          <w:u w:val="single"/>
          <w:lang w:val="en-US" w:eastAsia="zh-CN"/>
        </w:rPr>
        <w:t xml:space="preserve">             </w:t>
      </w:r>
    </w:p>
    <w:p w14:paraId="743640CD">
      <w:pPr>
        <w:rPr>
          <w:rFonts w:hint="default" w:ascii="Times New Roman" w:hAnsi="Times New Roman" w:eastAsia="仿宋_GB2312" w:cs="Times New Roman"/>
          <w:b/>
          <w:color w:val="auto"/>
          <w:sz w:val="28"/>
          <w:szCs w:val="28"/>
          <w:lang w:eastAsia="zh-CN"/>
        </w:rPr>
      </w:pPr>
      <w:r>
        <w:rPr>
          <w:rFonts w:hint="default" w:ascii="Times New Roman" w:hAnsi="Times New Roman" w:eastAsia="仿宋_GB2312" w:cs="Times New Roman"/>
          <w:b/>
          <w:color w:val="auto"/>
          <w:sz w:val="28"/>
          <w:szCs w:val="28"/>
          <w:lang w:eastAsia="zh-CN"/>
        </w:rPr>
        <w:br w:type="page"/>
      </w:r>
    </w:p>
    <w:p w14:paraId="6060EEEF">
      <w:pPr>
        <w:spacing w:line="360" w:lineRule="auto"/>
        <w:ind w:firstLine="480"/>
        <w:jc w:val="center"/>
        <w:outlineLvl w:val="2"/>
        <w:rPr>
          <w:rFonts w:hint="default" w:ascii="Times New Roman" w:hAnsi="Times New Roman" w:eastAsia="仿宋_GB2312" w:cs="Times New Roman"/>
          <w:b/>
          <w:bCs/>
          <w:color w:val="auto"/>
          <w:sz w:val="28"/>
          <w:szCs w:val="28"/>
          <w:lang w:val="en-US" w:eastAsia="zh-CN"/>
        </w:rPr>
      </w:pPr>
      <w:r>
        <w:rPr>
          <w:rFonts w:ascii="Times New Roman" w:hAnsi="Times New Roman" w:eastAsia="仿宋_GB2312" w:cs="Times New Roman"/>
          <w:b/>
          <w:bCs/>
          <w:color w:val="auto"/>
          <w:sz w:val="28"/>
          <w:szCs w:val="28"/>
          <w:lang w:val="en-US" w:eastAsia="zh-CN"/>
        </w:rPr>
        <w:t>3.</w:t>
      </w:r>
      <w:r>
        <w:rPr>
          <w:rFonts w:hint="default" w:ascii="Times New Roman" w:hAnsi="Times New Roman" w:eastAsia="仿宋_GB2312" w:cs="Times New Roman"/>
          <w:b/>
          <w:bCs/>
          <w:color w:val="auto"/>
          <w:sz w:val="28"/>
          <w:szCs w:val="28"/>
          <w:lang w:val="en-US" w:eastAsia="zh-CN"/>
        </w:rPr>
        <w:t>残疾人福利性单位声明函（供应商）</w:t>
      </w:r>
    </w:p>
    <w:p w14:paraId="01BB2769">
      <w:pPr>
        <w:spacing w:line="360" w:lineRule="auto"/>
        <w:ind w:firstLine="480"/>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（供应商属于残疾人福利性单位的填写，不属于的无需填写此项内容）</w:t>
      </w:r>
    </w:p>
    <w:p w14:paraId="03E39FCB">
      <w:pPr>
        <w:spacing w:line="360" w:lineRule="auto"/>
        <w:ind w:firstLine="480"/>
        <w:rPr>
          <w:rFonts w:hint="default" w:ascii="Times New Roman" w:hAnsi="Times New Roman" w:eastAsia="仿宋_GB2312" w:cs="Times New Roman"/>
          <w:color w:val="auto"/>
          <w:sz w:val="28"/>
          <w:szCs w:val="28"/>
          <w:lang w:eastAsia="zh-CN"/>
        </w:rPr>
      </w:pPr>
    </w:p>
    <w:p w14:paraId="4E75EE83">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D4BF82A">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本单位对上述声明的真实性负责。如有虚假，将依法承担相应责任。</w:t>
      </w:r>
    </w:p>
    <w:p w14:paraId="067C32FC">
      <w:pPr>
        <w:spacing w:line="360" w:lineRule="auto"/>
        <w:rPr>
          <w:rFonts w:hint="default" w:ascii="Times New Roman" w:hAnsi="Times New Roman" w:eastAsia="仿宋_GB2312" w:cs="Times New Roman"/>
          <w:color w:val="auto"/>
          <w:sz w:val="24"/>
          <w:szCs w:val="28"/>
          <w:lang w:eastAsia="zh-CN"/>
        </w:rPr>
      </w:pPr>
    </w:p>
    <w:p w14:paraId="65BCAB36">
      <w:pPr>
        <w:spacing w:line="360" w:lineRule="auto"/>
        <w:rPr>
          <w:rFonts w:hint="default" w:ascii="Times New Roman" w:hAnsi="Times New Roman" w:eastAsia="仿宋_GB2312" w:cs="Times New Roman"/>
          <w:color w:val="auto"/>
          <w:sz w:val="28"/>
          <w:szCs w:val="28"/>
          <w:lang w:eastAsia="zh-CN"/>
        </w:rPr>
      </w:pPr>
    </w:p>
    <w:p w14:paraId="12012344">
      <w:pPr>
        <w:spacing w:line="360" w:lineRule="auto"/>
        <w:ind w:firstLine="2800" w:firstLineChars="10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供应商（企业电子签章）：</w:t>
      </w:r>
    </w:p>
    <w:p w14:paraId="50B2A9B7">
      <w:pPr>
        <w:spacing w:line="360" w:lineRule="auto"/>
        <w:ind w:firstLine="3080" w:firstLineChars="11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日期：      年   月   日</w:t>
      </w:r>
    </w:p>
    <w:p w14:paraId="7125AC4A">
      <w:pPr>
        <w:spacing w:line="360" w:lineRule="auto"/>
        <w:ind w:firstLine="480"/>
        <w:jc w:val="left"/>
        <w:textAlignment w:val="baseline"/>
        <w:rPr>
          <w:rFonts w:hint="default" w:ascii="Times New Roman" w:hAnsi="Times New Roman" w:eastAsia="仿宋_GB2312" w:cs="Times New Roman"/>
          <w:color w:val="auto"/>
          <w:sz w:val="24"/>
          <w:szCs w:val="24"/>
          <w:lang w:eastAsia="zh-CN"/>
        </w:rPr>
      </w:pPr>
    </w:p>
    <w:p w14:paraId="4D4F98C7">
      <w:pPr>
        <w:spacing w:line="360" w:lineRule="auto"/>
        <w:ind w:firstLine="480"/>
        <w:jc w:val="left"/>
        <w:textAlignment w:val="baseline"/>
        <w:rPr>
          <w:rFonts w:hint="default" w:ascii="Times New Roman" w:hAnsi="Times New Roman" w:eastAsia="仿宋_GB2312" w:cs="Times New Roman"/>
          <w:color w:val="auto"/>
          <w:sz w:val="24"/>
          <w:szCs w:val="24"/>
          <w:lang w:eastAsia="zh-CN"/>
        </w:rPr>
      </w:pPr>
    </w:p>
    <w:p w14:paraId="01A4FAEA">
      <w:pPr>
        <w:spacing w:line="360" w:lineRule="auto"/>
        <w:ind w:firstLine="480"/>
        <w:jc w:val="left"/>
        <w:textAlignment w:val="baseline"/>
        <w:rPr>
          <w:rFonts w:hint="default" w:ascii="Times New Roman" w:hAnsi="Times New Roman" w:eastAsia="仿宋_GB2312" w:cs="Times New Roman"/>
          <w:color w:val="auto"/>
          <w:sz w:val="24"/>
          <w:szCs w:val="24"/>
          <w:lang w:eastAsia="zh-CN"/>
        </w:rPr>
      </w:pPr>
    </w:p>
    <w:p w14:paraId="313A96B6">
      <w:pPr>
        <w:spacing w:line="360" w:lineRule="auto"/>
        <w:ind w:firstLine="480"/>
        <w:jc w:val="left"/>
        <w:textAlignment w:val="baseline"/>
        <w:rPr>
          <w:rFonts w:hint="default" w:ascii="Times New Roman" w:hAnsi="Times New Roman" w:eastAsia="仿宋_GB2312" w:cs="Times New Roman"/>
          <w:b/>
          <w:color w:val="auto"/>
          <w:sz w:val="30"/>
          <w:szCs w:val="30"/>
          <w:lang w:eastAsia="zh-CN"/>
        </w:rPr>
      </w:pPr>
    </w:p>
    <w:p w14:paraId="2FB48455">
      <w:pPr>
        <w:pStyle w:val="46"/>
        <w:spacing w:before="0" w:beforeAutospacing="0" w:after="0" w:afterAutospacing="0" w:line="560" w:lineRule="atLeast"/>
        <w:ind w:firstLine="480" w:firstLineChars="200"/>
        <w:jc w:val="both"/>
        <w:textAlignment w:val="baseline"/>
        <w:rPr>
          <w:rFonts w:ascii="Times New Roman" w:hAnsi="Times New Roman" w:eastAsia="仿宋_GB2312" w:cs="Times New Roman"/>
          <w:kern w:val="2"/>
        </w:rPr>
      </w:pPr>
      <w:r>
        <w:rPr>
          <w:rFonts w:ascii="Times New Roman" w:hAnsi="Times New Roman" w:eastAsia="仿宋_GB2312" w:cs="Times New Roman"/>
          <w:kern w:val="2"/>
        </w:rPr>
        <w:t>注：1、中标、成交供应商为残疾人福利性单位的，采购人或者集采机构将随中标、成交结果同时公告其《残疾人福利性单位声明函》，接受社会监督。</w:t>
      </w:r>
    </w:p>
    <w:p w14:paraId="3B458968">
      <w:pPr>
        <w:pStyle w:val="46"/>
        <w:spacing w:before="0" w:beforeAutospacing="0" w:after="0" w:afterAutospacing="0" w:line="560" w:lineRule="atLeast"/>
        <w:ind w:firstLine="420"/>
        <w:jc w:val="both"/>
        <w:textAlignment w:val="baseline"/>
        <w:rPr>
          <w:rFonts w:ascii="Times New Roman" w:hAnsi="Times New Roman" w:eastAsia="仿宋_GB2312" w:cs="Times New Roman"/>
          <w:kern w:val="2"/>
        </w:rPr>
      </w:pPr>
      <w:r>
        <w:rPr>
          <w:rFonts w:ascii="Times New Roman" w:hAnsi="Times New Roman" w:eastAsia="仿宋_GB2312" w:cs="Times New Roman"/>
          <w:kern w:val="2"/>
        </w:rPr>
        <w:t>2、供应商提供的《残疾人福利性单位声明函》与事实不符的，依照《政府采购法》第七十七条第一款的规定追究法律责任。</w:t>
      </w:r>
    </w:p>
    <w:p w14:paraId="75B538C7">
      <w:pPr>
        <w:spacing w:line="588" w:lineRule="exact"/>
        <w:jc w:val="center"/>
        <w:rPr>
          <w:rFonts w:hint="default" w:ascii="Times New Roman" w:hAnsi="Times New Roman" w:eastAsia="仿宋_GB2312" w:cs="Times New Roman"/>
          <w:b/>
          <w:color w:val="auto"/>
          <w:sz w:val="28"/>
          <w:szCs w:val="28"/>
          <w:lang w:eastAsia="zh-CN"/>
        </w:rPr>
      </w:pPr>
      <w:r>
        <w:rPr>
          <w:rFonts w:hint="default" w:ascii="Times New Roman" w:hAnsi="Times New Roman" w:eastAsia="仿宋_GB2312" w:cs="Times New Roman"/>
          <w:color w:val="auto"/>
          <w:sz w:val="24"/>
          <w:lang w:eastAsia="zh-CN"/>
        </w:rPr>
        <w:br w:type="page"/>
      </w:r>
      <w:r>
        <w:rPr>
          <w:rFonts w:hint="default" w:ascii="Times New Roman" w:hAnsi="Times New Roman" w:eastAsia="仿宋_GB2312" w:cs="Times New Roman"/>
          <w:b/>
          <w:color w:val="auto"/>
          <w:sz w:val="28"/>
          <w:szCs w:val="28"/>
          <w:lang w:eastAsia="zh-CN"/>
        </w:rPr>
        <w:t>残疾人福利性单位声明函（制造商）</w:t>
      </w:r>
    </w:p>
    <w:p w14:paraId="4450124B">
      <w:pPr>
        <w:spacing w:line="360" w:lineRule="auto"/>
        <w:ind w:firstLine="480"/>
        <w:rPr>
          <w:rFonts w:hint="default" w:ascii="Times New Roman" w:hAnsi="Times New Roman" w:eastAsia="仿宋_GB2312" w:cs="Times New Roman"/>
          <w:color w:val="auto"/>
          <w:sz w:val="24"/>
          <w:szCs w:val="24"/>
          <w:lang w:eastAsia="zh-CN"/>
        </w:rPr>
      </w:pPr>
    </w:p>
    <w:p w14:paraId="4EDAA595">
      <w:pPr>
        <w:spacing w:line="360" w:lineRule="auto"/>
        <w:ind w:firstLine="480"/>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（制造商属于残疾人福利性单位的填写，不属于的无需填写此项内容）</w:t>
      </w:r>
    </w:p>
    <w:p w14:paraId="350F12E8">
      <w:pPr>
        <w:spacing w:line="360" w:lineRule="auto"/>
        <w:ind w:firstLine="480"/>
        <w:rPr>
          <w:rFonts w:hint="default" w:ascii="Times New Roman" w:hAnsi="Times New Roman" w:eastAsia="仿宋_GB2312" w:cs="Times New Roman"/>
          <w:color w:val="auto"/>
          <w:sz w:val="28"/>
          <w:szCs w:val="28"/>
          <w:lang w:eastAsia="zh-CN"/>
        </w:rPr>
      </w:pPr>
    </w:p>
    <w:p w14:paraId="1E551697">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41505D32">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本单位对上述声明的真实性负责。如有虚假，将依法承担相应责任。</w:t>
      </w:r>
    </w:p>
    <w:p w14:paraId="431425CC">
      <w:pPr>
        <w:spacing w:line="360" w:lineRule="auto"/>
        <w:rPr>
          <w:rFonts w:hint="default" w:ascii="Times New Roman" w:hAnsi="Times New Roman" w:eastAsia="仿宋_GB2312" w:cs="Times New Roman"/>
          <w:color w:val="auto"/>
          <w:sz w:val="24"/>
          <w:szCs w:val="28"/>
          <w:lang w:eastAsia="zh-CN"/>
        </w:rPr>
      </w:pPr>
    </w:p>
    <w:p w14:paraId="76FAECC1">
      <w:pPr>
        <w:spacing w:line="360" w:lineRule="auto"/>
        <w:ind w:firstLine="480"/>
        <w:rPr>
          <w:rFonts w:hint="default" w:ascii="Times New Roman" w:hAnsi="Times New Roman" w:eastAsia="仿宋_GB2312" w:cs="Times New Roman"/>
          <w:color w:val="auto"/>
          <w:sz w:val="28"/>
          <w:szCs w:val="28"/>
          <w:lang w:eastAsia="zh-CN"/>
        </w:rPr>
      </w:pPr>
    </w:p>
    <w:p w14:paraId="1359ACAA">
      <w:pPr>
        <w:spacing w:line="360" w:lineRule="auto"/>
        <w:ind w:firstLine="48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制造商（公章）：</w:t>
      </w:r>
    </w:p>
    <w:p w14:paraId="7241B5AB">
      <w:pPr>
        <w:spacing w:line="360" w:lineRule="auto"/>
        <w:ind w:firstLine="48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日期：      年   月   日</w:t>
      </w:r>
    </w:p>
    <w:p w14:paraId="5DE35F00">
      <w:pPr>
        <w:spacing w:line="360" w:lineRule="auto"/>
        <w:ind w:firstLine="480"/>
        <w:rPr>
          <w:rFonts w:hint="default" w:ascii="Times New Roman" w:hAnsi="Times New Roman" w:eastAsia="仿宋_GB2312" w:cs="Times New Roman"/>
          <w:color w:val="auto"/>
          <w:sz w:val="28"/>
          <w:szCs w:val="28"/>
        </w:rPr>
      </w:pPr>
    </w:p>
    <w:p w14:paraId="76C062D5">
      <w:pPr>
        <w:spacing w:line="360" w:lineRule="auto"/>
        <w:ind w:firstLine="480"/>
        <w:jc w:val="left"/>
        <w:textAlignment w:val="baseline"/>
        <w:rPr>
          <w:rFonts w:hint="default" w:ascii="Times New Roman" w:hAnsi="Times New Roman" w:eastAsia="仿宋_GB2312" w:cs="Times New Roman"/>
          <w:b/>
          <w:color w:val="auto"/>
          <w:sz w:val="30"/>
          <w:szCs w:val="30"/>
        </w:rPr>
      </w:pPr>
    </w:p>
    <w:p w14:paraId="4D9C6B6E">
      <w:pPr>
        <w:pStyle w:val="46"/>
        <w:spacing w:before="0" w:beforeAutospacing="0" w:after="0" w:afterAutospacing="0" w:line="560" w:lineRule="atLeast"/>
        <w:ind w:firstLine="480" w:firstLineChars="200"/>
        <w:jc w:val="both"/>
        <w:textAlignment w:val="baseline"/>
        <w:rPr>
          <w:rFonts w:ascii="Times New Roman" w:hAnsi="Times New Roman" w:eastAsia="仿宋_GB2312" w:cs="Times New Roman"/>
          <w:kern w:val="2"/>
        </w:rPr>
      </w:pPr>
      <w:r>
        <w:rPr>
          <w:rFonts w:ascii="Times New Roman" w:hAnsi="Times New Roman" w:eastAsia="仿宋_GB2312" w:cs="Times New Roman"/>
          <w:kern w:val="2"/>
        </w:rPr>
        <w:t>注：1、中标、成交供应商为残疾人福利性单位的，采购人或者集采机构将随中标、成交结果同时公告其《残疾人福利性单位声明函》，接受社会监督。</w:t>
      </w:r>
    </w:p>
    <w:p w14:paraId="04D24417">
      <w:pPr>
        <w:pStyle w:val="46"/>
        <w:spacing w:before="0" w:beforeAutospacing="0" w:after="0" w:afterAutospacing="0" w:line="560" w:lineRule="atLeast"/>
        <w:ind w:firstLine="420"/>
        <w:jc w:val="both"/>
        <w:textAlignment w:val="baseline"/>
        <w:rPr>
          <w:rFonts w:ascii="Times New Roman" w:hAnsi="Times New Roman" w:cs="Times New Roman"/>
          <w:b/>
          <w:bCs/>
        </w:rPr>
      </w:pPr>
      <w:r>
        <w:rPr>
          <w:rFonts w:ascii="Times New Roman" w:hAnsi="Times New Roman" w:eastAsia="仿宋_GB2312" w:cs="Times New Roman"/>
          <w:kern w:val="2"/>
        </w:rPr>
        <w:t>2、供应商提供的《残疾人福利性单位声明函》与事实不符的，依照《政府采购法》第七十七条第一款的规定追究法律责任。</w:t>
      </w:r>
    </w:p>
    <w:p w14:paraId="118AD3C4">
      <w:pPr>
        <w:spacing w:line="360" w:lineRule="auto"/>
        <w:ind w:left="1080" w:hanging="540"/>
        <w:jc w:val="center"/>
        <w:rPr>
          <w:rFonts w:hint="default" w:ascii="Times New Roman" w:hAnsi="Times New Roman" w:eastAsia="宋体" w:cs="Times New Roman"/>
          <w:b/>
          <w:bCs/>
          <w:color w:val="auto"/>
          <w:sz w:val="24"/>
          <w:szCs w:val="24"/>
          <w:lang w:val="en-US" w:eastAsia="zh-CN"/>
        </w:rPr>
      </w:pPr>
    </w:p>
    <w:p w14:paraId="15EABC87">
      <w:pPr>
        <w:pStyle w:val="168"/>
        <w:tabs>
          <w:tab w:val="left" w:pos="5580"/>
        </w:tabs>
        <w:spacing w:line="360" w:lineRule="auto"/>
        <w:ind w:firstLine="840" w:firstLineChars="300"/>
        <w:rPr>
          <w:rFonts w:ascii="Times New Roman" w:hAnsi="Times New Roman" w:eastAsia="仿宋_GB2312" w:cs="Times New Roman"/>
          <w:color w:val="auto"/>
          <w:sz w:val="28"/>
          <w:szCs w:val="28"/>
          <w:lang w:val="zh-TW"/>
        </w:rPr>
      </w:pPr>
    </w:p>
    <w:p w14:paraId="694F54F7">
      <w:pPr>
        <w:spacing w:line="360" w:lineRule="auto"/>
        <w:jc w:val="center"/>
        <w:outlineLvl w:val="2"/>
        <w:rPr>
          <w:rFonts w:ascii="微软雅黑" w:hAnsi="微软雅黑" w:eastAsia="微软雅黑" w:cs="微软雅黑"/>
          <w:color w:val="auto"/>
          <w:sz w:val="24"/>
          <w:szCs w:val="24"/>
          <w:lang w:eastAsia="zh-CN"/>
        </w:rPr>
      </w:pPr>
      <w:r>
        <w:rPr>
          <w:rFonts w:ascii="Times New Roman" w:hAnsi="Times New Roman" w:eastAsia="黑体" w:cs="Times New Roman"/>
          <w:color w:val="auto"/>
          <w:sz w:val="28"/>
          <w:szCs w:val="28"/>
          <w:lang w:val="en" w:eastAsia="zh-CN"/>
        </w:rPr>
        <w:br w:type="page"/>
      </w:r>
      <w:r>
        <w:rPr>
          <w:rFonts w:ascii="微软雅黑" w:hAnsi="微软雅黑" w:eastAsia="微软雅黑" w:cs="微软雅黑"/>
          <w:color w:val="auto"/>
          <w:sz w:val="32"/>
          <w:szCs w:val="32"/>
          <w:lang w:eastAsia="zh-CN"/>
        </w:rPr>
        <w:t>关于符合本国产品标准的声明函</w:t>
      </w:r>
    </w:p>
    <w:p w14:paraId="237B8457">
      <w:pPr>
        <w:spacing w:line="360" w:lineRule="auto"/>
        <w:jc w:val="center"/>
        <w:rPr>
          <w:rFonts w:hint="default" w:ascii="Times New Roman" w:hAnsi="Times New Roman" w:eastAsia="仿宋_GB2312" w:cs="Times New Roman"/>
          <w:color w:val="auto"/>
          <w:kern w:val="0"/>
          <w:sz w:val="24"/>
          <w:szCs w:val="24"/>
          <w:lang w:eastAsia="zh-CN" w:bidi="zh-TW"/>
        </w:rPr>
      </w:pPr>
      <w:r>
        <w:rPr>
          <w:rFonts w:ascii="仿宋_GB2312" w:hAnsi="仿宋_GB2312" w:eastAsia="仿宋_GB2312" w:cs="仿宋_GB2312"/>
          <w:color w:val="auto"/>
          <w:sz w:val="28"/>
          <w:szCs w:val="28"/>
          <w:lang w:val="en-US" w:eastAsia="zh-CN"/>
        </w:rPr>
        <w:t xml:space="preserve"> </w:t>
      </w:r>
      <w:r>
        <w:rPr>
          <w:rFonts w:hint="default" w:ascii="Times New Roman" w:hAnsi="Times New Roman" w:eastAsia="仿宋_GB2312" w:cs="Times New Roman"/>
          <w:color w:val="auto"/>
          <w:kern w:val="0"/>
          <w:sz w:val="24"/>
          <w:szCs w:val="24"/>
          <w:lang w:eastAsia="zh-CN" w:bidi="zh-TW"/>
        </w:rPr>
        <w:t>（</w:t>
      </w:r>
      <w:r>
        <w:rPr>
          <w:rFonts w:ascii="Times New Roman" w:hAnsi="Times New Roman" w:eastAsia="仿宋_GB2312" w:cs="Times New Roman"/>
          <w:color w:val="auto"/>
          <w:kern w:val="0"/>
          <w:sz w:val="24"/>
          <w:szCs w:val="24"/>
          <w:lang w:eastAsia="zh-CN" w:bidi="zh-TW"/>
        </w:rPr>
        <w:t>供应商</w:t>
      </w:r>
      <w:r>
        <w:rPr>
          <w:rFonts w:hint="default" w:ascii="Times New Roman" w:hAnsi="Times New Roman" w:eastAsia="仿宋_GB2312" w:cs="Times New Roman"/>
          <w:color w:val="auto"/>
          <w:kern w:val="0"/>
          <w:sz w:val="24"/>
          <w:szCs w:val="24"/>
          <w:lang w:eastAsia="zh-CN" w:bidi="zh-TW"/>
        </w:rPr>
        <w:t>提供提本国产品的填写，未提供本国产品的无需填写或不提供此项内容）</w:t>
      </w:r>
    </w:p>
    <w:p w14:paraId="5490B3B4">
      <w:pPr>
        <w:pStyle w:val="46"/>
        <w:shd w:val="clear" w:color="auto" w:fill="FFFFFF"/>
        <w:spacing w:before="30" w:beforeAutospacing="0" w:after="30" w:afterAutospacing="0" w:line="460" w:lineRule="exact"/>
        <w:ind w:firstLine="420"/>
        <w:rPr>
          <w:rFonts w:hint="eastAsia" w:ascii="仿宋_GB2312" w:hAnsi="仿宋_GB2312" w:eastAsia="仿宋_GB2312" w:cs="仿宋_GB2312"/>
          <w:kern w:val="2"/>
          <w:sz w:val="28"/>
          <w:szCs w:val="28"/>
          <w:lang w:val="zh-TW"/>
        </w:rPr>
      </w:pPr>
      <w:r>
        <w:rPr>
          <w:rFonts w:hint="eastAsia" w:ascii="仿宋_GB2312" w:hAnsi="仿宋_GB2312" w:eastAsia="仿宋_GB2312" w:cs="仿宋_GB2312"/>
          <w:kern w:val="2"/>
          <w:sz w:val="28"/>
          <w:szCs w:val="28"/>
          <w:lang w:val="zh-TW"/>
        </w:rPr>
        <w:t>本公司（单位）郑重声明，根据《国务院办公厅关于在政府采购中实施本国产品标准及相关政策的通知》（国办发〔2025〕34号）的规定，本公司（单位）提供的以下产品属于本国产品。具体情况如下：</w:t>
      </w:r>
    </w:p>
    <w:p w14:paraId="4E4ADFC6">
      <w:pPr>
        <w:pStyle w:val="46"/>
        <w:shd w:val="clear" w:color="auto" w:fill="FFFFFF"/>
        <w:spacing w:before="30" w:beforeAutospacing="0" w:after="30" w:afterAutospacing="0" w:line="460" w:lineRule="exact"/>
        <w:rPr>
          <w:rFonts w:hint="eastAsia" w:ascii="仿宋_GB2312" w:hAnsi="仿宋_GB2312" w:eastAsia="仿宋_GB2312" w:cs="仿宋_GB2312"/>
          <w:kern w:val="2"/>
          <w:sz w:val="28"/>
          <w:szCs w:val="28"/>
          <w:lang w:val="zh-TW"/>
        </w:rPr>
      </w:pPr>
      <w:r>
        <w:rPr>
          <w:rFonts w:hint="eastAsia" w:ascii="仿宋_GB2312" w:hAnsi="仿宋_GB2312" w:eastAsia="仿宋_GB2312" w:cs="仿宋_GB2312"/>
          <w:kern w:val="2"/>
          <w:sz w:val="28"/>
          <w:szCs w:val="28"/>
        </w:rPr>
        <w:t xml:space="preserve">    1.</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rPr>
        <w:t>（产品名称1）</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rPr>
        <w:t>，生产厂为</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rPr>
        <w:t>（厂名）</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rPr>
        <w:t>，厂址为</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rPr>
        <w:t>（生产厂址）</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rPr>
        <w:t>。</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rPr>
        <w:t>（产品名称1）</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rPr>
        <w:t>的中国境内生产的组件成本占比≥</w:t>
      </w:r>
      <w:r>
        <w:rPr>
          <w:rFonts w:hint="eastAsia" w:ascii="仿宋_GB2312" w:hAnsi="仿宋_GB2312" w:eastAsia="仿宋_GB2312" w:cs="仿宋_GB2312"/>
          <w:kern w:val="2"/>
          <w:sz w:val="28"/>
          <w:szCs w:val="28"/>
          <w:u w:val="single"/>
          <w:lang w:val="zh-TW"/>
        </w:rPr>
        <w:t>（规定比例）</w:t>
      </w:r>
      <w:r>
        <w:rPr>
          <w:rFonts w:hint="eastAsia" w:ascii="仿宋_GB2312" w:hAnsi="仿宋_GB2312" w:eastAsia="仿宋_GB2312" w:cs="仿宋_GB2312"/>
          <w:kern w:val="2"/>
          <w:sz w:val="28"/>
          <w:szCs w:val="28"/>
          <w:lang w:val="zh-TW"/>
        </w:rPr>
        <w:t>。</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rPr>
        <w:t>（产品名称1）</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rPr>
        <w:t>的</w:t>
      </w:r>
      <w:r>
        <w:rPr>
          <w:rFonts w:hint="eastAsia" w:ascii="仿宋_GB2312" w:hAnsi="仿宋_GB2312" w:eastAsia="仿宋_GB2312" w:cs="仿宋_GB2312"/>
          <w:kern w:val="2"/>
          <w:sz w:val="28"/>
          <w:szCs w:val="28"/>
        </w:rPr>
        <w:t xml:space="preserve">  </w:t>
      </w:r>
      <w:r>
        <w:rPr>
          <w:rFonts w:hint="eastAsia" w:ascii="仿宋_GB2312" w:hAnsi="仿宋_GB2312" w:eastAsia="仿宋_GB2312" w:cs="仿宋_GB2312"/>
          <w:kern w:val="2"/>
          <w:sz w:val="28"/>
          <w:szCs w:val="28"/>
          <w:u w:val="single"/>
          <w:lang w:val="zh-TW"/>
        </w:rPr>
        <w:t>（关键组件）</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rPr>
        <w:t>在中国境内生产。</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rPr>
        <w:t>（产品名称1）</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rPr>
        <w:t>的</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rPr>
        <w:t>（关键工序）</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rPr>
        <w:t>在中国境内完成。</w:t>
      </w:r>
    </w:p>
    <w:p w14:paraId="29779189">
      <w:pPr>
        <w:pStyle w:val="46"/>
        <w:shd w:val="clear" w:color="auto" w:fill="FFFFFF"/>
        <w:spacing w:before="30" w:beforeAutospacing="0" w:after="30" w:afterAutospacing="0" w:line="460" w:lineRule="exact"/>
        <w:ind w:firstLine="420"/>
        <w:rPr>
          <w:rFonts w:hint="eastAsia" w:ascii="仿宋_GB2312" w:hAnsi="仿宋_GB2312" w:eastAsia="仿宋_GB2312" w:cs="仿宋_GB2312"/>
          <w:kern w:val="2"/>
          <w:sz w:val="28"/>
          <w:szCs w:val="28"/>
          <w:lang w:val="zh-TW"/>
        </w:rPr>
      </w:pPr>
      <w:r>
        <w:rPr>
          <w:rFonts w:hint="eastAsia" w:ascii="仿宋_GB2312" w:hAnsi="仿宋_GB2312" w:eastAsia="仿宋_GB2312" w:cs="仿宋_GB2312"/>
          <w:kern w:val="2"/>
          <w:sz w:val="28"/>
          <w:szCs w:val="28"/>
        </w:rPr>
        <w:t xml:space="preserve"> 2.</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rPr>
        <w:t>（产品名称</w:t>
      </w:r>
      <w:r>
        <w:rPr>
          <w:rFonts w:hint="eastAsia" w:ascii="仿宋_GB2312" w:hAnsi="仿宋_GB2312" w:eastAsia="仿宋_GB2312" w:cs="仿宋_GB2312"/>
          <w:kern w:val="2"/>
          <w:sz w:val="28"/>
          <w:szCs w:val="28"/>
          <w:u w:val="single"/>
        </w:rPr>
        <w:t>2</w:t>
      </w:r>
      <w:r>
        <w:rPr>
          <w:rFonts w:hint="eastAsia" w:ascii="仿宋_GB2312" w:hAnsi="仿宋_GB2312" w:eastAsia="仿宋_GB2312" w:cs="仿宋_GB2312"/>
          <w:kern w:val="2"/>
          <w:sz w:val="28"/>
          <w:szCs w:val="28"/>
          <w:u w:val="single"/>
          <w:lang w:val="zh-TW"/>
        </w:rPr>
        <w:t>）</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rPr>
        <w:t>，生产厂为</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rPr>
        <w:t>（厂名）</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rPr>
        <w:t>，厂址为</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rPr>
        <w:t>（生产厂址）</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rPr>
        <w:t>。</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rPr>
        <w:t>（产品名称</w:t>
      </w:r>
      <w:r>
        <w:rPr>
          <w:rFonts w:hint="eastAsia" w:ascii="仿宋_GB2312" w:hAnsi="仿宋_GB2312" w:eastAsia="仿宋_GB2312" w:cs="仿宋_GB2312"/>
          <w:kern w:val="2"/>
          <w:sz w:val="28"/>
          <w:szCs w:val="28"/>
          <w:u w:val="single"/>
        </w:rPr>
        <w:t>2</w:t>
      </w:r>
      <w:r>
        <w:rPr>
          <w:rFonts w:hint="eastAsia" w:ascii="仿宋_GB2312" w:hAnsi="仿宋_GB2312" w:eastAsia="仿宋_GB2312" w:cs="仿宋_GB2312"/>
          <w:kern w:val="2"/>
          <w:sz w:val="28"/>
          <w:szCs w:val="28"/>
          <w:u w:val="single"/>
          <w:lang w:val="zh-TW"/>
        </w:rPr>
        <w:t>）</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rPr>
        <w:t>的中国境内生产的组件成本占比≥</w:t>
      </w:r>
      <w:r>
        <w:rPr>
          <w:rFonts w:hint="eastAsia" w:ascii="仿宋_GB2312" w:hAnsi="仿宋_GB2312" w:eastAsia="仿宋_GB2312" w:cs="仿宋_GB2312"/>
          <w:kern w:val="2"/>
          <w:sz w:val="28"/>
          <w:szCs w:val="28"/>
          <w:u w:val="single"/>
          <w:lang w:val="zh-TW"/>
        </w:rPr>
        <w:t>（规定比例）</w:t>
      </w:r>
      <w:r>
        <w:rPr>
          <w:rFonts w:hint="eastAsia" w:ascii="仿宋_GB2312" w:hAnsi="仿宋_GB2312" w:eastAsia="仿宋_GB2312" w:cs="仿宋_GB2312"/>
          <w:kern w:val="2"/>
          <w:sz w:val="28"/>
          <w:szCs w:val="28"/>
          <w:lang w:val="zh-TW"/>
        </w:rPr>
        <w:t>。</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rPr>
        <w:t>（产品名称</w:t>
      </w:r>
      <w:r>
        <w:rPr>
          <w:rFonts w:hint="eastAsia" w:ascii="仿宋_GB2312" w:hAnsi="仿宋_GB2312" w:eastAsia="仿宋_GB2312" w:cs="仿宋_GB2312"/>
          <w:kern w:val="2"/>
          <w:sz w:val="28"/>
          <w:szCs w:val="28"/>
          <w:u w:val="single"/>
        </w:rPr>
        <w:t>2</w:t>
      </w:r>
      <w:r>
        <w:rPr>
          <w:rFonts w:hint="eastAsia" w:ascii="仿宋_GB2312" w:hAnsi="仿宋_GB2312" w:eastAsia="仿宋_GB2312" w:cs="仿宋_GB2312"/>
          <w:kern w:val="2"/>
          <w:sz w:val="28"/>
          <w:szCs w:val="28"/>
          <w:u w:val="single"/>
          <w:lang w:val="zh-TW"/>
        </w:rPr>
        <w:t>）</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rPr>
        <w:t>的</w:t>
      </w:r>
      <w:r>
        <w:rPr>
          <w:rFonts w:hint="eastAsia" w:ascii="仿宋_GB2312" w:hAnsi="仿宋_GB2312" w:eastAsia="仿宋_GB2312" w:cs="仿宋_GB2312"/>
          <w:kern w:val="2"/>
          <w:sz w:val="28"/>
          <w:szCs w:val="28"/>
        </w:rPr>
        <w:t xml:space="preserve">  </w:t>
      </w:r>
      <w:r>
        <w:rPr>
          <w:rFonts w:hint="eastAsia" w:ascii="仿宋_GB2312" w:hAnsi="仿宋_GB2312" w:eastAsia="仿宋_GB2312" w:cs="仿宋_GB2312"/>
          <w:kern w:val="2"/>
          <w:sz w:val="28"/>
          <w:szCs w:val="28"/>
          <w:u w:val="single"/>
          <w:lang w:val="zh-TW"/>
        </w:rPr>
        <w:t>（关键组件）</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rPr>
        <w:t>在中国境内生产。</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rPr>
        <w:t>（产品名称</w:t>
      </w:r>
      <w:r>
        <w:rPr>
          <w:rFonts w:hint="eastAsia" w:ascii="仿宋_GB2312" w:hAnsi="仿宋_GB2312" w:eastAsia="仿宋_GB2312" w:cs="仿宋_GB2312"/>
          <w:kern w:val="2"/>
          <w:sz w:val="28"/>
          <w:szCs w:val="28"/>
          <w:u w:val="single"/>
        </w:rPr>
        <w:t>2</w:t>
      </w:r>
      <w:r>
        <w:rPr>
          <w:rFonts w:hint="eastAsia" w:ascii="仿宋_GB2312" w:hAnsi="仿宋_GB2312" w:eastAsia="仿宋_GB2312" w:cs="仿宋_GB2312"/>
          <w:kern w:val="2"/>
          <w:sz w:val="28"/>
          <w:szCs w:val="28"/>
          <w:u w:val="single"/>
          <w:lang w:val="zh-TW"/>
        </w:rPr>
        <w:t>）</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rPr>
        <w:t>的</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rPr>
        <w:t>（关键工序）</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rPr>
        <w:t>在中国境内完成。</w:t>
      </w:r>
    </w:p>
    <w:p w14:paraId="6B17101B">
      <w:pPr>
        <w:pStyle w:val="46"/>
        <w:shd w:val="clear" w:color="auto" w:fill="FFFFFF"/>
        <w:spacing w:before="30" w:beforeAutospacing="0" w:after="30" w:afterAutospacing="0" w:line="460" w:lineRule="exact"/>
        <w:ind w:firstLine="420"/>
        <w:rPr>
          <w:rFonts w:hint="eastAsia" w:ascii="仿宋_GB2312" w:hAnsi="仿宋_GB2312" w:eastAsia="仿宋_GB2312" w:cs="仿宋_GB2312"/>
          <w:kern w:val="2"/>
          <w:sz w:val="28"/>
          <w:szCs w:val="28"/>
          <w:lang w:val="zh-TW"/>
        </w:rPr>
      </w:pPr>
      <w:r>
        <w:rPr>
          <w:rFonts w:hint="eastAsia" w:ascii="仿宋_GB2312" w:hAnsi="仿宋_GB2312" w:eastAsia="仿宋_GB2312" w:cs="仿宋_GB2312"/>
          <w:kern w:val="2"/>
          <w:sz w:val="28"/>
          <w:szCs w:val="28"/>
          <w:lang w:val="zh-TW"/>
        </w:rPr>
        <w:t>……</w:t>
      </w:r>
    </w:p>
    <w:p w14:paraId="6ED1C5C1">
      <w:pPr>
        <w:pStyle w:val="46"/>
        <w:shd w:val="clear" w:color="auto" w:fill="FFFFFF"/>
        <w:spacing w:before="30" w:beforeAutospacing="0" w:after="30" w:afterAutospacing="0" w:line="460" w:lineRule="exact"/>
        <w:ind w:firstLine="420"/>
        <w:rPr>
          <w:rFonts w:hint="eastAsia" w:ascii="仿宋_GB2312" w:hAnsi="仿宋_GB2312" w:eastAsia="仿宋_GB2312" w:cs="仿宋_GB2312"/>
          <w:kern w:val="2"/>
          <w:sz w:val="28"/>
          <w:szCs w:val="28"/>
          <w:lang w:val="zh-TW"/>
        </w:rPr>
      </w:pPr>
      <w:r>
        <w:rPr>
          <w:rFonts w:hint="eastAsia" w:ascii="仿宋_GB2312" w:hAnsi="仿宋_GB2312" w:eastAsia="仿宋_GB2312" w:cs="仿宋_GB2312"/>
          <w:kern w:val="2"/>
          <w:sz w:val="28"/>
          <w:szCs w:val="28"/>
          <w:lang w:val="zh-TW"/>
        </w:rPr>
        <w:t>本公司（单位）对上述声明内容的真实性负责。如有虚假，愿承担相应法律责任。</w:t>
      </w:r>
    </w:p>
    <w:p w14:paraId="009C7753">
      <w:pPr>
        <w:pStyle w:val="46"/>
        <w:shd w:val="clear" w:color="auto" w:fill="FFFFFF"/>
        <w:spacing w:before="30" w:beforeAutospacing="0" w:after="30" w:afterAutospacing="0" w:line="460" w:lineRule="exact"/>
        <w:ind w:firstLine="420"/>
        <w:jc w:val="right"/>
        <w:rPr>
          <w:rFonts w:hint="eastAsia" w:ascii="仿宋_GB2312" w:hAnsi="仿宋_GB2312" w:eastAsia="仿宋_GB2312" w:cs="仿宋_GB2312"/>
          <w:kern w:val="2"/>
          <w:sz w:val="28"/>
          <w:szCs w:val="28"/>
          <w:lang w:val="zh-TW"/>
        </w:rPr>
      </w:pPr>
      <w:r>
        <w:rPr>
          <w:rFonts w:hint="eastAsia" w:ascii="仿宋_GB2312" w:hAnsi="仿宋_GB2312" w:eastAsia="仿宋_GB2312" w:cs="仿宋_GB2312"/>
          <w:kern w:val="2"/>
          <w:sz w:val="28"/>
          <w:szCs w:val="28"/>
          <w:lang w:val="zh-TW"/>
        </w:rPr>
        <w:t>公司（单位）名称（盖章）：      </w:t>
      </w:r>
    </w:p>
    <w:p w14:paraId="0D9A6886">
      <w:pPr>
        <w:pStyle w:val="46"/>
        <w:shd w:val="clear" w:color="auto" w:fill="FFFFFF"/>
        <w:spacing w:before="30" w:beforeAutospacing="0" w:after="30" w:afterAutospacing="0" w:line="460" w:lineRule="exact"/>
        <w:ind w:firstLine="420"/>
        <w:jc w:val="right"/>
        <w:rPr>
          <w:rFonts w:hint="eastAsia"/>
          <w:lang w:eastAsia="zh-TW"/>
        </w:rPr>
      </w:pPr>
      <w:r>
        <w:rPr>
          <w:rFonts w:hint="eastAsia" w:ascii="仿宋_GB2312" w:hAnsi="仿宋_GB2312" w:eastAsia="仿宋_GB2312" w:cs="仿宋_GB2312"/>
          <w:kern w:val="2"/>
          <w:sz w:val="28"/>
          <w:szCs w:val="28"/>
          <w:lang w:val="zh-TW" w:eastAsia="zh-TW"/>
        </w:rPr>
        <w:t>日期：　　　　　年　　月　日 </w:t>
      </w:r>
      <w:r>
        <w:rPr>
          <w:rFonts w:hint="eastAsia" w:ascii="仿宋_GB2312" w:hAnsi="仿宋_GB2312" w:eastAsia="仿宋_GB2312" w:cs="仿宋_GB2312"/>
          <w:sz w:val="28"/>
          <w:szCs w:val="28"/>
          <w:shd w:val="clear" w:color="auto" w:fill="FFFFFF"/>
          <w:lang w:eastAsia="zh-TW"/>
        </w:rPr>
        <w:t> </w:t>
      </w:r>
      <w:r>
        <w:rPr>
          <w:rFonts w:hint="eastAsia"/>
          <w:shd w:val="clear" w:color="auto" w:fill="FFFFFF"/>
          <w:lang w:eastAsia="zh-TW"/>
        </w:rPr>
        <w:t>  </w:t>
      </w:r>
    </w:p>
    <w:p w14:paraId="77A88716">
      <w:pPr>
        <w:pStyle w:val="46"/>
        <w:shd w:val="clear" w:color="auto" w:fill="FFFFFF"/>
        <w:spacing w:before="30" w:beforeAutospacing="0" w:after="30" w:afterAutospacing="0" w:line="280" w:lineRule="exact"/>
        <w:rPr>
          <w:rFonts w:hint="eastAsia"/>
          <w:shd w:val="clear" w:color="auto" w:fill="FFFFFF"/>
        </w:rPr>
      </w:pPr>
      <w:r>
        <w:rPr>
          <w:rFonts w:hint="eastAsia"/>
          <w:shd w:val="clear" w:color="auto" w:fill="FFFFFF"/>
        </w:rPr>
        <w:t xml:space="preserve">____________________________________________________________________    </w:t>
      </w:r>
    </w:p>
    <w:p w14:paraId="17535B5B">
      <w:pPr>
        <w:pStyle w:val="46"/>
        <w:shd w:val="clear" w:color="auto" w:fill="FFFFFF"/>
        <w:spacing w:before="30" w:beforeAutospacing="0" w:after="30" w:afterAutospacing="0" w:line="280" w:lineRule="exact"/>
        <w:rPr>
          <w:rFonts w:hint="eastAsia" w:ascii="楷体" w:hAnsi="楷体" w:eastAsia="楷体" w:cs="楷体"/>
          <w:shd w:val="clear" w:color="auto" w:fill="FFFFFF"/>
        </w:rPr>
      </w:pPr>
      <w:r>
        <w:rPr>
          <w:rFonts w:hint="eastAsia"/>
          <w:shd w:val="clear" w:color="auto" w:fill="FFFFFF"/>
        </w:rPr>
        <w:t xml:space="preserve">   </w:t>
      </w:r>
      <w:r>
        <w:rPr>
          <w:rFonts w:ascii="楷体" w:hAnsi="楷体" w:eastAsia="楷体" w:cs="楷体"/>
          <w:shd w:val="clear" w:color="auto" w:fill="FFFFFF"/>
        </w:rPr>
        <w:t>1.</w:t>
      </w:r>
      <w:r>
        <w:rPr>
          <w:rFonts w:hint="eastAsia" w:ascii="楷体" w:hAnsi="楷体" w:eastAsia="楷体" w:cs="楷体"/>
          <w:shd w:val="clear" w:color="auto" w:fill="FFFFFF"/>
        </w:rPr>
        <w:t>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3E473C5">
      <w:pPr>
        <w:pStyle w:val="46"/>
        <w:shd w:val="clear" w:color="auto" w:fill="FFFFFF"/>
        <w:spacing w:before="30" w:beforeAutospacing="0" w:after="30" w:afterAutospacing="0" w:line="280" w:lineRule="exact"/>
        <w:ind w:firstLine="420"/>
        <w:rPr>
          <w:rFonts w:hint="eastAsia" w:ascii="楷体" w:hAnsi="楷体" w:eastAsia="楷体" w:cs="楷体"/>
          <w:shd w:val="clear" w:color="auto" w:fill="FFFFFF"/>
        </w:rPr>
      </w:pPr>
      <w:r>
        <w:rPr>
          <w:rFonts w:hint="eastAsia" w:ascii="楷体" w:hAnsi="楷体" w:eastAsia="楷体" w:cs="楷体"/>
          <w:shd w:val="clear" w:color="auto" w:fill="FFFFFF"/>
        </w:rPr>
        <w:t>2.中国境内生产的组件成本核算基本规则见《国务院办公厅关于在政府采购中实施本国产品标准及相关政策的通知》（国办发〔2025〕34号）。</w:t>
      </w:r>
    </w:p>
    <w:p w14:paraId="1E3A31DF">
      <w:pPr>
        <w:pStyle w:val="46"/>
        <w:shd w:val="clear" w:color="auto" w:fill="FFFFFF"/>
        <w:spacing w:before="30" w:beforeAutospacing="0" w:after="30" w:afterAutospacing="0" w:line="280" w:lineRule="exact"/>
        <w:ind w:firstLine="420"/>
        <w:rPr>
          <w:rFonts w:hint="eastAsia" w:ascii="楷体" w:hAnsi="楷体" w:eastAsia="楷体" w:cs="楷体"/>
          <w:shd w:val="clear" w:color="auto" w:fill="FFFFFF"/>
        </w:rPr>
      </w:pPr>
      <w:r>
        <w:rPr>
          <w:rFonts w:hint="eastAsia" w:ascii="楷体" w:hAnsi="楷体" w:eastAsia="楷体" w:cs="楷体"/>
          <w:shd w:val="clear" w:color="auto" w:fill="FFFFFF"/>
        </w:rPr>
        <w:t>3.产品如有型号，请在“产品名称”栏一并填写。</w:t>
      </w:r>
    </w:p>
    <w:p w14:paraId="399801AB">
      <w:pPr>
        <w:pStyle w:val="46"/>
        <w:shd w:val="clear" w:color="auto" w:fill="FFFFFF"/>
        <w:spacing w:before="30" w:beforeAutospacing="0" w:after="30" w:afterAutospacing="0" w:line="280" w:lineRule="exact"/>
        <w:ind w:firstLine="420"/>
        <w:rPr>
          <w:rFonts w:hint="eastAsia" w:ascii="楷体" w:hAnsi="楷体" w:eastAsia="楷体" w:cs="楷体"/>
          <w:shd w:val="clear" w:color="auto" w:fill="FFFFFF"/>
        </w:rPr>
      </w:pPr>
      <w:r>
        <w:rPr>
          <w:rFonts w:hint="eastAsia" w:ascii="楷体" w:hAnsi="楷体" w:eastAsia="楷体" w:cs="楷体"/>
          <w:shd w:val="clear" w:color="auto" w:fill="FFFFFF"/>
        </w:rPr>
        <w:t>4.生产厂名与厂址应与生产厂营业执照载明的相关信息保持一致。</w:t>
      </w:r>
    </w:p>
    <w:p w14:paraId="1784C5CE">
      <w:pPr>
        <w:pStyle w:val="46"/>
        <w:shd w:val="clear" w:color="auto" w:fill="FFFFFF"/>
        <w:spacing w:before="30" w:beforeAutospacing="0" w:after="30" w:afterAutospacing="0" w:line="280" w:lineRule="exact"/>
        <w:ind w:firstLine="420"/>
        <w:rPr>
          <w:rFonts w:hint="eastAsia" w:ascii="楷体" w:hAnsi="楷体" w:eastAsia="楷体" w:cs="楷体"/>
          <w:shd w:val="clear" w:color="auto" w:fill="FFFFFF"/>
        </w:rPr>
      </w:pPr>
      <w:r>
        <w:rPr>
          <w:rFonts w:hint="eastAsia" w:ascii="楷体" w:hAnsi="楷体" w:eastAsia="楷体" w:cs="楷体"/>
          <w:shd w:val="clear" w:color="auto" w:fill="FFFFFF"/>
        </w:rPr>
        <w:t>5.该产品的中国境内生产的组件成本占比相关要求实施前，“规定比例”栏可不填。</w:t>
      </w:r>
    </w:p>
    <w:p w14:paraId="5BA52AA7">
      <w:pPr>
        <w:pStyle w:val="46"/>
        <w:shd w:val="clear" w:color="auto" w:fill="FFFFFF"/>
        <w:spacing w:before="30" w:beforeAutospacing="0" w:after="30" w:afterAutospacing="0" w:line="280" w:lineRule="exact"/>
        <w:ind w:firstLine="420"/>
        <w:rPr>
          <w:rFonts w:hint="eastAsia" w:ascii="楷体" w:hAnsi="楷体" w:eastAsia="楷体" w:cs="楷体"/>
          <w:shd w:val="clear" w:color="auto" w:fill="FFFFFF"/>
        </w:rPr>
      </w:pPr>
      <w:r>
        <w:rPr>
          <w:rFonts w:hint="eastAsia" w:ascii="楷体" w:hAnsi="楷体" w:eastAsia="楷体" w:cs="楷体"/>
          <w:shd w:val="clear" w:color="auto" w:fill="FFFFFF"/>
        </w:rPr>
        <w:t>6.该产品的关键组件要求实施前，“关键组件”栏可不填。</w:t>
      </w:r>
    </w:p>
    <w:p w14:paraId="6A62390F">
      <w:pPr>
        <w:rPr>
          <w:rFonts w:hint="default" w:ascii="Times New Roman" w:hAnsi="Times New Roman" w:eastAsia="黑体" w:cs="Times New Roman"/>
          <w:color w:val="auto"/>
          <w:sz w:val="28"/>
          <w:szCs w:val="28"/>
          <w:lang w:val="en" w:eastAsia="zh-CN"/>
        </w:rPr>
      </w:pPr>
    </w:p>
    <w:p w14:paraId="5533DFF8">
      <w:pPr>
        <w:rPr>
          <w:rFonts w:hint="default" w:ascii="Times New Roman" w:hAnsi="Times New Roman" w:eastAsia="黑体" w:cs="Times New Roman"/>
          <w:color w:val="auto"/>
          <w:sz w:val="28"/>
          <w:szCs w:val="28"/>
          <w:lang w:val="en" w:eastAsia="zh-CN"/>
        </w:rPr>
      </w:pPr>
      <w:r>
        <w:rPr>
          <w:rFonts w:ascii="Times New Roman" w:hAnsi="Times New Roman" w:eastAsia="黑体" w:cs="Times New Roman"/>
          <w:color w:val="auto"/>
          <w:sz w:val="28"/>
          <w:szCs w:val="28"/>
          <w:lang w:val="en" w:eastAsia="zh-CN"/>
        </w:rPr>
        <w:br w:type="page"/>
      </w:r>
    </w:p>
    <w:p w14:paraId="42242009">
      <w:pPr>
        <w:pStyle w:val="46"/>
        <w:spacing w:before="0" w:beforeAutospacing="0" w:after="0" w:afterAutospacing="0" w:line="560" w:lineRule="atLeast"/>
        <w:ind w:firstLine="420"/>
        <w:jc w:val="center"/>
        <w:textAlignment w:val="baseline"/>
        <w:outlineLvl w:val="2"/>
        <w:rPr>
          <w:rFonts w:ascii="微软雅黑" w:hAnsi="Times New Roman" w:eastAsia="微软雅黑" w:cs="Times New Roman"/>
          <w:b/>
          <w:sz w:val="32"/>
          <w:szCs w:val="32"/>
        </w:rPr>
      </w:pPr>
      <w:r>
        <w:rPr>
          <w:rFonts w:hint="eastAsia" w:ascii="微软雅黑" w:hAnsi="Times New Roman" w:eastAsia="微软雅黑" w:cs="Times New Roman"/>
          <w:sz w:val="32"/>
          <w:szCs w:val="32"/>
          <w:lang w:val="en"/>
        </w:rPr>
        <w:t>商品包装和快递包装承诺书</w:t>
      </w:r>
    </w:p>
    <w:p w14:paraId="7EEDC52B">
      <w:pPr>
        <w:spacing w:line="360" w:lineRule="auto"/>
        <w:ind w:firstLine="480"/>
        <w:rPr>
          <w:rFonts w:hint="default" w:ascii="Times New Roman" w:hAnsi="Times New Roman" w:eastAsia="仿宋_GB2312" w:cs="Times New Roman"/>
          <w:color w:val="auto"/>
          <w:sz w:val="28"/>
          <w:szCs w:val="28"/>
          <w:lang w:eastAsia="zh-CN"/>
        </w:rPr>
      </w:pPr>
    </w:p>
    <w:p w14:paraId="02B202E7">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致：</w:t>
      </w:r>
      <w:r>
        <w:rPr>
          <w:rFonts w:hint="default" w:ascii="Times New Roman" w:hAnsi="Times New Roman" w:eastAsia="仿宋_GB2312" w:cs="Times New Roman"/>
          <w:color w:val="auto"/>
          <w:sz w:val="28"/>
          <w:szCs w:val="28"/>
          <w:u w:val="single"/>
          <w:lang w:val="en-US" w:eastAsia="zh-CN"/>
        </w:rPr>
        <w:t xml:space="preserve"> </w:t>
      </w:r>
      <w:r>
        <w:rPr>
          <w:rFonts w:ascii="Times New Roman" w:hAnsi="Times New Roman" w:eastAsia="仿宋_GB2312" w:cs="Times New Roman"/>
          <w:color w:val="auto"/>
          <w:kern w:val="0"/>
          <w:sz w:val="28"/>
          <w:szCs w:val="28"/>
          <w:u w:val="single"/>
          <w:lang w:val="en" w:eastAsia="zh-CN"/>
        </w:rPr>
        <w:t>郑州铁路职业技术学院</w:t>
      </w:r>
      <w:r>
        <w:rPr>
          <w:rFonts w:hint="default" w:ascii="Times New Roman" w:hAnsi="Times New Roman" w:eastAsia="仿宋_GB2312" w:cs="Times New Roman"/>
          <w:color w:val="auto"/>
          <w:sz w:val="28"/>
          <w:szCs w:val="28"/>
          <w:lang w:eastAsia="zh-CN"/>
        </w:rPr>
        <w:t xml:space="preserve"> </w:t>
      </w:r>
    </w:p>
    <w:p w14:paraId="02260A33">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为助力打好污染防治攻坚战，推广使用绿色包装，我公司响应《财政部等三部门联合印发商品包装和快递包装政府采购需求标准》（试行）(财办库〔2020〕123号文)的有关规定。承诺在采购项目编号为</w:t>
      </w:r>
      <w:r>
        <w:rPr>
          <w:rFonts w:hint="default" w:ascii="Times New Roman" w:hAnsi="Times New Roman" w:eastAsia="仿宋_GB2312" w:cs="Times New Roman"/>
          <w:color w:val="auto"/>
          <w:sz w:val="28"/>
          <w:szCs w:val="28"/>
          <w:u w:val="single"/>
          <w:lang w:val="en-US" w:eastAsia="zh-CN"/>
        </w:rPr>
        <w:t xml:space="preserve"> </w:t>
      </w:r>
      <w:r>
        <w:rPr>
          <w:rFonts w:ascii="Times New Roman" w:hAnsi="Times New Roman" w:eastAsia="仿宋_GB2312" w:cs="Times New Roman"/>
          <w:color w:val="auto"/>
          <w:sz w:val="28"/>
          <w:szCs w:val="28"/>
          <w:u w:val="single"/>
          <w:lang w:val="en-US" w:eastAsia="zh-CN"/>
        </w:rPr>
        <w:t>豫财磋商采购-2026-853</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val="en-US" w:eastAsia="zh-CN"/>
        </w:rPr>
        <w:t>的</w:t>
      </w:r>
      <w:r>
        <w:rPr>
          <w:rFonts w:ascii="Times New Roman" w:hAnsi="Times New Roman" w:eastAsia="仿宋_GB2312" w:cs="Times New Roman"/>
          <w:color w:val="auto"/>
          <w:sz w:val="28"/>
          <w:szCs w:val="28"/>
          <w:u w:val="single"/>
          <w:lang w:val="en" w:eastAsia="zh-CN"/>
        </w:rPr>
        <w:t>郑州铁路职业技术学院工科基础实训室项目</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eastAsia="zh-CN"/>
        </w:rPr>
        <w:t>的项目中严格按照《商品包装政府采购需求标准（试行）》、《快递包装政府采购需求标准（试行）》的条款执行。</w:t>
      </w:r>
    </w:p>
    <w:p w14:paraId="0861F570">
      <w:pPr>
        <w:spacing w:line="360" w:lineRule="auto"/>
        <w:ind w:firstLine="480"/>
        <w:rPr>
          <w:rFonts w:hint="default" w:ascii="Times New Roman" w:hAnsi="Times New Roman" w:eastAsia="仿宋_GB2312" w:cs="Times New Roman"/>
          <w:color w:val="auto"/>
          <w:sz w:val="28"/>
          <w:szCs w:val="28"/>
          <w:lang w:val="en" w:eastAsia="zh-CN"/>
        </w:rPr>
      </w:pPr>
      <w:r>
        <w:rPr>
          <w:rFonts w:hint="default" w:ascii="Times New Roman" w:hAnsi="Times New Roman" w:eastAsia="仿宋_GB2312" w:cs="Times New Roman"/>
          <w:color w:val="auto"/>
          <w:sz w:val="28"/>
          <w:szCs w:val="28"/>
          <w:lang w:eastAsia="zh-CN"/>
        </w:rPr>
        <w:t>我公司对以上承诺书内容的真实性负责，并承担相应的法律责任。</w:t>
      </w:r>
      <w:r>
        <w:rPr>
          <w:rFonts w:hint="default" w:ascii="Times New Roman" w:hAnsi="Times New Roman" w:eastAsia="仿宋_GB2312" w:cs="Times New Roman"/>
          <w:color w:val="auto"/>
          <w:sz w:val="28"/>
          <w:szCs w:val="28"/>
          <w:lang w:val="en" w:eastAsia="zh-CN"/>
        </w:rPr>
        <w:t xml:space="preserve">            </w:t>
      </w:r>
    </w:p>
    <w:p w14:paraId="311188EC">
      <w:pPr>
        <w:spacing w:line="360" w:lineRule="auto"/>
        <w:ind w:firstLine="480"/>
        <w:rPr>
          <w:rFonts w:hint="default" w:ascii="Times New Roman" w:hAnsi="Times New Roman" w:eastAsia="仿宋_GB2312" w:cs="Times New Roman"/>
          <w:color w:val="auto"/>
          <w:sz w:val="28"/>
          <w:szCs w:val="28"/>
          <w:lang w:val="en" w:eastAsia="zh-CN"/>
        </w:rPr>
      </w:pPr>
    </w:p>
    <w:p w14:paraId="08BEA3A4">
      <w:pPr>
        <w:spacing w:line="360" w:lineRule="auto"/>
        <w:ind w:firstLine="480"/>
        <w:rPr>
          <w:rFonts w:hint="default" w:ascii="Times New Roman" w:hAnsi="Times New Roman" w:eastAsia="仿宋_GB2312" w:cs="Times New Roman"/>
          <w:color w:val="auto"/>
          <w:sz w:val="28"/>
          <w:szCs w:val="28"/>
          <w:lang w:val="en" w:eastAsia="zh-CN"/>
        </w:rPr>
      </w:pPr>
      <w:r>
        <w:rPr>
          <w:rFonts w:hint="default" w:ascii="Times New Roman" w:hAnsi="Times New Roman" w:eastAsia="仿宋_GB2312" w:cs="Times New Roman"/>
          <w:color w:val="auto"/>
          <w:sz w:val="28"/>
          <w:szCs w:val="28"/>
          <w:lang w:val="en" w:eastAsia="zh-CN"/>
        </w:rPr>
        <w:t xml:space="preserve">        </w:t>
      </w:r>
    </w:p>
    <w:p w14:paraId="14988D0B">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供应商（企业电子签章）：</w:t>
      </w:r>
    </w:p>
    <w:p w14:paraId="3B6796E5">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日期：</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 xml:space="preserve">年 </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月</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 xml:space="preserve"> 日</w:t>
      </w:r>
    </w:p>
    <w:p w14:paraId="10149600">
      <w:pPr>
        <w:spacing w:line="360" w:lineRule="auto"/>
        <w:ind w:firstLine="480"/>
        <w:rPr>
          <w:rFonts w:hint="default" w:ascii="Times New Roman" w:hAnsi="Times New Roman" w:eastAsia="仿宋_GB2312" w:cs="Times New Roman"/>
          <w:color w:val="auto"/>
          <w:sz w:val="28"/>
          <w:szCs w:val="28"/>
          <w:lang w:eastAsia="zh-CN"/>
        </w:rPr>
      </w:pPr>
    </w:p>
    <w:p w14:paraId="00CB4A6E">
      <w:pPr>
        <w:spacing w:line="500" w:lineRule="exact"/>
        <w:jc w:val="center"/>
        <w:outlineLvl w:val="1"/>
        <w:rPr>
          <w:rFonts w:hint="default" w:ascii="微软雅黑" w:hAnsi="Times New Roman" w:eastAsia="微软雅黑" w:cs="Times New Roman"/>
          <w:bCs/>
          <w:color w:val="auto"/>
          <w:sz w:val="30"/>
          <w:szCs w:val="30"/>
          <w:lang w:val="en-US" w:eastAsia="zh-CN"/>
        </w:rPr>
        <w:sectPr>
          <w:pgSz w:w="11900" w:h="16840"/>
          <w:pgMar w:top="1440" w:right="1800" w:bottom="1440" w:left="1800" w:header="851" w:footer="992" w:gutter="0"/>
          <w:cols w:space="720" w:num="1"/>
        </w:sectPr>
      </w:pPr>
      <w:bookmarkStart w:id="224" w:name="_Toc237482121"/>
      <w:bookmarkStart w:id="225" w:name="_Toc1929226479"/>
      <w:bookmarkStart w:id="226" w:name="_Toc952520719"/>
      <w:bookmarkStart w:id="227" w:name="_Toc807820015"/>
      <w:bookmarkStart w:id="228" w:name="_Toc1562600580"/>
      <w:bookmarkStart w:id="229" w:name="_Toc1179847034"/>
      <w:bookmarkStart w:id="230" w:name="_Toc1712283003"/>
      <w:bookmarkStart w:id="231" w:name="_Toc1888555944"/>
      <w:bookmarkStart w:id="232" w:name="_Toc1306770718"/>
    </w:p>
    <w:p w14:paraId="07C1C89E">
      <w:pPr>
        <w:spacing w:line="500" w:lineRule="exact"/>
        <w:jc w:val="center"/>
        <w:outlineLvl w:val="1"/>
        <w:rPr>
          <w:rFonts w:hint="default" w:ascii="微软雅黑" w:hAnsi="Times New Roman" w:eastAsia="微软雅黑" w:cs="Times New Roman"/>
          <w:bCs/>
          <w:color w:val="auto"/>
          <w:sz w:val="30"/>
          <w:szCs w:val="30"/>
          <w:lang w:val="en-US" w:eastAsia="zh-CN"/>
        </w:rPr>
      </w:pPr>
      <w:r>
        <w:rPr>
          <w:rFonts w:hint="default" w:ascii="微软雅黑" w:hAnsi="Times New Roman" w:eastAsia="微软雅黑" w:cs="Times New Roman"/>
          <w:bCs/>
          <w:color w:val="auto"/>
          <w:sz w:val="30"/>
          <w:szCs w:val="30"/>
          <w:lang w:val="en-US" w:eastAsia="zh-CN"/>
        </w:rPr>
        <w:t>十四、</w:t>
      </w:r>
      <w:bookmarkEnd w:id="224"/>
      <w:bookmarkEnd w:id="225"/>
      <w:bookmarkEnd w:id="226"/>
      <w:bookmarkEnd w:id="227"/>
      <w:bookmarkEnd w:id="228"/>
      <w:bookmarkEnd w:id="229"/>
      <w:bookmarkEnd w:id="230"/>
      <w:bookmarkEnd w:id="231"/>
      <w:bookmarkEnd w:id="232"/>
      <w:bookmarkStart w:id="233" w:name="_Toc297277348"/>
      <w:bookmarkStart w:id="234" w:name="_Toc1361997140"/>
      <w:bookmarkStart w:id="235" w:name="_Toc741327320"/>
      <w:bookmarkStart w:id="236" w:name="_Toc71543334"/>
      <w:bookmarkStart w:id="237" w:name="_Toc1342357120"/>
      <w:bookmarkStart w:id="238" w:name="_Toc995149200"/>
      <w:bookmarkStart w:id="239" w:name="_Toc1642658699"/>
      <w:bookmarkStart w:id="240" w:name="_Toc203536082"/>
      <w:bookmarkStart w:id="241" w:name="_Toc1027952896"/>
      <w:bookmarkStart w:id="242" w:name="_Toc1405132080"/>
      <w:bookmarkStart w:id="243" w:name="_Toc2003764980"/>
      <w:r>
        <w:rPr>
          <w:rFonts w:hint="default" w:ascii="微软雅黑" w:hAnsi="Times New Roman" w:eastAsia="微软雅黑" w:cs="Times New Roman"/>
          <w:bCs/>
          <w:color w:val="auto"/>
          <w:sz w:val="30"/>
          <w:szCs w:val="30"/>
          <w:lang w:val="en-US" w:eastAsia="zh-CN"/>
        </w:rPr>
        <w:t>关联关系名单</w:t>
      </w:r>
    </w:p>
    <w:tbl>
      <w:tblPr>
        <w:tblStyle w:val="5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4"/>
        <w:gridCol w:w="3203"/>
        <w:gridCol w:w="2129"/>
        <w:gridCol w:w="2130"/>
      </w:tblGrid>
      <w:tr w14:paraId="48B44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4" w:type="dxa"/>
          </w:tcPr>
          <w:p w14:paraId="303A0A00">
            <w:pPr>
              <w:pStyle w:val="102"/>
              <w:spacing w:line="360" w:lineRule="auto"/>
              <w:jc w:val="center"/>
              <w:outlineLvl w:val="1"/>
              <w:rPr>
                <w:rFonts w:hint="default" w:ascii="Times New Roman" w:hAnsi="Times New Roman" w:eastAsia="仿宋_GB2312" w:cs="Times New Roman"/>
                <w:bCs/>
                <w:color w:val="auto"/>
                <w:sz w:val="28"/>
                <w:szCs w:val="28"/>
                <w:lang w:val="en-US" w:eastAsia="zh-CN"/>
              </w:rPr>
            </w:pPr>
            <w:r>
              <w:rPr>
                <w:rFonts w:hint="default" w:ascii="Times New Roman" w:hAnsi="Times New Roman" w:eastAsia="仿宋_GB2312" w:cs="Times New Roman"/>
                <w:bCs/>
                <w:color w:val="auto"/>
                <w:sz w:val="28"/>
                <w:szCs w:val="28"/>
                <w:lang w:val="en-US" w:eastAsia="zh-CN"/>
              </w:rPr>
              <w:t>序号</w:t>
            </w:r>
          </w:p>
        </w:tc>
        <w:tc>
          <w:tcPr>
            <w:tcW w:w="3203" w:type="dxa"/>
          </w:tcPr>
          <w:p w14:paraId="3D9E691C">
            <w:pPr>
              <w:pStyle w:val="102"/>
              <w:spacing w:line="360" w:lineRule="auto"/>
              <w:jc w:val="center"/>
              <w:outlineLvl w:val="1"/>
              <w:rPr>
                <w:rFonts w:hint="default" w:ascii="Times New Roman" w:hAnsi="Times New Roman" w:eastAsia="仿宋_GB2312" w:cs="Times New Roman"/>
                <w:bCs/>
                <w:color w:val="auto"/>
                <w:sz w:val="28"/>
                <w:szCs w:val="28"/>
                <w:lang w:val="en-US" w:eastAsia="zh-CN"/>
              </w:rPr>
            </w:pPr>
            <w:r>
              <w:rPr>
                <w:rFonts w:hint="default" w:ascii="Times New Roman" w:hAnsi="Times New Roman" w:eastAsia="仿宋_GB2312" w:cs="Times New Roman"/>
                <w:bCs/>
                <w:color w:val="auto"/>
                <w:sz w:val="28"/>
                <w:szCs w:val="28"/>
                <w:lang w:val="en-US" w:eastAsia="zh-CN"/>
              </w:rPr>
              <w:t>单位名称</w:t>
            </w:r>
          </w:p>
        </w:tc>
        <w:tc>
          <w:tcPr>
            <w:tcW w:w="2129" w:type="dxa"/>
          </w:tcPr>
          <w:p w14:paraId="0133191D">
            <w:pPr>
              <w:pStyle w:val="102"/>
              <w:spacing w:line="360" w:lineRule="auto"/>
              <w:jc w:val="center"/>
              <w:outlineLvl w:val="1"/>
              <w:rPr>
                <w:rFonts w:hint="default" w:ascii="Times New Roman" w:hAnsi="Times New Roman" w:eastAsia="仿宋_GB2312" w:cs="Times New Roman"/>
                <w:bCs/>
                <w:color w:val="auto"/>
                <w:sz w:val="28"/>
                <w:szCs w:val="28"/>
                <w:lang w:val="en-US" w:eastAsia="zh-CN"/>
              </w:rPr>
            </w:pPr>
            <w:r>
              <w:rPr>
                <w:rFonts w:hint="default" w:ascii="Times New Roman" w:hAnsi="Times New Roman" w:eastAsia="仿宋_GB2312" w:cs="Times New Roman"/>
                <w:bCs/>
                <w:color w:val="auto"/>
                <w:sz w:val="28"/>
                <w:szCs w:val="28"/>
                <w:lang w:val="en-US" w:eastAsia="zh-CN"/>
              </w:rPr>
              <w:t>关系类型</w:t>
            </w:r>
          </w:p>
        </w:tc>
        <w:tc>
          <w:tcPr>
            <w:tcW w:w="2130" w:type="dxa"/>
          </w:tcPr>
          <w:p w14:paraId="20571B05">
            <w:pPr>
              <w:pStyle w:val="102"/>
              <w:spacing w:line="360" w:lineRule="auto"/>
              <w:jc w:val="center"/>
              <w:outlineLvl w:val="1"/>
              <w:rPr>
                <w:rFonts w:hint="default" w:ascii="Times New Roman" w:hAnsi="Times New Roman" w:eastAsia="仿宋_GB2312" w:cs="Times New Roman"/>
                <w:bCs/>
                <w:color w:val="auto"/>
                <w:sz w:val="28"/>
                <w:szCs w:val="28"/>
                <w:lang w:val="en-US" w:eastAsia="zh-CN"/>
              </w:rPr>
            </w:pPr>
            <w:r>
              <w:rPr>
                <w:rFonts w:hint="default" w:ascii="Times New Roman" w:hAnsi="Times New Roman" w:eastAsia="仿宋_GB2312" w:cs="Times New Roman"/>
                <w:bCs/>
                <w:color w:val="auto"/>
                <w:sz w:val="28"/>
                <w:szCs w:val="28"/>
                <w:lang w:val="en-US" w:eastAsia="zh-CN"/>
              </w:rPr>
              <w:t>备注</w:t>
            </w:r>
          </w:p>
        </w:tc>
      </w:tr>
      <w:tr w14:paraId="6E51F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4" w:type="dxa"/>
          </w:tcPr>
          <w:p w14:paraId="47D8A37A">
            <w:pPr>
              <w:pStyle w:val="102"/>
              <w:spacing w:line="360" w:lineRule="auto"/>
              <w:jc w:val="center"/>
              <w:outlineLvl w:val="1"/>
              <w:rPr>
                <w:rFonts w:hint="default" w:ascii="Times New Roman" w:hAnsi="Times New Roman" w:eastAsia="仿宋_GB2312" w:cs="Times New Roman"/>
                <w:bCs/>
                <w:color w:val="auto"/>
                <w:sz w:val="28"/>
                <w:szCs w:val="28"/>
                <w:lang w:val="en-US" w:eastAsia="zh-CN"/>
              </w:rPr>
            </w:pPr>
          </w:p>
        </w:tc>
        <w:tc>
          <w:tcPr>
            <w:tcW w:w="3203" w:type="dxa"/>
          </w:tcPr>
          <w:p w14:paraId="5D04649F">
            <w:pPr>
              <w:pStyle w:val="102"/>
              <w:spacing w:line="360" w:lineRule="auto"/>
              <w:jc w:val="center"/>
              <w:outlineLvl w:val="1"/>
              <w:rPr>
                <w:rFonts w:hint="default" w:ascii="Times New Roman" w:hAnsi="Times New Roman" w:eastAsia="仿宋_GB2312" w:cs="Times New Roman"/>
                <w:bCs/>
                <w:color w:val="auto"/>
                <w:sz w:val="28"/>
                <w:szCs w:val="28"/>
                <w:lang w:val="en-US" w:eastAsia="zh-CN"/>
              </w:rPr>
            </w:pPr>
          </w:p>
        </w:tc>
        <w:tc>
          <w:tcPr>
            <w:tcW w:w="2129" w:type="dxa"/>
          </w:tcPr>
          <w:p w14:paraId="0C9517C8">
            <w:pPr>
              <w:pStyle w:val="102"/>
              <w:spacing w:line="360" w:lineRule="auto"/>
              <w:jc w:val="center"/>
              <w:outlineLvl w:val="1"/>
              <w:rPr>
                <w:rFonts w:hint="default" w:ascii="Times New Roman" w:hAnsi="Times New Roman" w:eastAsia="仿宋_GB2312" w:cs="Times New Roman"/>
                <w:bCs/>
                <w:color w:val="auto"/>
                <w:sz w:val="28"/>
                <w:szCs w:val="28"/>
                <w:lang w:val="en-US" w:eastAsia="zh-CN"/>
              </w:rPr>
            </w:pPr>
          </w:p>
        </w:tc>
        <w:tc>
          <w:tcPr>
            <w:tcW w:w="2130" w:type="dxa"/>
          </w:tcPr>
          <w:p w14:paraId="4EBE1C56">
            <w:pPr>
              <w:pStyle w:val="102"/>
              <w:spacing w:line="360" w:lineRule="auto"/>
              <w:jc w:val="center"/>
              <w:outlineLvl w:val="1"/>
              <w:rPr>
                <w:rFonts w:hint="default" w:ascii="Times New Roman" w:hAnsi="Times New Roman" w:eastAsia="仿宋_GB2312" w:cs="Times New Roman"/>
                <w:bCs/>
                <w:color w:val="auto"/>
                <w:sz w:val="28"/>
                <w:szCs w:val="28"/>
                <w:lang w:val="en-US" w:eastAsia="zh-CN"/>
              </w:rPr>
            </w:pPr>
          </w:p>
        </w:tc>
      </w:tr>
      <w:tr w14:paraId="1ECD8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4" w:type="dxa"/>
          </w:tcPr>
          <w:p w14:paraId="58814FA0">
            <w:pPr>
              <w:pStyle w:val="102"/>
              <w:spacing w:line="360" w:lineRule="auto"/>
              <w:jc w:val="center"/>
              <w:outlineLvl w:val="1"/>
              <w:rPr>
                <w:rFonts w:hint="default" w:ascii="Times New Roman" w:hAnsi="Times New Roman" w:eastAsia="仿宋_GB2312" w:cs="Times New Roman"/>
                <w:bCs/>
                <w:color w:val="auto"/>
                <w:sz w:val="28"/>
                <w:szCs w:val="28"/>
                <w:lang w:val="en-US" w:eastAsia="zh-CN"/>
              </w:rPr>
            </w:pPr>
          </w:p>
        </w:tc>
        <w:tc>
          <w:tcPr>
            <w:tcW w:w="3203" w:type="dxa"/>
          </w:tcPr>
          <w:p w14:paraId="73D898A5">
            <w:pPr>
              <w:pStyle w:val="102"/>
              <w:spacing w:line="360" w:lineRule="auto"/>
              <w:jc w:val="center"/>
              <w:outlineLvl w:val="1"/>
              <w:rPr>
                <w:rFonts w:hint="default" w:ascii="Times New Roman" w:hAnsi="Times New Roman" w:eastAsia="仿宋_GB2312" w:cs="Times New Roman"/>
                <w:bCs/>
                <w:color w:val="auto"/>
                <w:sz w:val="28"/>
                <w:szCs w:val="28"/>
                <w:lang w:val="en-US" w:eastAsia="zh-CN"/>
              </w:rPr>
            </w:pPr>
          </w:p>
        </w:tc>
        <w:tc>
          <w:tcPr>
            <w:tcW w:w="2129" w:type="dxa"/>
          </w:tcPr>
          <w:p w14:paraId="5764E4E1">
            <w:pPr>
              <w:pStyle w:val="102"/>
              <w:spacing w:line="360" w:lineRule="auto"/>
              <w:jc w:val="center"/>
              <w:outlineLvl w:val="1"/>
              <w:rPr>
                <w:rFonts w:hint="default" w:ascii="Times New Roman" w:hAnsi="Times New Roman" w:eastAsia="仿宋_GB2312" w:cs="Times New Roman"/>
                <w:bCs/>
                <w:color w:val="auto"/>
                <w:sz w:val="28"/>
                <w:szCs w:val="28"/>
                <w:lang w:val="en-US" w:eastAsia="zh-CN"/>
              </w:rPr>
            </w:pPr>
          </w:p>
        </w:tc>
        <w:tc>
          <w:tcPr>
            <w:tcW w:w="2130" w:type="dxa"/>
          </w:tcPr>
          <w:p w14:paraId="54AD7E27">
            <w:pPr>
              <w:pStyle w:val="102"/>
              <w:spacing w:line="360" w:lineRule="auto"/>
              <w:jc w:val="center"/>
              <w:outlineLvl w:val="1"/>
              <w:rPr>
                <w:rFonts w:hint="default" w:ascii="Times New Roman" w:hAnsi="Times New Roman" w:eastAsia="仿宋_GB2312" w:cs="Times New Roman"/>
                <w:bCs/>
                <w:color w:val="auto"/>
                <w:sz w:val="28"/>
                <w:szCs w:val="28"/>
                <w:lang w:val="en-US" w:eastAsia="zh-CN"/>
              </w:rPr>
            </w:pPr>
          </w:p>
        </w:tc>
      </w:tr>
      <w:tr w14:paraId="3BC46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4" w:type="dxa"/>
          </w:tcPr>
          <w:p w14:paraId="4D9B3E37">
            <w:pPr>
              <w:pStyle w:val="102"/>
              <w:spacing w:line="360" w:lineRule="auto"/>
              <w:jc w:val="center"/>
              <w:outlineLvl w:val="1"/>
              <w:rPr>
                <w:rFonts w:hint="default" w:ascii="Times New Roman" w:hAnsi="Times New Roman" w:eastAsia="仿宋_GB2312" w:cs="Times New Roman"/>
                <w:bCs/>
                <w:color w:val="auto"/>
                <w:sz w:val="28"/>
                <w:szCs w:val="28"/>
                <w:lang w:val="en-US" w:eastAsia="zh-CN"/>
              </w:rPr>
            </w:pPr>
          </w:p>
        </w:tc>
        <w:tc>
          <w:tcPr>
            <w:tcW w:w="3203" w:type="dxa"/>
          </w:tcPr>
          <w:p w14:paraId="57AE99FF">
            <w:pPr>
              <w:pStyle w:val="102"/>
              <w:spacing w:line="360" w:lineRule="auto"/>
              <w:jc w:val="center"/>
              <w:outlineLvl w:val="1"/>
              <w:rPr>
                <w:rFonts w:hint="default" w:ascii="Times New Roman" w:hAnsi="Times New Roman" w:eastAsia="仿宋_GB2312" w:cs="Times New Roman"/>
                <w:bCs/>
                <w:color w:val="auto"/>
                <w:sz w:val="28"/>
                <w:szCs w:val="28"/>
                <w:lang w:val="en-US" w:eastAsia="zh-CN"/>
              </w:rPr>
            </w:pPr>
          </w:p>
        </w:tc>
        <w:tc>
          <w:tcPr>
            <w:tcW w:w="2129" w:type="dxa"/>
          </w:tcPr>
          <w:p w14:paraId="6056B98E">
            <w:pPr>
              <w:pStyle w:val="102"/>
              <w:spacing w:line="360" w:lineRule="auto"/>
              <w:jc w:val="center"/>
              <w:outlineLvl w:val="1"/>
              <w:rPr>
                <w:rFonts w:hint="default" w:ascii="Times New Roman" w:hAnsi="Times New Roman" w:eastAsia="仿宋_GB2312" w:cs="Times New Roman"/>
                <w:bCs/>
                <w:color w:val="auto"/>
                <w:sz w:val="28"/>
                <w:szCs w:val="28"/>
                <w:lang w:val="en-US" w:eastAsia="zh-CN"/>
              </w:rPr>
            </w:pPr>
          </w:p>
        </w:tc>
        <w:tc>
          <w:tcPr>
            <w:tcW w:w="2130" w:type="dxa"/>
          </w:tcPr>
          <w:p w14:paraId="7A196854">
            <w:pPr>
              <w:pStyle w:val="102"/>
              <w:spacing w:line="360" w:lineRule="auto"/>
              <w:jc w:val="center"/>
              <w:outlineLvl w:val="1"/>
              <w:rPr>
                <w:rFonts w:hint="default" w:ascii="Times New Roman" w:hAnsi="Times New Roman" w:eastAsia="仿宋_GB2312" w:cs="Times New Roman"/>
                <w:bCs/>
                <w:color w:val="auto"/>
                <w:sz w:val="28"/>
                <w:szCs w:val="28"/>
                <w:lang w:val="en-US" w:eastAsia="zh-CN"/>
              </w:rPr>
            </w:pPr>
          </w:p>
        </w:tc>
      </w:tr>
    </w:tbl>
    <w:p w14:paraId="7897BD65">
      <w:pPr>
        <w:pStyle w:val="102"/>
        <w:rPr>
          <w:rFonts w:hint="default" w:ascii="Times New Roman" w:hAnsi="Times New Roman" w:eastAsia="仿宋_GB2312" w:cs="Times New Roman"/>
          <w:color w:val="auto"/>
          <w:kern w:val="2"/>
          <w:sz w:val="28"/>
          <w:szCs w:val="28"/>
          <w:lang w:val="en-US" w:eastAsia="zh-CN"/>
        </w:rPr>
      </w:pPr>
    </w:p>
    <w:p w14:paraId="7049D40F">
      <w:pPr>
        <w:pStyle w:val="102"/>
        <w:spacing w:line="360" w:lineRule="auto"/>
        <w:jc w:val="center"/>
        <w:rPr>
          <w:rFonts w:hint="default" w:ascii="Times New Roman" w:hAnsi="Times New Roman" w:eastAsia="方正小标宋_GBK" w:cs="Times New Roman"/>
          <w:bCs/>
          <w:color w:val="auto"/>
          <w:sz w:val="30"/>
          <w:szCs w:val="30"/>
          <w:lang w:val="en-US" w:eastAsia="zh-CN"/>
        </w:rPr>
      </w:pPr>
    </w:p>
    <w:p w14:paraId="5B5933C4">
      <w:pPr>
        <w:spacing w:line="360" w:lineRule="exact"/>
        <w:ind w:firstLine="3640" w:firstLineChars="1300"/>
        <w:rPr>
          <w:rFonts w:hint="default" w:ascii="Times New Roman" w:hAnsi="Times New Roman" w:eastAsia="方正小标宋_GBK" w:cs="Times New Roman"/>
          <w:bCs/>
          <w:color w:val="auto"/>
          <w:sz w:val="30"/>
          <w:szCs w:val="30"/>
          <w:lang w:val="en-US" w:eastAsia="zh-CN"/>
        </w:rPr>
      </w:pPr>
      <w:r>
        <w:rPr>
          <w:rFonts w:ascii="仿宋" w:hAnsi="仿宋" w:eastAsia="仿宋" w:cs="仿宋"/>
          <w:color w:val="auto"/>
          <w:sz w:val="28"/>
          <w:szCs w:val="28"/>
          <w:lang w:val="en-US" w:eastAsia="zh-CN"/>
        </w:rPr>
        <w:t>供应商（企业电子签章）：</w:t>
      </w:r>
    </w:p>
    <w:p w14:paraId="0823CAD6">
      <w:pPr>
        <w:tabs>
          <w:tab w:val="left" w:pos="6300"/>
        </w:tabs>
        <w:snapToGrid w:val="0"/>
        <w:spacing w:line="360" w:lineRule="auto"/>
        <w:ind w:firstLine="297" w:firstLineChars="99"/>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方正小标宋_GBK" w:cs="Times New Roman"/>
          <w:bCs/>
          <w:color w:val="auto"/>
          <w:sz w:val="30"/>
          <w:szCs w:val="30"/>
          <w:lang w:val="en-US" w:eastAsia="zh-CN"/>
        </w:rPr>
        <w:t xml:space="preserve">              </w:t>
      </w:r>
      <w:r>
        <w:rPr>
          <w:rFonts w:hint="default" w:ascii="Times New Roman" w:hAnsi="Times New Roman" w:eastAsia="仿宋_GB2312" w:cs="Times New Roman"/>
          <w:color w:val="auto"/>
          <w:sz w:val="28"/>
          <w:szCs w:val="28"/>
          <w:lang w:eastAsia="zh-CN"/>
        </w:rPr>
        <w:t>日期：</w:t>
      </w:r>
      <w:r>
        <w:rPr>
          <w:rFonts w:hint="default" w:ascii="Times New Roman" w:hAnsi="Times New Roman" w:eastAsia="仿宋_GB2312" w:cs="Times New Roman"/>
          <w:color w:val="auto"/>
          <w:sz w:val="28"/>
          <w:szCs w:val="28"/>
          <w:u w:val="single"/>
          <w:lang w:val="en" w:eastAsia="zh-CN"/>
        </w:rPr>
        <w:t xml:space="preserve">      </w:t>
      </w:r>
      <w:r>
        <w:rPr>
          <w:rFonts w:hint="default" w:ascii="Times New Roman" w:hAnsi="Times New Roman" w:eastAsia="仿宋_GB2312" w:cs="Times New Roman"/>
          <w:color w:val="auto"/>
          <w:sz w:val="28"/>
          <w:szCs w:val="28"/>
          <w:lang w:eastAsia="zh-CN"/>
        </w:rPr>
        <w:t>年</w:t>
      </w:r>
      <w:r>
        <w:rPr>
          <w:rFonts w:hint="default" w:ascii="Times New Roman" w:hAnsi="Times New Roman" w:eastAsia="仿宋_GB2312" w:cs="Times New Roman"/>
          <w:color w:val="auto"/>
          <w:sz w:val="28"/>
          <w:szCs w:val="28"/>
          <w:u w:val="single"/>
          <w:lang w:val="en" w:eastAsia="zh-CN"/>
        </w:rPr>
        <w:t xml:space="preserve">   </w:t>
      </w:r>
      <w:r>
        <w:rPr>
          <w:rFonts w:hint="default" w:ascii="Times New Roman" w:hAnsi="Times New Roman" w:eastAsia="仿宋_GB2312" w:cs="Times New Roman"/>
          <w:color w:val="auto"/>
          <w:sz w:val="28"/>
          <w:szCs w:val="28"/>
          <w:lang w:eastAsia="zh-CN"/>
        </w:rPr>
        <w:t>月</w:t>
      </w:r>
      <w:r>
        <w:rPr>
          <w:rFonts w:hint="default" w:ascii="Times New Roman" w:hAnsi="Times New Roman" w:eastAsia="仿宋_GB2312" w:cs="Times New Roman"/>
          <w:color w:val="auto"/>
          <w:sz w:val="28"/>
          <w:szCs w:val="28"/>
          <w:u w:val="single"/>
          <w:lang w:val="en" w:eastAsia="zh-CN"/>
        </w:rPr>
        <w:t xml:space="preserve">   </w:t>
      </w:r>
      <w:r>
        <w:rPr>
          <w:rFonts w:hint="default" w:ascii="Times New Roman" w:hAnsi="Times New Roman" w:eastAsia="仿宋_GB2312" w:cs="Times New Roman"/>
          <w:color w:val="auto"/>
          <w:sz w:val="28"/>
          <w:szCs w:val="28"/>
          <w:lang w:eastAsia="zh-CN"/>
        </w:rPr>
        <w:t>日</w:t>
      </w:r>
    </w:p>
    <w:p w14:paraId="6029250B">
      <w:pPr>
        <w:pStyle w:val="102"/>
        <w:rPr>
          <w:rFonts w:hint="default" w:ascii="Times New Roman" w:hAnsi="Times New Roman" w:eastAsia="仿宋_GB2312" w:cs="Times New Roman"/>
          <w:color w:val="auto"/>
          <w:kern w:val="2"/>
          <w:sz w:val="28"/>
          <w:szCs w:val="28"/>
          <w:lang w:val="en-US" w:eastAsia="zh-CN"/>
        </w:rPr>
      </w:pPr>
    </w:p>
    <w:p w14:paraId="257F04C5">
      <w:pPr>
        <w:pStyle w:val="102"/>
        <w:rPr>
          <w:rFonts w:hint="default" w:ascii="Times New Roman" w:hAnsi="Times New Roman" w:cs="Times New Roman"/>
          <w:color w:val="auto"/>
          <w:sz w:val="28"/>
          <w:szCs w:val="28"/>
          <w:lang w:val="en-US" w:eastAsia="zh-CN"/>
        </w:rPr>
      </w:pPr>
    </w:p>
    <w:p w14:paraId="14E6B104">
      <w:pPr>
        <w:pStyle w:val="102"/>
        <w:rPr>
          <w:rFonts w:hint="default" w:ascii="Times New Roman" w:hAnsi="Times New Roman" w:cs="Times New Roman"/>
          <w:color w:val="auto"/>
          <w:sz w:val="28"/>
          <w:szCs w:val="28"/>
          <w:lang w:eastAsia="zh-CN"/>
        </w:rPr>
      </w:pPr>
    </w:p>
    <w:p w14:paraId="7121A9D0">
      <w:pPr>
        <w:pStyle w:val="102"/>
        <w:rPr>
          <w:rFonts w:hint="default" w:ascii="Times New Roman" w:hAnsi="Times New Roman" w:cs="Times New Roman"/>
          <w:color w:val="auto"/>
          <w:sz w:val="28"/>
          <w:szCs w:val="28"/>
          <w:lang w:eastAsia="zh-CN"/>
        </w:rPr>
      </w:pPr>
    </w:p>
    <w:p w14:paraId="337C75B8">
      <w:pPr>
        <w:spacing w:before="100" w:after="100" w:line="360" w:lineRule="auto"/>
        <w:jc w:val="left"/>
        <w:rPr>
          <w:rFonts w:hint="default" w:ascii="Times New Roman" w:hAnsi="Times New Roman" w:eastAsia="仿宋_GB2312" w:cs="Times New Roman"/>
          <w:color w:val="auto"/>
          <w:kern w:val="0"/>
          <w:sz w:val="28"/>
          <w:szCs w:val="28"/>
          <w:lang w:eastAsia="zh-CN"/>
        </w:rPr>
      </w:pPr>
    </w:p>
    <w:p w14:paraId="48BCCFB6">
      <w:pPr>
        <w:spacing w:before="100" w:after="100" w:line="360" w:lineRule="auto"/>
        <w:jc w:val="left"/>
        <w:rPr>
          <w:rFonts w:hint="default" w:ascii="Times New Roman" w:hAnsi="Times New Roman" w:eastAsia="仿宋_GB2312" w:cs="Times New Roman"/>
          <w:color w:val="auto"/>
          <w:kern w:val="0"/>
          <w:sz w:val="28"/>
          <w:szCs w:val="28"/>
          <w:lang w:eastAsia="zh-CN"/>
        </w:rPr>
      </w:pPr>
      <w:r>
        <w:rPr>
          <w:rFonts w:ascii="Times New Roman" w:hAnsi="Times New Roman" w:eastAsia="仿宋_GB2312" w:cs="Times New Roman"/>
          <w:color w:val="auto"/>
          <w:kern w:val="0"/>
          <w:sz w:val="28"/>
          <w:szCs w:val="28"/>
          <w:lang w:eastAsia="zh-CN"/>
        </w:rPr>
        <w:t>说明：</w:t>
      </w:r>
    </w:p>
    <w:p w14:paraId="0E7957FB">
      <w:pPr>
        <w:pStyle w:val="168"/>
        <w:tabs>
          <w:tab w:val="left" w:pos="5580"/>
        </w:tabs>
        <w:spacing w:line="360" w:lineRule="auto"/>
        <w:ind w:firstLine="560" w:firstLineChars="200"/>
        <w:rPr>
          <w:rFonts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rPr>
        <w:t>1.根据《中华人民共和国政府采购法实施条例》：</w:t>
      </w:r>
      <w:r>
        <w:rPr>
          <w:rFonts w:ascii="Times New Roman" w:hAnsi="Times New Roman" w:eastAsia="仿宋_GB2312" w:cs="Times New Roman"/>
          <w:color w:val="auto"/>
          <w:sz w:val="28"/>
          <w:szCs w:val="28"/>
        </w:rPr>
        <w:t>单位负责人为同一人或者存在直接控股、管理关系的不同供应商，不得参加同一合同项下的政府采购活动。</w:t>
      </w:r>
    </w:p>
    <w:p w14:paraId="6030EA02">
      <w:pPr>
        <w:pStyle w:val="168"/>
        <w:tabs>
          <w:tab w:val="left" w:pos="5580"/>
        </w:tabs>
        <w:spacing w:line="360" w:lineRule="auto"/>
        <w:ind w:firstLine="560" w:firstLineChars="200"/>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rPr>
        <w:t>2.</w:t>
      </w:r>
      <w:r>
        <w:rPr>
          <w:rFonts w:hint="eastAsia" w:ascii="Times New Roman" w:hAnsi="Times New Roman" w:eastAsia="仿宋_GB2312" w:cs="Times New Roman"/>
          <w:color w:val="auto"/>
          <w:sz w:val="28"/>
          <w:szCs w:val="28"/>
        </w:rPr>
        <w:t>供应商</w:t>
      </w:r>
      <w:r>
        <w:rPr>
          <w:rFonts w:ascii="Times New Roman" w:hAnsi="Times New Roman" w:eastAsia="仿宋_GB2312" w:cs="Times New Roman"/>
          <w:color w:val="auto"/>
          <w:sz w:val="28"/>
          <w:szCs w:val="28"/>
        </w:rPr>
        <w:t>须如实说明与本单位存在如下关系的单位名单并写明关系类型：单位负责人为同一人或者存在直接控股、管理关系。</w:t>
      </w:r>
    </w:p>
    <w:p w14:paraId="4F8E46E9">
      <w:pPr>
        <w:pStyle w:val="168"/>
        <w:tabs>
          <w:tab w:val="left" w:pos="5580"/>
        </w:tabs>
        <w:spacing w:line="360" w:lineRule="auto"/>
        <w:ind w:firstLine="560" w:firstLineChars="200"/>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rPr>
        <w:t>3.</w:t>
      </w:r>
      <w:r>
        <w:rPr>
          <w:rFonts w:hint="eastAsia" w:ascii="Times New Roman" w:hAnsi="Times New Roman" w:eastAsia="仿宋_GB2312" w:cs="Times New Roman"/>
          <w:color w:val="auto"/>
          <w:sz w:val="28"/>
          <w:szCs w:val="28"/>
        </w:rPr>
        <w:t>提供</w:t>
      </w:r>
      <w:r>
        <w:rPr>
          <w:rFonts w:ascii="Times New Roman" w:hAnsi="Times New Roman" w:eastAsia="仿宋_GB2312" w:cs="Times New Roman"/>
          <w:color w:val="auto"/>
          <w:sz w:val="28"/>
          <w:szCs w:val="28"/>
        </w:rPr>
        <w:t>虚假说明的，后果自负。</w:t>
      </w:r>
    </w:p>
    <w:p w14:paraId="20433FF9">
      <w:pPr>
        <w:spacing w:line="360" w:lineRule="auto"/>
        <w:ind w:firstLine="560" w:firstLineChars="200"/>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eastAsia="zh-CN"/>
        </w:rPr>
        <w:t>4.如果是联合体磋商，联合体各方均需提供上述材料。</w:t>
      </w:r>
    </w:p>
    <w:p w14:paraId="11F31BEE">
      <w:pPr>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eastAsia="zh-CN"/>
        </w:rPr>
        <w:br w:type="page"/>
      </w:r>
    </w:p>
    <w:p w14:paraId="527BC760">
      <w:pPr>
        <w:spacing w:line="500" w:lineRule="exact"/>
        <w:jc w:val="center"/>
        <w:outlineLvl w:val="1"/>
        <w:rPr>
          <w:rFonts w:hint="default" w:ascii="微软雅黑" w:hAnsi="Times New Roman" w:eastAsia="微软雅黑" w:cs="Times New Roman"/>
          <w:bCs/>
          <w:color w:val="auto"/>
          <w:sz w:val="30"/>
          <w:szCs w:val="30"/>
          <w:lang w:val="en-US" w:eastAsia="zh-CN"/>
        </w:rPr>
      </w:pPr>
      <w:r>
        <w:rPr>
          <w:rFonts w:ascii="微软雅黑" w:hAnsi="Times New Roman" w:eastAsia="微软雅黑" w:cs="Times New Roman"/>
          <w:bCs/>
          <w:color w:val="auto"/>
          <w:sz w:val="30"/>
          <w:szCs w:val="30"/>
          <w:lang w:val="en-US" w:eastAsia="zh-CN"/>
        </w:rPr>
        <w:t>十五、</w:t>
      </w:r>
      <w:r>
        <w:rPr>
          <w:rFonts w:hint="default" w:ascii="微软雅黑" w:hAnsi="Times New Roman" w:eastAsia="微软雅黑" w:cs="Times New Roman"/>
          <w:bCs/>
          <w:color w:val="auto"/>
          <w:sz w:val="30"/>
          <w:szCs w:val="30"/>
          <w:lang w:val="en-US" w:eastAsia="zh-CN"/>
        </w:rPr>
        <w:t>产品适用政府采购政策情况表（节能、环保）</w:t>
      </w:r>
    </w:p>
    <w:tbl>
      <w:tblPr>
        <w:tblStyle w:val="5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3"/>
        <w:gridCol w:w="1675"/>
        <w:gridCol w:w="897"/>
        <w:gridCol w:w="1042"/>
        <w:gridCol w:w="1309"/>
        <w:gridCol w:w="19"/>
        <w:gridCol w:w="18"/>
        <w:gridCol w:w="719"/>
        <w:gridCol w:w="19"/>
        <w:gridCol w:w="847"/>
        <w:gridCol w:w="847"/>
      </w:tblGrid>
      <w:tr w14:paraId="37AEB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550" w:type="pct"/>
            <w:vMerge w:val="restart"/>
            <w:vAlign w:val="center"/>
          </w:tcPr>
          <w:p w14:paraId="2A99D3C0">
            <w:pPr>
              <w:pStyle w:val="216"/>
              <w:tabs>
                <w:tab w:val="left" w:pos="1260"/>
              </w:tabs>
              <w:spacing w:line="400" w:lineRule="exact"/>
              <w:jc w:val="center"/>
              <w:rPr>
                <w:lang w:val="en-GB"/>
              </w:rPr>
            </w:pPr>
            <w:r>
              <w:rPr>
                <w:lang w:val="en-GB"/>
              </w:rPr>
              <w:t>节能产品</w:t>
            </w:r>
          </w:p>
        </w:tc>
        <w:tc>
          <w:tcPr>
            <w:tcW w:w="1022" w:type="pct"/>
            <w:vAlign w:val="center"/>
          </w:tcPr>
          <w:p w14:paraId="6A5D3C3F">
            <w:pPr>
              <w:pStyle w:val="216"/>
              <w:tabs>
                <w:tab w:val="left" w:pos="1260"/>
              </w:tabs>
              <w:spacing w:line="400" w:lineRule="exact"/>
              <w:jc w:val="center"/>
              <w:rPr>
                <w:lang w:val="en-GB"/>
              </w:rPr>
            </w:pPr>
            <w:r>
              <w:rPr>
                <w:lang w:val="en-GB"/>
              </w:rPr>
              <w:t>1、优先采购</w:t>
            </w:r>
          </w:p>
          <w:p w14:paraId="15DD3261">
            <w:pPr>
              <w:pStyle w:val="216"/>
              <w:tabs>
                <w:tab w:val="left" w:pos="1260"/>
              </w:tabs>
              <w:spacing w:line="400" w:lineRule="exact"/>
              <w:jc w:val="center"/>
              <w:rPr>
                <w:lang w:val="en-GB"/>
              </w:rPr>
            </w:pPr>
            <w:r>
              <w:rPr>
                <w:lang w:val="en-GB"/>
              </w:rPr>
              <w:t>产品名称</w:t>
            </w:r>
          </w:p>
        </w:tc>
        <w:tc>
          <w:tcPr>
            <w:tcW w:w="547" w:type="pct"/>
            <w:vAlign w:val="center"/>
          </w:tcPr>
          <w:p w14:paraId="61E25F85">
            <w:pPr>
              <w:pStyle w:val="216"/>
              <w:tabs>
                <w:tab w:val="left" w:pos="1260"/>
              </w:tabs>
              <w:spacing w:line="400" w:lineRule="exact"/>
              <w:jc w:val="center"/>
              <w:rPr>
                <w:lang w:val="en-GB"/>
              </w:rPr>
            </w:pPr>
            <w:r>
              <w:rPr>
                <w:lang w:val="en-GB"/>
              </w:rPr>
              <w:t>品牌、型号</w:t>
            </w:r>
          </w:p>
        </w:tc>
        <w:tc>
          <w:tcPr>
            <w:tcW w:w="640" w:type="pct"/>
            <w:vAlign w:val="center"/>
          </w:tcPr>
          <w:p w14:paraId="44775891">
            <w:pPr>
              <w:pStyle w:val="216"/>
              <w:tabs>
                <w:tab w:val="left" w:pos="1260"/>
              </w:tabs>
              <w:spacing w:line="400" w:lineRule="exact"/>
              <w:jc w:val="center"/>
              <w:rPr>
                <w:lang w:val="en-GB"/>
              </w:rPr>
            </w:pPr>
            <w:r>
              <w:rPr>
                <w:lang w:val="en-GB"/>
              </w:rPr>
              <w:t>制造商</w:t>
            </w:r>
          </w:p>
        </w:tc>
        <w:tc>
          <w:tcPr>
            <w:tcW w:w="801" w:type="pct"/>
            <w:vAlign w:val="center"/>
          </w:tcPr>
          <w:p w14:paraId="318D980E">
            <w:pPr>
              <w:pStyle w:val="216"/>
              <w:tabs>
                <w:tab w:val="left" w:pos="1260"/>
              </w:tabs>
              <w:spacing w:line="400" w:lineRule="exact"/>
              <w:jc w:val="center"/>
              <w:rPr>
                <w:lang w:val="en-GB"/>
              </w:rPr>
            </w:pPr>
            <w:r>
              <w:rPr>
                <w:lang w:val="en-GB"/>
              </w:rPr>
              <w:t>认证证书编号</w:t>
            </w:r>
          </w:p>
        </w:tc>
        <w:tc>
          <w:tcPr>
            <w:tcW w:w="489" w:type="pct"/>
            <w:gridSpan w:val="3"/>
            <w:vAlign w:val="center"/>
          </w:tcPr>
          <w:p w14:paraId="200F21B6">
            <w:pPr>
              <w:spacing w:line="400" w:lineRule="exact"/>
              <w:jc w:val="center"/>
              <w:rPr>
                <w:rFonts w:hint="default" w:ascii="Times New Roman" w:hAnsi="Times New Roman" w:cs="Times New Roman"/>
                <w:color w:val="auto"/>
              </w:rPr>
            </w:pPr>
            <w:r>
              <w:rPr>
                <w:rFonts w:hint="default" w:ascii="Times New Roman" w:hAnsi="Times New Roman" w:cs="Times New Roman"/>
                <w:color w:val="auto"/>
              </w:rPr>
              <w:t>数量</w:t>
            </w:r>
          </w:p>
        </w:tc>
        <w:tc>
          <w:tcPr>
            <w:tcW w:w="506" w:type="pct"/>
            <w:gridSpan w:val="2"/>
            <w:vAlign w:val="center"/>
          </w:tcPr>
          <w:p w14:paraId="7F8D07AC">
            <w:pPr>
              <w:spacing w:line="400" w:lineRule="exact"/>
              <w:jc w:val="center"/>
              <w:rPr>
                <w:rFonts w:hint="default" w:ascii="Times New Roman" w:hAnsi="Times New Roman" w:cs="Times New Roman"/>
                <w:color w:val="auto"/>
              </w:rPr>
            </w:pPr>
            <w:r>
              <w:rPr>
                <w:rFonts w:hint="default" w:ascii="Times New Roman" w:hAnsi="Times New Roman" w:cs="Times New Roman"/>
                <w:color w:val="auto"/>
              </w:rPr>
              <w:t>单价</w:t>
            </w:r>
            <w:r>
              <w:rPr>
                <w:rFonts w:hint="default" w:ascii="Times New Roman" w:hAnsi="Times New Roman" w:cs="Times New Roman"/>
                <w:color w:val="auto"/>
                <w:lang w:val="en-GB"/>
              </w:rPr>
              <w:t>（元）</w:t>
            </w:r>
          </w:p>
        </w:tc>
        <w:tc>
          <w:tcPr>
            <w:tcW w:w="441" w:type="pct"/>
            <w:vAlign w:val="center"/>
          </w:tcPr>
          <w:p w14:paraId="606C5967">
            <w:pPr>
              <w:pStyle w:val="216"/>
              <w:tabs>
                <w:tab w:val="left" w:pos="1260"/>
              </w:tabs>
              <w:spacing w:line="400" w:lineRule="exact"/>
              <w:jc w:val="center"/>
              <w:rPr>
                <w:lang w:val="en-GB"/>
              </w:rPr>
            </w:pPr>
            <w:r>
              <w:rPr>
                <w:lang w:val="en-GB"/>
              </w:rPr>
              <w:t>合计（元）</w:t>
            </w:r>
          </w:p>
        </w:tc>
      </w:tr>
      <w:tr w14:paraId="187B4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550" w:type="pct"/>
            <w:vMerge w:val="continue"/>
            <w:vAlign w:val="center"/>
          </w:tcPr>
          <w:p w14:paraId="43D9FA8B">
            <w:pPr>
              <w:pStyle w:val="216"/>
              <w:tabs>
                <w:tab w:val="left" w:pos="1260"/>
              </w:tabs>
              <w:spacing w:line="400" w:lineRule="exact"/>
              <w:jc w:val="center"/>
              <w:rPr>
                <w:lang w:val="en-GB"/>
              </w:rPr>
            </w:pPr>
          </w:p>
        </w:tc>
        <w:tc>
          <w:tcPr>
            <w:tcW w:w="1022" w:type="pct"/>
            <w:vAlign w:val="center"/>
          </w:tcPr>
          <w:p w14:paraId="1C6D6CB5">
            <w:pPr>
              <w:pStyle w:val="216"/>
              <w:tabs>
                <w:tab w:val="left" w:pos="1260"/>
              </w:tabs>
              <w:spacing w:line="400" w:lineRule="exact"/>
              <w:jc w:val="center"/>
              <w:rPr>
                <w:lang w:val="en-GB"/>
              </w:rPr>
            </w:pPr>
          </w:p>
        </w:tc>
        <w:tc>
          <w:tcPr>
            <w:tcW w:w="547" w:type="pct"/>
            <w:vAlign w:val="center"/>
          </w:tcPr>
          <w:p w14:paraId="2CF016CD">
            <w:pPr>
              <w:pStyle w:val="216"/>
              <w:tabs>
                <w:tab w:val="left" w:pos="1260"/>
              </w:tabs>
              <w:spacing w:line="400" w:lineRule="exact"/>
              <w:jc w:val="center"/>
              <w:rPr>
                <w:lang w:val="en-GB"/>
              </w:rPr>
            </w:pPr>
          </w:p>
        </w:tc>
        <w:tc>
          <w:tcPr>
            <w:tcW w:w="640" w:type="pct"/>
            <w:vAlign w:val="center"/>
          </w:tcPr>
          <w:p w14:paraId="11A76F0C">
            <w:pPr>
              <w:pStyle w:val="216"/>
              <w:tabs>
                <w:tab w:val="left" w:pos="1260"/>
              </w:tabs>
              <w:spacing w:line="400" w:lineRule="exact"/>
              <w:jc w:val="center"/>
              <w:rPr>
                <w:lang w:val="en-GB"/>
              </w:rPr>
            </w:pPr>
          </w:p>
        </w:tc>
        <w:tc>
          <w:tcPr>
            <w:tcW w:w="801" w:type="pct"/>
            <w:vAlign w:val="center"/>
          </w:tcPr>
          <w:p w14:paraId="5F5BD827">
            <w:pPr>
              <w:pStyle w:val="216"/>
              <w:tabs>
                <w:tab w:val="left" w:pos="1260"/>
              </w:tabs>
              <w:spacing w:line="400" w:lineRule="exact"/>
              <w:jc w:val="center"/>
              <w:rPr>
                <w:lang w:val="en-GB"/>
              </w:rPr>
            </w:pPr>
          </w:p>
        </w:tc>
        <w:tc>
          <w:tcPr>
            <w:tcW w:w="489" w:type="pct"/>
            <w:gridSpan w:val="3"/>
            <w:vAlign w:val="center"/>
          </w:tcPr>
          <w:p w14:paraId="6180443B">
            <w:pPr>
              <w:pStyle w:val="216"/>
              <w:tabs>
                <w:tab w:val="left" w:pos="1260"/>
              </w:tabs>
              <w:spacing w:line="400" w:lineRule="exact"/>
              <w:jc w:val="center"/>
              <w:rPr>
                <w:lang w:val="en-GB"/>
              </w:rPr>
            </w:pPr>
          </w:p>
        </w:tc>
        <w:tc>
          <w:tcPr>
            <w:tcW w:w="506" w:type="pct"/>
            <w:gridSpan w:val="2"/>
            <w:vAlign w:val="center"/>
          </w:tcPr>
          <w:p w14:paraId="10C67323">
            <w:pPr>
              <w:pStyle w:val="216"/>
              <w:tabs>
                <w:tab w:val="left" w:pos="1260"/>
              </w:tabs>
              <w:spacing w:line="400" w:lineRule="exact"/>
              <w:jc w:val="center"/>
              <w:rPr>
                <w:lang w:val="en-GB"/>
              </w:rPr>
            </w:pPr>
          </w:p>
        </w:tc>
        <w:tc>
          <w:tcPr>
            <w:tcW w:w="441" w:type="pct"/>
            <w:vAlign w:val="center"/>
          </w:tcPr>
          <w:p w14:paraId="283BC82E">
            <w:pPr>
              <w:pStyle w:val="216"/>
              <w:tabs>
                <w:tab w:val="left" w:pos="1260"/>
              </w:tabs>
              <w:spacing w:line="400" w:lineRule="exact"/>
              <w:jc w:val="center"/>
              <w:rPr>
                <w:lang w:val="en-GB"/>
              </w:rPr>
            </w:pPr>
          </w:p>
        </w:tc>
      </w:tr>
      <w:tr w14:paraId="2A214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0" w:type="pct"/>
            <w:vMerge w:val="continue"/>
            <w:vAlign w:val="center"/>
          </w:tcPr>
          <w:p w14:paraId="4C03DB7B">
            <w:pPr>
              <w:pStyle w:val="216"/>
              <w:tabs>
                <w:tab w:val="left" w:pos="1260"/>
              </w:tabs>
              <w:spacing w:line="400" w:lineRule="exact"/>
              <w:jc w:val="center"/>
              <w:rPr>
                <w:lang w:val="en-GB"/>
              </w:rPr>
            </w:pPr>
          </w:p>
        </w:tc>
        <w:tc>
          <w:tcPr>
            <w:tcW w:w="1022" w:type="pct"/>
            <w:vAlign w:val="center"/>
          </w:tcPr>
          <w:p w14:paraId="4B07CA1C">
            <w:pPr>
              <w:pStyle w:val="216"/>
              <w:tabs>
                <w:tab w:val="left" w:pos="1260"/>
              </w:tabs>
              <w:spacing w:line="400" w:lineRule="exact"/>
              <w:jc w:val="center"/>
              <w:rPr>
                <w:lang w:val="en-GB"/>
              </w:rPr>
            </w:pPr>
          </w:p>
        </w:tc>
        <w:tc>
          <w:tcPr>
            <w:tcW w:w="547" w:type="pct"/>
            <w:vAlign w:val="center"/>
          </w:tcPr>
          <w:p w14:paraId="04E17881">
            <w:pPr>
              <w:pStyle w:val="216"/>
              <w:tabs>
                <w:tab w:val="left" w:pos="1260"/>
              </w:tabs>
              <w:spacing w:line="400" w:lineRule="exact"/>
              <w:jc w:val="center"/>
              <w:rPr>
                <w:lang w:val="en-GB"/>
              </w:rPr>
            </w:pPr>
          </w:p>
        </w:tc>
        <w:tc>
          <w:tcPr>
            <w:tcW w:w="640" w:type="pct"/>
            <w:vAlign w:val="center"/>
          </w:tcPr>
          <w:p w14:paraId="58D8A8A8">
            <w:pPr>
              <w:pStyle w:val="216"/>
              <w:tabs>
                <w:tab w:val="left" w:pos="1260"/>
              </w:tabs>
              <w:spacing w:line="400" w:lineRule="exact"/>
              <w:jc w:val="center"/>
              <w:rPr>
                <w:lang w:val="en-GB"/>
              </w:rPr>
            </w:pPr>
          </w:p>
        </w:tc>
        <w:tc>
          <w:tcPr>
            <w:tcW w:w="801" w:type="pct"/>
            <w:vAlign w:val="center"/>
          </w:tcPr>
          <w:p w14:paraId="0ACB0CED">
            <w:pPr>
              <w:pStyle w:val="216"/>
              <w:tabs>
                <w:tab w:val="left" w:pos="1260"/>
              </w:tabs>
              <w:spacing w:line="400" w:lineRule="exact"/>
              <w:jc w:val="center"/>
              <w:rPr>
                <w:lang w:val="en-GB"/>
              </w:rPr>
            </w:pPr>
          </w:p>
        </w:tc>
        <w:tc>
          <w:tcPr>
            <w:tcW w:w="489" w:type="pct"/>
            <w:gridSpan w:val="3"/>
            <w:vAlign w:val="center"/>
          </w:tcPr>
          <w:p w14:paraId="2ABB960C">
            <w:pPr>
              <w:pStyle w:val="216"/>
              <w:tabs>
                <w:tab w:val="left" w:pos="1260"/>
              </w:tabs>
              <w:spacing w:line="400" w:lineRule="exact"/>
              <w:jc w:val="center"/>
              <w:rPr>
                <w:lang w:val="en-GB"/>
              </w:rPr>
            </w:pPr>
          </w:p>
        </w:tc>
        <w:tc>
          <w:tcPr>
            <w:tcW w:w="506" w:type="pct"/>
            <w:gridSpan w:val="2"/>
            <w:vAlign w:val="center"/>
          </w:tcPr>
          <w:p w14:paraId="79781BCE">
            <w:pPr>
              <w:pStyle w:val="216"/>
              <w:tabs>
                <w:tab w:val="left" w:pos="1260"/>
              </w:tabs>
              <w:spacing w:line="400" w:lineRule="exact"/>
              <w:jc w:val="center"/>
              <w:rPr>
                <w:lang w:val="en-GB"/>
              </w:rPr>
            </w:pPr>
          </w:p>
        </w:tc>
        <w:tc>
          <w:tcPr>
            <w:tcW w:w="441" w:type="pct"/>
            <w:vAlign w:val="center"/>
          </w:tcPr>
          <w:p w14:paraId="0FCF98B0">
            <w:pPr>
              <w:pStyle w:val="216"/>
              <w:tabs>
                <w:tab w:val="left" w:pos="1260"/>
              </w:tabs>
              <w:spacing w:line="400" w:lineRule="exact"/>
              <w:jc w:val="center"/>
              <w:rPr>
                <w:lang w:val="en-GB"/>
              </w:rPr>
            </w:pPr>
          </w:p>
        </w:tc>
      </w:tr>
      <w:tr w14:paraId="4CA49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550" w:type="pct"/>
            <w:vMerge w:val="continue"/>
            <w:vAlign w:val="center"/>
          </w:tcPr>
          <w:p w14:paraId="5A7971A0">
            <w:pPr>
              <w:pStyle w:val="216"/>
              <w:tabs>
                <w:tab w:val="left" w:pos="1260"/>
              </w:tabs>
              <w:spacing w:line="400" w:lineRule="exact"/>
              <w:jc w:val="center"/>
              <w:rPr>
                <w:lang w:val="en-GB"/>
              </w:rPr>
            </w:pPr>
          </w:p>
        </w:tc>
        <w:tc>
          <w:tcPr>
            <w:tcW w:w="4007" w:type="pct"/>
            <w:gridSpan w:val="9"/>
            <w:vAlign w:val="center"/>
          </w:tcPr>
          <w:p w14:paraId="0008FBCB">
            <w:pPr>
              <w:pStyle w:val="216"/>
              <w:tabs>
                <w:tab w:val="left" w:pos="1260"/>
              </w:tabs>
              <w:spacing w:line="400" w:lineRule="exact"/>
              <w:jc w:val="center"/>
              <w:rPr>
                <w:lang w:val="en-GB"/>
              </w:rPr>
            </w:pPr>
            <w:r>
              <w:rPr>
                <w:lang w:val="en-GB"/>
              </w:rPr>
              <w:t>优先采购节能产品金额总计（元）</w:t>
            </w:r>
          </w:p>
        </w:tc>
        <w:tc>
          <w:tcPr>
            <w:tcW w:w="441" w:type="pct"/>
            <w:vAlign w:val="center"/>
          </w:tcPr>
          <w:p w14:paraId="73B0471A">
            <w:pPr>
              <w:pStyle w:val="216"/>
              <w:tabs>
                <w:tab w:val="left" w:pos="1260"/>
              </w:tabs>
              <w:spacing w:line="400" w:lineRule="exact"/>
              <w:jc w:val="center"/>
              <w:rPr>
                <w:lang w:val="en-GB"/>
              </w:rPr>
            </w:pPr>
          </w:p>
        </w:tc>
      </w:tr>
      <w:tr w14:paraId="0E6EC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0" w:type="pct"/>
            <w:vMerge w:val="continue"/>
            <w:vAlign w:val="center"/>
          </w:tcPr>
          <w:p w14:paraId="6267CEBA">
            <w:pPr>
              <w:pStyle w:val="216"/>
              <w:tabs>
                <w:tab w:val="left" w:pos="1260"/>
              </w:tabs>
              <w:spacing w:line="400" w:lineRule="exact"/>
              <w:jc w:val="center"/>
              <w:rPr>
                <w:lang w:val="en-GB"/>
              </w:rPr>
            </w:pPr>
          </w:p>
        </w:tc>
        <w:tc>
          <w:tcPr>
            <w:tcW w:w="1022" w:type="pct"/>
            <w:vAlign w:val="center"/>
          </w:tcPr>
          <w:p w14:paraId="43728FC9">
            <w:pPr>
              <w:pStyle w:val="216"/>
              <w:tabs>
                <w:tab w:val="left" w:pos="1260"/>
              </w:tabs>
              <w:spacing w:line="400" w:lineRule="exact"/>
              <w:jc w:val="center"/>
              <w:rPr>
                <w:lang w:val="en-GB"/>
              </w:rPr>
            </w:pPr>
            <w:r>
              <w:rPr>
                <w:lang w:val="en-GB"/>
              </w:rPr>
              <w:t>2、强制采购</w:t>
            </w:r>
          </w:p>
          <w:p w14:paraId="1D02E02C">
            <w:pPr>
              <w:pStyle w:val="216"/>
              <w:tabs>
                <w:tab w:val="left" w:pos="1260"/>
              </w:tabs>
              <w:spacing w:line="400" w:lineRule="exact"/>
              <w:jc w:val="center"/>
              <w:rPr>
                <w:lang w:val="en-GB"/>
              </w:rPr>
            </w:pPr>
            <w:r>
              <w:rPr>
                <w:lang w:val="en-GB"/>
              </w:rPr>
              <w:t>产品名称</w:t>
            </w:r>
          </w:p>
        </w:tc>
        <w:tc>
          <w:tcPr>
            <w:tcW w:w="547" w:type="pct"/>
            <w:vAlign w:val="center"/>
          </w:tcPr>
          <w:p w14:paraId="125EBCC6">
            <w:pPr>
              <w:pStyle w:val="216"/>
              <w:tabs>
                <w:tab w:val="left" w:pos="1260"/>
              </w:tabs>
              <w:spacing w:line="400" w:lineRule="exact"/>
              <w:jc w:val="center"/>
              <w:rPr>
                <w:lang w:val="en-GB"/>
              </w:rPr>
            </w:pPr>
            <w:r>
              <w:rPr>
                <w:lang w:val="en-GB"/>
              </w:rPr>
              <w:t>品牌、型号</w:t>
            </w:r>
          </w:p>
        </w:tc>
        <w:tc>
          <w:tcPr>
            <w:tcW w:w="640" w:type="pct"/>
            <w:vAlign w:val="center"/>
          </w:tcPr>
          <w:p w14:paraId="577CA1AA">
            <w:pPr>
              <w:pStyle w:val="216"/>
              <w:tabs>
                <w:tab w:val="left" w:pos="1260"/>
              </w:tabs>
              <w:spacing w:line="400" w:lineRule="exact"/>
              <w:jc w:val="center"/>
              <w:rPr>
                <w:lang w:val="en-GB"/>
              </w:rPr>
            </w:pPr>
            <w:r>
              <w:rPr>
                <w:lang w:val="en-GB"/>
              </w:rPr>
              <w:t>制造商</w:t>
            </w:r>
          </w:p>
        </w:tc>
        <w:tc>
          <w:tcPr>
            <w:tcW w:w="823" w:type="pct"/>
            <w:gridSpan w:val="2"/>
            <w:vAlign w:val="center"/>
          </w:tcPr>
          <w:p w14:paraId="6352D743">
            <w:pPr>
              <w:pStyle w:val="216"/>
              <w:tabs>
                <w:tab w:val="left" w:pos="1260"/>
              </w:tabs>
              <w:spacing w:line="400" w:lineRule="exact"/>
              <w:jc w:val="center"/>
              <w:rPr>
                <w:lang w:val="en-GB"/>
              </w:rPr>
            </w:pPr>
            <w:r>
              <w:rPr>
                <w:lang w:val="en-GB"/>
              </w:rPr>
              <w:t>认证证书编号</w:t>
            </w:r>
          </w:p>
        </w:tc>
        <w:tc>
          <w:tcPr>
            <w:tcW w:w="484" w:type="pct"/>
            <w:gridSpan w:val="3"/>
            <w:vAlign w:val="center"/>
          </w:tcPr>
          <w:p w14:paraId="7C1923BE">
            <w:pPr>
              <w:spacing w:line="400" w:lineRule="exact"/>
              <w:jc w:val="center"/>
              <w:rPr>
                <w:rFonts w:hint="default" w:ascii="Times New Roman" w:hAnsi="Times New Roman" w:cs="Times New Roman"/>
                <w:color w:val="auto"/>
              </w:rPr>
            </w:pPr>
            <w:r>
              <w:rPr>
                <w:rFonts w:hint="default" w:ascii="Times New Roman" w:hAnsi="Times New Roman" w:cs="Times New Roman"/>
                <w:color w:val="auto"/>
              </w:rPr>
              <w:t>数量</w:t>
            </w:r>
          </w:p>
        </w:tc>
        <w:tc>
          <w:tcPr>
            <w:tcW w:w="490" w:type="pct"/>
            <w:vAlign w:val="center"/>
          </w:tcPr>
          <w:p w14:paraId="6B7D1A45">
            <w:pPr>
              <w:spacing w:line="400" w:lineRule="exact"/>
              <w:jc w:val="center"/>
              <w:rPr>
                <w:rFonts w:hint="default" w:ascii="Times New Roman" w:hAnsi="Times New Roman" w:cs="Times New Roman"/>
                <w:color w:val="auto"/>
              </w:rPr>
            </w:pPr>
            <w:r>
              <w:rPr>
                <w:rFonts w:hint="default" w:ascii="Times New Roman" w:hAnsi="Times New Roman" w:cs="Times New Roman"/>
                <w:color w:val="auto"/>
              </w:rPr>
              <w:t>单价</w:t>
            </w:r>
            <w:r>
              <w:rPr>
                <w:rFonts w:hint="default" w:ascii="Times New Roman" w:hAnsi="Times New Roman" w:cs="Times New Roman"/>
                <w:color w:val="auto"/>
                <w:lang w:val="en-GB"/>
              </w:rPr>
              <w:t>（元）</w:t>
            </w:r>
          </w:p>
        </w:tc>
        <w:tc>
          <w:tcPr>
            <w:tcW w:w="441" w:type="pct"/>
            <w:vAlign w:val="center"/>
          </w:tcPr>
          <w:p w14:paraId="3965B8C9">
            <w:pPr>
              <w:pStyle w:val="216"/>
              <w:tabs>
                <w:tab w:val="left" w:pos="1260"/>
              </w:tabs>
              <w:spacing w:line="400" w:lineRule="exact"/>
              <w:jc w:val="center"/>
              <w:rPr>
                <w:lang w:val="en-GB"/>
              </w:rPr>
            </w:pPr>
            <w:r>
              <w:rPr>
                <w:lang w:val="en-GB"/>
              </w:rPr>
              <w:t>合计（元）</w:t>
            </w:r>
          </w:p>
        </w:tc>
      </w:tr>
      <w:tr w14:paraId="4D22A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550" w:type="pct"/>
            <w:vMerge w:val="continue"/>
            <w:vAlign w:val="center"/>
          </w:tcPr>
          <w:p w14:paraId="4B5264F9">
            <w:pPr>
              <w:pStyle w:val="216"/>
              <w:tabs>
                <w:tab w:val="left" w:pos="1260"/>
              </w:tabs>
              <w:spacing w:line="400" w:lineRule="exact"/>
              <w:jc w:val="center"/>
              <w:rPr>
                <w:lang w:val="en-GB"/>
              </w:rPr>
            </w:pPr>
          </w:p>
        </w:tc>
        <w:tc>
          <w:tcPr>
            <w:tcW w:w="1022" w:type="pct"/>
            <w:vAlign w:val="center"/>
          </w:tcPr>
          <w:p w14:paraId="32F88F3B">
            <w:pPr>
              <w:pStyle w:val="216"/>
              <w:tabs>
                <w:tab w:val="left" w:pos="1260"/>
              </w:tabs>
              <w:spacing w:line="400" w:lineRule="exact"/>
              <w:jc w:val="center"/>
              <w:rPr>
                <w:lang w:val="en-GB"/>
              </w:rPr>
            </w:pPr>
          </w:p>
        </w:tc>
        <w:tc>
          <w:tcPr>
            <w:tcW w:w="547" w:type="pct"/>
            <w:vAlign w:val="center"/>
          </w:tcPr>
          <w:p w14:paraId="049B9E0F">
            <w:pPr>
              <w:pStyle w:val="216"/>
              <w:tabs>
                <w:tab w:val="left" w:pos="1260"/>
              </w:tabs>
              <w:spacing w:line="400" w:lineRule="exact"/>
              <w:jc w:val="center"/>
              <w:rPr>
                <w:lang w:val="en-GB"/>
              </w:rPr>
            </w:pPr>
          </w:p>
        </w:tc>
        <w:tc>
          <w:tcPr>
            <w:tcW w:w="640" w:type="pct"/>
            <w:vAlign w:val="center"/>
          </w:tcPr>
          <w:p w14:paraId="610B4DD5">
            <w:pPr>
              <w:pStyle w:val="216"/>
              <w:tabs>
                <w:tab w:val="left" w:pos="1260"/>
              </w:tabs>
              <w:spacing w:line="400" w:lineRule="exact"/>
              <w:jc w:val="center"/>
              <w:rPr>
                <w:lang w:val="en-GB"/>
              </w:rPr>
            </w:pPr>
          </w:p>
        </w:tc>
        <w:tc>
          <w:tcPr>
            <w:tcW w:w="823" w:type="pct"/>
            <w:gridSpan w:val="2"/>
            <w:vAlign w:val="center"/>
          </w:tcPr>
          <w:p w14:paraId="09B5E0EA">
            <w:pPr>
              <w:pStyle w:val="216"/>
              <w:tabs>
                <w:tab w:val="left" w:pos="1260"/>
              </w:tabs>
              <w:spacing w:line="400" w:lineRule="exact"/>
              <w:jc w:val="center"/>
              <w:rPr>
                <w:lang w:val="en-GB"/>
              </w:rPr>
            </w:pPr>
          </w:p>
        </w:tc>
        <w:tc>
          <w:tcPr>
            <w:tcW w:w="484" w:type="pct"/>
            <w:gridSpan w:val="3"/>
            <w:vAlign w:val="center"/>
          </w:tcPr>
          <w:p w14:paraId="21822024">
            <w:pPr>
              <w:pStyle w:val="216"/>
              <w:tabs>
                <w:tab w:val="left" w:pos="1260"/>
              </w:tabs>
              <w:spacing w:line="400" w:lineRule="exact"/>
              <w:jc w:val="center"/>
              <w:rPr>
                <w:lang w:val="en-GB"/>
              </w:rPr>
            </w:pPr>
          </w:p>
        </w:tc>
        <w:tc>
          <w:tcPr>
            <w:tcW w:w="490" w:type="pct"/>
            <w:vAlign w:val="center"/>
          </w:tcPr>
          <w:p w14:paraId="1817C239">
            <w:pPr>
              <w:pStyle w:val="216"/>
              <w:tabs>
                <w:tab w:val="left" w:pos="1260"/>
              </w:tabs>
              <w:spacing w:line="400" w:lineRule="exact"/>
              <w:jc w:val="center"/>
              <w:rPr>
                <w:lang w:val="en-GB"/>
              </w:rPr>
            </w:pPr>
          </w:p>
        </w:tc>
        <w:tc>
          <w:tcPr>
            <w:tcW w:w="441" w:type="pct"/>
            <w:vAlign w:val="center"/>
          </w:tcPr>
          <w:p w14:paraId="6282C093">
            <w:pPr>
              <w:pStyle w:val="216"/>
              <w:tabs>
                <w:tab w:val="left" w:pos="1260"/>
              </w:tabs>
              <w:spacing w:line="400" w:lineRule="exact"/>
              <w:jc w:val="center"/>
              <w:rPr>
                <w:lang w:val="en-GB"/>
              </w:rPr>
            </w:pPr>
          </w:p>
        </w:tc>
      </w:tr>
      <w:tr w14:paraId="74746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0" w:type="pct"/>
            <w:vMerge w:val="continue"/>
            <w:vAlign w:val="center"/>
          </w:tcPr>
          <w:p w14:paraId="45513088">
            <w:pPr>
              <w:pStyle w:val="216"/>
              <w:tabs>
                <w:tab w:val="left" w:pos="1260"/>
              </w:tabs>
              <w:spacing w:line="400" w:lineRule="exact"/>
              <w:jc w:val="center"/>
              <w:rPr>
                <w:lang w:val="en-GB"/>
              </w:rPr>
            </w:pPr>
          </w:p>
        </w:tc>
        <w:tc>
          <w:tcPr>
            <w:tcW w:w="1022" w:type="pct"/>
            <w:vAlign w:val="center"/>
          </w:tcPr>
          <w:p w14:paraId="56BFA33A">
            <w:pPr>
              <w:pStyle w:val="216"/>
              <w:tabs>
                <w:tab w:val="left" w:pos="1260"/>
              </w:tabs>
              <w:spacing w:line="400" w:lineRule="exact"/>
              <w:jc w:val="center"/>
              <w:rPr>
                <w:lang w:val="en-GB"/>
              </w:rPr>
            </w:pPr>
          </w:p>
        </w:tc>
        <w:tc>
          <w:tcPr>
            <w:tcW w:w="547" w:type="pct"/>
            <w:vAlign w:val="center"/>
          </w:tcPr>
          <w:p w14:paraId="10E5CF66">
            <w:pPr>
              <w:pStyle w:val="216"/>
              <w:tabs>
                <w:tab w:val="left" w:pos="1260"/>
              </w:tabs>
              <w:spacing w:line="400" w:lineRule="exact"/>
              <w:jc w:val="center"/>
              <w:rPr>
                <w:lang w:val="en-GB"/>
              </w:rPr>
            </w:pPr>
          </w:p>
        </w:tc>
        <w:tc>
          <w:tcPr>
            <w:tcW w:w="640" w:type="pct"/>
            <w:vAlign w:val="center"/>
          </w:tcPr>
          <w:p w14:paraId="5B524209">
            <w:pPr>
              <w:pStyle w:val="216"/>
              <w:tabs>
                <w:tab w:val="left" w:pos="1260"/>
              </w:tabs>
              <w:spacing w:line="400" w:lineRule="exact"/>
              <w:jc w:val="center"/>
              <w:rPr>
                <w:lang w:val="en-GB"/>
              </w:rPr>
            </w:pPr>
          </w:p>
        </w:tc>
        <w:tc>
          <w:tcPr>
            <w:tcW w:w="823" w:type="pct"/>
            <w:gridSpan w:val="2"/>
            <w:vAlign w:val="center"/>
          </w:tcPr>
          <w:p w14:paraId="7DBC4622">
            <w:pPr>
              <w:pStyle w:val="216"/>
              <w:tabs>
                <w:tab w:val="left" w:pos="1260"/>
              </w:tabs>
              <w:spacing w:line="400" w:lineRule="exact"/>
              <w:jc w:val="center"/>
              <w:rPr>
                <w:lang w:val="en-GB"/>
              </w:rPr>
            </w:pPr>
          </w:p>
        </w:tc>
        <w:tc>
          <w:tcPr>
            <w:tcW w:w="484" w:type="pct"/>
            <w:gridSpan w:val="3"/>
            <w:vAlign w:val="center"/>
          </w:tcPr>
          <w:p w14:paraId="3ADB71A6">
            <w:pPr>
              <w:pStyle w:val="216"/>
              <w:tabs>
                <w:tab w:val="left" w:pos="1260"/>
              </w:tabs>
              <w:spacing w:line="400" w:lineRule="exact"/>
              <w:jc w:val="center"/>
              <w:rPr>
                <w:lang w:val="en-GB"/>
              </w:rPr>
            </w:pPr>
          </w:p>
        </w:tc>
        <w:tc>
          <w:tcPr>
            <w:tcW w:w="490" w:type="pct"/>
            <w:vAlign w:val="center"/>
          </w:tcPr>
          <w:p w14:paraId="0FA3CB58">
            <w:pPr>
              <w:pStyle w:val="216"/>
              <w:tabs>
                <w:tab w:val="left" w:pos="1260"/>
              </w:tabs>
              <w:spacing w:line="400" w:lineRule="exact"/>
              <w:jc w:val="center"/>
              <w:rPr>
                <w:lang w:val="en-GB"/>
              </w:rPr>
            </w:pPr>
          </w:p>
        </w:tc>
        <w:tc>
          <w:tcPr>
            <w:tcW w:w="441" w:type="pct"/>
            <w:vAlign w:val="center"/>
          </w:tcPr>
          <w:p w14:paraId="19BCA0E0">
            <w:pPr>
              <w:pStyle w:val="216"/>
              <w:tabs>
                <w:tab w:val="left" w:pos="1260"/>
              </w:tabs>
              <w:spacing w:line="400" w:lineRule="exact"/>
              <w:jc w:val="center"/>
              <w:rPr>
                <w:lang w:val="en-GB"/>
              </w:rPr>
            </w:pPr>
          </w:p>
        </w:tc>
      </w:tr>
      <w:tr w14:paraId="23629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0" w:type="pct"/>
            <w:vMerge w:val="continue"/>
            <w:vAlign w:val="center"/>
          </w:tcPr>
          <w:p w14:paraId="302592AE">
            <w:pPr>
              <w:pStyle w:val="216"/>
              <w:tabs>
                <w:tab w:val="left" w:pos="1260"/>
              </w:tabs>
              <w:spacing w:line="400" w:lineRule="exact"/>
              <w:jc w:val="center"/>
              <w:rPr>
                <w:lang w:val="en-GB"/>
              </w:rPr>
            </w:pPr>
          </w:p>
        </w:tc>
        <w:tc>
          <w:tcPr>
            <w:tcW w:w="4007" w:type="pct"/>
            <w:gridSpan w:val="9"/>
            <w:vAlign w:val="center"/>
          </w:tcPr>
          <w:p w14:paraId="2C78E392">
            <w:pPr>
              <w:pStyle w:val="216"/>
              <w:tabs>
                <w:tab w:val="left" w:pos="1260"/>
              </w:tabs>
              <w:spacing w:line="400" w:lineRule="exact"/>
              <w:jc w:val="center"/>
              <w:rPr>
                <w:lang w:val="en-GB"/>
              </w:rPr>
            </w:pPr>
            <w:r>
              <w:rPr>
                <w:lang w:val="en-GB"/>
              </w:rPr>
              <w:t>强制采购节能产品金额总计（元）</w:t>
            </w:r>
          </w:p>
        </w:tc>
        <w:tc>
          <w:tcPr>
            <w:tcW w:w="441" w:type="pct"/>
            <w:vAlign w:val="center"/>
          </w:tcPr>
          <w:p w14:paraId="34BF2105">
            <w:pPr>
              <w:pStyle w:val="216"/>
              <w:tabs>
                <w:tab w:val="left" w:pos="1260"/>
              </w:tabs>
              <w:spacing w:line="400" w:lineRule="exact"/>
              <w:jc w:val="center"/>
              <w:rPr>
                <w:lang w:val="en-GB"/>
              </w:rPr>
            </w:pPr>
          </w:p>
        </w:tc>
      </w:tr>
      <w:tr w14:paraId="2BE31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550" w:type="pct"/>
            <w:vMerge w:val="restart"/>
            <w:vAlign w:val="center"/>
          </w:tcPr>
          <w:p w14:paraId="17C1C223">
            <w:pPr>
              <w:pStyle w:val="216"/>
              <w:tabs>
                <w:tab w:val="left" w:pos="1260"/>
              </w:tabs>
              <w:spacing w:line="400" w:lineRule="exact"/>
              <w:jc w:val="center"/>
              <w:rPr>
                <w:lang w:val="en-GB"/>
              </w:rPr>
            </w:pPr>
            <w:r>
              <w:rPr>
                <w:lang w:val="en-GB"/>
              </w:rPr>
              <w:t>环境标志产品</w:t>
            </w:r>
          </w:p>
        </w:tc>
        <w:tc>
          <w:tcPr>
            <w:tcW w:w="1016" w:type="pct"/>
            <w:vAlign w:val="center"/>
          </w:tcPr>
          <w:p w14:paraId="7F417F5E">
            <w:pPr>
              <w:pStyle w:val="216"/>
              <w:tabs>
                <w:tab w:val="left" w:pos="1260"/>
              </w:tabs>
              <w:spacing w:line="400" w:lineRule="exact"/>
              <w:jc w:val="center"/>
              <w:rPr>
                <w:lang w:val="en-GB"/>
              </w:rPr>
            </w:pPr>
            <w:r>
              <w:rPr>
                <w:lang w:val="en-GB"/>
              </w:rPr>
              <w:t>产品名称</w:t>
            </w:r>
          </w:p>
        </w:tc>
        <w:tc>
          <w:tcPr>
            <w:tcW w:w="552" w:type="pct"/>
            <w:vAlign w:val="center"/>
          </w:tcPr>
          <w:p w14:paraId="0EC0445E">
            <w:pPr>
              <w:pStyle w:val="216"/>
              <w:tabs>
                <w:tab w:val="left" w:pos="1260"/>
              </w:tabs>
              <w:spacing w:line="400" w:lineRule="exact"/>
              <w:jc w:val="center"/>
              <w:rPr>
                <w:lang w:val="en-GB"/>
              </w:rPr>
            </w:pPr>
            <w:r>
              <w:rPr>
                <w:lang w:val="en-GB"/>
              </w:rPr>
              <w:t>品牌、型号</w:t>
            </w:r>
          </w:p>
        </w:tc>
        <w:tc>
          <w:tcPr>
            <w:tcW w:w="640" w:type="pct"/>
            <w:vAlign w:val="center"/>
          </w:tcPr>
          <w:p w14:paraId="010B9083">
            <w:pPr>
              <w:pStyle w:val="216"/>
              <w:tabs>
                <w:tab w:val="left" w:pos="1260"/>
              </w:tabs>
              <w:spacing w:line="400" w:lineRule="exact"/>
              <w:jc w:val="center"/>
              <w:rPr>
                <w:lang w:val="en-GB"/>
              </w:rPr>
            </w:pPr>
            <w:r>
              <w:rPr>
                <w:lang w:val="en-GB"/>
              </w:rPr>
              <w:t>制造商</w:t>
            </w:r>
          </w:p>
        </w:tc>
        <w:tc>
          <w:tcPr>
            <w:tcW w:w="844" w:type="pct"/>
            <w:gridSpan w:val="3"/>
            <w:vAlign w:val="center"/>
          </w:tcPr>
          <w:p w14:paraId="33B39435">
            <w:pPr>
              <w:pStyle w:val="216"/>
              <w:tabs>
                <w:tab w:val="left" w:pos="1260"/>
              </w:tabs>
              <w:spacing w:line="400" w:lineRule="exact"/>
              <w:jc w:val="center"/>
              <w:rPr>
                <w:lang w:val="en-GB"/>
              </w:rPr>
            </w:pPr>
            <w:r>
              <w:rPr>
                <w:lang w:val="en-GB"/>
              </w:rPr>
              <w:t>认证证书编号</w:t>
            </w:r>
          </w:p>
        </w:tc>
        <w:tc>
          <w:tcPr>
            <w:tcW w:w="467" w:type="pct"/>
            <w:gridSpan w:val="2"/>
            <w:vAlign w:val="center"/>
          </w:tcPr>
          <w:p w14:paraId="0B498BF3">
            <w:pPr>
              <w:spacing w:line="400" w:lineRule="exact"/>
              <w:jc w:val="center"/>
              <w:rPr>
                <w:rFonts w:hint="default" w:ascii="Times New Roman" w:hAnsi="Times New Roman" w:cs="Times New Roman"/>
                <w:color w:val="auto"/>
              </w:rPr>
            </w:pPr>
            <w:r>
              <w:rPr>
                <w:rFonts w:hint="default" w:ascii="Times New Roman" w:hAnsi="Times New Roman" w:cs="Times New Roman"/>
                <w:color w:val="auto"/>
              </w:rPr>
              <w:t>数量</w:t>
            </w:r>
          </w:p>
        </w:tc>
        <w:tc>
          <w:tcPr>
            <w:tcW w:w="485" w:type="pct"/>
            <w:vAlign w:val="center"/>
          </w:tcPr>
          <w:p w14:paraId="1F8AAE53">
            <w:pPr>
              <w:spacing w:line="400" w:lineRule="exact"/>
              <w:jc w:val="center"/>
              <w:rPr>
                <w:rFonts w:hint="default" w:ascii="Times New Roman" w:hAnsi="Times New Roman" w:cs="Times New Roman"/>
                <w:color w:val="auto"/>
              </w:rPr>
            </w:pPr>
            <w:r>
              <w:rPr>
                <w:rFonts w:hint="default" w:ascii="Times New Roman" w:hAnsi="Times New Roman" w:cs="Times New Roman"/>
                <w:color w:val="auto"/>
              </w:rPr>
              <w:t>单价</w:t>
            </w:r>
            <w:r>
              <w:rPr>
                <w:rFonts w:hint="default" w:ascii="Times New Roman" w:hAnsi="Times New Roman" w:cs="Times New Roman"/>
                <w:color w:val="auto"/>
                <w:lang w:val="en-GB"/>
              </w:rPr>
              <w:t>（元）</w:t>
            </w:r>
          </w:p>
        </w:tc>
        <w:tc>
          <w:tcPr>
            <w:tcW w:w="441" w:type="pct"/>
            <w:vAlign w:val="center"/>
          </w:tcPr>
          <w:p w14:paraId="264E7B76">
            <w:pPr>
              <w:pStyle w:val="216"/>
              <w:tabs>
                <w:tab w:val="left" w:pos="1260"/>
              </w:tabs>
              <w:spacing w:line="400" w:lineRule="exact"/>
              <w:jc w:val="center"/>
              <w:rPr>
                <w:lang w:val="en-GB"/>
              </w:rPr>
            </w:pPr>
            <w:r>
              <w:rPr>
                <w:lang w:val="en-GB"/>
              </w:rPr>
              <w:t>合计（元）</w:t>
            </w:r>
          </w:p>
        </w:tc>
      </w:tr>
      <w:tr w14:paraId="25F6F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0" w:type="pct"/>
            <w:vMerge w:val="continue"/>
            <w:vAlign w:val="center"/>
          </w:tcPr>
          <w:p w14:paraId="42D38AEB">
            <w:pPr>
              <w:pStyle w:val="216"/>
              <w:tabs>
                <w:tab w:val="left" w:pos="1260"/>
              </w:tabs>
              <w:spacing w:line="400" w:lineRule="exact"/>
              <w:jc w:val="center"/>
              <w:rPr>
                <w:lang w:val="en-GB"/>
              </w:rPr>
            </w:pPr>
          </w:p>
        </w:tc>
        <w:tc>
          <w:tcPr>
            <w:tcW w:w="1016" w:type="pct"/>
            <w:vAlign w:val="center"/>
          </w:tcPr>
          <w:p w14:paraId="4885374B">
            <w:pPr>
              <w:pStyle w:val="216"/>
              <w:tabs>
                <w:tab w:val="left" w:pos="1260"/>
              </w:tabs>
              <w:spacing w:line="400" w:lineRule="exact"/>
              <w:jc w:val="center"/>
              <w:rPr>
                <w:lang w:val="en-GB"/>
              </w:rPr>
            </w:pPr>
          </w:p>
        </w:tc>
        <w:tc>
          <w:tcPr>
            <w:tcW w:w="552" w:type="pct"/>
            <w:vAlign w:val="center"/>
          </w:tcPr>
          <w:p w14:paraId="39A71934">
            <w:pPr>
              <w:pStyle w:val="216"/>
              <w:tabs>
                <w:tab w:val="left" w:pos="1260"/>
              </w:tabs>
              <w:spacing w:line="400" w:lineRule="exact"/>
              <w:jc w:val="center"/>
              <w:rPr>
                <w:lang w:val="en-GB"/>
              </w:rPr>
            </w:pPr>
          </w:p>
        </w:tc>
        <w:tc>
          <w:tcPr>
            <w:tcW w:w="640" w:type="pct"/>
            <w:vAlign w:val="center"/>
          </w:tcPr>
          <w:p w14:paraId="5A7EBB60">
            <w:pPr>
              <w:pStyle w:val="216"/>
              <w:tabs>
                <w:tab w:val="left" w:pos="1260"/>
              </w:tabs>
              <w:spacing w:line="400" w:lineRule="exact"/>
              <w:jc w:val="center"/>
              <w:rPr>
                <w:lang w:val="en-GB"/>
              </w:rPr>
            </w:pPr>
          </w:p>
        </w:tc>
        <w:tc>
          <w:tcPr>
            <w:tcW w:w="844" w:type="pct"/>
            <w:gridSpan w:val="3"/>
            <w:vAlign w:val="center"/>
          </w:tcPr>
          <w:p w14:paraId="4AE749C3">
            <w:pPr>
              <w:pStyle w:val="216"/>
              <w:tabs>
                <w:tab w:val="left" w:pos="1260"/>
              </w:tabs>
              <w:spacing w:line="400" w:lineRule="exact"/>
              <w:jc w:val="center"/>
              <w:rPr>
                <w:lang w:val="en-GB"/>
              </w:rPr>
            </w:pPr>
          </w:p>
        </w:tc>
        <w:tc>
          <w:tcPr>
            <w:tcW w:w="467" w:type="pct"/>
            <w:gridSpan w:val="2"/>
            <w:vAlign w:val="center"/>
          </w:tcPr>
          <w:p w14:paraId="2605894B">
            <w:pPr>
              <w:pStyle w:val="216"/>
              <w:tabs>
                <w:tab w:val="left" w:pos="1260"/>
              </w:tabs>
              <w:spacing w:line="400" w:lineRule="exact"/>
              <w:jc w:val="center"/>
              <w:rPr>
                <w:lang w:val="en-GB"/>
              </w:rPr>
            </w:pPr>
          </w:p>
        </w:tc>
        <w:tc>
          <w:tcPr>
            <w:tcW w:w="485" w:type="pct"/>
            <w:vAlign w:val="center"/>
          </w:tcPr>
          <w:p w14:paraId="3D70D8B7">
            <w:pPr>
              <w:pStyle w:val="216"/>
              <w:tabs>
                <w:tab w:val="left" w:pos="1260"/>
              </w:tabs>
              <w:spacing w:line="400" w:lineRule="exact"/>
              <w:jc w:val="center"/>
              <w:rPr>
                <w:lang w:val="en-GB"/>
              </w:rPr>
            </w:pPr>
          </w:p>
        </w:tc>
        <w:tc>
          <w:tcPr>
            <w:tcW w:w="441" w:type="pct"/>
            <w:vAlign w:val="center"/>
          </w:tcPr>
          <w:p w14:paraId="2D36AF7C">
            <w:pPr>
              <w:pStyle w:val="216"/>
              <w:tabs>
                <w:tab w:val="left" w:pos="1260"/>
              </w:tabs>
              <w:spacing w:line="400" w:lineRule="exact"/>
              <w:jc w:val="center"/>
              <w:rPr>
                <w:lang w:val="en-GB"/>
              </w:rPr>
            </w:pPr>
          </w:p>
        </w:tc>
      </w:tr>
      <w:tr w14:paraId="2BB85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0" w:type="pct"/>
            <w:vMerge w:val="continue"/>
            <w:vAlign w:val="center"/>
          </w:tcPr>
          <w:p w14:paraId="0F0A9EE9">
            <w:pPr>
              <w:pStyle w:val="216"/>
              <w:tabs>
                <w:tab w:val="left" w:pos="1260"/>
              </w:tabs>
              <w:spacing w:line="400" w:lineRule="exact"/>
              <w:jc w:val="center"/>
              <w:rPr>
                <w:lang w:val="en-GB"/>
              </w:rPr>
            </w:pPr>
          </w:p>
        </w:tc>
        <w:tc>
          <w:tcPr>
            <w:tcW w:w="1016" w:type="pct"/>
            <w:vAlign w:val="center"/>
          </w:tcPr>
          <w:p w14:paraId="257EFB0E">
            <w:pPr>
              <w:pStyle w:val="216"/>
              <w:tabs>
                <w:tab w:val="left" w:pos="1260"/>
              </w:tabs>
              <w:spacing w:line="400" w:lineRule="exact"/>
              <w:jc w:val="center"/>
              <w:rPr>
                <w:lang w:val="en-GB"/>
              </w:rPr>
            </w:pPr>
          </w:p>
        </w:tc>
        <w:tc>
          <w:tcPr>
            <w:tcW w:w="552" w:type="pct"/>
            <w:vAlign w:val="center"/>
          </w:tcPr>
          <w:p w14:paraId="13721A96">
            <w:pPr>
              <w:pStyle w:val="216"/>
              <w:tabs>
                <w:tab w:val="left" w:pos="1260"/>
              </w:tabs>
              <w:spacing w:line="400" w:lineRule="exact"/>
              <w:jc w:val="center"/>
              <w:rPr>
                <w:lang w:val="en-GB"/>
              </w:rPr>
            </w:pPr>
          </w:p>
        </w:tc>
        <w:tc>
          <w:tcPr>
            <w:tcW w:w="640" w:type="pct"/>
            <w:vAlign w:val="center"/>
          </w:tcPr>
          <w:p w14:paraId="1B729F72">
            <w:pPr>
              <w:pStyle w:val="216"/>
              <w:tabs>
                <w:tab w:val="left" w:pos="1260"/>
              </w:tabs>
              <w:spacing w:line="400" w:lineRule="exact"/>
              <w:jc w:val="center"/>
              <w:rPr>
                <w:lang w:val="en-GB"/>
              </w:rPr>
            </w:pPr>
          </w:p>
        </w:tc>
        <w:tc>
          <w:tcPr>
            <w:tcW w:w="844" w:type="pct"/>
            <w:gridSpan w:val="3"/>
            <w:vAlign w:val="center"/>
          </w:tcPr>
          <w:p w14:paraId="175B9FAC">
            <w:pPr>
              <w:pStyle w:val="216"/>
              <w:tabs>
                <w:tab w:val="left" w:pos="1260"/>
              </w:tabs>
              <w:spacing w:line="400" w:lineRule="exact"/>
              <w:jc w:val="center"/>
              <w:rPr>
                <w:lang w:val="en-GB"/>
              </w:rPr>
            </w:pPr>
          </w:p>
        </w:tc>
        <w:tc>
          <w:tcPr>
            <w:tcW w:w="467" w:type="pct"/>
            <w:gridSpan w:val="2"/>
            <w:vAlign w:val="center"/>
          </w:tcPr>
          <w:p w14:paraId="3109595C">
            <w:pPr>
              <w:pStyle w:val="216"/>
              <w:tabs>
                <w:tab w:val="left" w:pos="1260"/>
              </w:tabs>
              <w:spacing w:line="400" w:lineRule="exact"/>
              <w:jc w:val="center"/>
              <w:rPr>
                <w:lang w:val="en-GB"/>
              </w:rPr>
            </w:pPr>
          </w:p>
        </w:tc>
        <w:tc>
          <w:tcPr>
            <w:tcW w:w="485" w:type="pct"/>
            <w:vAlign w:val="center"/>
          </w:tcPr>
          <w:p w14:paraId="4EB5EA06">
            <w:pPr>
              <w:pStyle w:val="216"/>
              <w:tabs>
                <w:tab w:val="left" w:pos="1260"/>
              </w:tabs>
              <w:spacing w:line="400" w:lineRule="exact"/>
              <w:jc w:val="center"/>
              <w:rPr>
                <w:lang w:val="en-GB"/>
              </w:rPr>
            </w:pPr>
          </w:p>
        </w:tc>
        <w:tc>
          <w:tcPr>
            <w:tcW w:w="441" w:type="pct"/>
            <w:vAlign w:val="center"/>
          </w:tcPr>
          <w:p w14:paraId="33DFCC96">
            <w:pPr>
              <w:pStyle w:val="216"/>
              <w:tabs>
                <w:tab w:val="left" w:pos="1260"/>
              </w:tabs>
              <w:spacing w:line="400" w:lineRule="exact"/>
              <w:jc w:val="center"/>
              <w:rPr>
                <w:lang w:val="en-GB"/>
              </w:rPr>
            </w:pPr>
          </w:p>
        </w:tc>
      </w:tr>
      <w:tr w14:paraId="3AB71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550" w:type="pct"/>
            <w:vMerge w:val="continue"/>
            <w:vAlign w:val="center"/>
          </w:tcPr>
          <w:p w14:paraId="5A44E662">
            <w:pPr>
              <w:pStyle w:val="216"/>
              <w:tabs>
                <w:tab w:val="left" w:pos="1260"/>
              </w:tabs>
              <w:spacing w:line="400" w:lineRule="exact"/>
              <w:jc w:val="center"/>
              <w:rPr>
                <w:lang w:val="en-GB"/>
              </w:rPr>
            </w:pPr>
          </w:p>
        </w:tc>
        <w:tc>
          <w:tcPr>
            <w:tcW w:w="4007" w:type="pct"/>
            <w:gridSpan w:val="9"/>
            <w:vAlign w:val="center"/>
          </w:tcPr>
          <w:p w14:paraId="20471A4A">
            <w:pPr>
              <w:pStyle w:val="216"/>
              <w:tabs>
                <w:tab w:val="left" w:pos="1260"/>
              </w:tabs>
              <w:spacing w:line="400" w:lineRule="exact"/>
              <w:jc w:val="center"/>
              <w:rPr>
                <w:lang w:val="en-GB"/>
              </w:rPr>
            </w:pPr>
            <w:r>
              <w:rPr>
                <w:lang w:val="en-GB"/>
              </w:rPr>
              <w:t>环境标志产品金额总计（元）</w:t>
            </w:r>
          </w:p>
        </w:tc>
        <w:tc>
          <w:tcPr>
            <w:tcW w:w="441" w:type="pct"/>
            <w:vAlign w:val="center"/>
          </w:tcPr>
          <w:p w14:paraId="62C856CE">
            <w:pPr>
              <w:pStyle w:val="216"/>
              <w:tabs>
                <w:tab w:val="left" w:pos="1260"/>
              </w:tabs>
              <w:spacing w:line="400" w:lineRule="exact"/>
              <w:jc w:val="center"/>
              <w:rPr>
                <w:lang w:val="en-GB"/>
              </w:rPr>
            </w:pPr>
          </w:p>
        </w:tc>
      </w:tr>
    </w:tbl>
    <w:p w14:paraId="1D57E084">
      <w:pPr>
        <w:ind w:left="561"/>
        <w:rPr>
          <w:rFonts w:hint="default" w:ascii="Times New Roman" w:hAnsi="Times New Roman" w:eastAsia="仿宋_GB2312" w:cs="Times New Roman"/>
          <w:b/>
          <w:color w:val="auto"/>
          <w:sz w:val="28"/>
          <w:szCs w:val="28"/>
          <w:lang w:val="en-GB" w:eastAsia="zh-CN"/>
        </w:rPr>
      </w:pPr>
      <w:r>
        <w:rPr>
          <w:rFonts w:hint="default" w:ascii="Times New Roman" w:hAnsi="Times New Roman" w:eastAsia="仿宋_GB2312" w:cs="Times New Roman"/>
          <w:b/>
          <w:color w:val="auto"/>
          <w:sz w:val="28"/>
          <w:szCs w:val="28"/>
          <w:lang w:val="en-GB" w:eastAsia="zh-CN"/>
        </w:rPr>
        <w:t>（后附相关认证证书）</w:t>
      </w:r>
    </w:p>
    <w:p w14:paraId="4F4CE0F9">
      <w:pPr>
        <w:pStyle w:val="12"/>
        <w:ind w:left="278"/>
        <w:rPr>
          <w:rFonts w:hint="default" w:ascii="Times New Roman" w:hAnsi="Times New Roman" w:cs="Times New Roman"/>
          <w:color w:val="auto"/>
          <w:lang w:val="en-GB" w:eastAsia="zh-CN"/>
        </w:rPr>
      </w:pPr>
    </w:p>
    <w:p w14:paraId="535F9310">
      <w:pPr>
        <w:spacing w:line="360" w:lineRule="auto"/>
        <w:ind w:firstLine="482" w:firstLineChars="200"/>
        <w:rPr>
          <w:rFonts w:hint="default" w:ascii="Times New Roman" w:hAnsi="Times New Roman" w:eastAsia="仿宋_GB2312" w:cs="Times New Roman"/>
          <w:b/>
          <w:color w:val="auto"/>
          <w:sz w:val="24"/>
          <w:szCs w:val="24"/>
          <w:lang w:val="en-GB" w:eastAsia="zh-CN"/>
        </w:rPr>
      </w:pPr>
      <w:r>
        <w:rPr>
          <w:rFonts w:hint="default" w:ascii="Times New Roman" w:hAnsi="Times New Roman" w:eastAsia="仿宋_GB2312" w:cs="Times New Roman"/>
          <w:b/>
          <w:color w:val="auto"/>
          <w:sz w:val="24"/>
          <w:szCs w:val="24"/>
          <w:lang w:val="en-GB" w:eastAsia="zh-CN"/>
        </w:rPr>
        <w:t>填报要求：</w:t>
      </w:r>
    </w:p>
    <w:p w14:paraId="1499A827">
      <w:pPr>
        <w:spacing w:line="360" w:lineRule="auto"/>
        <w:ind w:firstLine="482" w:firstLineChars="200"/>
        <w:rPr>
          <w:rFonts w:hint="default" w:ascii="Times New Roman" w:hAnsi="Times New Roman" w:eastAsia="仿宋_GB2312" w:cs="Times New Roman"/>
          <w:b/>
          <w:color w:val="auto"/>
          <w:sz w:val="24"/>
          <w:szCs w:val="24"/>
          <w:lang w:val="en-GB" w:eastAsia="zh-CN"/>
        </w:rPr>
      </w:pPr>
      <w:r>
        <w:rPr>
          <w:rFonts w:hint="default" w:ascii="Times New Roman" w:hAnsi="Times New Roman" w:eastAsia="仿宋_GB2312" w:cs="Times New Roman"/>
          <w:b/>
          <w:color w:val="auto"/>
          <w:sz w:val="24"/>
          <w:szCs w:val="24"/>
          <w:lang w:val="en-US" w:eastAsia="zh-CN"/>
        </w:rPr>
        <w:t>1</w:t>
      </w:r>
      <w:r>
        <w:rPr>
          <w:rFonts w:hint="default" w:ascii="Times New Roman" w:hAnsi="Times New Roman" w:eastAsia="仿宋_GB2312" w:cs="Times New Roman"/>
          <w:b/>
          <w:color w:val="auto"/>
          <w:sz w:val="24"/>
          <w:szCs w:val="24"/>
          <w:lang w:val="en-GB" w:eastAsia="zh-CN"/>
        </w:rPr>
        <w:t>、请根据</w:t>
      </w:r>
      <w:r>
        <w:rPr>
          <w:rFonts w:ascii="Times New Roman" w:hAnsi="Times New Roman" w:eastAsia="仿宋_GB2312" w:cs="Times New Roman"/>
          <w:b/>
          <w:color w:val="auto"/>
          <w:sz w:val="24"/>
          <w:szCs w:val="24"/>
          <w:lang w:val="en-US" w:eastAsia="zh-CN"/>
        </w:rPr>
        <w:t>采购</w:t>
      </w:r>
      <w:r>
        <w:rPr>
          <w:rFonts w:hint="default" w:ascii="Times New Roman" w:hAnsi="Times New Roman" w:eastAsia="仿宋_GB2312" w:cs="Times New Roman"/>
          <w:b/>
          <w:color w:val="auto"/>
          <w:sz w:val="24"/>
          <w:szCs w:val="24"/>
          <w:lang w:val="en-GB" w:eastAsia="zh-CN"/>
        </w:rPr>
        <w:t>文件“第</w:t>
      </w:r>
      <w:r>
        <w:rPr>
          <w:rFonts w:ascii="Times New Roman" w:hAnsi="Times New Roman" w:eastAsia="仿宋_GB2312" w:cs="Times New Roman"/>
          <w:b/>
          <w:color w:val="auto"/>
          <w:sz w:val="24"/>
          <w:szCs w:val="24"/>
          <w:lang w:val="en-US" w:eastAsia="zh-CN"/>
        </w:rPr>
        <w:t>五</w:t>
      </w:r>
      <w:r>
        <w:rPr>
          <w:rFonts w:hint="default" w:ascii="Times New Roman" w:hAnsi="Times New Roman" w:eastAsia="仿宋_GB2312" w:cs="Times New Roman"/>
          <w:b/>
          <w:color w:val="auto"/>
          <w:sz w:val="24"/>
          <w:szCs w:val="24"/>
          <w:lang w:val="en-GB" w:eastAsia="zh-CN"/>
        </w:rPr>
        <w:t>章项目需求及技术要求”要求的节能产品类型、环境标志产品类型，填写本表。</w:t>
      </w:r>
    </w:p>
    <w:p w14:paraId="65D4A3C0">
      <w:pPr>
        <w:spacing w:line="360" w:lineRule="auto"/>
        <w:ind w:firstLine="482" w:firstLineChars="200"/>
        <w:rPr>
          <w:rFonts w:hint="default" w:ascii="Times New Roman" w:hAnsi="Times New Roman" w:eastAsia="仿宋_GB2312" w:cs="Times New Roman"/>
          <w:b/>
          <w:color w:val="auto"/>
          <w:sz w:val="24"/>
          <w:szCs w:val="24"/>
          <w:lang w:val="en-GB" w:eastAsia="zh-CN"/>
        </w:rPr>
      </w:pPr>
      <w:r>
        <w:rPr>
          <w:rFonts w:hint="default" w:ascii="Times New Roman" w:hAnsi="Times New Roman" w:eastAsia="仿宋_GB2312" w:cs="Times New Roman"/>
          <w:b/>
          <w:color w:val="auto"/>
          <w:sz w:val="24"/>
          <w:szCs w:val="24"/>
          <w:lang w:val="en-US" w:eastAsia="zh-CN"/>
        </w:rPr>
        <w:t>2</w:t>
      </w:r>
      <w:r>
        <w:rPr>
          <w:rFonts w:hint="default" w:ascii="Times New Roman" w:hAnsi="Times New Roman" w:eastAsia="仿宋_GB2312" w:cs="Times New Roman"/>
          <w:b/>
          <w:color w:val="auto"/>
          <w:sz w:val="24"/>
          <w:szCs w:val="24"/>
          <w:lang w:val="en-GB" w:eastAsia="zh-CN"/>
        </w:rPr>
        <w:t>、本表的产品名称和品牌、型号、金额应与《磋商响应分项报价表》一致。</w:t>
      </w:r>
    </w:p>
    <w:p w14:paraId="299AF6CF">
      <w:pPr>
        <w:spacing w:line="360" w:lineRule="auto"/>
        <w:ind w:firstLine="482" w:firstLineChars="200"/>
        <w:rPr>
          <w:rFonts w:hint="default" w:ascii="Times New Roman" w:hAnsi="Times New Roman" w:eastAsia="仿宋_GB2312" w:cs="Times New Roman"/>
          <w:b/>
          <w:color w:val="auto"/>
          <w:sz w:val="24"/>
          <w:szCs w:val="24"/>
          <w:lang w:val="en-GB" w:eastAsia="zh-CN"/>
        </w:rPr>
      </w:pPr>
      <w:r>
        <w:rPr>
          <w:rFonts w:hint="default" w:ascii="Times New Roman" w:hAnsi="Times New Roman" w:eastAsia="仿宋_GB2312" w:cs="Times New Roman"/>
          <w:b/>
          <w:color w:val="auto"/>
          <w:sz w:val="24"/>
          <w:szCs w:val="24"/>
          <w:lang w:val="en-US" w:eastAsia="zh-CN"/>
        </w:rPr>
        <w:t>3、</w:t>
      </w:r>
      <w:r>
        <w:rPr>
          <w:rFonts w:hint="default" w:ascii="Times New Roman" w:hAnsi="Times New Roman" w:eastAsia="仿宋_GB2312" w:cs="Times New Roman"/>
          <w:b/>
          <w:color w:val="auto"/>
          <w:sz w:val="24"/>
          <w:szCs w:val="24"/>
          <w:lang w:val="en-GB" w:eastAsia="zh-CN"/>
        </w:rPr>
        <w:t>请供应商正确填写本表，所填内容和后附的证明资料将作为评审的依据。其内容或数据应与对应的证明资料相符。未填写或未正确填写本表的，所提供的对应节能、环保证明资料不予认可。</w:t>
      </w:r>
    </w:p>
    <w:p w14:paraId="38FB38EB">
      <w:pPr>
        <w:spacing w:line="360" w:lineRule="auto"/>
        <w:ind w:firstLine="482" w:firstLineChars="200"/>
        <w:rPr>
          <w:rFonts w:hint="default" w:ascii="Times New Roman" w:hAnsi="Times New Roman" w:eastAsia="仿宋_GB2312" w:cs="Times New Roman"/>
          <w:b/>
          <w:color w:val="auto"/>
          <w:sz w:val="24"/>
          <w:szCs w:val="24"/>
          <w:lang w:eastAsia="zh-CN"/>
        </w:rPr>
      </w:pPr>
      <w:r>
        <w:rPr>
          <w:rFonts w:hint="default" w:ascii="Times New Roman" w:hAnsi="Times New Roman" w:eastAsia="仿宋_GB2312" w:cs="Times New Roman"/>
          <w:b/>
          <w:color w:val="auto"/>
          <w:sz w:val="24"/>
          <w:szCs w:val="24"/>
          <w:lang w:val="en-US" w:eastAsia="zh-CN"/>
        </w:rPr>
        <w:t>4</w:t>
      </w:r>
      <w:r>
        <w:rPr>
          <w:rFonts w:hint="default" w:ascii="Times New Roman" w:hAnsi="Times New Roman" w:eastAsia="仿宋_GB2312" w:cs="Times New Roman"/>
          <w:b/>
          <w:color w:val="auto"/>
          <w:sz w:val="24"/>
          <w:szCs w:val="24"/>
          <w:lang w:val="en-GB" w:eastAsia="zh-CN"/>
        </w:rPr>
        <w:t>、无适用政府采购政策产品，可不填。</w:t>
      </w:r>
    </w:p>
    <w:p w14:paraId="18C3616C">
      <w:pPr>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br w:type="page"/>
      </w:r>
    </w:p>
    <w:p w14:paraId="1A7D1BBE">
      <w:pPr>
        <w:spacing w:line="500" w:lineRule="exact"/>
        <w:jc w:val="center"/>
        <w:outlineLvl w:val="1"/>
        <w:rPr>
          <w:rFonts w:hint="default" w:ascii="微软雅黑" w:hAnsi="Times New Roman" w:eastAsia="微软雅黑" w:cs="Times New Roman"/>
          <w:bCs/>
          <w:color w:val="auto"/>
          <w:sz w:val="30"/>
          <w:szCs w:val="30"/>
          <w:lang w:val="en-US" w:eastAsia="zh-CN"/>
        </w:rPr>
      </w:pPr>
      <w:r>
        <w:rPr>
          <w:rFonts w:hint="default" w:ascii="微软雅黑" w:hAnsi="Times New Roman" w:eastAsia="微软雅黑" w:cs="Times New Roman"/>
          <w:bCs/>
          <w:color w:val="auto"/>
          <w:sz w:val="30"/>
          <w:szCs w:val="30"/>
          <w:lang w:val="en-US" w:eastAsia="zh-CN"/>
        </w:rPr>
        <w:t>十</w:t>
      </w:r>
      <w:r>
        <w:rPr>
          <w:rFonts w:ascii="微软雅黑" w:hAnsi="Times New Roman" w:eastAsia="微软雅黑" w:cs="Times New Roman"/>
          <w:bCs/>
          <w:color w:val="auto"/>
          <w:sz w:val="30"/>
          <w:szCs w:val="30"/>
          <w:lang w:val="en-US" w:eastAsia="zh-CN"/>
        </w:rPr>
        <w:t>六</w:t>
      </w:r>
      <w:r>
        <w:rPr>
          <w:rFonts w:hint="default" w:ascii="微软雅黑" w:hAnsi="Times New Roman" w:eastAsia="微软雅黑" w:cs="Times New Roman"/>
          <w:bCs/>
          <w:color w:val="auto"/>
          <w:sz w:val="30"/>
          <w:szCs w:val="30"/>
          <w:lang w:val="en-US" w:eastAsia="zh-CN"/>
        </w:rPr>
        <w:t>、其他文件</w:t>
      </w:r>
      <w:bookmarkEnd w:id="233"/>
      <w:bookmarkEnd w:id="234"/>
      <w:bookmarkEnd w:id="235"/>
      <w:bookmarkEnd w:id="236"/>
      <w:bookmarkEnd w:id="237"/>
      <w:bookmarkEnd w:id="238"/>
      <w:bookmarkEnd w:id="239"/>
      <w:bookmarkEnd w:id="240"/>
      <w:bookmarkEnd w:id="241"/>
      <w:bookmarkEnd w:id="242"/>
      <w:bookmarkEnd w:id="243"/>
    </w:p>
    <w:p w14:paraId="4C9E01A5">
      <w:pPr>
        <w:pStyle w:val="199"/>
        <w:rPr>
          <w:rFonts w:hint="default" w:ascii="Times New Roman" w:hAnsi="Times New Roman" w:eastAsia="宋体" w:cs="Times New Roman"/>
          <w:color w:val="auto"/>
          <w:kern w:val="0"/>
          <w:lang w:eastAsia="zh-CN"/>
        </w:rPr>
      </w:pPr>
    </w:p>
    <w:p w14:paraId="64B1E491">
      <w:pPr>
        <w:pStyle w:val="199"/>
        <w:rPr>
          <w:rFonts w:hint="default" w:ascii="Times New Roman" w:hAnsi="Times New Roman" w:eastAsia="宋体" w:cs="Times New Roman"/>
          <w:color w:val="auto"/>
          <w:kern w:val="0"/>
          <w:lang w:eastAsia="zh-CN"/>
        </w:rPr>
      </w:pPr>
    </w:p>
    <w:p w14:paraId="179A6F69">
      <w:pPr>
        <w:spacing w:line="360" w:lineRule="auto"/>
        <w:ind w:left="1080" w:hanging="540"/>
        <w:jc w:val="center"/>
        <w:rPr>
          <w:rFonts w:hint="default" w:ascii="Times New Roman" w:hAnsi="Times New Roman" w:eastAsia="宋体" w:cs="Times New Roman"/>
          <w:color w:val="auto"/>
          <w:lang w:eastAsia="zh-CN"/>
        </w:rPr>
        <w:sectPr>
          <w:pgSz w:w="11900" w:h="16840"/>
          <w:pgMar w:top="1440" w:right="1800" w:bottom="1440" w:left="1800" w:header="851" w:footer="992" w:gutter="0"/>
          <w:cols w:space="720" w:num="1"/>
        </w:sectPr>
      </w:pPr>
    </w:p>
    <w:p w14:paraId="1AB0D5BB">
      <w:pPr>
        <w:pStyle w:val="2"/>
        <w:spacing w:before="0" w:after="0" w:line="360" w:lineRule="auto"/>
        <w:jc w:val="center"/>
        <w:rPr>
          <w:rFonts w:hint="default" w:ascii="Times New Roman" w:hAnsi="Times New Roman" w:eastAsia="宋体" w:cs="Times New Roman"/>
          <w:color w:val="auto"/>
          <w:sz w:val="36"/>
          <w:szCs w:val="36"/>
          <w:lang w:eastAsia="zh-CN"/>
        </w:rPr>
      </w:pPr>
      <w:bookmarkStart w:id="244" w:name="_Toc2052941949"/>
      <w:bookmarkStart w:id="245" w:name="_Toc1841662741"/>
      <w:bookmarkStart w:id="246" w:name="_Toc475715562"/>
      <w:bookmarkStart w:id="247" w:name="_Toc978630003"/>
      <w:bookmarkStart w:id="248" w:name="_Toc732233689_WPSOffice_Level1"/>
      <w:bookmarkStart w:id="249" w:name="_Toc677628708_WPSOffice_Level1"/>
      <w:bookmarkStart w:id="250" w:name="_Toc456034163_WPSOffice_Level1"/>
      <w:bookmarkStart w:id="251" w:name="_Toc167060631"/>
      <w:bookmarkStart w:id="252" w:name="_Toc2002228084_WPSOffice_Level1"/>
      <w:bookmarkStart w:id="253" w:name="_Toc2147291260"/>
      <w:bookmarkStart w:id="254" w:name="_Toc55447974"/>
      <w:bookmarkStart w:id="255" w:name="_Toc245603268"/>
      <w:bookmarkStart w:id="256" w:name="_Toc17577"/>
      <w:bookmarkStart w:id="257" w:name="_Toc1681859708"/>
      <w:bookmarkStart w:id="258" w:name="_Toc602951741"/>
      <w:r>
        <w:rPr>
          <w:rFonts w:hint="default" w:ascii="Times New Roman" w:hAnsi="Times New Roman" w:eastAsia="宋体" w:cs="Times New Roman"/>
          <w:color w:val="auto"/>
          <w:sz w:val="36"/>
          <w:szCs w:val="36"/>
          <w:lang w:eastAsia="zh-CN"/>
        </w:rPr>
        <w:t xml:space="preserve">第五章 </w:t>
      </w:r>
      <w:bookmarkEnd w:id="244"/>
      <w:bookmarkEnd w:id="245"/>
      <w:bookmarkEnd w:id="246"/>
      <w:bookmarkEnd w:id="247"/>
      <w:bookmarkEnd w:id="248"/>
      <w:bookmarkEnd w:id="249"/>
      <w:bookmarkEnd w:id="250"/>
      <w:bookmarkEnd w:id="251"/>
      <w:bookmarkEnd w:id="252"/>
      <w:r>
        <w:rPr>
          <w:rFonts w:hint="default" w:ascii="Times New Roman" w:hAnsi="Times New Roman" w:eastAsia="宋体" w:cs="Times New Roman"/>
          <w:color w:val="auto"/>
          <w:sz w:val="36"/>
          <w:szCs w:val="36"/>
          <w:lang w:eastAsia="zh-CN"/>
        </w:rPr>
        <w:t>项目需求及技术要求</w:t>
      </w:r>
      <w:bookmarkEnd w:id="253"/>
      <w:bookmarkEnd w:id="254"/>
      <w:bookmarkEnd w:id="255"/>
      <w:bookmarkEnd w:id="256"/>
      <w:bookmarkEnd w:id="257"/>
      <w:bookmarkEnd w:id="258"/>
    </w:p>
    <w:p w14:paraId="0D041E75">
      <w:pPr>
        <w:spacing w:before="120" w:after="120"/>
        <w:outlineLvl w:val="1"/>
        <w:rPr>
          <w:rFonts w:hint="default" w:ascii="Times New Roman" w:hAnsi="Times New Roman" w:eastAsia="仿宋_GB2312" w:cs="Times New Roman"/>
          <w:color w:val="auto"/>
          <w:sz w:val="28"/>
          <w:szCs w:val="28"/>
          <w:lang w:val="en-US" w:eastAsia="zh-CN"/>
        </w:rPr>
      </w:pPr>
      <w:bookmarkStart w:id="259" w:name="_Toc1281126177_WPSOffice_Level1"/>
      <w:bookmarkStart w:id="260" w:name="_Toc1278987015"/>
      <w:bookmarkStart w:id="261" w:name="_Toc1220109555_WPSOffice_Level1"/>
      <w:bookmarkStart w:id="262" w:name="_Toc1228469917"/>
      <w:bookmarkStart w:id="263" w:name="_Toc1658402222_WPSOffice_Level1"/>
      <w:bookmarkStart w:id="264" w:name="_Toc577545602"/>
      <w:bookmarkStart w:id="265" w:name="_Toc450869757"/>
      <w:bookmarkStart w:id="266" w:name="_Toc235030748"/>
      <w:bookmarkStart w:id="267" w:name="_Toc1203796512"/>
      <w:bookmarkStart w:id="268" w:name="_Toc342626813"/>
      <w:bookmarkStart w:id="269" w:name="_Toc2103487907_WPSOffice_Level1"/>
      <w:bookmarkStart w:id="270" w:name="_Toc1364277335"/>
      <w:bookmarkStart w:id="271" w:name="_Toc725760307"/>
      <w:r>
        <w:rPr>
          <w:rFonts w:hint="default" w:ascii="Times New Roman" w:hAnsi="Times New Roman" w:eastAsia="仿宋_GB2312" w:cs="Times New Roman"/>
          <w:b/>
          <w:caps/>
          <w:color w:val="auto"/>
          <w:kern w:val="0"/>
          <w:sz w:val="28"/>
          <w:szCs w:val="28"/>
          <w:lang w:val="en-US" w:eastAsia="zh-CN"/>
        </w:rPr>
        <w:t>一、采购需求基本情况</w:t>
      </w:r>
    </w:p>
    <w:p w14:paraId="721138D4">
      <w:pPr>
        <w:pStyle w:val="70"/>
        <w:jc w:val="center"/>
        <w:outlineLvl w:val="2"/>
        <w:rPr>
          <w:rFonts w:ascii="Times New Roman" w:hAnsi="Times New Roman" w:eastAsia="仿宋" w:cs="Times New Roman"/>
          <w:b/>
          <w:bCs/>
          <w:color w:val="auto"/>
          <w:sz w:val="32"/>
          <w:szCs w:val="32"/>
        </w:rPr>
      </w:pPr>
      <w:r>
        <w:rPr>
          <w:rFonts w:hint="eastAsia" w:ascii="Times New Roman" w:hAnsi="Times New Roman" w:eastAsia="仿宋" w:cs="Times New Roman"/>
          <w:b/>
          <w:bCs/>
          <w:color w:val="auto"/>
          <w:sz w:val="32"/>
          <w:szCs w:val="32"/>
        </w:rPr>
        <w:t>表1 采购产品一览表</w:t>
      </w:r>
    </w:p>
    <w:tbl>
      <w:tblPr>
        <w:tblStyle w:val="52"/>
        <w:tblW w:w="94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689"/>
        <w:gridCol w:w="711"/>
        <w:gridCol w:w="745"/>
        <w:gridCol w:w="1489"/>
        <w:gridCol w:w="1389"/>
        <w:gridCol w:w="1456"/>
        <w:gridCol w:w="1355"/>
      </w:tblGrid>
      <w:tr w14:paraId="65A03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8" w:type="dxa"/>
            <w:vAlign w:val="center"/>
          </w:tcPr>
          <w:p w14:paraId="19BE246A">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序号</w:t>
            </w:r>
          </w:p>
        </w:tc>
        <w:tc>
          <w:tcPr>
            <w:tcW w:w="1689" w:type="dxa"/>
            <w:vAlign w:val="center"/>
          </w:tcPr>
          <w:p w14:paraId="2E87B2A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名称</w:t>
            </w:r>
          </w:p>
        </w:tc>
        <w:tc>
          <w:tcPr>
            <w:tcW w:w="711" w:type="dxa"/>
            <w:noWrap/>
            <w:vAlign w:val="center"/>
          </w:tcPr>
          <w:p w14:paraId="26DE6B38">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bidi="ar"/>
              </w:rPr>
              <w:t>数量</w:t>
            </w:r>
          </w:p>
        </w:tc>
        <w:tc>
          <w:tcPr>
            <w:tcW w:w="745" w:type="dxa"/>
            <w:noWrap/>
            <w:vAlign w:val="center"/>
          </w:tcPr>
          <w:p w14:paraId="3DC40B0D">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单位</w:t>
            </w:r>
          </w:p>
        </w:tc>
        <w:tc>
          <w:tcPr>
            <w:tcW w:w="1489" w:type="dxa"/>
            <w:noWrap/>
            <w:vAlign w:val="center"/>
          </w:tcPr>
          <w:p w14:paraId="24E8C50B">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所属行业</w:t>
            </w:r>
          </w:p>
        </w:tc>
        <w:tc>
          <w:tcPr>
            <w:tcW w:w="1389" w:type="dxa"/>
            <w:noWrap/>
            <w:vAlign w:val="center"/>
          </w:tcPr>
          <w:p w14:paraId="10DC103D">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节能产品类型</w:t>
            </w:r>
          </w:p>
        </w:tc>
        <w:tc>
          <w:tcPr>
            <w:tcW w:w="1456" w:type="dxa"/>
            <w:noWrap/>
            <w:vAlign w:val="center"/>
          </w:tcPr>
          <w:p w14:paraId="6567B472">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环境标志产品类型</w:t>
            </w:r>
          </w:p>
        </w:tc>
        <w:tc>
          <w:tcPr>
            <w:tcW w:w="1355" w:type="dxa"/>
            <w:noWrap/>
            <w:vAlign w:val="center"/>
          </w:tcPr>
          <w:p w14:paraId="568273C5">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最高单价限价（万元）</w:t>
            </w:r>
          </w:p>
        </w:tc>
      </w:tr>
      <w:tr w14:paraId="6B151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8" w:type="dxa"/>
            <w:vAlign w:val="center"/>
          </w:tcPr>
          <w:p w14:paraId="4F7D6C75">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1</w:t>
            </w:r>
          </w:p>
        </w:tc>
        <w:tc>
          <w:tcPr>
            <w:tcW w:w="1689" w:type="dxa"/>
            <w:vAlign w:val="center"/>
          </w:tcPr>
          <w:p w14:paraId="19B69BD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台式计算机</w:t>
            </w:r>
          </w:p>
        </w:tc>
        <w:tc>
          <w:tcPr>
            <w:tcW w:w="711" w:type="dxa"/>
            <w:noWrap/>
            <w:vAlign w:val="center"/>
          </w:tcPr>
          <w:p w14:paraId="0D868BE9">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150</w:t>
            </w:r>
          </w:p>
        </w:tc>
        <w:tc>
          <w:tcPr>
            <w:tcW w:w="745" w:type="dxa"/>
            <w:noWrap/>
            <w:vAlign w:val="center"/>
          </w:tcPr>
          <w:p w14:paraId="7DB2319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台</w:t>
            </w:r>
          </w:p>
        </w:tc>
        <w:tc>
          <w:tcPr>
            <w:tcW w:w="1489" w:type="dxa"/>
            <w:noWrap/>
            <w:vAlign w:val="center"/>
          </w:tcPr>
          <w:p w14:paraId="3824BCA1">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工业</w:t>
            </w:r>
          </w:p>
        </w:tc>
        <w:tc>
          <w:tcPr>
            <w:tcW w:w="1389" w:type="dxa"/>
            <w:noWrap/>
            <w:vAlign w:val="center"/>
          </w:tcPr>
          <w:p w14:paraId="74653970">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强制节能</w:t>
            </w:r>
          </w:p>
        </w:tc>
        <w:tc>
          <w:tcPr>
            <w:tcW w:w="1456" w:type="dxa"/>
            <w:noWrap/>
            <w:vAlign w:val="center"/>
          </w:tcPr>
          <w:p w14:paraId="6A596C6E">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优先环保</w:t>
            </w:r>
          </w:p>
        </w:tc>
        <w:tc>
          <w:tcPr>
            <w:tcW w:w="1355" w:type="dxa"/>
            <w:noWrap/>
            <w:vAlign w:val="center"/>
          </w:tcPr>
          <w:p w14:paraId="03A1A3C9">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0.5157</w:t>
            </w:r>
          </w:p>
        </w:tc>
      </w:tr>
      <w:tr w14:paraId="521B1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8" w:type="dxa"/>
            <w:vAlign w:val="center"/>
          </w:tcPr>
          <w:p w14:paraId="234AA598">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2</w:t>
            </w:r>
          </w:p>
        </w:tc>
        <w:tc>
          <w:tcPr>
            <w:tcW w:w="1689" w:type="dxa"/>
            <w:vAlign w:val="center"/>
          </w:tcPr>
          <w:p w14:paraId="01BF6D5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教师机</w:t>
            </w:r>
          </w:p>
        </w:tc>
        <w:tc>
          <w:tcPr>
            <w:tcW w:w="711" w:type="dxa"/>
            <w:noWrap/>
            <w:vAlign w:val="center"/>
          </w:tcPr>
          <w:p w14:paraId="27D29A7E">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3</w:t>
            </w:r>
          </w:p>
        </w:tc>
        <w:tc>
          <w:tcPr>
            <w:tcW w:w="745" w:type="dxa"/>
            <w:noWrap/>
            <w:vAlign w:val="center"/>
          </w:tcPr>
          <w:p w14:paraId="557D9F3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台</w:t>
            </w:r>
          </w:p>
        </w:tc>
        <w:tc>
          <w:tcPr>
            <w:tcW w:w="1489" w:type="dxa"/>
            <w:noWrap/>
            <w:vAlign w:val="center"/>
          </w:tcPr>
          <w:p w14:paraId="4F52618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工业</w:t>
            </w:r>
          </w:p>
        </w:tc>
        <w:tc>
          <w:tcPr>
            <w:tcW w:w="1389" w:type="dxa"/>
            <w:noWrap/>
            <w:vAlign w:val="center"/>
          </w:tcPr>
          <w:p w14:paraId="2674D36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强制节能</w:t>
            </w:r>
          </w:p>
        </w:tc>
        <w:tc>
          <w:tcPr>
            <w:tcW w:w="1456" w:type="dxa"/>
            <w:noWrap/>
            <w:vAlign w:val="center"/>
          </w:tcPr>
          <w:p w14:paraId="6AE01D2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优先环保</w:t>
            </w:r>
          </w:p>
        </w:tc>
        <w:tc>
          <w:tcPr>
            <w:tcW w:w="1355" w:type="dxa"/>
            <w:noWrap/>
            <w:vAlign w:val="center"/>
          </w:tcPr>
          <w:p w14:paraId="32CBDE47">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0.84</w:t>
            </w:r>
          </w:p>
        </w:tc>
      </w:tr>
      <w:tr w14:paraId="7F0F3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8" w:type="dxa"/>
            <w:vAlign w:val="center"/>
          </w:tcPr>
          <w:p w14:paraId="73D16AF0">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3</w:t>
            </w:r>
          </w:p>
        </w:tc>
        <w:tc>
          <w:tcPr>
            <w:tcW w:w="1689" w:type="dxa"/>
            <w:vAlign w:val="center"/>
          </w:tcPr>
          <w:p w14:paraId="4400704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管理服务器</w:t>
            </w:r>
          </w:p>
        </w:tc>
        <w:tc>
          <w:tcPr>
            <w:tcW w:w="711" w:type="dxa"/>
            <w:noWrap/>
            <w:vAlign w:val="center"/>
          </w:tcPr>
          <w:p w14:paraId="5FDF12DA">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1</w:t>
            </w:r>
          </w:p>
        </w:tc>
        <w:tc>
          <w:tcPr>
            <w:tcW w:w="745" w:type="dxa"/>
            <w:noWrap/>
            <w:vAlign w:val="center"/>
          </w:tcPr>
          <w:p w14:paraId="0BE3199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台</w:t>
            </w:r>
          </w:p>
        </w:tc>
        <w:tc>
          <w:tcPr>
            <w:tcW w:w="1489" w:type="dxa"/>
            <w:noWrap/>
            <w:vAlign w:val="center"/>
          </w:tcPr>
          <w:p w14:paraId="2259EBB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工业</w:t>
            </w:r>
          </w:p>
        </w:tc>
        <w:tc>
          <w:tcPr>
            <w:tcW w:w="1389" w:type="dxa"/>
            <w:noWrap/>
            <w:vAlign w:val="center"/>
          </w:tcPr>
          <w:p w14:paraId="6EB45285">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w:t>
            </w:r>
          </w:p>
        </w:tc>
        <w:tc>
          <w:tcPr>
            <w:tcW w:w="1456" w:type="dxa"/>
            <w:noWrap/>
            <w:vAlign w:val="center"/>
          </w:tcPr>
          <w:p w14:paraId="16CEBB5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优先环保</w:t>
            </w:r>
          </w:p>
        </w:tc>
        <w:tc>
          <w:tcPr>
            <w:tcW w:w="1355" w:type="dxa"/>
            <w:noWrap/>
            <w:vAlign w:val="center"/>
          </w:tcPr>
          <w:p w14:paraId="13F6D327">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2.1</w:t>
            </w:r>
          </w:p>
        </w:tc>
      </w:tr>
      <w:tr w14:paraId="3D25A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8" w:type="dxa"/>
            <w:vAlign w:val="center"/>
          </w:tcPr>
          <w:p w14:paraId="05980FCC">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4</w:t>
            </w:r>
          </w:p>
        </w:tc>
        <w:tc>
          <w:tcPr>
            <w:tcW w:w="1689" w:type="dxa"/>
            <w:vAlign w:val="center"/>
          </w:tcPr>
          <w:p w14:paraId="35A2BE9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终端管理系统</w:t>
            </w:r>
          </w:p>
        </w:tc>
        <w:tc>
          <w:tcPr>
            <w:tcW w:w="711" w:type="dxa"/>
            <w:noWrap/>
            <w:vAlign w:val="center"/>
          </w:tcPr>
          <w:p w14:paraId="3F7619D1">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150</w:t>
            </w:r>
          </w:p>
        </w:tc>
        <w:tc>
          <w:tcPr>
            <w:tcW w:w="745" w:type="dxa"/>
            <w:noWrap/>
            <w:vAlign w:val="center"/>
          </w:tcPr>
          <w:p w14:paraId="30C94FE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点</w:t>
            </w:r>
          </w:p>
        </w:tc>
        <w:tc>
          <w:tcPr>
            <w:tcW w:w="1489" w:type="dxa"/>
            <w:noWrap/>
            <w:vAlign w:val="center"/>
          </w:tcPr>
          <w:p w14:paraId="360B16C1">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hint="default" w:ascii="仿宋_GB2312" w:eastAsia="仿宋_GB2312" w:hAnsiTheme="minorEastAsia" w:cstheme="minorEastAsia"/>
                <w:color w:val="auto"/>
                <w:sz w:val="28"/>
                <w:szCs w:val="28"/>
                <w:lang w:val="en-US" w:eastAsia="zh-CN" w:bidi="ar"/>
              </w:rPr>
              <w:t>软件和信息技术服务业</w:t>
            </w:r>
          </w:p>
        </w:tc>
        <w:tc>
          <w:tcPr>
            <w:tcW w:w="1389" w:type="dxa"/>
            <w:noWrap/>
            <w:vAlign w:val="center"/>
          </w:tcPr>
          <w:p w14:paraId="6274A8AD">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w:t>
            </w:r>
          </w:p>
        </w:tc>
        <w:tc>
          <w:tcPr>
            <w:tcW w:w="1456" w:type="dxa"/>
            <w:noWrap/>
            <w:vAlign w:val="center"/>
          </w:tcPr>
          <w:p w14:paraId="3077E863">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w:t>
            </w:r>
          </w:p>
        </w:tc>
        <w:tc>
          <w:tcPr>
            <w:tcW w:w="1355" w:type="dxa"/>
            <w:noWrap/>
            <w:vAlign w:val="center"/>
          </w:tcPr>
          <w:p w14:paraId="031AFB41">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0.0365</w:t>
            </w:r>
          </w:p>
        </w:tc>
      </w:tr>
      <w:tr w14:paraId="2F41D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8" w:type="dxa"/>
            <w:vAlign w:val="center"/>
          </w:tcPr>
          <w:p w14:paraId="684D3A96">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5</w:t>
            </w:r>
          </w:p>
        </w:tc>
        <w:tc>
          <w:tcPr>
            <w:tcW w:w="1689" w:type="dxa"/>
            <w:vAlign w:val="center"/>
          </w:tcPr>
          <w:p w14:paraId="75CD82F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多媒体教学软件</w:t>
            </w:r>
          </w:p>
        </w:tc>
        <w:tc>
          <w:tcPr>
            <w:tcW w:w="711" w:type="dxa"/>
            <w:noWrap/>
            <w:vAlign w:val="center"/>
          </w:tcPr>
          <w:p w14:paraId="6825AB25">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3</w:t>
            </w:r>
          </w:p>
        </w:tc>
        <w:tc>
          <w:tcPr>
            <w:tcW w:w="745" w:type="dxa"/>
            <w:noWrap/>
            <w:vAlign w:val="center"/>
          </w:tcPr>
          <w:p w14:paraId="0823A8D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套</w:t>
            </w:r>
          </w:p>
        </w:tc>
        <w:tc>
          <w:tcPr>
            <w:tcW w:w="1489" w:type="dxa"/>
            <w:noWrap/>
            <w:vAlign w:val="center"/>
          </w:tcPr>
          <w:p w14:paraId="5B1150B7">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hint="default" w:ascii="仿宋_GB2312" w:eastAsia="仿宋_GB2312" w:hAnsiTheme="minorEastAsia" w:cstheme="minorEastAsia"/>
                <w:color w:val="auto"/>
                <w:sz w:val="28"/>
                <w:szCs w:val="28"/>
                <w:lang w:val="en-US" w:eastAsia="zh-CN" w:bidi="ar"/>
              </w:rPr>
              <w:t>软件和信息技术服务业</w:t>
            </w:r>
          </w:p>
        </w:tc>
        <w:tc>
          <w:tcPr>
            <w:tcW w:w="1389" w:type="dxa"/>
            <w:noWrap/>
            <w:vAlign w:val="center"/>
          </w:tcPr>
          <w:p w14:paraId="42526C0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w:t>
            </w:r>
          </w:p>
        </w:tc>
        <w:tc>
          <w:tcPr>
            <w:tcW w:w="1456" w:type="dxa"/>
            <w:noWrap/>
            <w:vAlign w:val="center"/>
          </w:tcPr>
          <w:p w14:paraId="6F07F3F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w:t>
            </w:r>
          </w:p>
        </w:tc>
        <w:tc>
          <w:tcPr>
            <w:tcW w:w="1355" w:type="dxa"/>
            <w:noWrap/>
            <w:vAlign w:val="center"/>
          </w:tcPr>
          <w:p w14:paraId="1F26D18D">
            <w:pPr>
              <w:adjustRightInd w:val="0"/>
              <w:snapToGrid w:val="0"/>
              <w:jc w:val="center"/>
              <w:textAlignment w:val="center"/>
              <w:rPr>
                <w:rStyle w:val="288"/>
                <w:rFonts w:ascii="仿宋_GB2312" w:eastAsia="仿宋_GB2312" w:hAnsiTheme="minorEastAsia" w:cstheme="minorEastAsia"/>
                <w:color w:val="auto"/>
                <w:sz w:val="28"/>
                <w:szCs w:val="28"/>
                <w:lang w:val="en-US" w:bidi="ar"/>
              </w:rPr>
            </w:pPr>
            <w:r>
              <w:rPr>
                <w:rStyle w:val="288"/>
                <w:rFonts w:ascii="仿宋_GB2312" w:eastAsia="仿宋_GB2312" w:hAnsiTheme="minorEastAsia" w:cstheme="minorEastAsia"/>
                <w:color w:val="auto"/>
                <w:sz w:val="28"/>
                <w:szCs w:val="28"/>
                <w:lang w:val="en-US" w:eastAsia="zh-CN" w:bidi="ar"/>
              </w:rPr>
              <w:t>0.25</w:t>
            </w:r>
          </w:p>
        </w:tc>
      </w:tr>
      <w:tr w14:paraId="47FCD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8" w:type="dxa"/>
            <w:vAlign w:val="center"/>
          </w:tcPr>
          <w:p w14:paraId="0BBE9E87">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6</w:t>
            </w:r>
          </w:p>
        </w:tc>
        <w:tc>
          <w:tcPr>
            <w:tcW w:w="1689" w:type="dxa"/>
            <w:vAlign w:val="center"/>
          </w:tcPr>
          <w:p w14:paraId="2AD44BAE">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投影机</w:t>
            </w:r>
          </w:p>
        </w:tc>
        <w:tc>
          <w:tcPr>
            <w:tcW w:w="711" w:type="dxa"/>
            <w:noWrap/>
            <w:vAlign w:val="center"/>
          </w:tcPr>
          <w:p w14:paraId="2D681340">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5</w:t>
            </w:r>
          </w:p>
        </w:tc>
        <w:tc>
          <w:tcPr>
            <w:tcW w:w="745" w:type="dxa"/>
            <w:noWrap/>
            <w:vAlign w:val="center"/>
          </w:tcPr>
          <w:p w14:paraId="0CB74B34">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台</w:t>
            </w:r>
          </w:p>
        </w:tc>
        <w:tc>
          <w:tcPr>
            <w:tcW w:w="1489" w:type="dxa"/>
            <w:noWrap/>
            <w:vAlign w:val="center"/>
          </w:tcPr>
          <w:p w14:paraId="6ECCD245">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工业</w:t>
            </w:r>
          </w:p>
        </w:tc>
        <w:tc>
          <w:tcPr>
            <w:tcW w:w="1389" w:type="dxa"/>
            <w:noWrap/>
            <w:vAlign w:val="center"/>
          </w:tcPr>
          <w:p w14:paraId="42AB8CBD">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w:t>
            </w:r>
          </w:p>
        </w:tc>
        <w:tc>
          <w:tcPr>
            <w:tcW w:w="1456" w:type="dxa"/>
            <w:noWrap/>
            <w:vAlign w:val="center"/>
          </w:tcPr>
          <w:p w14:paraId="4A430940">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优先环保</w:t>
            </w:r>
          </w:p>
        </w:tc>
        <w:tc>
          <w:tcPr>
            <w:tcW w:w="1355" w:type="dxa"/>
            <w:noWrap/>
            <w:vAlign w:val="center"/>
          </w:tcPr>
          <w:p w14:paraId="08C6A6E2">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0.7933</w:t>
            </w:r>
          </w:p>
        </w:tc>
      </w:tr>
      <w:tr w14:paraId="148D1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8" w:type="dxa"/>
            <w:vAlign w:val="center"/>
          </w:tcPr>
          <w:p w14:paraId="4A9B8821">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7</w:t>
            </w:r>
          </w:p>
        </w:tc>
        <w:tc>
          <w:tcPr>
            <w:tcW w:w="1689" w:type="dxa"/>
            <w:vAlign w:val="center"/>
          </w:tcPr>
          <w:p w14:paraId="4BC228E3">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电动幕布</w:t>
            </w:r>
          </w:p>
        </w:tc>
        <w:tc>
          <w:tcPr>
            <w:tcW w:w="711" w:type="dxa"/>
            <w:noWrap/>
            <w:vAlign w:val="center"/>
          </w:tcPr>
          <w:p w14:paraId="72A77091">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5</w:t>
            </w:r>
          </w:p>
        </w:tc>
        <w:tc>
          <w:tcPr>
            <w:tcW w:w="745" w:type="dxa"/>
            <w:noWrap/>
            <w:vAlign w:val="center"/>
          </w:tcPr>
          <w:p w14:paraId="1C965E4B">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幅</w:t>
            </w:r>
          </w:p>
        </w:tc>
        <w:tc>
          <w:tcPr>
            <w:tcW w:w="1489" w:type="dxa"/>
            <w:noWrap/>
            <w:vAlign w:val="center"/>
          </w:tcPr>
          <w:p w14:paraId="4FAC2136">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工业</w:t>
            </w:r>
          </w:p>
        </w:tc>
        <w:tc>
          <w:tcPr>
            <w:tcW w:w="1389" w:type="dxa"/>
            <w:noWrap/>
            <w:vAlign w:val="center"/>
          </w:tcPr>
          <w:p w14:paraId="1982F6C7">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w:t>
            </w:r>
          </w:p>
        </w:tc>
        <w:tc>
          <w:tcPr>
            <w:tcW w:w="1456" w:type="dxa"/>
            <w:noWrap/>
            <w:vAlign w:val="center"/>
          </w:tcPr>
          <w:p w14:paraId="5041E1D2">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w:t>
            </w:r>
          </w:p>
        </w:tc>
        <w:tc>
          <w:tcPr>
            <w:tcW w:w="1355" w:type="dxa"/>
            <w:noWrap/>
            <w:vAlign w:val="center"/>
          </w:tcPr>
          <w:p w14:paraId="0A81119B">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0.088</w:t>
            </w:r>
          </w:p>
        </w:tc>
      </w:tr>
      <w:tr w14:paraId="1FC78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8" w:type="dxa"/>
            <w:vAlign w:val="center"/>
          </w:tcPr>
          <w:p w14:paraId="0307712E">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8</w:t>
            </w:r>
          </w:p>
        </w:tc>
        <w:tc>
          <w:tcPr>
            <w:tcW w:w="1689" w:type="dxa"/>
            <w:vAlign w:val="center"/>
          </w:tcPr>
          <w:p w14:paraId="4F8DA5E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多媒体智能终端</w:t>
            </w:r>
          </w:p>
        </w:tc>
        <w:tc>
          <w:tcPr>
            <w:tcW w:w="711" w:type="dxa"/>
            <w:noWrap/>
            <w:vAlign w:val="center"/>
          </w:tcPr>
          <w:p w14:paraId="0823B2D2">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5</w:t>
            </w:r>
          </w:p>
        </w:tc>
        <w:tc>
          <w:tcPr>
            <w:tcW w:w="745" w:type="dxa"/>
            <w:noWrap/>
            <w:vAlign w:val="center"/>
          </w:tcPr>
          <w:p w14:paraId="5C8FE97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台</w:t>
            </w:r>
          </w:p>
        </w:tc>
        <w:tc>
          <w:tcPr>
            <w:tcW w:w="1489" w:type="dxa"/>
            <w:noWrap/>
            <w:vAlign w:val="center"/>
          </w:tcPr>
          <w:p w14:paraId="17FC8FD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工业</w:t>
            </w:r>
          </w:p>
        </w:tc>
        <w:tc>
          <w:tcPr>
            <w:tcW w:w="1389" w:type="dxa"/>
            <w:noWrap/>
            <w:vAlign w:val="center"/>
          </w:tcPr>
          <w:p w14:paraId="4F27E10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w:t>
            </w:r>
          </w:p>
        </w:tc>
        <w:tc>
          <w:tcPr>
            <w:tcW w:w="1456" w:type="dxa"/>
            <w:noWrap/>
            <w:vAlign w:val="center"/>
          </w:tcPr>
          <w:p w14:paraId="47EFEDC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w:t>
            </w:r>
          </w:p>
        </w:tc>
        <w:tc>
          <w:tcPr>
            <w:tcW w:w="1355" w:type="dxa"/>
            <w:noWrap/>
            <w:vAlign w:val="center"/>
          </w:tcPr>
          <w:p w14:paraId="5A80F1C2">
            <w:pPr>
              <w:adjustRightInd w:val="0"/>
              <w:snapToGrid w:val="0"/>
              <w:jc w:val="center"/>
              <w:textAlignment w:val="center"/>
              <w:rPr>
                <w:rStyle w:val="288"/>
                <w:rFonts w:ascii="仿宋_GB2312" w:eastAsia="仿宋_GB2312" w:hAnsiTheme="minorEastAsia" w:cstheme="minorEastAsia"/>
                <w:color w:val="auto"/>
                <w:sz w:val="28"/>
                <w:szCs w:val="28"/>
                <w:lang w:val="en-US" w:bidi="ar"/>
              </w:rPr>
            </w:pPr>
            <w:r>
              <w:rPr>
                <w:rStyle w:val="288"/>
                <w:rFonts w:ascii="仿宋_GB2312" w:eastAsia="仿宋_GB2312" w:hAnsiTheme="minorEastAsia" w:cstheme="minorEastAsia"/>
                <w:color w:val="auto"/>
                <w:sz w:val="28"/>
                <w:szCs w:val="28"/>
                <w:lang w:val="en-US" w:eastAsia="zh-CN" w:bidi="ar"/>
              </w:rPr>
              <w:t>0.5</w:t>
            </w:r>
          </w:p>
        </w:tc>
      </w:tr>
      <w:tr w14:paraId="0B589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8" w:type="dxa"/>
            <w:vAlign w:val="center"/>
          </w:tcPr>
          <w:p w14:paraId="44B39102">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9</w:t>
            </w:r>
          </w:p>
        </w:tc>
        <w:tc>
          <w:tcPr>
            <w:tcW w:w="1689" w:type="dxa"/>
            <w:vAlign w:val="center"/>
          </w:tcPr>
          <w:p w14:paraId="37CED94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交互控制面板</w:t>
            </w:r>
          </w:p>
        </w:tc>
        <w:tc>
          <w:tcPr>
            <w:tcW w:w="711" w:type="dxa"/>
            <w:noWrap/>
            <w:vAlign w:val="center"/>
          </w:tcPr>
          <w:p w14:paraId="1571A986">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5</w:t>
            </w:r>
          </w:p>
        </w:tc>
        <w:tc>
          <w:tcPr>
            <w:tcW w:w="745" w:type="dxa"/>
            <w:noWrap/>
            <w:vAlign w:val="center"/>
          </w:tcPr>
          <w:p w14:paraId="4481266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台</w:t>
            </w:r>
          </w:p>
        </w:tc>
        <w:tc>
          <w:tcPr>
            <w:tcW w:w="1489" w:type="dxa"/>
            <w:noWrap/>
            <w:vAlign w:val="center"/>
          </w:tcPr>
          <w:p w14:paraId="29AB74D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工业</w:t>
            </w:r>
          </w:p>
        </w:tc>
        <w:tc>
          <w:tcPr>
            <w:tcW w:w="1389" w:type="dxa"/>
            <w:noWrap/>
            <w:vAlign w:val="center"/>
          </w:tcPr>
          <w:p w14:paraId="31AE4F1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w:t>
            </w:r>
          </w:p>
        </w:tc>
        <w:tc>
          <w:tcPr>
            <w:tcW w:w="1456" w:type="dxa"/>
            <w:noWrap/>
            <w:vAlign w:val="center"/>
          </w:tcPr>
          <w:p w14:paraId="071E2B2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w:t>
            </w:r>
          </w:p>
        </w:tc>
        <w:tc>
          <w:tcPr>
            <w:tcW w:w="1355" w:type="dxa"/>
            <w:noWrap/>
            <w:vAlign w:val="center"/>
          </w:tcPr>
          <w:p w14:paraId="2B698D25">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0.2</w:t>
            </w:r>
          </w:p>
        </w:tc>
      </w:tr>
      <w:tr w14:paraId="2957F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8" w:type="dxa"/>
            <w:vAlign w:val="center"/>
          </w:tcPr>
          <w:p w14:paraId="619D6340">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10</w:t>
            </w:r>
          </w:p>
        </w:tc>
        <w:tc>
          <w:tcPr>
            <w:tcW w:w="1689" w:type="dxa"/>
            <w:vAlign w:val="center"/>
          </w:tcPr>
          <w:p w14:paraId="6DF56E9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数字无线系统主机</w:t>
            </w:r>
          </w:p>
        </w:tc>
        <w:tc>
          <w:tcPr>
            <w:tcW w:w="711" w:type="dxa"/>
            <w:noWrap/>
            <w:vAlign w:val="center"/>
          </w:tcPr>
          <w:p w14:paraId="7BA120C6">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5</w:t>
            </w:r>
          </w:p>
        </w:tc>
        <w:tc>
          <w:tcPr>
            <w:tcW w:w="745" w:type="dxa"/>
            <w:noWrap/>
            <w:vAlign w:val="center"/>
          </w:tcPr>
          <w:p w14:paraId="6F733E7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台</w:t>
            </w:r>
          </w:p>
        </w:tc>
        <w:tc>
          <w:tcPr>
            <w:tcW w:w="1489" w:type="dxa"/>
            <w:noWrap/>
            <w:vAlign w:val="center"/>
          </w:tcPr>
          <w:p w14:paraId="33315DA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工业</w:t>
            </w:r>
          </w:p>
        </w:tc>
        <w:tc>
          <w:tcPr>
            <w:tcW w:w="1389" w:type="dxa"/>
            <w:noWrap/>
            <w:vAlign w:val="center"/>
          </w:tcPr>
          <w:p w14:paraId="07E2056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w:t>
            </w:r>
          </w:p>
        </w:tc>
        <w:tc>
          <w:tcPr>
            <w:tcW w:w="1456" w:type="dxa"/>
            <w:noWrap/>
            <w:vAlign w:val="center"/>
          </w:tcPr>
          <w:p w14:paraId="04F68D2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w:t>
            </w:r>
          </w:p>
        </w:tc>
        <w:tc>
          <w:tcPr>
            <w:tcW w:w="1355" w:type="dxa"/>
            <w:noWrap/>
            <w:vAlign w:val="center"/>
          </w:tcPr>
          <w:p w14:paraId="0190C165">
            <w:pPr>
              <w:adjustRightInd w:val="0"/>
              <w:snapToGrid w:val="0"/>
              <w:jc w:val="center"/>
              <w:textAlignment w:val="center"/>
              <w:rPr>
                <w:rStyle w:val="288"/>
                <w:rFonts w:ascii="仿宋_GB2312" w:eastAsia="仿宋_GB2312" w:hAnsiTheme="minorEastAsia" w:cstheme="minorEastAsia"/>
                <w:color w:val="auto"/>
                <w:sz w:val="28"/>
                <w:szCs w:val="28"/>
                <w:lang w:val="en-US" w:bidi="ar"/>
              </w:rPr>
            </w:pPr>
            <w:r>
              <w:rPr>
                <w:rStyle w:val="288"/>
                <w:rFonts w:ascii="仿宋_GB2312" w:eastAsia="仿宋_GB2312" w:hAnsiTheme="minorEastAsia" w:cstheme="minorEastAsia"/>
                <w:color w:val="auto"/>
                <w:sz w:val="28"/>
                <w:szCs w:val="28"/>
                <w:lang w:val="en-US" w:eastAsia="zh-CN" w:bidi="ar"/>
              </w:rPr>
              <w:t>0.5</w:t>
            </w:r>
          </w:p>
        </w:tc>
      </w:tr>
      <w:tr w14:paraId="708E2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8" w:type="dxa"/>
            <w:vAlign w:val="center"/>
          </w:tcPr>
          <w:p w14:paraId="2FE195BC">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11</w:t>
            </w:r>
          </w:p>
        </w:tc>
        <w:tc>
          <w:tcPr>
            <w:tcW w:w="1689" w:type="dxa"/>
            <w:vAlign w:val="center"/>
          </w:tcPr>
          <w:p w14:paraId="7C3A08C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数字接收器</w:t>
            </w:r>
          </w:p>
        </w:tc>
        <w:tc>
          <w:tcPr>
            <w:tcW w:w="711" w:type="dxa"/>
            <w:noWrap/>
            <w:vAlign w:val="center"/>
          </w:tcPr>
          <w:p w14:paraId="596E9FD4">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5</w:t>
            </w:r>
          </w:p>
        </w:tc>
        <w:tc>
          <w:tcPr>
            <w:tcW w:w="745" w:type="dxa"/>
            <w:noWrap/>
            <w:vAlign w:val="center"/>
          </w:tcPr>
          <w:p w14:paraId="03F663C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只</w:t>
            </w:r>
          </w:p>
        </w:tc>
        <w:tc>
          <w:tcPr>
            <w:tcW w:w="1489" w:type="dxa"/>
            <w:noWrap/>
            <w:vAlign w:val="center"/>
          </w:tcPr>
          <w:p w14:paraId="1E5F9CD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工业</w:t>
            </w:r>
          </w:p>
        </w:tc>
        <w:tc>
          <w:tcPr>
            <w:tcW w:w="1389" w:type="dxa"/>
            <w:noWrap/>
            <w:vAlign w:val="center"/>
          </w:tcPr>
          <w:p w14:paraId="5511D1F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w:t>
            </w:r>
          </w:p>
        </w:tc>
        <w:tc>
          <w:tcPr>
            <w:tcW w:w="1456" w:type="dxa"/>
            <w:noWrap/>
            <w:vAlign w:val="center"/>
          </w:tcPr>
          <w:p w14:paraId="27B1622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w:t>
            </w:r>
          </w:p>
        </w:tc>
        <w:tc>
          <w:tcPr>
            <w:tcW w:w="1355" w:type="dxa"/>
            <w:noWrap/>
            <w:vAlign w:val="center"/>
          </w:tcPr>
          <w:p w14:paraId="5B0F2F15">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0.108</w:t>
            </w:r>
          </w:p>
        </w:tc>
      </w:tr>
      <w:tr w14:paraId="7B9AA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8" w:type="dxa"/>
            <w:vAlign w:val="center"/>
          </w:tcPr>
          <w:p w14:paraId="19470AA7">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12</w:t>
            </w:r>
          </w:p>
        </w:tc>
        <w:tc>
          <w:tcPr>
            <w:tcW w:w="1689" w:type="dxa"/>
            <w:vAlign w:val="center"/>
          </w:tcPr>
          <w:p w14:paraId="5570597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线阵列音柱</w:t>
            </w:r>
          </w:p>
        </w:tc>
        <w:tc>
          <w:tcPr>
            <w:tcW w:w="711" w:type="dxa"/>
            <w:noWrap/>
            <w:vAlign w:val="center"/>
          </w:tcPr>
          <w:p w14:paraId="52244DC5">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10</w:t>
            </w:r>
          </w:p>
        </w:tc>
        <w:tc>
          <w:tcPr>
            <w:tcW w:w="745" w:type="dxa"/>
            <w:noWrap/>
            <w:vAlign w:val="center"/>
          </w:tcPr>
          <w:p w14:paraId="55C852D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只</w:t>
            </w:r>
          </w:p>
        </w:tc>
        <w:tc>
          <w:tcPr>
            <w:tcW w:w="1489" w:type="dxa"/>
            <w:noWrap/>
            <w:vAlign w:val="center"/>
          </w:tcPr>
          <w:p w14:paraId="011FA907">
            <w:pPr>
              <w:adjustRightInd w:val="0"/>
              <w:snapToGrid w:val="0"/>
              <w:jc w:val="center"/>
              <w:textAlignment w:val="center"/>
              <w:rPr>
                <w:rStyle w:val="288"/>
                <w:rFonts w:ascii="仿宋_GB2312" w:eastAsia="仿宋_GB2312" w:hAnsiTheme="minorEastAsia" w:cstheme="minorEastAsia"/>
                <w:color w:val="auto"/>
                <w:sz w:val="28"/>
                <w:szCs w:val="28"/>
                <w:lang w:val="en-US" w:bidi="ar"/>
              </w:rPr>
            </w:pPr>
            <w:r>
              <w:rPr>
                <w:rStyle w:val="288"/>
                <w:rFonts w:ascii="仿宋_GB2312" w:eastAsia="仿宋_GB2312" w:hAnsiTheme="minorEastAsia" w:cstheme="minorEastAsia"/>
                <w:color w:val="auto"/>
                <w:sz w:val="28"/>
                <w:szCs w:val="28"/>
                <w:lang w:val="en-US" w:eastAsia="zh-CN" w:bidi="ar"/>
              </w:rPr>
              <w:t>工业</w:t>
            </w:r>
          </w:p>
        </w:tc>
        <w:tc>
          <w:tcPr>
            <w:tcW w:w="1389" w:type="dxa"/>
            <w:noWrap/>
            <w:vAlign w:val="center"/>
          </w:tcPr>
          <w:p w14:paraId="36A4229F">
            <w:pPr>
              <w:adjustRightInd w:val="0"/>
              <w:snapToGrid w:val="0"/>
              <w:jc w:val="center"/>
              <w:textAlignment w:val="center"/>
              <w:rPr>
                <w:rStyle w:val="288"/>
                <w:rFonts w:ascii="仿宋_GB2312" w:eastAsia="仿宋_GB2312" w:hAnsiTheme="minorEastAsia" w:cstheme="minorEastAsia"/>
                <w:color w:val="auto"/>
                <w:sz w:val="28"/>
                <w:szCs w:val="28"/>
                <w:lang w:val="en-US" w:bidi="ar"/>
              </w:rPr>
            </w:pPr>
            <w:r>
              <w:rPr>
                <w:rStyle w:val="288"/>
                <w:rFonts w:ascii="仿宋_GB2312" w:eastAsia="仿宋_GB2312" w:hAnsiTheme="minorEastAsia" w:cstheme="minorEastAsia"/>
                <w:color w:val="auto"/>
                <w:sz w:val="28"/>
                <w:szCs w:val="28"/>
                <w:lang w:val="en-US" w:eastAsia="zh-CN" w:bidi="ar"/>
              </w:rPr>
              <w:t>/</w:t>
            </w:r>
          </w:p>
        </w:tc>
        <w:tc>
          <w:tcPr>
            <w:tcW w:w="1456" w:type="dxa"/>
            <w:noWrap/>
            <w:vAlign w:val="center"/>
          </w:tcPr>
          <w:p w14:paraId="51D106A1">
            <w:pPr>
              <w:adjustRightInd w:val="0"/>
              <w:snapToGrid w:val="0"/>
              <w:jc w:val="center"/>
              <w:textAlignment w:val="center"/>
              <w:rPr>
                <w:rStyle w:val="288"/>
                <w:rFonts w:ascii="仿宋_GB2312" w:eastAsia="仿宋_GB2312" w:hAnsiTheme="minorEastAsia" w:cstheme="minorEastAsia"/>
                <w:color w:val="auto"/>
                <w:sz w:val="28"/>
                <w:szCs w:val="28"/>
                <w:lang w:val="en-US" w:bidi="ar"/>
              </w:rPr>
            </w:pPr>
            <w:r>
              <w:rPr>
                <w:rStyle w:val="288"/>
                <w:rFonts w:ascii="仿宋_GB2312" w:eastAsia="仿宋_GB2312" w:hAnsiTheme="minorEastAsia" w:cstheme="minorEastAsia"/>
                <w:color w:val="auto"/>
                <w:sz w:val="28"/>
                <w:szCs w:val="28"/>
                <w:lang w:val="en-US" w:eastAsia="zh-CN" w:bidi="ar"/>
              </w:rPr>
              <w:t>/</w:t>
            </w:r>
          </w:p>
        </w:tc>
        <w:tc>
          <w:tcPr>
            <w:tcW w:w="1355" w:type="dxa"/>
            <w:noWrap/>
            <w:vAlign w:val="center"/>
          </w:tcPr>
          <w:p w14:paraId="5AF81DC3">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0.097</w:t>
            </w:r>
          </w:p>
        </w:tc>
      </w:tr>
      <w:tr w14:paraId="1C604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8" w:type="dxa"/>
            <w:vAlign w:val="center"/>
          </w:tcPr>
          <w:p w14:paraId="7655E83E">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13</w:t>
            </w:r>
          </w:p>
        </w:tc>
        <w:tc>
          <w:tcPr>
            <w:tcW w:w="1689" w:type="dxa"/>
            <w:vAlign w:val="center"/>
          </w:tcPr>
          <w:p w14:paraId="58BB78A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数字无线麦克风</w:t>
            </w:r>
          </w:p>
        </w:tc>
        <w:tc>
          <w:tcPr>
            <w:tcW w:w="711" w:type="dxa"/>
            <w:noWrap/>
            <w:vAlign w:val="center"/>
          </w:tcPr>
          <w:p w14:paraId="2B106853">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5</w:t>
            </w:r>
          </w:p>
        </w:tc>
        <w:tc>
          <w:tcPr>
            <w:tcW w:w="745" w:type="dxa"/>
            <w:noWrap/>
            <w:vAlign w:val="center"/>
          </w:tcPr>
          <w:p w14:paraId="2F7F00D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台</w:t>
            </w:r>
          </w:p>
        </w:tc>
        <w:tc>
          <w:tcPr>
            <w:tcW w:w="1489" w:type="dxa"/>
            <w:noWrap/>
            <w:vAlign w:val="center"/>
          </w:tcPr>
          <w:p w14:paraId="364FCC9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工业</w:t>
            </w:r>
          </w:p>
        </w:tc>
        <w:tc>
          <w:tcPr>
            <w:tcW w:w="1389" w:type="dxa"/>
            <w:noWrap/>
            <w:vAlign w:val="center"/>
          </w:tcPr>
          <w:p w14:paraId="2E677A5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w:t>
            </w:r>
          </w:p>
        </w:tc>
        <w:tc>
          <w:tcPr>
            <w:tcW w:w="1456" w:type="dxa"/>
            <w:noWrap/>
            <w:vAlign w:val="center"/>
          </w:tcPr>
          <w:p w14:paraId="52CD472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w:t>
            </w:r>
          </w:p>
        </w:tc>
        <w:tc>
          <w:tcPr>
            <w:tcW w:w="1355" w:type="dxa"/>
            <w:noWrap/>
            <w:vAlign w:val="center"/>
          </w:tcPr>
          <w:p w14:paraId="282E8991">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0.1083</w:t>
            </w:r>
          </w:p>
        </w:tc>
      </w:tr>
      <w:tr w14:paraId="21165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8" w:type="dxa"/>
            <w:vAlign w:val="center"/>
          </w:tcPr>
          <w:p w14:paraId="354046AE">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14</w:t>
            </w:r>
          </w:p>
        </w:tc>
        <w:tc>
          <w:tcPr>
            <w:tcW w:w="1689" w:type="dxa"/>
            <w:vAlign w:val="center"/>
          </w:tcPr>
          <w:p w14:paraId="7DE459D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接入交换机</w:t>
            </w:r>
          </w:p>
        </w:tc>
        <w:tc>
          <w:tcPr>
            <w:tcW w:w="711" w:type="dxa"/>
            <w:noWrap/>
            <w:vAlign w:val="center"/>
          </w:tcPr>
          <w:p w14:paraId="3C57D577">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9</w:t>
            </w:r>
          </w:p>
        </w:tc>
        <w:tc>
          <w:tcPr>
            <w:tcW w:w="745" w:type="dxa"/>
            <w:noWrap/>
            <w:vAlign w:val="center"/>
          </w:tcPr>
          <w:p w14:paraId="10A504F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台</w:t>
            </w:r>
          </w:p>
        </w:tc>
        <w:tc>
          <w:tcPr>
            <w:tcW w:w="1489" w:type="dxa"/>
            <w:noWrap/>
            <w:vAlign w:val="center"/>
          </w:tcPr>
          <w:p w14:paraId="25BCE75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工业</w:t>
            </w:r>
          </w:p>
        </w:tc>
        <w:tc>
          <w:tcPr>
            <w:tcW w:w="1389" w:type="dxa"/>
            <w:noWrap/>
            <w:vAlign w:val="center"/>
          </w:tcPr>
          <w:p w14:paraId="5B043D3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w:t>
            </w:r>
          </w:p>
        </w:tc>
        <w:tc>
          <w:tcPr>
            <w:tcW w:w="1456" w:type="dxa"/>
            <w:noWrap/>
            <w:vAlign w:val="center"/>
          </w:tcPr>
          <w:p w14:paraId="4CAC3DF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w:t>
            </w:r>
          </w:p>
        </w:tc>
        <w:tc>
          <w:tcPr>
            <w:tcW w:w="1355" w:type="dxa"/>
            <w:noWrap/>
            <w:vAlign w:val="center"/>
          </w:tcPr>
          <w:p w14:paraId="06D128C9">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0.1917</w:t>
            </w:r>
          </w:p>
        </w:tc>
      </w:tr>
      <w:tr w14:paraId="08025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8" w:type="dxa"/>
            <w:vAlign w:val="center"/>
          </w:tcPr>
          <w:p w14:paraId="725B2324">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15</w:t>
            </w:r>
          </w:p>
        </w:tc>
        <w:tc>
          <w:tcPr>
            <w:tcW w:w="1689" w:type="dxa"/>
            <w:vAlign w:val="center"/>
          </w:tcPr>
          <w:p w14:paraId="2D60144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机柜</w:t>
            </w:r>
          </w:p>
        </w:tc>
        <w:tc>
          <w:tcPr>
            <w:tcW w:w="711" w:type="dxa"/>
            <w:noWrap/>
            <w:vAlign w:val="center"/>
          </w:tcPr>
          <w:p w14:paraId="59F635AA">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3</w:t>
            </w:r>
          </w:p>
        </w:tc>
        <w:tc>
          <w:tcPr>
            <w:tcW w:w="745" w:type="dxa"/>
            <w:noWrap/>
            <w:vAlign w:val="center"/>
          </w:tcPr>
          <w:p w14:paraId="5575A71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套</w:t>
            </w:r>
          </w:p>
        </w:tc>
        <w:tc>
          <w:tcPr>
            <w:tcW w:w="1489" w:type="dxa"/>
            <w:noWrap/>
            <w:vAlign w:val="center"/>
          </w:tcPr>
          <w:p w14:paraId="1D98835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工业</w:t>
            </w:r>
          </w:p>
        </w:tc>
        <w:tc>
          <w:tcPr>
            <w:tcW w:w="1389" w:type="dxa"/>
            <w:noWrap/>
            <w:vAlign w:val="center"/>
          </w:tcPr>
          <w:p w14:paraId="7EF258F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w:t>
            </w:r>
          </w:p>
        </w:tc>
        <w:tc>
          <w:tcPr>
            <w:tcW w:w="1456" w:type="dxa"/>
            <w:noWrap/>
            <w:vAlign w:val="center"/>
          </w:tcPr>
          <w:p w14:paraId="324D0CA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w:t>
            </w:r>
          </w:p>
        </w:tc>
        <w:tc>
          <w:tcPr>
            <w:tcW w:w="1355" w:type="dxa"/>
            <w:noWrap/>
            <w:vAlign w:val="center"/>
          </w:tcPr>
          <w:p w14:paraId="50EBFAD3">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0.0883</w:t>
            </w:r>
          </w:p>
        </w:tc>
      </w:tr>
      <w:tr w14:paraId="7A915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8" w:type="dxa"/>
            <w:vAlign w:val="center"/>
          </w:tcPr>
          <w:p w14:paraId="5BD3AB3A">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16</w:t>
            </w:r>
          </w:p>
        </w:tc>
        <w:tc>
          <w:tcPr>
            <w:tcW w:w="1689" w:type="dxa"/>
            <w:vAlign w:val="center"/>
          </w:tcPr>
          <w:p w14:paraId="625CBD2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陶瓷防静电地板</w:t>
            </w:r>
          </w:p>
        </w:tc>
        <w:tc>
          <w:tcPr>
            <w:tcW w:w="711" w:type="dxa"/>
            <w:noWrap/>
            <w:vAlign w:val="center"/>
          </w:tcPr>
          <w:p w14:paraId="1AD1E015">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500</w:t>
            </w:r>
          </w:p>
        </w:tc>
        <w:tc>
          <w:tcPr>
            <w:tcW w:w="745" w:type="dxa"/>
            <w:noWrap/>
            <w:vAlign w:val="center"/>
          </w:tcPr>
          <w:p w14:paraId="008E47B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平方米</w:t>
            </w:r>
          </w:p>
        </w:tc>
        <w:tc>
          <w:tcPr>
            <w:tcW w:w="1489" w:type="dxa"/>
            <w:noWrap/>
            <w:vAlign w:val="center"/>
          </w:tcPr>
          <w:p w14:paraId="6D621942">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w:t>
            </w:r>
          </w:p>
        </w:tc>
        <w:tc>
          <w:tcPr>
            <w:tcW w:w="1389" w:type="dxa"/>
            <w:noWrap/>
            <w:vAlign w:val="center"/>
          </w:tcPr>
          <w:p w14:paraId="676FFAC0">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w:t>
            </w:r>
          </w:p>
        </w:tc>
        <w:tc>
          <w:tcPr>
            <w:tcW w:w="1456" w:type="dxa"/>
            <w:noWrap/>
            <w:vAlign w:val="center"/>
          </w:tcPr>
          <w:p w14:paraId="4DF39435">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w:t>
            </w:r>
          </w:p>
        </w:tc>
        <w:tc>
          <w:tcPr>
            <w:tcW w:w="1355" w:type="dxa"/>
            <w:noWrap/>
            <w:vAlign w:val="center"/>
          </w:tcPr>
          <w:p w14:paraId="148983C8">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0.02</w:t>
            </w:r>
          </w:p>
        </w:tc>
      </w:tr>
      <w:tr w14:paraId="70F89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8" w:type="dxa"/>
            <w:vAlign w:val="center"/>
          </w:tcPr>
          <w:p w14:paraId="33DA293B">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17</w:t>
            </w:r>
          </w:p>
        </w:tc>
        <w:tc>
          <w:tcPr>
            <w:tcW w:w="1689" w:type="dxa"/>
            <w:vAlign w:val="center"/>
          </w:tcPr>
          <w:p w14:paraId="536C789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电工电子实训装置</w:t>
            </w:r>
          </w:p>
        </w:tc>
        <w:tc>
          <w:tcPr>
            <w:tcW w:w="711" w:type="dxa"/>
            <w:noWrap/>
            <w:vAlign w:val="center"/>
          </w:tcPr>
          <w:p w14:paraId="035B8052">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50</w:t>
            </w:r>
          </w:p>
        </w:tc>
        <w:tc>
          <w:tcPr>
            <w:tcW w:w="745" w:type="dxa"/>
            <w:noWrap/>
            <w:vAlign w:val="center"/>
          </w:tcPr>
          <w:p w14:paraId="68566B2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val="en-US" w:eastAsia="zh-CN" w:bidi="ar"/>
              </w:rPr>
              <w:t>套</w:t>
            </w:r>
          </w:p>
        </w:tc>
        <w:tc>
          <w:tcPr>
            <w:tcW w:w="1489" w:type="dxa"/>
            <w:noWrap/>
            <w:vAlign w:val="center"/>
          </w:tcPr>
          <w:p w14:paraId="5658CAAC">
            <w:pPr>
              <w:adjustRightInd w:val="0"/>
              <w:snapToGrid w:val="0"/>
              <w:jc w:val="center"/>
              <w:textAlignment w:val="center"/>
              <w:rPr>
                <w:rStyle w:val="288"/>
                <w:rFonts w:ascii="仿宋_GB2312" w:eastAsia="仿宋_GB2312" w:hAnsiTheme="minorEastAsia" w:cstheme="minorEastAsia"/>
                <w:color w:val="auto"/>
                <w:sz w:val="28"/>
                <w:szCs w:val="28"/>
                <w:lang w:val="en-US" w:bidi="ar"/>
              </w:rPr>
            </w:pPr>
            <w:r>
              <w:rPr>
                <w:rStyle w:val="288"/>
                <w:rFonts w:ascii="仿宋_GB2312" w:eastAsia="仿宋_GB2312" w:hAnsiTheme="minorEastAsia" w:cstheme="minorEastAsia"/>
                <w:color w:val="auto"/>
                <w:sz w:val="28"/>
                <w:szCs w:val="28"/>
                <w:lang w:val="en-US" w:eastAsia="zh-CN" w:bidi="ar"/>
              </w:rPr>
              <w:t>工业</w:t>
            </w:r>
          </w:p>
        </w:tc>
        <w:tc>
          <w:tcPr>
            <w:tcW w:w="1389" w:type="dxa"/>
            <w:noWrap/>
            <w:vAlign w:val="center"/>
          </w:tcPr>
          <w:p w14:paraId="276401BA">
            <w:pPr>
              <w:adjustRightInd w:val="0"/>
              <w:snapToGrid w:val="0"/>
              <w:jc w:val="center"/>
              <w:textAlignment w:val="center"/>
              <w:rPr>
                <w:rStyle w:val="288"/>
                <w:rFonts w:ascii="仿宋_GB2312" w:eastAsia="仿宋_GB2312" w:hAnsiTheme="minorEastAsia" w:cstheme="minorEastAsia"/>
                <w:color w:val="auto"/>
                <w:sz w:val="28"/>
                <w:szCs w:val="28"/>
                <w:lang w:val="en-US" w:bidi="ar"/>
              </w:rPr>
            </w:pPr>
            <w:r>
              <w:rPr>
                <w:rStyle w:val="288"/>
                <w:rFonts w:ascii="仿宋_GB2312" w:eastAsia="仿宋_GB2312" w:hAnsiTheme="minorEastAsia" w:cstheme="minorEastAsia"/>
                <w:color w:val="auto"/>
                <w:sz w:val="28"/>
                <w:szCs w:val="28"/>
                <w:lang w:val="en-US" w:eastAsia="zh-CN" w:bidi="ar"/>
              </w:rPr>
              <w:t>/</w:t>
            </w:r>
          </w:p>
        </w:tc>
        <w:tc>
          <w:tcPr>
            <w:tcW w:w="1456" w:type="dxa"/>
            <w:noWrap/>
            <w:vAlign w:val="center"/>
          </w:tcPr>
          <w:p w14:paraId="42A2FCDC">
            <w:pPr>
              <w:adjustRightInd w:val="0"/>
              <w:snapToGrid w:val="0"/>
              <w:jc w:val="center"/>
              <w:textAlignment w:val="center"/>
              <w:rPr>
                <w:rStyle w:val="288"/>
                <w:rFonts w:ascii="仿宋_GB2312" w:eastAsia="仿宋_GB2312" w:hAnsiTheme="minorEastAsia" w:cstheme="minorEastAsia"/>
                <w:color w:val="auto"/>
                <w:sz w:val="28"/>
                <w:szCs w:val="28"/>
                <w:lang w:val="en-US" w:bidi="ar"/>
              </w:rPr>
            </w:pPr>
            <w:r>
              <w:rPr>
                <w:rStyle w:val="288"/>
                <w:rFonts w:ascii="仿宋_GB2312" w:eastAsia="仿宋_GB2312" w:hAnsiTheme="minorEastAsia" w:cstheme="minorEastAsia"/>
                <w:color w:val="auto"/>
                <w:sz w:val="28"/>
                <w:szCs w:val="28"/>
                <w:lang w:val="en-US" w:eastAsia="zh-CN" w:bidi="ar"/>
              </w:rPr>
              <w:t>/</w:t>
            </w:r>
          </w:p>
        </w:tc>
        <w:tc>
          <w:tcPr>
            <w:tcW w:w="1355" w:type="dxa"/>
            <w:noWrap/>
            <w:vAlign w:val="center"/>
          </w:tcPr>
          <w:p w14:paraId="01CB57EC">
            <w:pPr>
              <w:adjustRightInd w:val="0"/>
              <w:snapToGrid w:val="0"/>
              <w:jc w:val="center"/>
              <w:textAlignment w:val="center"/>
              <w:rPr>
                <w:rStyle w:val="288"/>
                <w:rFonts w:ascii="仿宋_GB2312" w:eastAsia="仿宋_GB2312" w:hAnsiTheme="minorEastAsia" w:cstheme="minorEastAsia"/>
                <w:color w:val="auto"/>
                <w:sz w:val="28"/>
                <w:szCs w:val="28"/>
                <w:lang w:val="en-US" w:eastAsia="zh-CN" w:bidi="ar"/>
              </w:rPr>
            </w:pPr>
            <w:r>
              <w:rPr>
                <w:rStyle w:val="288"/>
                <w:rFonts w:ascii="仿宋_GB2312" w:eastAsia="仿宋_GB2312" w:hAnsiTheme="minorEastAsia" w:cstheme="minorEastAsia"/>
                <w:color w:val="auto"/>
                <w:sz w:val="28"/>
                <w:szCs w:val="28"/>
                <w:lang w:val="en-US" w:eastAsia="zh-CN" w:bidi="ar"/>
              </w:rPr>
              <w:t>0.85</w:t>
            </w:r>
          </w:p>
        </w:tc>
      </w:tr>
    </w:tbl>
    <w:p w14:paraId="0CC2DE83">
      <w:pPr>
        <w:spacing w:after="160" w:line="278" w:lineRule="auto"/>
        <w:rPr>
          <w:rFonts w:ascii="仿宋_GB2312" w:hAnsi="仿宋_GB2312" w:eastAsia="仿宋_GB2312" w:cs="仿宋_GB2312"/>
          <w:bCs/>
          <w:color w:val="auto"/>
          <w:sz w:val="28"/>
          <w:szCs w:val="28"/>
          <w:lang w:val="en-US" w:eastAsia="zh-CN"/>
        </w:rPr>
      </w:pPr>
    </w:p>
    <w:p w14:paraId="0C3B1020">
      <w:pPr>
        <w:spacing w:after="160" w:line="278" w:lineRule="auto"/>
        <w:rPr>
          <w:rFonts w:ascii="仿宋_GB2312" w:hAnsi="仿宋_GB2312" w:eastAsia="仿宋_GB2312" w:cs="仿宋_GB2312"/>
          <w:bCs/>
          <w:color w:val="auto"/>
          <w:kern w:val="21"/>
          <w:sz w:val="28"/>
          <w:szCs w:val="28"/>
          <w:lang w:val="en-US" w:eastAsia="zh-CN"/>
        </w:rPr>
      </w:pPr>
      <w:r>
        <w:rPr>
          <w:rFonts w:ascii="仿宋_GB2312" w:hAnsi="仿宋_GB2312" w:eastAsia="仿宋_GB2312" w:cs="仿宋_GB2312"/>
          <w:bCs/>
          <w:color w:val="auto"/>
          <w:sz w:val="28"/>
          <w:szCs w:val="28"/>
          <w:lang w:val="en-US" w:eastAsia="zh-CN"/>
        </w:rPr>
        <w:t>指标按重要性分为 “★”、</w:t>
      </w:r>
      <w:r>
        <w:rPr>
          <w:rFonts w:ascii="仿宋_GB2312" w:hAnsi="仿宋_GB2312" w:eastAsia="仿宋_GB2312" w:cs="仿宋_GB2312"/>
          <w:color w:val="auto"/>
          <w:sz w:val="28"/>
          <w:szCs w:val="28"/>
          <w:lang w:val="en-US" w:eastAsia="zh-CN"/>
        </w:rPr>
        <w:t>“</w:t>
      </w:r>
      <w:r>
        <w:rPr>
          <w:rFonts w:ascii="仿宋_GB2312" w:hAnsi="仿宋_GB2312" w:eastAsia="仿宋_GB2312" w:cs="仿宋_GB2312"/>
          <w:bCs/>
          <w:color w:val="auto"/>
          <w:sz w:val="28"/>
          <w:szCs w:val="28"/>
          <w:lang w:val="en-US" w:eastAsia="zh-CN"/>
        </w:rPr>
        <w:t>▲</w:t>
      </w:r>
      <w:r>
        <w:rPr>
          <w:rFonts w:ascii="仿宋_GB2312" w:hAnsi="仿宋_GB2312" w:eastAsia="仿宋_GB2312" w:cs="仿宋_GB2312"/>
          <w:color w:val="auto"/>
          <w:sz w:val="28"/>
          <w:szCs w:val="28"/>
          <w:lang w:val="en-US" w:eastAsia="zh-CN"/>
        </w:rPr>
        <w:t>”</w:t>
      </w:r>
      <w:r>
        <w:rPr>
          <w:rFonts w:ascii="仿宋_GB2312" w:hAnsi="仿宋_GB2312" w:eastAsia="仿宋_GB2312" w:cs="仿宋_GB2312"/>
          <w:bCs/>
          <w:color w:val="auto"/>
          <w:sz w:val="28"/>
          <w:szCs w:val="28"/>
          <w:lang w:val="en-US" w:eastAsia="zh-CN"/>
        </w:rPr>
        <w:t>和一般指标项。“★”代表实质性指标，不满足该指标项将导致投标（响应）被拒绝；</w:t>
      </w:r>
      <w:r>
        <w:rPr>
          <w:rFonts w:ascii="仿宋_GB2312" w:hAnsi="仿宋_GB2312" w:eastAsia="仿宋_GB2312" w:cs="仿宋_GB2312"/>
          <w:color w:val="auto"/>
          <w:sz w:val="28"/>
          <w:szCs w:val="28"/>
          <w:lang w:val="en-US" w:eastAsia="zh-CN"/>
        </w:rPr>
        <w:t>“</w:t>
      </w:r>
      <w:r>
        <w:rPr>
          <w:rFonts w:ascii="仿宋_GB2312" w:hAnsi="仿宋_GB2312" w:eastAsia="仿宋_GB2312" w:cs="仿宋_GB2312"/>
          <w:bCs/>
          <w:color w:val="auto"/>
          <w:sz w:val="28"/>
          <w:szCs w:val="28"/>
          <w:lang w:val="en-US" w:eastAsia="zh-CN"/>
        </w:rPr>
        <w:t>▲</w:t>
      </w:r>
      <w:r>
        <w:rPr>
          <w:rFonts w:ascii="仿宋_GB2312" w:hAnsi="仿宋_GB2312" w:eastAsia="仿宋_GB2312" w:cs="仿宋_GB2312"/>
          <w:color w:val="auto"/>
          <w:sz w:val="28"/>
          <w:szCs w:val="28"/>
          <w:lang w:val="en-US" w:eastAsia="zh-CN"/>
        </w:rPr>
        <w:t>”代表重要技术指标；</w:t>
      </w:r>
      <w:r>
        <w:rPr>
          <w:rFonts w:ascii="仿宋_GB2312" w:hAnsi="仿宋_GB2312" w:eastAsia="仿宋_GB2312" w:cs="仿宋_GB2312"/>
          <w:bCs/>
          <w:color w:val="auto"/>
          <w:sz w:val="28"/>
          <w:szCs w:val="28"/>
          <w:lang w:val="en-US" w:eastAsia="zh-CN"/>
        </w:rPr>
        <w:t>未加符号项则表示一般指标项；</w:t>
      </w:r>
      <w:r>
        <w:rPr>
          <w:rFonts w:ascii="仿宋_GB2312" w:hAnsi="仿宋_GB2312" w:eastAsia="仿宋_GB2312" w:cs="仿宋_GB2312"/>
          <w:bCs/>
          <w:color w:val="auto"/>
          <w:kern w:val="21"/>
          <w:sz w:val="28"/>
          <w:szCs w:val="28"/>
          <w:lang w:val="en-US" w:eastAsia="zh-CN"/>
        </w:rPr>
        <w:t xml:space="preserve">“/”表示不作要求。 </w:t>
      </w:r>
    </w:p>
    <w:p w14:paraId="2ADF0F99">
      <w:pPr>
        <w:spacing w:after="160" w:line="278" w:lineRule="auto"/>
        <w:rPr>
          <w:rFonts w:ascii="仿宋_GB2312" w:hAnsi="仿宋_GB2312" w:eastAsia="仿宋_GB2312" w:cs="仿宋_GB2312"/>
          <w:bCs/>
          <w:color w:val="auto"/>
          <w:kern w:val="21"/>
          <w:sz w:val="28"/>
          <w:szCs w:val="28"/>
          <w:lang w:val="en-US" w:eastAsia="zh-CN"/>
        </w:rPr>
      </w:pPr>
      <w:r>
        <w:rPr>
          <w:rFonts w:ascii="仿宋_GB2312" w:hAnsi="仿宋_GB2312" w:eastAsia="仿宋_GB2312" w:cs="仿宋_GB2312"/>
          <w:bCs/>
          <w:color w:val="auto"/>
          <w:kern w:val="21"/>
          <w:sz w:val="28"/>
          <w:szCs w:val="28"/>
          <w:lang w:val="en-US" w:eastAsia="zh-CN"/>
        </w:rPr>
        <w:t xml:space="preserve"> </w:t>
      </w:r>
    </w:p>
    <w:p w14:paraId="4A662969">
      <w:pPr>
        <w:pStyle w:val="24"/>
      </w:pPr>
    </w:p>
    <w:p w14:paraId="4C4F9043">
      <w:pPr>
        <w:pStyle w:val="70"/>
        <w:jc w:val="center"/>
        <w:outlineLvl w:val="2"/>
        <w:rPr>
          <w:rFonts w:ascii="Times New Roman" w:hAnsi="Times New Roman" w:eastAsia="仿宋" w:cs="Times New Roman"/>
          <w:b/>
          <w:bCs/>
          <w:color w:val="auto"/>
          <w:sz w:val="32"/>
          <w:szCs w:val="32"/>
        </w:rPr>
      </w:pPr>
      <w:r>
        <w:rPr>
          <w:rFonts w:hint="eastAsia" w:ascii="Times New Roman" w:hAnsi="Times New Roman" w:eastAsia="仿宋" w:cs="Times New Roman"/>
          <w:b/>
          <w:bCs/>
          <w:color w:val="auto"/>
          <w:sz w:val="32"/>
          <w:szCs w:val="32"/>
        </w:rPr>
        <w:t xml:space="preserve">表2 </w:t>
      </w:r>
      <w:r>
        <w:rPr>
          <w:rFonts w:ascii="Times New Roman" w:hAnsi="Times New Roman" w:eastAsia="仿宋" w:cs="Times New Roman"/>
          <w:b/>
          <w:bCs/>
          <w:color w:val="auto"/>
          <w:sz w:val="32"/>
          <w:szCs w:val="32"/>
        </w:rPr>
        <w:t>技术参数及要求</w:t>
      </w:r>
    </w:p>
    <w:p w14:paraId="235E427E">
      <w:pPr>
        <w:rPr>
          <w:rFonts w:hint="default" w:ascii="Times New Roman" w:hAnsi="Times New Roman" w:eastAsia="仿宋_GB2312" w:cs="Times New Roman"/>
          <w:color w:val="auto"/>
          <w:kern w:val="0"/>
          <w:sz w:val="24"/>
          <w:lang w:val="en-US" w:eastAsia="zh-CN" w:bidi="ar"/>
        </w:rPr>
      </w:pPr>
    </w:p>
    <w:tbl>
      <w:tblPr>
        <w:tblStyle w:val="52"/>
        <w:tblW w:w="108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1110"/>
        <w:gridCol w:w="9000"/>
      </w:tblGrid>
      <w:tr w14:paraId="45FC1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3" w:type="dxa"/>
            <w:vAlign w:val="center"/>
          </w:tcPr>
          <w:p w14:paraId="7229A1AE">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序号</w:t>
            </w:r>
          </w:p>
        </w:tc>
        <w:tc>
          <w:tcPr>
            <w:tcW w:w="1110" w:type="dxa"/>
            <w:vAlign w:val="center"/>
          </w:tcPr>
          <w:p w14:paraId="422C7C1C">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名称</w:t>
            </w:r>
          </w:p>
        </w:tc>
        <w:tc>
          <w:tcPr>
            <w:tcW w:w="9000" w:type="dxa"/>
            <w:vAlign w:val="center"/>
          </w:tcPr>
          <w:p w14:paraId="3FA2073A">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主要技术参数或功能</w:t>
            </w:r>
          </w:p>
        </w:tc>
      </w:tr>
      <w:tr w14:paraId="0B9DD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3" w:type="dxa"/>
            <w:vAlign w:val="center"/>
          </w:tcPr>
          <w:p w14:paraId="7373F6B8">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1</w:t>
            </w:r>
          </w:p>
        </w:tc>
        <w:tc>
          <w:tcPr>
            <w:tcW w:w="1110" w:type="dxa"/>
            <w:vAlign w:val="center"/>
          </w:tcPr>
          <w:p w14:paraId="42CCDE3D">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台式计算机</w:t>
            </w:r>
          </w:p>
        </w:tc>
        <w:tc>
          <w:tcPr>
            <w:tcW w:w="9000" w:type="dxa"/>
            <w:vAlign w:val="center"/>
          </w:tcPr>
          <w:p w14:paraId="4876AB7E">
            <w:pPr>
              <w:jc w:val="left"/>
              <w:rPr>
                <w:rStyle w:val="288"/>
                <w:rFonts w:hint="default" w:ascii="Times New Roman" w:hAnsi="Times New Roman" w:eastAsia="仿宋_GB2312" w:cs="Times New Roman"/>
                <w:color w:val="auto"/>
                <w:sz w:val="28"/>
                <w:szCs w:val="28"/>
                <w:lang w:val="en-US" w:eastAsia="zh-CN" w:bidi="ar"/>
              </w:rPr>
            </w:pPr>
            <w:r>
              <w:rPr>
                <w:rFonts w:hint="default" w:ascii="Times New Roman" w:hAnsi="Times New Roman" w:eastAsia="仿宋_GB2312" w:cs="Times New Roman"/>
                <w:kern w:val="0"/>
                <w:sz w:val="28"/>
                <w:szCs w:val="28"/>
                <w:lang w:val="en-US" w:eastAsia="zh-CN" w:bidi="ar"/>
              </w:rPr>
              <w:t xml:space="preserve">详见附表 </w:t>
            </w:r>
            <w:r>
              <w:rPr>
                <w:rFonts w:hint="default" w:ascii="Times New Roman" w:hAnsi="Times New Roman" w:eastAsia="宋体" w:cs="Times New Roman"/>
                <w:kern w:val="0"/>
                <w:sz w:val="28"/>
                <w:szCs w:val="28"/>
                <w:lang w:val="en-US" w:eastAsia="zh-CN" w:bidi="ar"/>
              </w:rPr>
              <w:t>1</w:t>
            </w:r>
          </w:p>
        </w:tc>
      </w:tr>
      <w:tr w14:paraId="5393E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3" w:type="dxa"/>
            <w:vAlign w:val="center"/>
          </w:tcPr>
          <w:p w14:paraId="4190ADF1">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2</w:t>
            </w:r>
          </w:p>
        </w:tc>
        <w:tc>
          <w:tcPr>
            <w:tcW w:w="1110" w:type="dxa"/>
            <w:vAlign w:val="center"/>
          </w:tcPr>
          <w:p w14:paraId="666DC3E0">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教师机</w:t>
            </w:r>
          </w:p>
        </w:tc>
        <w:tc>
          <w:tcPr>
            <w:tcW w:w="9000" w:type="dxa"/>
            <w:vAlign w:val="center"/>
          </w:tcPr>
          <w:p w14:paraId="1C00539A">
            <w:pPr>
              <w:jc w:val="left"/>
              <w:rPr>
                <w:rStyle w:val="288"/>
                <w:rFonts w:hint="default" w:ascii="Times New Roman" w:hAnsi="Times New Roman" w:eastAsia="仿宋_GB2312" w:cs="Times New Roman"/>
                <w:color w:val="auto"/>
                <w:sz w:val="28"/>
                <w:szCs w:val="28"/>
                <w:lang w:val="en-US" w:eastAsia="zh-CN" w:bidi="ar"/>
              </w:rPr>
            </w:pPr>
            <w:r>
              <w:rPr>
                <w:rFonts w:hint="default" w:ascii="Times New Roman" w:hAnsi="Times New Roman" w:eastAsia="仿宋_GB2312" w:cs="Times New Roman"/>
                <w:kern w:val="0"/>
                <w:sz w:val="28"/>
                <w:szCs w:val="28"/>
                <w:lang w:val="en-US" w:eastAsia="zh-CN" w:bidi="ar"/>
              </w:rPr>
              <w:t>详见附表 2</w:t>
            </w:r>
          </w:p>
        </w:tc>
      </w:tr>
      <w:tr w14:paraId="63075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3" w:type="dxa"/>
            <w:vAlign w:val="center"/>
          </w:tcPr>
          <w:p w14:paraId="6CC41BB0">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3</w:t>
            </w:r>
          </w:p>
        </w:tc>
        <w:tc>
          <w:tcPr>
            <w:tcW w:w="1110" w:type="dxa"/>
            <w:vAlign w:val="center"/>
          </w:tcPr>
          <w:p w14:paraId="3A672DB8">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管理服务器</w:t>
            </w:r>
          </w:p>
        </w:tc>
        <w:tc>
          <w:tcPr>
            <w:tcW w:w="9000" w:type="dxa"/>
            <w:vAlign w:val="center"/>
          </w:tcPr>
          <w:p w14:paraId="0F484838">
            <w:pPr>
              <w:jc w:val="left"/>
              <w:rPr>
                <w:rStyle w:val="288"/>
                <w:rFonts w:hint="default" w:ascii="Times New Roman" w:hAnsi="Times New Roman" w:eastAsia="Arial Unicode MS" w:cs="Times New Roman"/>
                <w:sz w:val="21"/>
                <w:szCs w:val="21"/>
                <w:lang w:val="en-US" w:eastAsia="zh-CN"/>
              </w:rPr>
            </w:pPr>
            <w:r>
              <w:rPr>
                <w:rFonts w:hint="default" w:ascii="Times New Roman" w:hAnsi="Times New Roman" w:eastAsia="仿宋_GB2312" w:cs="Times New Roman"/>
                <w:kern w:val="0"/>
                <w:sz w:val="28"/>
                <w:szCs w:val="28"/>
                <w:lang w:val="en-US" w:eastAsia="zh-CN" w:bidi="ar"/>
              </w:rPr>
              <w:t>详见附表 3</w:t>
            </w:r>
          </w:p>
        </w:tc>
      </w:tr>
      <w:tr w14:paraId="32B98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3" w:type="dxa"/>
            <w:vAlign w:val="center"/>
          </w:tcPr>
          <w:p w14:paraId="2B194B14">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4</w:t>
            </w:r>
          </w:p>
        </w:tc>
        <w:tc>
          <w:tcPr>
            <w:tcW w:w="1110" w:type="dxa"/>
            <w:vAlign w:val="center"/>
          </w:tcPr>
          <w:p w14:paraId="0462121D">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终端管理系统</w:t>
            </w:r>
          </w:p>
        </w:tc>
        <w:tc>
          <w:tcPr>
            <w:tcW w:w="9000" w:type="dxa"/>
            <w:vAlign w:val="center"/>
          </w:tcPr>
          <w:p w14:paraId="634AC27C">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1.终端支持多盘缓存模式，在终端固态盘容量小导致无法多镜像缓存时，支持固态盘和机械盘混合缓存载入，充分利用终端现有存储资源；</w:t>
            </w:r>
          </w:p>
          <w:p w14:paraId="1E9FA7DC">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Fonts w:ascii="仿宋_GB2312" w:hAnsi="仿宋_GB2312" w:eastAsia="仿宋_GB2312" w:cs="仿宋_GB2312"/>
                <w:bCs/>
                <w:color w:val="auto"/>
                <w:sz w:val="28"/>
                <w:szCs w:val="28"/>
                <w:lang w:val="en-US" w:eastAsia="zh-CN"/>
              </w:rPr>
              <w:t>▲</w:t>
            </w:r>
            <w:r>
              <w:rPr>
                <w:rStyle w:val="288"/>
                <w:rFonts w:hint="default" w:ascii="Times New Roman" w:hAnsi="Times New Roman" w:eastAsia="仿宋_GB2312" w:cs="Times New Roman"/>
                <w:color w:val="auto"/>
                <w:sz w:val="28"/>
                <w:szCs w:val="28"/>
                <w:lang w:val="en-US" w:eastAsia="zh-CN" w:bidi="ar"/>
              </w:rPr>
              <w:t xml:space="preserve">2.终端支持部署多操作系统：兼容统信UOS、麒麟KOS、Linux、 Windows全系列。支持从管理端或客户端自主选择启动环境，且多个系统环境可快速切换（提供此功能界面截图证明）； </w:t>
            </w:r>
          </w:p>
          <w:p w14:paraId="5B69782B">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Fonts w:ascii="仿宋_GB2312" w:hAnsi="仿宋_GB2312" w:eastAsia="仿宋_GB2312" w:cs="仿宋_GB2312"/>
                <w:bCs/>
                <w:color w:val="auto"/>
                <w:sz w:val="28"/>
                <w:szCs w:val="28"/>
                <w:lang w:val="en-US" w:eastAsia="zh-CN"/>
              </w:rPr>
              <w:t>▲</w:t>
            </w:r>
            <w:r>
              <w:rPr>
                <w:rStyle w:val="288"/>
                <w:rFonts w:hint="default" w:ascii="Times New Roman" w:hAnsi="Times New Roman" w:eastAsia="仿宋_GB2312" w:cs="Times New Roman"/>
                <w:color w:val="auto"/>
                <w:sz w:val="28"/>
                <w:szCs w:val="28"/>
                <w:lang w:val="en-US" w:eastAsia="zh-CN" w:bidi="ar"/>
              </w:rPr>
              <w:t>3.为满足国产化要求，云桌面客户端支持部署在兆芯、海光、飞腾和龙芯架构的国产芯片终端设备上，实现设备的统一管理（提供此功能界面截图证明）；</w:t>
            </w:r>
          </w:p>
          <w:p w14:paraId="1FD967DE">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4.在终端与云桌面服务器丢失或断开网络连接无法被管理的情况下，支持使用U盘或移动硬盘恢复桌面；</w:t>
            </w:r>
          </w:p>
          <w:p w14:paraId="61CCB708">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Fonts w:ascii="仿宋_GB2312" w:hAnsi="仿宋_GB2312" w:eastAsia="仿宋_GB2312" w:cs="仿宋_GB2312"/>
                <w:bCs/>
                <w:color w:val="auto"/>
                <w:sz w:val="28"/>
                <w:szCs w:val="28"/>
                <w:lang w:val="en-US" w:eastAsia="zh-CN"/>
              </w:rPr>
              <w:t>▲</w:t>
            </w:r>
            <w:r>
              <w:rPr>
                <w:rStyle w:val="288"/>
                <w:rFonts w:hint="default" w:ascii="Times New Roman" w:hAnsi="Times New Roman" w:eastAsia="仿宋_GB2312" w:cs="Times New Roman"/>
                <w:color w:val="auto"/>
                <w:sz w:val="28"/>
                <w:szCs w:val="28"/>
                <w:lang w:val="en-US" w:eastAsia="zh-CN" w:bidi="ar"/>
              </w:rPr>
              <w:t>5.当终端无法进入系统时，支持基于Linux和Windows两种方式进行系统数据恢复（提供此功能界面截图证明）；</w:t>
            </w:r>
          </w:p>
          <w:p w14:paraId="2E07D47D">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6.支持云桌面服务器与终端的自动时间同步功能，即当主板掉电时可自动校准计算机时间；</w:t>
            </w:r>
          </w:p>
          <w:p w14:paraId="5D0BB536">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7.为适配各种网络环境情况，支持通过多种方式设定IP地址，包括手动设定、自有DHCP及第三方DHCP；</w:t>
            </w:r>
          </w:p>
          <w:p w14:paraId="4D7FC70A">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8.支持镜像本地缓存：支持将服务器镜像文件缓存至本地硬盘，支持小容量固态硬盘以增量非分区的方式缓存≥5个镜像；</w:t>
            </w:r>
          </w:p>
          <w:p w14:paraId="221AC853">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Fonts w:ascii="仿宋_GB2312" w:hAnsi="仿宋_GB2312" w:eastAsia="仿宋_GB2312" w:cs="仿宋_GB2312"/>
                <w:bCs/>
                <w:color w:val="auto"/>
                <w:sz w:val="28"/>
                <w:szCs w:val="28"/>
                <w:lang w:val="en-US" w:eastAsia="zh-CN"/>
              </w:rPr>
              <w:t>▲</w:t>
            </w:r>
            <w:r>
              <w:rPr>
                <w:rStyle w:val="288"/>
                <w:rFonts w:hint="default" w:ascii="Times New Roman" w:hAnsi="Times New Roman" w:eastAsia="仿宋_GB2312" w:cs="Times New Roman"/>
                <w:color w:val="auto"/>
                <w:sz w:val="28"/>
                <w:szCs w:val="28"/>
                <w:lang w:val="en-US" w:eastAsia="zh-CN" w:bidi="ar"/>
              </w:rPr>
              <w:t>9.支持对终端端口进行分类控制，包括但不限于控制所有USB接口、光盘驱动器接口、USB存储设备接口、打印机接口、1394接口、串并口接口、蓝牙驱动器接口等（提供此功能界面截图证明）；</w:t>
            </w:r>
          </w:p>
          <w:p w14:paraId="36801E76">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Fonts w:ascii="仿宋_GB2312" w:hAnsi="仿宋_GB2312" w:eastAsia="仿宋_GB2312" w:cs="仿宋_GB2312"/>
                <w:bCs/>
                <w:color w:val="auto"/>
                <w:sz w:val="28"/>
                <w:szCs w:val="28"/>
                <w:lang w:val="en-US" w:eastAsia="zh-CN"/>
              </w:rPr>
              <w:t>▲</w:t>
            </w:r>
            <w:r>
              <w:rPr>
                <w:rStyle w:val="288"/>
                <w:rFonts w:hint="default" w:ascii="Times New Roman" w:hAnsi="Times New Roman" w:eastAsia="仿宋_GB2312" w:cs="Times New Roman"/>
                <w:color w:val="auto"/>
                <w:sz w:val="28"/>
                <w:szCs w:val="28"/>
                <w:lang w:val="en-US" w:eastAsia="zh-CN" w:bidi="ar"/>
              </w:rPr>
              <w:t>10.支持管理平台对单个或批量设备的文件下发功能，涵盖多种文件类型，包括图片、音频、视频、文档以及压缩文件。其中，图片、音频和视频类文件支持在下发至设备后自动播放，为用户提供高效、便捷的操作体验（提供此功能界面截图证明）；</w:t>
            </w:r>
            <w:r>
              <w:rPr>
                <w:rStyle w:val="288"/>
                <w:rFonts w:hint="default" w:ascii="Times New Roman" w:hAnsi="Times New Roman" w:eastAsia="仿宋_GB2312" w:cs="Times New Roman"/>
                <w:color w:val="auto"/>
                <w:sz w:val="28"/>
                <w:szCs w:val="28"/>
                <w:lang w:val="en-US" w:eastAsia="zh-CN" w:bidi="ar"/>
              </w:rPr>
              <w:br w:type="textWrapping"/>
            </w:r>
            <w:r>
              <w:rPr>
                <w:rFonts w:ascii="仿宋_GB2312" w:hAnsi="仿宋_GB2312" w:eastAsia="仿宋_GB2312" w:cs="仿宋_GB2312"/>
                <w:bCs/>
                <w:color w:val="auto"/>
                <w:sz w:val="28"/>
                <w:szCs w:val="28"/>
                <w:lang w:val="en-US" w:eastAsia="zh-CN"/>
              </w:rPr>
              <w:t>▲</w:t>
            </w:r>
            <w:r>
              <w:rPr>
                <w:rStyle w:val="288"/>
                <w:rFonts w:hint="default" w:ascii="Times New Roman" w:hAnsi="Times New Roman" w:eastAsia="仿宋_GB2312" w:cs="Times New Roman"/>
                <w:color w:val="auto"/>
                <w:sz w:val="28"/>
                <w:szCs w:val="28"/>
                <w:lang w:val="en-US" w:eastAsia="zh-CN" w:bidi="ar"/>
              </w:rPr>
              <w:t>11.为防止学生误入底层系统或在镜像下发时误操作，在管理平台设置终端密码后，输入密码方可继续配置或操作（提供此功能界面截图证明）；</w:t>
            </w:r>
          </w:p>
          <w:p w14:paraId="415D9FD4">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12.为解决国产系统下的软件使用体验需要支持在海光、兆芯、飞腾、龙芯等国产硬件和KOS、UOS等国产系统下兼容Windows软件的运行使用。产品需完全模拟用户windows电脑原有的操作习惯及场景，支持像windows电脑一样，应用程序的多开切换，进入客户端双击应用图标即可打开程序。系统任务栏操作、消息托盘显示系统剪贴板调用、桌面快捷方式打开、文件启动程序关联等操作（提供此功能界面截图证明）；</w:t>
            </w:r>
          </w:p>
          <w:p w14:paraId="3FC951D2">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13.内置人工智能通识课模块支持多媒体拓展资源聚合：集成全球顶尖 AI 教育视频资源及实时更新的行业资讯与应用案例。为教师提供课堂导入素材及学生课后探究资源，解决教学内容滞后性问题；</w:t>
            </w:r>
          </w:p>
          <w:p w14:paraId="2954BBE8">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14.内置人工智能通识课模块支持轻量化 AI 能力体验平台：内置文生文、文生图等主流 AI 模型的 Web 端交互入口，支持教师在无代码环境下进行现场演示。</w:t>
            </w:r>
          </w:p>
        </w:tc>
      </w:tr>
      <w:tr w14:paraId="7D6DE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3" w:type="dxa"/>
            <w:vAlign w:val="center"/>
          </w:tcPr>
          <w:p w14:paraId="1345317D">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5</w:t>
            </w:r>
          </w:p>
        </w:tc>
        <w:tc>
          <w:tcPr>
            <w:tcW w:w="1110" w:type="dxa"/>
            <w:vAlign w:val="center"/>
          </w:tcPr>
          <w:p w14:paraId="60884686">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多媒体教学软件</w:t>
            </w:r>
          </w:p>
        </w:tc>
        <w:tc>
          <w:tcPr>
            <w:tcW w:w="9000" w:type="dxa"/>
            <w:vAlign w:val="center"/>
          </w:tcPr>
          <w:p w14:paraId="566C98DF">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1.教师演示：教师可对单一、部分或全体学生进行屏幕演示，全屏、窗口方式均可；</w:t>
            </w:r>
          </w:p>
          <w:p w14:paraId="52D2C27C">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2.屏幕笔：教师教学使用的辅助工具，突出显示项目、添加注释、添加批注等等；</w:t>
            </w:r>
          </w:p>
          <w:p w14:paraId="588FD981">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3.视频广播：采用流媒体技术，实现教师机播放的视频同步广播到学生机，且达到流畅无延时，兼容常见的媒体音视频格式，：Windows Media文件，VCD文件，DVD文件，Real文件，AVI文件，MP3等主流文件格式，支持720p、1080p的高清视频；</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4.视频直播：通过USB摄像头将教师的画面实时广播到学生机，达到更形象的教学效果，具有引导客户选择视频设备的提示画面，以便客户快速完成摄像头设备的设置；</w:t>
            </w:r>
          </w:p>
          <w:p w14:paraId="088108DB">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5.语音广播：将教师机麦克风或其他输入设备（如磁带、CD）的声音广播给学生；</w:t>
            </w:r>
          </w:p>
          <w:p w14:paraId="7A6C8F18">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6.语音对讲：教师可以选择任意一名已登录学生与其进行双向语音交谈，除教师和此学生外，其他学生不会受到干扰，可以动态切换对讲对象；</w:t>
            </w:r>
          </w:p>
          <w:p w14:paraId="56D30DA5">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7.学生演示：教师可选定一台学生机作为示范，由此学生代替教师进行示范教学；</w:t>
            </w:r>
          </w:p>
          <w:p w14:paraId="677DF490">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8.分组教学：教师分派组长执行指定的功能，组长代替教师进行小组教学，小组不需要再临时创建，可以直接使用既有分组信息，教师可以监控每个分组的教学过程，以了解分组教学的进度；</w:t>
            </w:r>
          </w:p>
          <w:p w14:paraId="0884CCC0">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Fonts w:ascii="仿宋_GB2312" w:hAnsi="仿宋_GB2312" w:eastAsia="仿宋_GB2312" w:cs="仿宋_GB2312"/>
                <w:bCs/>
                <w:color w:val="auto"/>
                <w:sz w:val="28"/>
                <w:szCs w:val="28"/>
                <w:lang w:val="en-US" w:eastAsia="zh-CN"/>
              </w:rPr>
              <w:t>▲</w:t>
            </w:r>
            <w:r>
              <w:rPr>
                <w:rStyle w:val="288"/>
                <w:rFonts w:hint="default" w:ascii="Times New Roman" w:hAnsi="Times New Roman" w:eastAsia="仿宋_GB2312" w:cs="Times New Roman"/>
                <w:color w:val="auto"/>
                <w:sz w:val="28"/>
                <w:szCs w:val="28"/>
                <w:lang w:val="en-US" w:eastAsia="zh-CN" w:bidi="ar"/>
              </w:rPr>
              <w:t>9.分组讨论：教师可以创建多个小组进行讨论活动，并可任意选择分组加入讨论活动。同组师生支持多种方式进行交流，包括文字，表情，图片等（提供此功能界面截图证明）；</w:t>
            </w:r>
          </w:p>
          <w:p w14:paraId="513FF193">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10.屏幕录制：教师机可以将本地的操作和讲解过程录制为ASF录像文件，可以用 Windows 自带的 Media Player 直接播放（提供此功能界面截图证明）；</w:t>
            </w:r>
          </w:p>
          <w:p w14:paraId="4AD08461">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11.学生端屏幕录制、回放：学生端接收教师端广播的时候可以自动录制教师机广播教学的过程，课后可以重复观看学习；</w:t>
            </w:r>
          </w:p>
          <w:p w14:paraId="3B99067C">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Fonts w:ascii="仿宋_GB2312" w:hAnsi="仿宋_GB2312" w:eastAsia="仿宋_GB2312" w:cs="仿宋_GB2312"/>
                <w:bCs/>
                <w:color w:val="auto"/>
                <w:sz w:val="28"/>
                <w:szCs w:val="28"/>
                <w:lang w:val="en-US" w:eastAsia="zh-CN"/>
              </w:rPr>
              <w:t>▲</w:t>
            </w:r>
            <w:r>
              <w:rPr>
                <w:rStyle w:val="288"/>
                <w:rFonts w:hint="default" w:ascii="Times New Roman" w:hAnsi="Times New Roman" w:eastAsia="仿宋_GB2312" w:cs="Times New Roman"/>
                <w:color w:val="auto"/>
                <w:sz w:val="28"/>
                <w:szCs w:val="28"/>
                <w:lang w:val="en-US" w:eastAsia="zh-CN" w:bidi="ar"/>
              </w:rPr>
              <w:t>12.文件分发：允许教师将教师机不同盘符中的目录或文件一起发送至学生机的某目录下。目录不存在自动新建此目录；盘符不存在或路径非法不允许分发；文件已存在选择自动覆盖或保留原始文件（提供此功能界面截图证明）；</w:t>
            </w:r>
          </w:p>
          <w:p w14:paraId="4631F0C4">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Fonts w:ascii="仿宋_GB2312" w:hAnsi="仿宋_GB2312" w:eastAsia="仿宋_GB2312" w:cs="仿宋_GB2312"/>
                <w:bCs/>
                <w:color w:val="auto"/>
                <w:sz w:val="28"/>
                <w:szCs w:val="28"/>
                <w:lang w:val="en-US" w:eastAsia="zh-CN"/>
              </w:rPr>
              <w:t>▲</w:t>
            </w:r>
            <w:r>
              <w:rPr>
                <w:rStyle w:val="288"/>
                <w:rFonts w:hint="default" w:ascii="Times New Roman" w:hAnsi="Times New Roman" w:eastAsia="仿宋_GB2312" w:cs="Times New Roman"/>
                <w:color w:val="auto"/>
                <w:sz w:val="28"/>
                <w:szCs w:val="28"/>
                <w:lang w:val="en-US" w:eastAsia="zh-CN" w:bidi="ar"/>
              </w:rPr>
              <w:t>13.作业提交：学生把做好的作业直接提交到教师机，方便教师批改作业要收取的麻烦。通过特殊设置，学生提交作业时</w:t>
            </w:r>
            <w:r>
              <w:rPr>
                <w:rStyle w:val="288"/>
                <w:rFonts w:ascii="Times New Roman" w:hAnsi="Times New Roman" w:eastAsia="仿宋_GB2312" w:cs="Times New Roman"/>
                <w:color w:val="auto"/>
                <w:sz w:val="28"/>
                <w:szCs w:val="28"/>
                <w:lang w:val="en-US" w:eastAsia="zh-CN" w:bidi="ar"/>
              </w:rPr>
              <w:t>必须</w:t>
            </w:r>
            <w:r>
              <w:rPr>
                <w:rStyle w:val="288"/>
                <w:rFonts w:hint="default" w:ascii="Times New Roman" w:hAnsi="Times New Roman" w:eastAsia="仿宋_GB2312" w:cs="Times New Roman"/>
                <w:color w:val="auto"/>
                <w:sz w:val="28"/>
                <w:szCs w:val="28"/>
                <w:lang w:val="en-US" w:eastAsia="zh-CN" w:bidi="ar"/>
              </w:rPr>
              <w:t>经过教师审批通过后才可提交，教师可以选择接收和拒绝学生提交的文件。并且教师可以限制学生提交文件的数目和大小（提供此功能界面截图证明）；</w:t>
            </w:r>
          </w:p>
          <w:p w14:paraId="10F38370">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14.屏幕监视：教师机可以监视单一、部分、全体学生机的屏幕，教师机每屏可监视多个学生屏幕；</w:t>
            </w:r>
          </w:p>
          <w:p w14:paraId="27474719">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15.频道教学：支持多达32个频道的划分，一个教师可对单个班级或多个班级同时上课；多个教师可同时对多个班级进行不同内容的教学；</w:t>
            </w:r>
          </w:p>
          <w:p w14:paraId="11DD4572">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16.签到：提供学生名单管理工具，为软件和考试模块提供实名验证。提供点名功能，支持保留学生多次登录记录、考勤统计、签到信息的导出与对比；</w:t>
            </w:r>
          </w:p>
          <w:p w14:paraId="354A08C3">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17.班级模型：有单独的管理界面，实现对班级模型的统一管理，并能够导入、导出，调用不同网络教室中的班级模型；</w:t>
            </w:r>
          </w:p>
          <w:p w14:paraId="56F401EE">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18.上网限制：设定学生访问网站的黑名单或白名单，对学生可以访问的Internet站点进行管理。支持多浏览器限制，如QQ、IE、谷歌、360、遨游等浏览器（提供此功能界面截图证明）；</w:t>
            </w:r>
          </w:p>
          <w:p w14:paraId="12643F32">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19.程序限制：通过各种策略的应用，可防止学生在教学过程中打游戏或使用QQ、MSN等聊天工具（提供此功能界面截图证明）；</w:t>
            </w:r>
          </w:p>
          <w:p w14:paraId="1F48B9A7">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20.黑屏肃静：教师可以对单一、部分、全体学生执行黑屏肃静来禁止其进行任何操作，达到专心听课目的，教师可自定义黑屏的内容与图片；</w:t>
            </w:r>
          </w:p>
          <w:p w14:paraId="60F9A87D">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21.分组管理：教师可以新建、删除、重命名分组、添加和删除分组中的成员、设置小组长。分组信息随班级模型永久保存，下次上课可以直接使用保存的分组；</w:t>
            </w:r>
          </w:p>
          <w:p w14:paraId="05708AD1">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22.自动锁屏：断线保护自动锁屏技术，通过网卡是否激活锁定屏幕，避免学生拔掉网线违反纪律；</w:t>
            </w:r>
          </w:p>
          <w:p w14:paraId="4C41E609">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23.防杀进程：为安全起见，学生端程序运行后，防止学生通过任务管理器结束学生端程序进程来逃脱教师控制；</w:t>
            </w:r>
          </w:p>
          <w:p w14:paraId="03C3BA4B">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24.请求帮助：学生端遇到问题可请求帮助，教师端可远程遥控帮助学生解决问题；</w:t>
            </w:r>
          </w:p>
          <w:p w14:paraId="670672C5">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25.远程消息：教师与学生能够使用远程消息进行交流，并可以允许和阻止学生发送文字消息；</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26.远程设置：远程设置学生桌面主题、桌面背景、屏幕保护方案、学生的频道号和音量、学生端密码、是否启用进程保护、断线锁屏、热键退出等（提供此功能界面截图证明）。</w:t>
            </w:r>
          </w:p>
        </w:tc>
      </w:tr>
      <w:tr w14:paraId="39627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3" w:type="dxa"/>
            <w:vAlign w:val="center"/>
          </w:tcPr>
          <w:p w14:paraId="7C0D3BD3">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6</w:t>
            </w:r>
          </w:p>
        </w:tc>
        <w:tc>
          <w:tcPr>
            <w:tcW w:w="1110" w:type="dxa"/>
            <w:vAlign w:val="center"/>
          </w:tcPr>
          <w:p w14:paraId="22BCFE92">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投影机</w:t>
            </w:r>
          </w:p>
        </w:tc>
        <w:tc>
          <w:tcPr>
            <w:tcW w:w="9000" w:type="dxa"/>
            <w:vAlign w:val="center"/>
          </w:tcPr>
          <w:p w14:paraId="477EF6B0">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1.3LCD显示技术，液晶板尺寸≥0.63英寸；</w:t>
            </w:r>
          </w:p>
          <w:p w14:paraId="6CCA9AFF">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2.标准亮度≥4500流明；标准分辨率1024*768（XGA）；</w:t>
            </w:r>
          </w:p>
          <w:p w14:paraId="33A91968">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3.灯泡功率≥240W；整机功率≤320W，最低待机功耗≤0.5W；内置扬声器≥10W；</w:t>
            </w:r>
          </w:p>
          <w:p w14:paraId="79406C7D">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4.镜头≥1.6倍变焦；投射比1.18-1.9:1；照度均匀性≥85%；</w:t>
            </w:r>
          </w:p>
          <w:p w14:paraId="378F0314">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5.接口不少于HDMI*2，电脑输入*1，电脑输入/输出*1（输入输出可切换），RJ45*1，RS-232C*1，视频输入*1，音频输入*3，音频输出*1，USB-A*1，USB-B*1；</w:t>
            </w:r>
          </w:p>
          <w:p w14:paraId="0475DFED">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Fonts w:ascii="仿宋_GB2312" w:hAnsi="仿宋_GB2312" w:eastAsia="仿宋_GB2312" w:cs="仿宋_GB2312"/>
                <w:bCs/>
                <w:color w:val="auto"/>
                <w:sz w:val="28"/>
                <w:szCs w:val="28"/>
                <w:lang w:val="en-US" w:eastAsia="zh-CN"/>
              </w:rPr>
              <w:t>▲</w:t>
            </w:r>
            <w:r>
              <w:rPr>
                <w:rStyle w:val="288"/>
                <w:rFonts w:hint="default" w:ascii="Times New Roman" w:hAnsi="Times New Roman" w:eastAsia="仿宋_GB2312" w:cs="Times New Roman"/>
                <w:color w:val="auto"/>
                <w:sz w:val="28"/>
                <w:szCs w:val="28"/>
                <w:lang w:val="en-US" w:eastAsia="zh-CN" w:bidi="ar"/>
              </w:rPr>
              <w:t>6.自动强光感应功能，采用风琴褶皱式结构防尘过滤网，机器面板、接口、遥控器采用全中文标识（提供产品所投产品机器面板、接口、遥控器实物照片）；</w:t>
            </w:r>
          </w:p>
          <w:p w14:paraId="391C296A">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7.≥垂直±35°、水平±35°梯形校正；四角校正功能，曲面校正功能；</w:t>
            </w:r>
          </w:p>
          <w:p w14:paraId="71ED5854">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8.自带投影机监控软件，用户一台电脑最多可同时操控不少于2000台投影机；</w:t>
            </w:r>
          </w:p>
        </w:tc>
      </w:tr>
      <w:tr w14:paraId="721AF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3" w:type="dxa"/>
            <w:vAlign w:val="center"/>
          </w:tcPr>
          <w:p w14:paraId="11F09E4A">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7</w:t>
            </w:r>
          </w:p>
        </w:tc>
        <w:tc>
          <w:tcPr>
            <w:tcW w:w="1110" w:type="dxa"/>
            <w:vAlign w:val="center"/>
          </w:tcPr>
          <w:p w14:paraId="56F52964">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电动幕布</w:t>
            </w:r>
          </w:p>
        </w:tc>
        <w:tc>
          <w:tcPr>
            <w:tcW w:w="9000" w:type="dxa"/>
            <w:vAlign w:val="center"/>
          </w:tcPr>
          <w:p w14:paraId="1641B720">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电动玻珠幕布，尺寸：120寸。</w:t>
            </w:r>
          </w:p>
        </w:tc>
      </w:tr>
      <w:tr w14:paraId="4F0E8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3" w:type="dxa"/>
            <w:vAlign w:val="center"/>
          </w:tcPr>
          <w:p w14:paraId="0FD9EA8B">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8</w:t>
            </w:r>
          </w:p>
        </w:tc>
        <w:tc>
          <w:tcPr>
            <w:tcW w:w="1110" w:type="dxa"/>
            <w:vAlign w:val="center"/>
          </w:tcPr>
          <w:p w14:paraId="36079091">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多媒体智能终端</w:t>
            </w:r>
          </w:p>
        </w:tc>
        <w:tc>
          <w:tcPr>
            <w:tcW w:w="9000" w:type="dxa"/>
            <w:vAlign w:val="center"/>
          </w:tcPr>
          <w:p w14:paraId="5B41DBBF">
            <w:pPr>
              <w:numPr>
                <w:ilvl w:val="0"/>
                <w:numId w:val="11"/>
              </w:num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整机要求采用≥1.5U高度，方便在机箱内安装部署；</w:t>
            </w:r>
          </w:p>
          <w:p w14:paraId="08981CC3">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2.高清接口：HDMI输入接口≥3个，输出接口≥3个，最高支持4096x2160@30Hz；VGA视频输入接口≥1个，输出接口≥1个，最高支持1080p@60Hz；</w:t>
            </w:r>
            <w:r>
              <w:rPr>
                <w:rStyle w:val="288"/>
                <w:rFonts w:hint="default" w:ascii="Times New Roman" w:hAnsi="Times New Roman" w:eastAsia="仿宋_GB2312" w:cs="Times New Roman"/>
                <w:color w:val="auto"/>
                <w:sz w:val="28"/>
                <w:szCs w:val="28"/>
                <w:lang w:val="en-US" w:eastAsia="zh-CN" w:bidi="ar"/>
              </w:rPr>
              <w:br w:type="textWrapping"/>
            </w:r>
            <w:r>
              <w:rPr>
                <w:rFonts w:ascii="仿宋_GB2312" w:hAnsi="仿宋_GB2312" w:eastAsia="仿宋_GB2312" w:cs="仿宋_GB2312"/>
                <w:bCs/>
                <w:color w:val="auto"/>
                <w:sz w:val="28"/>
                <w:szCs w:val="28"/>
                <w:lang w:val="en-US" w:eastAsia="zh-CN"/>
              </w:rPr>
              <w:t>▲</w:t>
            </w:r>
            <w:r>
              <w:rPr>
                <w:rStyle w:val="288"/>
                <w:rFonts w:hint="default" w:ascii="Times New Roman" w:hAnsi="Times New Roman" w:eastAsia="仿宋_GB2312" w:cs="Times New Roman"/>
                <w:color w:val="auto"/>
                <w:sz w:val="28"/>
                <w:szCs w:val="28"/>
                <w:lang w:val="en-US" w:eastAsia="zh-CN" w:bidi="ar"/>
              </w:rPr>
              <w:t>3.千兆自适应网口≥8个，同时为满足接口设备供电需求，其中4个网口需支持PoE+供电（提供所投产品实物接口照片）；</w:t>
            </w:r>
          </w:p>
          <w:p w14:paraId="4E94074E">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4.USB接口≥6个</w:t>
            </w:r>
            <w:r>
              <w:rPr>
                <w:rStyle w:val="65"/>
                <w:rFonts w:hint="default" w:ascii="Times New Roman" w:hAnsi="Times New Roman" w:eastAsia="仿宋_GB2312" w:cs="Times New Roman"/>
                <w:color w:val="auto"/>
                <w:sz w:val="28"/>
                <w:szCs w:val="28"/>
                <w:lang w:val="en-US" w:eastAsia="zh-CN" w:bidi="ar"/>
              </w:rPr>
              <w:t>，其中输入</w:t>
            </w:r>
            <w:r>
              <w:rPr>
                <w:rStyle w:val="288"/>
                <w:rFonts w:hint="default" w:ascii="Times New Roman" w:hAnsi="Times New Roman" w:eastAsia="仿宋_GB2312" w:cs="Times New Roman"/>
                <w:color w:val="auto"/>
                <w:sz w:val="28"/>
                <w:szCs w:val="28"/>
                <w:lang w:val="en-US" w:eastAsia="zh-CN" w:bidi="ar"/>
              </w:rPr>
              <w:t>≥2个，输出≥4个。支持电脑和笔记本设备的触控回传（提供所投产品实物接口照片）；</w:t>
            </w:r>
            <w:r>
              <w:rPr>
                <w:rStyle w:val="288"/>
                <w:rFonts w:hint="default" w:ascii="Times New Roman" w:hAnsi="Times New Roman" w:eastAsia="仿宋_GB2312" w:cs="Times New Roman"/>
                <w:color w:val="auto"/>
                <w:sz w:val="28"/>
                <w:szCs w:val="28"/>
                <w:lang w:val="en-US" w:eastAsia="zh-CN" w:bidi="ar"/>
              </w:rPr>
              <w:br w:type="textWrapping"/>
            </w:r>
            <w:r>
              <w:rPr>
                <w:rFonts w:ascii="仿宋_GB2312" w:hAnsi="仿宋_GB2312" w:eastAsia="仿宋_GB2312" w:cs="仿宋_GB2312"/>
                <w:bCs/>
                <w:color w:val="auto"/>
                <w:sz w:val="28"/>
                <w:szCs w:val="28"/>
                <w:lang w:val="en-US" w:eastAsia="zh-CN"/>
              </w:rPr>
              <w:t>▲</w:t>
            </w:r>
            <w:r>
              <w:rPr>
                <w:rStyle w:val="288"/>
                <w:rFonts w:hint="default" w:ascii="Times New Roman" w:hAnsi="Times New Roman" w:eastAsia="仿宋_GB2312" w:cs="Times New Roman"/>
                <w:color w:val="auto"/>
                <w:sz w:val="28"/>
                <w:szCs w:val="28"/>
                <w:lang w:val="en-US" w:eastAsia="zh-CN" w:bidi="ar"/>
              </w:rPr>
              <w:t>5.RS232口≥5个，RS485≥4个，IR≥5个，支持对投影机、读卡器、功放等设备的控制（提供所投产品实物接口照片）；</w:t>
            </w:r>
          </w:p>
          <w:p w14:paraId="67AAA75B">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Fonts w:ascii="仿宋_GB2312" w:hAnsi="仿宋_GB2312" w:eastAsia="仿宋_GB2312" w:cs="仿宋_GB2312"/>
                <w:bCs/>
                <w:color w:val="auto"/>
                <w:sz w:val="28"/>
                <w:szCs w:val="28"/>
                <w:lang w:val="en-US" w:eastAsia="zh-CN"/>
              </w:rPr>
              <w:t>▲</w:t>
            </w:r>
            <w:r>
              <w:rPr>
                <w:rStyle w:val="288"/>
                <w:rFonts w:hint="default" w:ascii="Times New Roman" w:hAnsi="Times New Roman" w:eastAsia="仿宋_GB2312" w:cs="Times New Roman"/>
                <w:color w:val="auto"/>
                <w:sz w:val="28"/>
                <w:szCs w:val="28"/>
                <w:lang w:val="en-US" w:eastAsia="zh-CN" w:bidi="ar"/>
              </w:rPr>
              <w:t>6.提供≥5个PDU电源，对外提供最高AC220V-2.5A交流电源，其中3个为通用电源，2个为幕布专用电源。为保障设备安全，每个PDU电源均配备独立保险丝。具备延时断电功能，保证投影机、计算机等设备系统正常关机后</w:t>
            </w:r>
            <w:r>
              <w:rPr>
                <w:rStyle w:val="288"/>
                <w:rFonts w:ascii="Times New Roman" w:hAnsi="Times New Roman" w:eastAsia="仿宋_GB2312" w:cs="Times New Roman"/>
                <w:color w:val="auto"/>
                <w:sz w:val="28"/>
                <w:szCs w:val="28"/>
                <w:lang w:val="en-US" w:eastAsia="zh-CN" w:bidi="ar"/>
              </w:rPr>
              <w:t>才能</w:t>
            </w:r>
            <w:r>
              <w:rPr>
                <w:rStyle w:val="288"/>
                <w:rFonts w:hint="default" w:ascii="Times New Roman" w:hAnsi="Times New Roman" w:eastAsia="仿宋_GB2312" w:cs="Times New Roman"/>
                <w:color w:val="auto"/>
                <w:sz w:val="28"/>
                <w:szCs w:val="28"/>
                <w:lang w:val="en-US" w:eastAsia="zh-CN" w:bidi="ar"/>
              </w:rPr>
              <w:t>切断设备电源，避免强制断电对设备造成损害（提供所投产品实物接口照片）；</w:t>
            </w:r>
          </w:p>
          <w:p w14:paraId="4F068CAB">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7.设备具备自我检测功能，可实时分析内部各系统模块是否正常，若发现异常情况，支持接口连接性检测，可自动识别连接线是否脱落。并可将信息快速发送给远程管理平台；</w:t>
            </w:r>
          </w:p>
          <w:p w14:paraId="1FE92A75">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 xml:space="preserve">8.支持刷IC卡联动上课功能，支持离线模式，断网后可继续通过IC卡按课表或白名单控制设备开关。                                                                                                                                                       </w:t>
            </w:r>
          </w:p>
        </w:tc>
      </w:tr>
      <w:tr w14:paraId="36B9D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3" w:type="dxa"/>
            <w:vAlign w:val="center"/>
          </w:tcPr>
          <w:p w14:paraId="7C28DF27">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9</w:t>
            </w:r>
          </w:p>
        </w:tc>
        <w:tc>
          <w:tcPr>
            <w:tcW w:w="1110" w:type="dxa"/>
            <w:vAlign w:val="center"/>
          </w:tcPr>
          <w:p w14:paraId="4705C711">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交互控制面板</w:t>
            </w:r>
          </w:p>
        </w:tc>
        <w:tc>
          <w:tcPr>
            <w:tcW w:w="9000" w:type="dxa"/>
            <w:vAlign w:val="center"/>
          </w:tcPr>
          <w:p w14:paraId="51C98D1C">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1.采用电容触摸屏，屏幕尺寸≥8英寸，防眩光处理；</w:t>
            </w:r>
          </w:p>
          <w:p w14:paraId="26083D9F">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2.处理器不低于4核，主频≥1.8GHz，内存≥4G，内部存储≥32G；</w:t>
            </w:r>
          </w:p>
          <w:p w14:paraId="27A8F499">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3.支持集中控制室内所有接入设备，包括显示系统设备</w:t>
            </w:r>
            <w:r>
              <w:rPr>
                <w:rStyle w:val="288"/>
                <w:rFonts w:ascii="Times New Roman" w:hAnsi="Times New Roman" w:eastAsia="仿宋_GB2312" w:cs="Times New Roman"/>
                <w:color w:val="auto"/>
                <w:sz w:val="28"/>
                <w:szCs w:val="28"/>
                <w:lang w:val="en-US" w:eastAsia="zh-CN" w:bidi="ar"/>
              </w:rPr>
              <w:t>。</w:t>
            </w:r>
            <w:r>
              <w:rPr>
                <w:rStyle w:val="288"/>
                <w:rFonts w:hint="default" w:ascii="Times New Roman" w:hAnsi="Times New Roman" w:eastAsia="仿宋_GB2312" w:cs="Times New Roman"/>
                <w:color w:val="auto"/>
                <w:sz w:val="28"/>
                <w:szCs w:val="28"/>
                <w:lang w:val="en-US" w:eastAsia="zh-CN" w:bidi="ar"/>
              </w:rPr>
              <w:t>灯光控制设备</w:t>
            </w:r>
            <w:r>
              <w:rPr>
                <w:rStyle w:val="288"/>
                <w:rFonts w:ascii="Times New Roman" w:hAnsi="Times New Roman" w:eastAsia="仿宋_GB2312" w:cs="Times New Roman"/>
                <w:color w:val="auto"/>
                <w:sz w:val="28"/>
                <w:szCs w:val="28"/>
                <w:lang w:val="en-US" w:eastAsia="zh-CN" w:bidi="ar"/>
              </w:rPr>
              <w:t>、</w:t>
            </w:r>
            <w:r>
              <w:rPr>
                <w:rStyle w:val="288"/>
                <w:rFonts w:hint="default" w:ascii="Times New Roman" w:hAnsi="Times New Roman" w:eastAsia="仿宋_GB2312" w:cs="Times New Roman"/>
                <w:color w:val="auto"/>
                <w:sz w:val="28"/>
                <w:szCs w:val="28"/>
                <w:lang w:val="en-US" w:eastAsia="zh-CN" w:bidi="ar"/>
              </w:rPr>
              <w:t>电源控制设备</w:t>
            </w:r>
            <w:r>
              <w:rPr>
                <w:rStyle w:val="288"/>
                <w:rFonts w:ascii="Times New Roman" w:hAnsi="Times New Roman" w:eastAsia="仿宋_GB2312" w:cs="Times New Roman"/>
                <w:color w:val="auto"/>
                <w:sz w:val="28"/>
                <w:szCs w:val="28"/>
                <w:lang w:val="en-US" w:eastAsia="zh-CN" w:bidi="ar"/>
              </w:rPr>
              <w:t>、</w:t>
            </w:r>
            <w:r>
              <w:rPr>
                <w:rStyle w:val="288"/>
                <w:rFonts w:hint="default" w:ascii="Times New Roman" w:hAnsi="Times New Roman" w:eastAsia="仿宋_GB2312" w:cs="Times New Roman"/>
                <w:color w:val="auto"/>
                <w:sz w:val="28"/>
                <w:szCs w:val="28"/>
                <w:lang w:val="en-US" w:eastAsia="zh-CN" w:bidi="ar"/>
              </w:rPr>
              <w:t>电器设备等控制；</w:t>
            </w:r>
          </w:p>
          <w:p w14:paraId="4DF498A7">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4.支持人脸识别、刷卡、插卡、二维码扫码等多种身份鉴别方式；</w:t>
            </w:r>
          </w:p>
          <w:p w14:paraId="44599490">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5.场景设置功能：默认提供上课、下课场景，场景指令可按需求灵活设置；</w:t>
            </w:r>
          </w:p>
          <w:p w14:paraId="43B2A03B">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6.具备BLE Mesh自组网技术，支持与BLE Mesh物联节点直接组网通讯和控制。</w:t>
            </w:r>
          </w:p>
        </w:tc>
      </w:tr>
      <w:tr w14:paraId="72C81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3" w:type="dxa"/>
            <w:vAlign w:val="center"/>
          </w:tcPr>
          <w:p w14:paraId="1230D582">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10</w:t>
            </w:r>
          </w:p>
        </w:tc>
        <w:tc>
          <w:tcPr>
            <w:tcW w:w="1110" w:type="dxa"/>
            <w:vAlign w:val="center"/>
          </w:tcPr>
          <w:p w14:paraId="767BA341">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数字无线系统主机</w:t>
            </w:r>
          </w:p>
        </w:tc>
        <w:tc>
          <w:tcPr>
            <w:tcW w:w="9000" w:type="dxa"/>
            <w:vAlign w:val="center"/>
          </w:tcPr>
          <w:p w14:paraId="277D4757">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Fonts w:ascii="仿宋_GB2312" w:hAnsi="仿宋_GB2312" w:eastAsia="仿宋_GB2312" w:cs="仿宋_GB2312"/>
                <w:bCs/>
                <w:color w:val="auto"/>
                <w:sz w:val="28"/>
                <w:szCs w:val="28"/>
                <w:lang w:val="en-US" w:eastAsia="zh-CN"/>
              </w:rPr>
              <w:t>▲</w:t>
            </w:r>
            <w:r>
              <w:rPr>
                <w:rStyle w:val="288"/>
                <w:rFonts w:ascii="Times New Roman" w:hAnsi="Times New Roman" w:eastAsia="仿宋_GB2312" w:cs="Times New Roman"/>
                <w:color w:val="auto"/>
                <w:sz w:val="28"/>
                <w:szCs w:val="28"/>
                <w:lang w:val="en-US" w:eastAsia="zh-CN" w:bidi="ar"/>
              </w:rPr>
              <w:t>1.兼容</w:t>
            </w:r>
            <w:r>
              <w:rPr>
                <w:rStyle w:val="288"/>
                <w:rFonts w:hint="default" w:ascii="Times New Roman" w:hAnsi="Times New Roman" w:eastAsia="仿宋_GB2312" w:cs="Times New Roman"/>
                <w:color w:val="auto"/>
                <w:sz w:val="28"/>
                <w:szCs w:val="28"/>
                <w:lang w:val="en-US" w:eastAsia="zh-CN" w:bidi="ar"/>
              </w:rPr>
              <w:t>算法：AFC、ANS、AEC、AGC、ARR；具体音频相关技术指标要求：自动反馈抑制（AFC）：传声增益提升幅度：≥17dB；自动噪声抑制（ANS）：平稳噪声抑制幅度：≥25dB；自动回声消除（AEC）：回声消除幅度≥90dB；自动增益控制（AGC）：远程互动教学时，自动增益控制音量提升幅度：≥15dB；混响抑制（ARR）：混响抑制≤18dB</w:t>
            </w:r>
            <w:r>
              <w:rPr>
                <w:rStyle w:val="288"/>
                <w:rFonts w:ascii="Times New Roman" w:hAnsi="Times New Roman" w:eastAsia="仿宋_GB2312" w:cs="Times New Roman"/>
                <w:color w:val="auto"/>
                <w:sz w:val="28"/>
                <w:szCs w:val="28"/>
                <w:lang w:val="en-US" w:eastAsia="zh-CN" w:bidi="ar"/>
              </w:rPr>
              <w:t>（</w:t>
            </w:r>
            <w:r>
              <w:rPr>
                <w:rStyle w:val="288"/>
                <w:rFonts w:hint="default" w:ascii="Times New Roman" w:hAnsi="Times New Roman" w:eastAsia="仿宋_GB2312" w:cs="Times New Roman"/>
                <w:color w:val="auto"/>
                <w:sz w:val="28"/>
                <w:szCs w:val="28"/>
                <w:lang w:val="en-US" w:eastAsia="zh-CN" w:bidi="ar"/>
              </w:rPr>
              <w:t>提供第三方检测机构出具的有效检测报告</w:t>
            </w:r>
            <w:r>
              <w:rPr>
                <w:rStyle w:val="288"/>
                <w:rFonts w:ascii="Times New Roman" w:hAnsi="Times New Roman" w:eastAsia="仿宋_GB2312" w:cs="Times New Roman"/>
                <w:color w:val="auto"/>
                <w:sz w:val="28"/>
                <w:szCs w:val="28"/>
                <w:lang w:val="en-US" w:eastAsia="zh-CN" w:bidi="ar"/>
              </w:rPr>
              <w:t>）</w:t>
            </w:r>
            <w:r>
              <w:rPr>
                <w:rStyle w:val="288"/>
                <w:rFonts w:hint="default" w:ascii="Times New Roman" w:hAnsi="Times New Roman" w:eastAsia="仿宋_GB2312" w:cs="Times New Roman"/>
                <w:color w:val="auto"/>
                <w:sz w:val="28"/>
                <w:szCs w:val="28"/>
                <w:lang w:val="en-US" w:eastAsia="zh-CN" w:bidi="ar"/>
              </w:rPr>
              <w:t>；</w:t>
            </w:r>
          </w:p>
          <w:p w14:paraId="71D630BF">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2.支持AI降噪技术，在使用过程中对环境自动感知，只对人声扩声，屏蔽脚步，敲击，风扇等各种噪声；</w:t>
            </w:r>
          </w:p>
          <w:p w14:paraId="0032FC50">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Fonts w:ascii="仿宋_GB2312" w:hAnsi="仿宋_GB2312" w:eastAsia="仿宋_GB2312" w:cs="仿宋_GB2312"/>
                <w:bCs/>
                <w:color w:val="auto"/>
                <w:sz w:val="28"/>
                <w:szCs w:val="28"/>
                <w:lang w:val="en-US" w:eastAsia="zh-CN"/>
              </w:rPr>
              <w:t>▲</w:t>
            </w:r>
            <w:r>
              <w:rPr>
                <w:rStyle w:val="288"/>
                <w:rFonts w:hint="default" w:ascii="Times New Roman" w:hAnsi="Times New Roman" w:eastAsia="仿宋_GB2312" w:cs="Times New Roman"/>
                <w:color w:val="auto"/>
                <w:sz w:val="28"/>
                <w:szCs w:val="28"/>
                <w:lang w:val="en-US" w:eastAsia="zh-CN" w:bidi="ar"/>
              </w:rPr>
              <w:t>3.支持声幕墙技术，能有效定位声源，可</w:t>
            </w:r>
            <w:r>
              <w:rPr>
                <w:rStyle w:val="288"/>
                <w:rFonts w:ascii="Times New Roman" w:hAnsi="Times New Roman" w:eastAsia="仿宋_GB2312" w:cs="Times New Roman"/>
                <w:color w:val="auto"/>
                <w:sz w:val="28"/>
                <w:szCs w:val="28"/>
                <w:lang w:val="en-US" w:eastAsia="zh-CN" w:bidi="ar"/>
              </w:rPr>
              <w:t>屏蔽</w:t>
            </w:r>
            <w:r>
              <w:rPr>
                <w:rStyle w:val="288"/>
                <w:rFonts w:hint="default" w:ascii="Times New Roman" w:hAnsi="Times New Roman" w:eastAsia="仿宋_GB2312" w:cs="Times New Roman"/>
                <w:color w:val="auto"/>
                <w:sz w:val="28"/>
                <w:szCs w:val="28"/>
                <w:lang w:val="en-US" w:eastAsia="zh-CN" w:bidi="ar"/>
              </w:rPr>
              <w:t>学生区域</w:t>
            </w:r>
            <w:r>
              <w:rPr>
                <w:rStyle w:val="288"/>
                <w:rFonts w:ascii="Times New Roman" w:hAnsi="Times New Roman" w:eastAsia="仿宋_GB2312" w:cs="Times New Roman"/>
                <w:color w:val="auto"/>
                <w:sz w:val="28"/>
                <w:szCs w:val="28"/>
                <w:lang w:val="en-US" w:eastAsia="zh-CN" w:bidi="ar"/>
              </w:rPr>
              <w:t>，</w:t>
            </w:r>
            <w:r>
              <w:rPr>
                <w:rStyle w:val="288"/>
                <w:rFonts w:hint="default" w:ascii="Times New Roman" w:hAnsi="Times New Roman" w:eastAsia="仿宋_GB2312" w:cs="Times New Roman"/>
                <w:color w:val="auto"/>
                <w:sz w:val="28"/>
                <w:szCs w:val="28"/>
                <w:lang w:val="en-US" w:eastAsia="zh-CN" w:bidi="ar"/>
              </w:rPr>
              <w:t>任何声音都不会扩出来，保证纯净的扩声效果；支持语音分离功能，可将教师声音与学生声音分别路由至不同输出接口（一路输出教师声音，另一路输出学生或其他人员声音）</w:t>
            </w:r>
            <w:r>
              <w:rPr>
                <w:rStyle w:val="288"/>
                <w:rFonts w:ascii="Times New Roman" w:hAnsi="Times New Roman" w:eastAsia="仿宋_GB2312" w:cs="Times New Roman"/>
                <w:color w:val="auto"/>
                <w:sz w:val="28"/>
                <w:szCs w:val="28"/>
                <w:lang w:val="en-US" w:eastAsia="zh-CN" w:bidi="ar"/>
              </w:rPr>
              <w:t>（</w:t>
            </w:r>
            <w:r>
              <w:rPr>
                <w:rStyle w:val="288"/>
                <w:rFonts w:hint="default" w:ascii="Times New Roman" w:hAnsi="Times New Roman" w:eastAsia="仿宋_GB2312" w:cs="Times New Roman"/>
                <w:color w:val="auto"/>
                <w:sz w:val="28"/>
                <w:szCs w:val="28"/>
                <w:lang w:val="en-US" w:eastAsia="zh-CN" w:bidi="ar"/>
              </w:rPr>
              <w:t>提供第三方检测机构出具的有效检测报告</w:t>
            </w:r>
            <w:r>
              <w:rPr>
                <w:rStyle w:val="288"/>
                <w:rFonts w:ascii="Times New Roman" w:hAnsi="Times New Roman" w:eastAsia="仿宋_GB2312" w:cs="Times New Roman"/>
                <w:color w:val="auto"/>
                <w:sz w:val="28"/>
                <w:szCs w:val="28"/>
                <w:lang w:val="en-US" w:eastAsia="zh-CN" w:bidi="ar"/>
              </w:rPr>
              <w:t>）</w:t>
            </w:r>
            <w:r>
              <w:rPr>
                <w:rStyle w:val="288"/>
                <w:rFonts w:hint="default" w:ascii="Times New Roman" w:hAnsi="Times New Roman" w:eastAsia="仿宋_GB2312" w:cs="Times New Roman"/>
                <w:color w:val="auto"/>
                <w:sz w:val="28"/>
                <w:szCs w:val="28"/>
                <w:lang w:val="en-US" w:eastAsia="zh-CN" w:bidi="ar"/>
              </w:rPr>
              <w:t>；</w:t>
            </w:r>
          </w:p>
          <w:p w14:paraId="0738ECBF">
            <w:pPr>
              <w:numPr>
                <w:ilvl w:val="0"/>
                <w:numId w:val="12"/>
              </w:num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扩声角度范围：老师麦扩声角度可覆盖 160°-180°范围的区域，在该区域内音量波动5db；远程教学时送给远端的拾音范围：学生麦和老师麦都是全向（即360°）拾音；</w:t>
            </w:r>
          </w:p>
          <w:p w14:paraId="026CB318">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5.机架式设备，高度1U，音频处理部分和功率放大器集成到一个机箱内，功率放大器的最大输出功率2*150W；</w:t>
            </w:r>
          </w:p>
          <w:p w14:paraId="29B6FAF5">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6.通过一只阵列麦实现本地扩声和远程互动，AEC和AFC功能不相互受影响，本地扩音的声音清晰响亮、无啸叫；远程互动声音清晰、无噪声和回声，双端同时讲话无卡音、丢字、声音变小和失真现象；</w:t>
            </w:r>
          </w:p>
          <w:p w14:paraId="2E478CDB">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 xml:space="preserve">7.支持无线麦接入，在检测到无线麦接入时，优选无线麦扩声； </w:t>
            </w:r>
          </w:p>
          <w:p w14:paraId="6C214262">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8.除支持远程音频信号接入外，还支持另外一路外部音频信号接入（如接大屏或老师PC电脑），播放外部音频信号时，不影响本地扩声；</w:t>
            </w:r>
          </w:p>
          <w:p w14:paraId="500F3E00">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9.增益调节范围 :-54dB～10dB；失真（THD+N）</w:t>
            </w:r>
            <w:r>
              <w:rPr>
                <w:rStyle w:val="288"/>
                <w:rFonts w:ascii="Times New Roman" w:hAnsi="Times New Roman" w:eastAsia="仿宋_GB2312" w:cs="Times New Roman"/>
                <w:color w:val="auto"/>
                <w:sz w:val="28"/>
                <w:szCs w:val="28"/>
                <w:lang w:val="en-US" w:eastAsia="zh-CN" w:bidi="ar"/>
              </w:rPr>
              <w:t>：</w:t>
            </w:r>
            <w:r>
              <w:rPr>
                <w:rStyle w:val="288"/>
                <w:rFonts w:hint="default" w:ascii="Times New Roman" w:hAnsi="Times New Roman" w:eastAsia="仿宋_GB2312" w:cs="Times New Roman"/>
                <w:color w:val="auto"/>
                <w:sz w:val="28"/>
                <w:szCs w:val="28"/>
                <w:lang w:val="en-US" w:eastAsia="zh-CN" w:bidi="ar"/>
              </w:rPr>
              <w:t xml:space="preserve"> 0.1%；信噪比（S/N）</w:t>
            </w:r>
            <w:r>
              <w:rPr>
                <w:rStyle w:val="288"/>
                <w:rFonts w:ascii="Times New Roman" w:hAnsi="Times New Roman" w:eastAsia="仿宋_GB2312" w:cs="Times New Roman"/>
                <w:color w:val="auto"/>
                <w:sz w:val="28"/>
                <w:szCs w:val="28"/>
                <w:lang w:val="en-US" w:eastAsia="zh-CN" w:bidi="ar"/>
              </w:rPr>
              <w:t>：</w:t>
            </w:r>
            <w:r>
              <w:rPr>
                <w:rStyle w:val="288"/>
                <w:rFonts w:hint="default" w:ascii="Times New Roman" w:hAnsi="Times New Roman" w:eastAsia="仿宋_GB2312" w:cs="Times New Roman"/>
                <w:color w:val="auto"/>
                <w:sz w:val="28"/>
                <w:szCs w:val="28"/>
                <w:lang w:val="en-US" w:eastAsia="zh-CN" w:bidi="ar"/>
              </w:rPr>
              <w:t xml:space="preserve"> 85dB；最大输入电平：4dBu；最大输出电平：10dBu；音频信号处理延迟15ms；</w:t>
            </w:r>
          </w:p>
          <w:p w14:paraId="7B00D5C8">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10.输入支持五路及以上输入硬件接口：2路WLAN口本地麦克风输入，1路幻象供电麦克风或者无线麦克风输入，1路外部音源输入，1路远端输入；</w:t>
            </w:r>
          </w:p>
          <w:p w14:paraId="45B8A552">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11.输出支持两路及以上输出硬件接口：1路本地输出，1路远端输出；</w:t>
            </w:r>
          </w:p>
          <w:p w14:paraId="6D084EE8">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Fonts w:ascii="仿宋_GB2312" w:hAnsi="仿宋_GB2312" w:eastAsia="仿宋_GB2312" w:cs="仿宋_GB2312"/>
                <w:bCs/>
                <w:color w:val="auto"/>
                <w:sz w:val="28"/>
                <w:szCs w:val="28"/>
                <w:lang w:val="en-US" w:eastAsia="zh-CN"/>
              </w:rPr>
              <w:t>▲</w:t>
            </w:r>
            <w:r>
              <w:rPr>
                <w:rStyle w:val="288"/>
                <w:rFonts w:hint="default" w:ascii="Times New Roman" w:hAnsi="Times New Roman" w:eastAsia="仿宋_GB2312" w:cs="Times New Roman"/>
                <w:color w:val="auto"/>
                <w:sz w:val="28"/>
                <w:szCs w:val="28"/>
                <w:lang w:val="en-US" w:eastAsia="zh-CN" w:bidi="ar"/>
              </w:rPr>
              <w:t>12.支持通过网络或485接口对设备进行软控制；并配套B/S架构的主机软件支持对处理主机进行调节拾音，进行回声</w:t>
            </w:r>
            <w:r>
              <w:rPr>
                <w:rStyle w:val="288"/>
                <w:rFonts w:ascii="Times New Roman" w:hAnsi="Times New Roman" w:eastAsia="仿宋_GB2312" w:cs="Times New Roman"/>
                <w:color w:val="auto"/>
                <w:sz w:val="28"/>
                <w:szCs w:val="28"/>
                <w:lang w:val="en-US" w:eastAsia="zh-CN" w:bidi="ar"/>
              </w:rPr>
              <w:t>抑制和</w:t>
            </w:r>
            <w:r>
              <w:rPr>
                <w:rStyle w:val="288"/>
                <w:rFonts w:hint="default" w:ascii="Times New Roman" w:hAnsi="Times New Roman" w:eastAsia="仿宋_GB2312" w:cs="Times New Roman"/>
                <w:color w:val="auto"/>
                <w:sz w:val="28"/>
                <w:szCs w:val="28"/>
                <w:lang w:val="en-US" w:eastAsia="zh-CN" w:bidi="ar"/>
              </w:rPr>
              <w:t>混响抑制，支持反馈抑制和混响抑制优化本地扩声。能够通过软件来调节线上的拾音大小</w:t>
            </w:r>
            <w:r>
              <w:rPr>
                <w:rStyle w:val="288"/>
                <w:rFonts w:ascii="Times New Roman" w:hAnsi="Times New Roman" w:eastAsia="仿宋_GB2312" w:cs="Times New Roman"/>
                <w:color w:val="auto"/>
                <w:sz w:val="28"/>
                <w:szCs w:val="28"/>
                <w:lang w:val="en-US" w:eastAsia="zh-CN" w:bidi="ar"/>
              </w:rPr>
              <w:t>（</w:t>
            </w:r>
            <w:r>
              <w:rPr>
                <w:rStyle w:val="288"/>
                <w:rFonts w:hint="default" w:ascii="Times New Roman" w:hAnsi="Times New Roman" w:eastAsia="仿宋_GB2312" w:cs="Times New Roman"/>
                <w:color w:val="auto"/>
                <w:sz w:val="28"/>
                <w:szCs w:val="28"/>
                <w:lang w:val="en-US" w:eastAsia="zh-CN" w:bidi="ar"/>
              </w:rPr>
              <w:t>提供第三方检测机构出具的有效检测报告</w:t>
            </w:r>
            <w:r>
              <w:rPr>
                <w:rStyle w:val="288"/>
                <w:rFonts w:ascii="Times New Roman" w:hAnsi="Times New Roman" w:eastAsia="仿宋_GB2312" w:cs="Times New Roman"/>
                <w:color w:val="auto"/>
                <w:sz w:val="28"/>
                <w:szCs w:val="28"/>
                <w:lang w:val="en-US" w:eastAsia="zh-CN" w:bidi="ar"/>
              </w:rPr>
              <w:t>）</w:t>
            </w:r>
            <w:r>
              <w:rPr>
                <w:rStyle w:val="288"/>
                <w:rFonts w:hint="default" w:ascii="Times New Roman" w:hAnsi="Times New Roman" w:eastAsia="仿宋_GB2312" w:cs="Times New Roman"/>
                <w:color w:val="auto"/>
                <w:sz w:val="28"/>
                <w:szCs w:val="28"/>
                <w:lang w:val="en-US" w:eastAsia="zh-CN" w:bidi="ar"/>
              </w:rPr>
              <w:t xml:space="preserve">。                                                                                                                                                                                                                   </w:t>
            </w:r>
          </w:p>
        </w:tc>
      </w:tr>
      <w:tr w14:paraId="20038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3" w:type="dxa"/>
            <w:vAlign w:val="center"/>
          </w:tcPr>
          <w:p w14:paraId="01569CAD">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11</w:t>
            </w:r>
          </w:p>
        </w:tc>
        <w:tc>
          <w:tcPr>
            <w:tcW w:w="1110" w:type="dxa"/>
            <w:vAlign w:val="center"/>
          </w:tcPr>
          <w:p w14:paraId="72C55B75">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数字接收器</w:t>
            </w:r>
          </w:p>
        </w:tc>
        <w:tc>
          <w:tcPr>
            <w:tcW w:w="9000" w:type="dxa"/>
            <w:vAlign w:val="center"/>
          </w:tcPr>
          <w:p w14:paraId="0BF43A7C">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Fonts w:ascii="仿宋_GB2312" w:hAnsi="仿宋_GB2312" w:eastAsia="仿宋_GB2312" w:cs="仿宋_GB2312"/>
                <w:bCs/>
                <w:color w:val="auto"/>
                <w:sz w:val="28"/>
                <w:szCs w:val="28"/>
                <w:lang w:val="en-US" w:eastAsia="zh-CN"/>
              </w:rPr>
              <w:t>▲1.</w:t>
            </w:r>
            <w:r>
              <w:rPr>
                <w:rStyle w:val="288"/>
                <w:rFonts w:hint="default" w:ascii="Times New Roman" w:hAnsi="Times New Roman" w:eastAsia="仿宋_GB2312" w:cs="Times New Roman"/>
                <w:color w:val="auto"/>
                <w:sz w:val="28"/>
                <w:szCs w:val="28"/>
                <w:lang w:val="en-US" w:eastAsia="zh-CN" w:bidi="ar"/>
              </w:rPr>
              <w:t>采用锁扣式智能保管，话筒解锁即可实现对频、通信等预处理工作，无需额外对频动作，拿起话筒无需任何操作和等待即可使用</w:t>
            </w:r>
            <w:r>
              <w:rPr>
                <w:rStyle w:val="288"/>
                <w:rFonts w:ascii="Times New Roman" w:hAnsi="Times New Roman" w:eastAsia="仿宋_GB2312" w:cs="Times New Roman"/>
                <w:color w:val="auto"/>
                <w:sz w:val="28"/>
                <w:szCs w:val="28"/>
                <w:lang w:val="en-US" w:eastAsia="zh-CN" w:bidi="ar"/>
              </w:rPr>
              <w:t>（</w:t>
            </w:r>
            <w:r>
              <w:rPr>
                <w:rStyle w:val="288"/>
                <w:rFonts w:hint="default" w:ascii="Times New Roman" w:hAnsi="Times New Roman" w:eastAsia="仿宋_GB2312" w:cs="Times New Roman"/>
                <w:color w:val="auto"/>
                <w:sz w:val="28"/>
                <w:szCs w:val="28"/>
                <w:lang w:val="en-US" w:eastAsia="zh-CN" w:bidi="ar"/>
              </w:rPr>
              <w:t>提供第三方检测机构出具的有效检测报告</w:t>
            </w:r>
            <w:r>
              <w:rPr>
                <w:rStyle w:val="288"/>
                <w:rFonts w:ascii="Times New Roman" w:hAnsi="Times New Roman" w:eastAsia="仿宋_GB2312" w:cs="Times New Roman"/>
                <w:color w:val="auto"/>
                <w:sz w:val="28"/>
                <w:szCs w:val="28"/>
                <w:lang w:val="en-US" w:eastAsia="zh-CN" w:bidi="ar"/>
              </w:rPr>
              <w:t>）</w:t>
            </w:r>
            <w:r>
              <w:rPr>
                <w:rStyle w:val="288"/>
                <w:rFonts w:hint="default" w:ascii="Times New Roman" w:hAnsi="Times New Roman" w:eastAsia="仿宋_GB2312" w:cs="Times New Roman"/>
                <w:color w:val="auto"/>
                <w:sz w:val="28"/>
                <w:szCs w:val="28"/>
                <w:lang w:val="en-US" w:eastAsia="zh-CN" w:bidi="ar"/>
              </w:rPr>
              <w:t>；</w:t>
            </w:r>
          </w:p>
          <w:p w14:paraId="34DB9E50">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2.无线充电，智能充电管理，电池充满自动停止充电，以保护电池，延长使用寿命；长时间亏电，自动恢复充满电池，长时间未使用电池也能保持饱满状态；</w:t>
            </w:r>
          </w:p>
          <w:p w14:paraId="2CF886DE">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3.采用TFT高清圆形彩屏，可对各种工作状态进行动态显示；</w:t>
            </w:r>
          </w:p>
          <w:p w14:paraId="30935A7F">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4.采用全触摸感应按键，分离式接口盒设计，桌面部分没有任何外露接插头，防止误插拔和接插头意外脱落；</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5.极简接口设计，前端处理器只有一个隐藏式RJ45接口，接口不外露，只有一根网线连接，分离式底座设计，RJ45接口设计在底座下，可固定桌面安装。</w:t>
            </w:r>
          </w:p>
        </w:tc>
      </w:tr>
      <w:tr w14:paraId="630FB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3" w:type="dxa"/>
            <w:vAlign w:val="center"/>
          </w:tcPr>
          <w:p w14:paraId="4242A729">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12</w:t>
            </w:r>
          </w:p>
        </w:tc>
        <w:tc>
          <w:tcPr>
            <w:tcW w:w="1110" w:type="dxa"/>
            <w:vAlign w:val="center"/>
          </w:tcPr>
          <w:p w14:paraId="12139C2D">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线阵列音柱</w:t>
            </w:r>
          </w:p>
        </w:tc>
        <w:tc>
          <w:tcPr>
            <w:tcW w:w="9000" w:type="dxa"/>
            <w:vAlign w:val="center"/>
          </w:tcPr>
          <w:p w14:paraId="155B1A61">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1.额定功率 ≥30W；</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2.灵敏度 ≥91dB ；物抗 8Ω ；最大声压级 ≥92dB；</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3.频率响应 90</w:t>
            </w:r>
            <w:r>
              <w:rPr>
                <w:rStyle w:val="288"/>
                <w:rFonts w:ascii="Times New Roman" w:hAnsi="Times New Roman" w:eastAsia="仿宋_GB2312" w:cs="Times New Roman"/>
                <w:color w:val="auto"/>
                <w:sz w:val="28"/>
                <w:szCs w:val="28"/>
                <w:lang w:val="en-US" w:eastAsia="zh-CN" w:bidi="ar"/>
              </w:rPr>
              <w:t>Hz</w:t>
            </w:r>
            <w:r>
              <w:rPr>
                <w:rStyle w:val="288"/>
                <w:rFonts w:hint="default" w:ascii="Times New Roman" w:hAnsi="Times New Roman" w:eastAsia="仿宋_GB2312" w:cs="Times New Roman"/>
                <w:color w:val="auto"/>
                <w:sz w:val="28"/>
                <w:szCs w:val="28"/>
                <w:lang w:val="en-US" w:eastAsia="zh-CN" w:bidi="ar"/>
              </w:rPr>
              <w:t>-16000KHz 。</w:t>
            </w:r>
          </w:p>
        </w:tc>
      </w:tr>
      <w:tr w14:paraId="62AD3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3" w:type="dxa"/>
            <w:vAlign w:val="center"/>
          </w:tcPr>
          <w:p w14:paraId="6E29B792">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13</w:t>
            </w:r>
          </w:p>
        </w:tc>
        <w:tc>
          <w:tcPr>
            <w:tcW w:w="1110" w:type="dxa"/>
            <w:vAlign w:val="center"/>
          </w:tcPr>
          <w:p w14:paraId="51743F65">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数字无线麦克风</w:t>
            </w:r>
          </w:p>
        </w:tc>
        <w:tc>
          <w:tcPr>
            <w:tcW w:w="9000" w:type="dxa"/>
            <w:vAlign w:val="center"/>
          </w:tcPr>
          <w:p w14:paraId="73B0DA22">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Fonts w:ascii="仿宋_GB2312" w:hAnsi="仿宋_GB2312" w:eastAsia="仿宋_GB2312" w:cs="仿宋_GB2312"/>
                <w:bCs/>
                <w:color w:val="auto"/>
                <w:sz w:val="28"/>
                <w:szCs w:val="28"/>
                <w:lang w:val="en-US" w:eastAsia="zh-CN"/>
              </w:rPr>
              <w:t>▲</w:t>
            </w:r>
            <w:r>
              <w:rPr>
                <w:rStyle w:val="288"/>
                <w:rFonts w:hint="default" w:ascii="Times New Roman" w:hAnsi="Times New Roman" w:eastAsia="仿宋_GB2312" w:cs="Times New Roman"/>
                <w:color w:val="auto"/>
                <w:sz w:val="28"/>
                <w:szCs w:val="28"/>
                <w:lang w:val="en-US" w:eastAsia="zh-CN" w:bidi="ar"/>
              </w:rPr>
              <w:t>1.具备2.4G、UHF、IR红外三种无线传输模式，无缝融合使用；</w:t>
            </w:r>
            <w:r>
              <w:rPr>
                <w:rStyle w:val="288"/>
                <w:rFonts w:ascii="Times New Roman" w:hAnsi="Times New Roman" w:eastAsia="仿宋_GB2312" w:cs="Times New Roman"/>
                <w:color w:val="auto"/>
                <w:sz w:val="28"/>
                <w:szCs w:val="28"/>
                <w:lang w:val="en-US" w:eastAsia="zh-CN" w:bidi="ar"/>
              </w:rPr>
              <w:t>（</w:t>
            </w:r>
            <w:r>
              <w:rPr>
                <w:rStyle w:val="288"/>
                <w:rFonts w:hint="default" w:ascii="Times New Roman" w:hAnsi="Times New Roman" w:eastAsia="仿宋_GB2312" w:cs="Times New Roman"/>
                <w:color w:val="auto"/>
                <w:sz w:val="28"/>
                <w:szCs w:val="28"/>
                <w:lang w:val="en-US" w:eastAsia="zh-CN" w:bidi="ar"/>
              </w:rPr>
              <w:t>提供第三方检测机构出具的有效检测报告</w:t>
            </w:r>
            <w:r>
              <w:rPr>
                <w:rStyle w:val="288"/>
                <w:rFonts w:ascii="Times New Roman" w:hAnsi="Times New Roman" w:eastAsia="仿宋_GB2312" w:cs="Times New Roman"/>
                <w:color w:val="auto"/>
                <w:sz w:val="28"/>
                <w:szCs w:val="28"/>
                <w:lang w:val="en-US" w:eastAsia="zh-CN" w:bidi="ar"/>
              </w:rPr>
              <w:t>）</w:t>
            </w:r>
            <w:r>
              <w:rPr>
                <w:rStyle w:val="288"/>
                <w:rFonts w:hint="default" w:ascii="Times New Roman" w:hAnsi="Times New Roman" w:eastAsia="仿宋_GB2312" w:cs="Times New Roman"/>
                <w:color w:val="auto"/>
                <w:sz w:val="28"/>
                <w:szCs w:val="28"/>
                <w:lang w:val="en-US" w:eastAsia="zh-CN" w:bidi="ar"/>
              </w:rPr>
              <w:br w:type="textWrapping"/>
            </w:r>
            <w:r>
              <w:rPr>
                <w:rFonts w:ascii="仿宋_GB2312" w:hAnsi="仿宋_GB2312" w:eastAsia="仿宋_GB2312" w:cs="仿宋_GB2312"/>
                <w:bCs/>
                <w:color w:val="auto"/>
                <w:sz w:val="28"/>
                <w:szCs w:val="28"/>
                <w:lang w:val="en-US" w:eastAsia="zh-CN"/>
              </w:rPr>
              <w:t>▲</w:t>
            </w:r>
            <w:r>
              <w:rPr>
                <w:rStyle w:val="288"/>
                <w:rFonts w:hint="default" w:ascii="Times New Roman" w:hAnsi="Times New Roman" w:eastAsia="仿宋_GB2312" w:cs="Times New Roman"/>
                <w:color w:val="auto"/>
                <w:sz w:val="28"/>
                <w:szCs w:val="28"/>
                <w:lang w:val="en-US" w:eastAsia="zh-CN" w:bidi="ar"/>
              </w:rPr>
              <w:t>2.具备全数字化传输、DSP信号处理、数字调试和智能管理的性能；具备2.4G、IR红外两种自动对频方式；具备使用过程中语音信道受到干扰时，自动进行信道选择切换的功能，不需人工干预；要求使用过程中管理信道受到干扰时，不影响语音信道的正常工作；具备专业级话筒音质，48K,16bit，30~20KHz宽频响，无法感知延时</w:t>
            </w:r>
            <w:r>
              <w:rPr>
                <w:rStyle w:val="288"/>
                <w:rFonts w:ascii="Times New Roman" w:hAnsi="Times New Roman" w:eastAsia="仿宋_GB2312" w:cs="Times New Roman"/>
                <w:color w:val="auto"/>
                <w:sz w:val="28"/>
                <w:szCs w:val="28"/>
                <w:lang w:val="en-US" w:eastAsia="zh-CN" w:bidi="ar"/>
              </w:rPr>
              <w:t>（</w:t>
            </w:r>
            <w:r>
              <w:rPr>
                <w:rStyle w:val="288"/>
                <w:rFonts w:hint="default" w:ascii="Times New Roman" w:hAnsi="Times New Roman" w:eastAsia="仿宋_GB2312" w:cs="Times New Roman"/>
                <w:color w:val="auto"/>
                <w:sz w:val="28"/>
                <w:szCs w:val="28"/>
                <w:lang w:val="en-US" w:eastAsia="zh-CN" w:bidi="ar"/>
              </w:rPr>
              <w:t>提供第三方检测机构出具的有效检测报告</w:t>
            </w:r>
            <w:r>
              <w:rPr>
                <w:rStyle w:val="288"/>
                <w:rFonts w:ascii="Times New Roman" w:hAnsi="Times New Roman" w:eastAsia="仿宋_GB2312" w:cs="Times New Roman"/>
                <w:color w:val="auto"/>
                <w:sz w:val="28"/>
                <w:szCs w:val="28"/>
                <w:lang w:val="en-US" w:eastAsia="zh-CN" w:bidi="ar"/>
              </w:rPr>
              <w:t>）</w:t>
            </w:r>
            <w:r>
              <w:rPr>
                <w:rStyle w:val="288"/>
                <w:rFonts w:hint="default" w:ascii="Times New Roman" w:hAnsi="Times New Roman" w:eastAsia="仿宋_GB2312" w:cs="Times New Roman"/>
                <w:color w:val="auto"/>
                <w:sz w:val="28"/>
                <w:szCs w:val="28"/>
                <w:lang w:val="en-US" w:eastAsia="zh-CN" w:bidi="ar"/>
              </w:rPr>
              <w:t>；</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3.具备开机自动检测工作环境，自动选择最优工作信道；</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4.支持无线充电，放下充电，拿起讲话；</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5.内置锂电≥1200mA；全智能充电管理，具备无线充电功能，零电池维护；连续工作时间≥8小时；</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6.集成智能传感器，放下静音，拿起说话；超时不用，自动待机；在使用状态下，可以同时进行充电；关机状态下，充电完成屏幕自动熄灭；</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7.支持接入学校管理平台的接口，能够联网智能管理所有话筒；</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8.集话筒、激光教鞭和无线PPT翻页三种使用功能一身；</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9.具备OLED显示屏，清晰显示系统状态及参数；具备自动静音功能，自动语音快速恢复，嘈杂环境，正常使用；具备Type C 充电和数据接口。</w:t>
            </w:r>
          </w:p>
        </w:tc>
      </w:tr>
      <w:tr w14:paraId="7C889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3" w:type="dxa"/>
            <w:vAlign w:val="center"/>
          </w:tcPr>
          <w:p w14:paraId="2B65AEAE">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14</w:t>
            </w:r>
          </w:p>
        </w:tc>
        <w:tc>
          <w:tcPr>
            <w:tcW w:w="1110" w:type="dxa"/>
            <w:vAlign w:val="center"/>
          </w:tcPr>
          <w:p w14:paraId="76EB0A65">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接入交换机</w:t>
            </w:r>
          </w:p>
        </w:tc>
        <w:tc>
          <w:tcPr>
            <w:tcW w:w="9000" w:type="dxa"/>
            <w:vAlign w:val="center"/>
          </w:tcPr>
          <w:p w14:paraId="31FAC5F2">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1.交换容量598Gbps5.98Tbps，包转发率148Mpps</w:t>
            </w:r>
            <w:r>
              <w:rPr>
                <w:rStyle w:val="288"/>
                <w:rFonts w:ascii="Times New Roman" w:hAnsi="Times New Roman" w:eastAsia="仿宋_GB2312" w:cs="Times New Roman"/>
                <w:color w:val="auto"/>
                <w:sz w:val="28"/>
                <w:szCs w:val="28"/>
                <w:lang w:val="en-US" w:eastAsia="zh-CN" w:bidi="ar"/>
              </w:rPr>
              <w:t>-</w:t>
            </w:r>
            <w:r>
              <w:rPr>
                <w:rStyle w:val="288"/>
                <w:rFonts w:hint="default" w:ascii="Times New Roman" w:hAnsi="Times New Roman" w:eastAsia="仿宋_GB2312" w:cs="Times New Roman"/>
                <w:color w:val="auto"/>
                <w:sz w:val="28"/>
                <w:szCs w:val="28"/>
                <w:lang w:val="en-US" w:eastAsia="zh-CN" w:bidi="ar"/>
              </w:rPr>
              <w:t>222Mpps，整机功耗MAX:23W；</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2.端口类型24个10/100/1000TX Base-T电口，4个110GE SFP+光口；</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3.支持端口防雷6KV，环境温度：-5℃～50℃ ；</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4.支持静态MAC配置；</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5.支持端口限速、流的重定向功能，防止恶意侵占网络带宽，提供多种精细化管理手段；</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6.支持ERPS环网协议；</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7.所投交换机支持同一品牌的智能管理平台统一运维管理。</w:t>
            </w:r>
          </w:p>
        </w:tc>
      </w:tr>
      <w:tr w14:paraId="3FFAE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3" w:type="dxa"/>
            <w:vAlign w:val="center"/>
          </w:tcPr>
          <w:p w14:paraId="1ECDE004">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15</w:t>
            </w:r>
          </w:p>
        </w:tc>
        <w:tc>
          <w:tcPr>
            <w:tcW w:w="1110" w:type="dxa"/>
            <w:vAlign w:val="center"/>
          </w:tcPr>
          <w:p w14:paraId="5B17C8CD">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机柜</w:t>
            </w:r>
          </w:p>
        </w:tc>
        <w:tc>
          <w:tcPr>
            <w:tcW w:w="9000" w:type="dxa"/>
            <w:vAlign w:val="center"/>
          </w:tcPr>
          <w:p w14:paraId="3A7F4806">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18U标准机柜，含托盘</w:t>
            </w:r>
          </w:p>
        </w:tc>
      </w:tr>
      <w:tr w14:paraId="27718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3" w:type="dxa"/>
            <w:vAlign w:val="center"/>
          </w:tcPr>
          <w:p w14:paraId="17CC17AE">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16</w:t>
            </w:r>
          </w:p>
        </w:tc>
        <w:tc>
          <w:tcPr>
            <w:tcW w:w="1110" w:type="dxa"/>
            <w:vAlign w:val="center"/>
          </w:tcPr>
          <w:p w14:paraId="0BB53446">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陶瓷防静电地板</w:t>
            </w:r>
          </w:p>
        </w:tc>
        <w:tc>
          <w:tcPr>
            <w:tcW w:w="9000" w:type="dxa"/>
            <w:vAlign w:val="center"/>
          </w:tcPr>
          <w:p w14:paraId="41A30E89">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1.面层采用10mm厚玻化瓷砖贴面；耐磨转数≥3000 转；</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2.上层钢板采用冷硬钢板，下层钢板采用深冲拉伸板；底部中间特有双十字加强筋，半球深度达到21mm以上，底部四周边条加宽处理，上有直条压筋以增加强度；</w:t>
            </w:r>
            <w:r>
              <w:rPr>
                <w:rStyle w:val="288"/>
                <w:rFonts w:hint="default" w:ascii="Times New Roman" w:hAnsi="Times New Roman" w:eastAsia="仿宋_GB2312" w:cs="Times New Roman"/>
                <w:color w:val="auto"/>
                <w:sz w:val="28"/>
                <w:szCs w:val="28"/>
                <w:lang w:val="en-US" w:eastAsia="zh-CN" w:bidi="ar"/>
              </w:rPr>
              <w:br w:type="textWrapping"/>
            </w:r>
            <w:r>
              <w:rPr>
                <w:rFonts w:ascii="仿宋_GB2312" w:hAnsi="仿宋_GB2312" w:eastAsia="仿宋_GB2312" w:cs="仿宋_GB2312"/>
                <w:bCs/>
                <w:color w:val="auto"/>
                <w:sz w:val="28"/>
                <w:szCs w:val="28"/>
                <w:lang w:val="en-US" w:eastAsia="zh-CN"/>
              </w:rPr>
              <w:t>▲</w:t>
            </w:r>
            <w:r>
              <w:rPr>
                <w:rStyle w:val="288"/>
                <w:rFonts w:hint="default" w:ascii="Times New Roman" w:hAnsi="Times New Roman" w:eastAsia="仿宋_GB2312" w:cs="Times New Roman"/>
                <w:color w:val="auto"/>
                <w:sz w:val="28"/>
                <w:szCs w:val="28"/>
                <w:lang w:val="en-US" w:eastAsia="zh-CN" w:bidi="ar"/>
              </w:rPr>
              <w:t>3.集中荷载：≥1960N（挠度≤2mm、残余</w:t>
            </w:r>
            <w:r>
              <w:rPr>
                <w:rStyle w:val="288"/>
                <w:rFonts w:ascii="Times New Roman" w:hAnsi="Times New Roman" w:eastAsia="仿宋_GB2312" w:cs="Times New Roman"/>
                <w:color w:val="auto"/>
                <w:sz w:val="28"/>
                <w:szCs w:val="28"/>
                <w:lang w:val="en-US" w:eastAsia="zh-CN" w:bidi="ar"/>
              </w:rPr>
              <w:t>变形</w:t>
            </w:r>
            <w:r>
              <w:rPr>
                <w:rStyle w:val="288"/>
                <w:rFonts w:hint="default" w:ascii="Times New Roman" w:hAnsi="Times New Roman" w:eastAsia="仿宋_GB2312" w:cs="Times New Roman"/>
                <w:color w:val="auto"/>
                <w:sz w:val="28"/>
                <w:szCs w:val="28"/>
                <w:lang w:val="en-US" w:eastAsia="zh-CN" w:bidi="ar"/>
              </w:rPr>
              <w:t>≤0.25mm），极限荷载：≥5880N，均布载荷：≥9720N/m2（挠度≤2mm），表面平面度：≤0.6mm；邻边垂直度：≤0.3mm，板厚公差：≤0.3mm</w:t>
            </w:r>
            <w:r>
              <w:rPr>
                <w:rStyle w:val="288"/>
                <w:rFonts w:ascii="Times New Roman" w:hAnsi="Times New Roman" w:eastAsia="仿宋_GB2312" w:cs="Times New Roman"/>
                <w:color w:val="auto"/>
                <w:sz w:val="28"/>
                <w:szCs w:val="28"/>
                <w:lang w:val="en-US" w:eastAsia="zh-CN" w:bidi="ar"/>
              </w:rPr>
              <w:t>（</w:t>
            </w:r>
            <w:r>
              <w:rPr>
                <w:rStyle w:val="288"/>
                <w:rFonts w:hint="default" w:ascii="Times New Roman" w:hAnsi="Times New Roman" w:eastAsia="仿宋_GB2312" w:cs="Times New Roman"/>
                <w:color w:val="auto"/>
                <w:sz w:val="28"/>
                <w:szCs w:val="28"/>
                <w:lang w:val="en-US" w:eastAsia="zh-CN" w:bidi="ar"/>
              </w:rPr>
              <w:t>提供第三方检测机构出具的有效检测报告</w:t>
            </w:r>
            <w:r>
              <w:rPr>
                <w:rStyle w:val="288"/>
                <w:rFonts w:ascii="Times New Roman" w:hAnsi="Times New Roman" w:eastAsia="仿宋_GB2312" w:cs="Times New Roman"/>
                <w:color w:val="auto"/>
                <w:sz w:val="28"/>
                <w:szCs w:val="28"/>
                <w:lang w:val="en-US" w:eastAsia="zh-CN" w:bidi="ar"/>
              </w:rPr>
              <w:t>）</w:t>
            </w:r>
            <w:r>
              <w:rPr>
                <w:rStyle w:val="288"/>
                <w:rFonts w:hint="default" w:ascii="Times New Roman" w:hAnsi="Times New Roman" w:eastAsia="仿宋_GB2312" w:cs="Times New Roman"/>
                <w:color w:val="auto"/>
                <w:sz w:val="28"/>
                <w:szCs w:val="28"/>
                <w:lang w:val="en-US" w:eastAsia="zh-CN" w:bidi="ar"/>
              </w:rPr>
              <w:t>。</w:t>
            </w:r>
          </w:p>
        </w:tc>
      </w:tr>
      <w:tr w14:paraId="3F92F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3" w:type="dxa"/>
            <w:vAlign w:val="center"/>
          </w:tcPr>
          <w:p w14:paraId="49061653">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17</w:t>
            </w:r>
          </w:p>
        </w:tc>
        <w:tc>
          <w:tcPr>
            <w:tcW w:w="1110" w:type="dxa"/>
            <w:vAlign w:val="center"/>
          </w:tcPr>
          <w:p w14:paraId="099342E6">
            <w:pPr>
              <w:adjustRightInd w:val="0"/>
              <w:snapToGrid w:val="0"/>
              <w:jc w:val="center"/>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电工电子实训装置</w:t>
            </w:r>
          </w:p>
        </w:tc>
        <w:tc>
          <w:tcPr>
            <w:tcW w:w="9000" w:type="dxa"/>
            <w:vAlign w:val="center"/>
          </w:tcPr>
          <w:p w14:paraId="717A35BD">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整体功能要求：</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 xml:space="preserve">采用台式结构，挂箱式实验单元，各实验挂箱可固定和拆卸，每个挂箱采用乳白色面板；标配上下两个拉手，方便挂箱拆装； </w:t>
            </w:r>
          </w:p>
          <w:p w14:paraId="786C78BC">
            <w:pPr>
              <w:adjustRightInd w:val="0"/>
              <w:snapToGrid w:val="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模块均设置有在线控制功能，借助数智化实训管理平台，进行实验电路搭建、实验数据采集、实验过程跟踪，实验报告智能填写，并客观形成学情分析结果；</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1.电源模块：</w:t>
            </w:r>
          </w:p>
          <w:p w14:paraId="7460C5D8">
            <w:pPr>
              <w:adjustRightInd w:val="0"/>
              <w:snapToGrid w:val="0"/>
              <w:ind w:firstLine="560" w:firstLineChars="200"/>
              <w:jc w:val="left"/>
              <w:textAlignment w:val="center"/>
              <w:rPr>
                <w:rStyle w:val="288"/>
                <w:rFonts w:hint="default" w:ascii="Times New Roman" w:hAnsi="Times New Roman" w:eastAsia="仿宋_GB2312" w:cs="Times New Roman"/>
                <w:color w:val="auto"/>
                <w:sz w:val="28"/>
                <w:szCs w:val="28"/>
                <w:lang w:val="en-US" w:eastAsia="zh-CN" w:bidi="ar"/>
              </w:rPr>
            </w:pPr>
            <w:r>
              <w:rPr>
                <w:rStyle w:val="288"/>
                <w:rFonts w:hint="default" w:ascii="Times New Roman" w:hAnsi="Times New Roman" w:eastAsia="仿宋_GB2312" w:cs="Times New Roman"/>
                <w:color w:val="auto"/>
                <w:sz w:val="28"/>
                <w:szCs w:val="28"/>
                <w:lang w:val="en-US" w:eastAsia="zh-CN" w:bidi="ar"/>
              </w:rPr>
              <w:t>输入电源：交流220V，50Hz，满足漏电保护要求</w:t>
            </w:r>
            <w:r>
              <w:rPr>
                <w:rStyle w:val="288"/>
                <w:rFonts w:ascii="Times New Roman" w:hAnsi="Times New Roman" w:eastAsia="仿宋_GB2312" w:cs="Times New Roman"/>
                <w:color w:val="auto"/>
                <w:sz w:val="28"/>
                <w:szCs w:val="28"/>
                <w:lang w:val="en-US" w:eastAsia="zh-CN" w:bidi="ar"/>
              </w:rPr>
              <w:t>，</w:t>
            </w:r>
            <w:r>
              <w:rPr>
                <w:rStyle w:val="288"/>
                <w:rFonts w:hint="default" w:ascii="Times New Roman" w:hAnsi="Times New Roman" w:eastAsia="仿宋_GB2312" w:cs="Times New Roman"/>
                <w:color w:val="auto"/>
                <w:sz w:val="28"/>
                <w:szCs w:val="28"/>
                <w:lang w:val="en-US" w:eastAsia="zh-CN" w:bidi="ar"/>
              </w:rPr>
              <w:t>具有过载、过流、缺相、漏电保护措施，漏电保护动作电流≤30mA；工作环境：温度-10℃</w:t>
            </w:r>
            <w:r>
              <w:rPr>
                <w:rStyle w:val="288"/>
                <w:rFonts w:ascii="Times New Roman" w:hAnsi="Times New Roman" w:eastAsia="仿宋_GB2312" w:cs="Times New Roman"/>
                <w:color w:val="auto"/>
                <w:sz w:val="28"/>
                <w:szCs w:val="28"/>
                <w:lang w:val="en-US" w:eastAsia="zh-CN" w:bidi="ar"/>
              </w:rPr>
              <w:t>-</w:t>
            </w:r>
            <w:r>
              <w:rPr>
                <w:rStyle w:val="288"/>
                <w:rFonts w:hint="default" w:ascii="Times New Roman" w:hAnsi="Times New Roman" w:eastAsia="仿宋_GB2312" w:cs="Times New Roman"/>
                <w:color w:val="auto"/>
                <w:sz w:val="28"/>
                <w:szCs w:val="28"/>
                <w:lang w:val="en-US" w:eastAsia="zh-CN" w:bidi="ar"/>
              </w:rPr>
              <w:t>+40℃，相对湿度&lt;85%（25℃）。输出电源：DC±12V，+5V，AC 6V，12V；</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2.智能控制单元：</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 xml:space="preserve">  1）</w:t>
            </w:r>
            <w:r>
              <w:rPr>
                <w:rStyle w:val="288"/>
                <w:rFonts w:ascii="Times New Roman" w:hAnsi="Times New Roman" w:eastAsia="仿宋_GB2312" w:cs="Times New Roman"/>
                <w:color w:val="auto"/>
                <w:sz w:val="28"/>
                <w:szCs w:val="28"/>
                <w:lang w:val="en-US" w:eastAsia="zh-CN" w:bidi="ar"/>
              </w:rPr>
              <w:t>嵌入式</w:t>
            </w:r>
            <w:r>
              <w:rPr>
                <w:rStyle w:val="288"/>
                <w:rFonts w:hint="default" w:ascii="Times New Roman" w:hAnsi="Times New Roman" w:eastAsia="仿宋_GB2312" w:cs="Times New Roman"/>
                <w:color w:val="auto"/>
                <w:sz w:val="28"/>
                <w:szCs w:val="28"/>
                <w:lang w:val="en-US" w:eastAsia="zh-CN" w:bidi="ar"/>
              </w:rPr>
              <w:t>控制器：</w:t>
            </w:r>
            <w:r>
              <w:rPr>
                <w:rStyle w:val="288"/>
                <w:rFonts w:ascii="Times New Roman" w:hAnsi="Times New Roman" w:eastAsia="仿宋_GB2312" w:cs="Times New Roman"/>
                <w:color w:val="auto"/>
                <w:sz w:val="28"/>
                <w:szCs w:val="28"/>
                <w:lang w:val="en-US" w:eastAsia="zh-CN" w:bidi="ar"/>
              </w:rPr>
              <w:t>CPU≥6核12线程，主频≥2.9Ghz，睿频≥4.3Ghz</w:t>
            </w:r>
            <w:r>
              <w:rPr>
                <w:rStyle w:val="288"/>
                <w:rFonts w:hint="default" w:ascii="Times New Roman" w:hAnsi="Times New Roman" w:eastAsia="仿宋_GB2312" w:cs="Times New Roman"/>
                <w:color w:val="auto"/>
                <w:sz w:val="28"/>
                <w:szCs w:val="28"/>
                <w:lang w:val="en-US" w:eastAsia="zh-CN" w:bidi="ar"/>
              </w:rPr>
              <w:t>，8G内存，256G固态硬盘，17</w:t>
            </w:r>
            <w:r>
              <w:rPr>
                <w:rStyle w:val="288"/>
                <w:rFonts w:ascii="Times New Roman" w:hAnsi="Times New Roman" w:eastAsia="仿宋_GB2312" w:cs="Times New Roman"/>
                <w:color w:val="auto"/>
                <w:sz w:val="28"/>
                <w:szCs w:val="28"/>
                <w:lang w:val="en-US" w:eastAsia="zh-CN" w:bidi="ar"/>
              </w:rPr>
              <w:t>英</w:t>
            </w:r>
            <w:r>
              <w:rPr>
                <w:rStyle w:val="288"/>
                <w:rFonts w:hint="default" w:ascii="Times New Roman" w:hAnsi="Times New Roman" w:eastAsia="仿宋_GB2312" w:cs="Times New Roman"/>
                <w:color w:val="auto"/>
                <w:sz w:val="28"/>
                <w:szCs w:val="28"/>
                <w:lang w:val="en-US" w:eastAsia="zh-CN" w:bidi="ar"/>
              </w:rPr>
              <w:t>寸及以上LED显示器；</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 xml:space="preserve">  2）每个项目配套完整的数字化教学资源包，包括但不限于实验目的、实验原理、操作步骤、预习测试题、教学视频等，支持学生课前预习、课中操作、课后复习；</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3.实训模块：</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 xml:space="preserve">  1）电工技术实训模块：支持对电路的连线诊断检测。支持直流电路与交流电路项目实训，所用测试仪器可选内嵌虚拟仪器或外置实物仪器。能完成基尔霍夫定律</w:t>
            </w:r>
            <w:r>
              <w:rPr>
                <w:rStyle w:val="288"/>
                <w:rFonts w:ascii="Times New Roman" w:hAnsi="Times New Roman" w:eastAsia="仿宋_GB2312" w:cs="Times New Roman"/>
                <w:color w:val="auto"/>
                <w:sz w:val="28"/>
                <w:szCs w:val="28"/>
                <w:lang w:val="en-US" w:eastAsia="zh-CN" w:bidi="ar"/>
              </w:rPr>
              <w:t>、</w:t>
            </w:r>
            <w:r>
              <w:rPr>
                <w:rStyle w:val="288"/>
                <w:rFonts w:hint="default" w:ascii="Times New Roman" w:hAnsi="Times New Roman" w:eastAsia="仿宋_GB2312" w:cs="Times New Roman"/>
                <w:color w:val="auto"/>
                <w:sz w:val="28"/>
                <w:szCs w:val="28"/>
                <w:lang w:val="en-US" w:eastAsia="zh-CN" w:bidi="ar"/>
              </w:rPr>
              <w:t>叠加定理验证</w:t>
            </w:r>
            <w:r>
              <w:rPr>
                <w:rStyle w:val="288"/>
                <w:rFonts w:ascii="Times New Roman" w:hAnsi="Times New Roman" w:eastAsia="仿宋_GB2312" w:cs="Times New Roman"/>
                <w:color w:val="auto"/>
                <w:sz w:val="28"/>
                <w:szCs w:val="28"/>
                <w:lang w:val="en-US" w:eastAsia="zh-CN" w:bidi="ar"/>
              </w:rPr>
              <w:t>、</w:t>
            </w:r>
            <w:r>
              <w:rPr>
                <w:rStyle w:val="288"/>
                <w:rFonts w:hint="default" w:ascii="Times New Roman" w:hAnsi="Times New Roman" w:eastAsia="仿宋_GB2312" w:cs="Times New Roman"/>
                <w:color w:val="auto"/>
                <w:sz w:val="28"/>
                <w:szCs w:val="28"/>
                <w:lang w:val="en-US" w:eastAsia="zh-CN" w:bidi="ar"/>
              </w:rPr>
              <w:t>戴维南定理实验</w:t>
            </w:r>
            <w:r>
              <w:rPr>
                <w:rStyle w:val="288"/>
                <w:rFonts w:ascii="Times New Roman" w:hAnsi="Times New Roman" w:eastAsia="仿宋_GB2312" w:cs="Times New Roman"/>
                <w:color w:val="auto"/>
                <w:sz w:val="28"/>
                <w:szCs w:val="28"/>
                <w:lang w:val="en-US" w:eastAsia="zh-CN" w:bidi="ar"/>
              </w:rPr>
              <w:t>、</w:t>
            </w:r>
            <w:r>
              <w:rPr>
                <w:rStyle w:val="288"/>
                <w:rFonts w:hint="default" w:ascii="Times New Roman" w:hAnsi="Times New Roman" w:eastAsia="仿宋_GB2312" w:cs="Times New Roman"/>
                <w:color w:val="auto"/>
                <w:sz w:val="28"/>
                <w:szCs w:val="28"/>
                <w:lang w:val="en-US" w:eastAsia="zh-CN" w:bidi="ar"/>
              </w:rPr>
              <w:t>一阶二阶电路暂态响应</w:t>
            </w:r>
            <w:r>
              <w:rPr>
                <w:rStyle w:val="288"/>
                <w:rFonts w:ascii="Times New Roman" w:hAnsi="Times New Roman" w:eastAsia="仿宋_GB2312" w:cs="Times New Roman"/>
                <w:color w:val="auto"/>
                <w:sz w:val="28"/>
                <w:szCs w:val="28"/>
                <w:lang w:val="en-US" w:eastAsia="zh-CN" w:bidi="ar"/>
              </w:rPr>
              <w:t>、</w:t>
            </w:r>
            <w:r>
              <w:rPr>
                <w:rStyle w:val="288"/>
                <w:rFonts w:hint="default" w:ascii="Times New Roman" w:hAnsi="Times New Roman" w:eastAsia="仿宋_GB2312" w:cs="Times New Roman"/>
                <w:color w:val="auto"/>
                <w:sz w:val="28"/>
                <w:szCs w:val="28"/>
                <w:lang w:val="en-US" w:eastAsia="zh-CN" w:bidi="ar"/>
              </w:rPr>
              <w:t>正弦交流电电压、功率测量</w:t>
            </w:r>
            <w:r>
              <w:rPr>
                <w:rStyle w:val="288"/>
                <w:rFonts w:ascii="Times New Roman" w:hAnsi="Times New Roman" w:eastAsia="仿宋_GB2312" w:cs="Times New Roman"/>
                <w:color w:val="auto"/>
                <w:sz w:val="28"/>
                <w:szCs w:val="28"/>
                <w:lang w:val="en-US" w:eastAsia="zh-CN" w:bidi="ar"/>
              </w:rPr>
              <w:t>、</w:t>
            </w:r>
            <w:r>
              <w:rPr>
                <w:rStyle w:val="288"/>
                <w:rFonts w:hint="default" w:ascii="Times New Roman" w:hAnsi="Times New Roman" w:eastAsia="仿宋_GB2312" w:cs="Times New Roman"/>
                <w:color w:val="auto"/>
                <w:sz w:val="28"/>
                <w:szCs w:val="28"/>
                <w:lang w:val="en-US" w:eastAsia="zh-CN" w:bidi="ar"/>
              </w:rPr>
              <w:t>功率因数提高等实训内容；</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 xml:space="preserve">  2）电子技术实训模块：</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支持共射极单管放大器、多级负反馈放大器，运算放大电路线性、非线性应用，直流稳压电源，555定时器及报警电路应用实训项目。10位逻辑电平和六位数码管显示，完成芯片映射和数字电路虚拟仿真实验；</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4.综合仪器：</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 xml:space="preserve">  1）功率测量：测量范围0-500V、0-3A，仪表支持RS485通信接口；</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 xml:space="preserve">  2）信号源：输出波形：正弦、三角、脉冲、方波等信号；输出频率：3Hz-1MHz连续可调，幅值调节范围：0-10Vpp；支持RS485通信接口远程控制；</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 xml:space="preserve">  3）可调电流源：一路电流源，输出电流0-20mA连续可调，可开路保护和自动恢复功能；</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 xml:space="preserve">  4）单路连续可调电压源：输出电压可调且≥24V，输出电流不小于200mA，输出均有短路保护和自动恢复功能，支持远程控制；</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 xml:space="preserve">  5）万用表：仪表带有USB通讯装置可进行上位机软件传输及保存数据，四位半数显，可测量交直流电流（300uA-300mA</w:t>
            </w:r>
            <w:r>
              <w:rPr>
                <w:rStyle w:val="288"/>
                <w:rFonts w:ascii="Times New Roman" w:hAnsi="Times New Roman" w:eastAsia="仿宋_GB2312" w:cs="Times New Roman"/>
                <w:color w:val="auto"/>
                <w:sz w:val="28"/>
                <w:szCs w:val="28"/>
                <w:lang w:val="en-US" w:eastAsia="zh-CN" w:bidi="ar"/>
              </w:rPr>
              <w:t>—</w:t>
            </w:r>
            <w:r>
              <w:rPr>
                <w:rStyle w:val="288"/>
                <w:rFonts w:hint="default" w:ascii="Times New Roman" w:hAnsi="Times New Roman" w:eastAsia="仿宋_GB2312" w:cs="Times New Roman"/>
                <w:color w:val="auto"/>
                <w:sz w:val="28"/>
                <w:szCs w:val="28"/>
                <w:lang w:val="en-US" w:eastAsia="zh-CN" w:bidi="ar"/>
              </w:rPr>
              <w:t>10A）、电压（300mV-300V</w:t>
            </w:r>
            <w:r>
              <w:rPr>
                <w:rStyle w:val="288"/>
                <w:rFonts w:ascii="Times New Roman" w:hAnsi="Times New Roman" w:eastAsia="仿宋_GB2312" w:cs="Times New Roman"/>
                <w:color w:val="auto"/>
                <w:sz w:val="28"/>
                <w:szCs w:val="28"/>
                <w:lang w:val="en-US" w:eastAsia="zh-CN" w:bidi="ar"/>
              </w:rPr>
              <w:t>—</w:t>
            </w:r>
            <w:r>
              <w:rPr>
                <w:rStyle w:val="288"/>
                <w:rFonts w:hint="default" w:ascii="Times New Roman" w:hAnsi="Times New Roman" w:eastAsia="仿宋_GB2312" w:cs="Times New Roman"/>
                <w:color w:val="auto"/>
                <w:sz w:val="28"/>
                <w:szCs w:val="28"/>
                <w:lang w:val="en-US" w:eastAsia="zh-CN" w:bidi="ar"/>
              </w:rPr>
              <w:t>700V</w:t>
            </w:r>
            <w:r>
              <w:rPr>
                <w:rStyle w:val="288"/>
                <w:rFonts w:ascii="Times New Roman" w:hAnsi="Times New Roman" w:eastAsia="仿宋_GB2312" w:cs="Times New Roman"/>
                <w:color w:val="auto"/>
                <w:sz w:val="28"/>
                <w:szCs w:val="28"/>
                <w:lang w:val="en-US" w:eastAsia="zh-CN" w:bidi="ar"/>
              </w:rPr>
              <w:t>）</w:t>
            </w:r>
            <w:r>
              <w:rPr>
                <w:rStyle w:val="288"/>
                <w:rFonts w:hint="default" w:ascii="Times New Roman" w:hAnsi="Times New Roman" w:eastAsia="仿宋_GB2312" w:cs="Times New Roman"/>
                <w:color w:val="auto"/>
                <w:sz w:val="28"/>
                <w:szCs w:val="28"/>
                <w:lang w:val="en-US" w:eastAsia="zh-CN" w:bidi="ar"/>
              </w:rPr>
              <w:t>，电阻（300Ω-30MΩ），电容等；</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5.双通道示波器</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 xml:space="preserve">  1</w:t>
            </w:r>
            <w:r>
              <w:rPr>
                <w:rStyle w:val="288"/>
                <w:rFonts w:ascii="Times New Roman" w:hAnsi="Times New Roman" w:eastAsia="仿宋_GB2312" w:cs="Times New Roman"/>
                <w:color w:val="auto"/>
                <w:sz w:val="28"/>
                <w:szCs w:val="28"/>
                <w:lang w:val="en-US" w:eastAsia="zh-CN" w:bidi="ar"/>
              </w:rPr>
              <w:t>）</w:t>
            </w:r>
            <w:r>
              <w:rPr>
                <w:rStyle w:val="288"/>
                <w:rFonts w:hint="default" w:ascii="Times New Roman" w:hAnsi="Times New Roman" w:eastAsia="仿宋_GB2312" w:cs="Times New Roman"/>
                <w:color w:val="auto"/>
                <w:sz w:val="28"/>
                <w:szCs w:val="28"/>
                <w:lang w:val="en-US" w:eastAsia="zh-CN" w:bidi="ar"/>
              </w:rPr>
              <w:t>带宽：≥100MHz；通道：2路模拟通道；实时取样率：1GSa/s ；</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 xml:space="preserve">  2）可显示的检测值包括：频率、周期、上升下降时间、正负占空比、正负脉宽、最大最小电压、峰峰值、顶部值、底部值、中间值、有效值、周期有效值、幅度值、平均值；</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 xml:space="preserve">  3）时基精度：±50ppm，输入灵敏度 2mV-10V； </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 xml:space="preserve">  4）显示类型7英寸TFT LCD WVGA</w:t>
            </w:r>
            <w:r>
              <w:rPr>
                <w:rStyle w:val="288"/>
                <w:rFonts w:ascii="Times New Roman" w:hAnsi="Times New Roman" w:eastAsia="仿宋_GB2312" w:cs="Times New Roman"/>
                <w:color w:val="auto"/>
                <w:sz w:val="28"/>
                <w:szCs w:val="28"/>
                <w:lang w:val="en-US" w:eastAsia="zh-CN" w:bidi="ar"/>
              </w:rPr>
              <w:t>(嵌入式）</w:t>
            </w:r>
            <w:r>
              <w:rPr>
                <w:rStyle w:val="288"/>
                <w:rFonts w:hint="default" w:ascii="Times New Roman" w:hAnsi="Times New Roman" w:eastAsia="仿宋_GB2312" w:cs="Times New Roman"/>
                <w:color w:val="auto"/>
                <w:sz w:val="28"/>
                <w:szCs w:val="28"/>
                <w:lang w:val="en-US" w:eastAsia="zh-CN" w:bidi="ar"/>
              </w:rPr>
              <w:t>；</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 xml:space="preserve">  5）标准接口：USB-Host、USB-Device，可读取波形、检测值等数据；数据上传至系统中进行实验报告智能批改；</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6.电工电子实训操作台：</w:t>
            </w:r>
            <w:r>
              <w:rPr>
                <w:rStyle w:val="288"/>
                <w:rFonts w:hint="default" w:ascii="Times New Roman" w:hAnsi="Times New Roman" w:eastAsia="仿宋_GB2312" w:cs="Times New Roman"/>
                <w:color w:val="auto"/>
                <w:sz w:val="28"/>
                <w:szCs w:val="28"/>
                <w:lang w:val="en-US" w:eastAsia="zh-CN" w:bidi="ar"/>
              </w:rPr>
              <w:br w:type="textWrapping"/>
            </w:r>
            <w:r>
              <w:rPr>
                <w:rStyle w:val="288"/>
                <w:rFonts w:hint="default" w:ascii="Times New Roman" w:hAnsi="Times New Roman" w:eastAsia="仿宋_GB2312" w:cs="Times New Roman"/>
                <w:color w:val="auto"/>
                <w:sz w:val="28"/>
                <w:szCs w:val="28"/>
                <w:lang w:val="en-US" w:eastAsia="zh-CN" w:bidi="ar"/>
              </w:rPr>
              <w:t xml:space="preserve">  电工电子智慧实践创新操作台集成电源转换器，单相220伏</w:t>
            </w:r>
            <w:r>
              <w:rPr>
                <w:rStyle w:val="288"/>
                <w:rFonts w:ascii="Times New Roman" w:hAnsi="Times New Roman" w:eastAsia="仿宋_GB2312" w:cs="Times New Roman"/>
                <w:color w:val="auto"/>
                <w:sz w:val="28"/>
                <w:szCs w:val="28"/>
                <w:lang w:val="en-US" w:eastAsia="zh-CN" w:bidi="ar"/>
              </w:rPr>
              <w:t>3</w:t>
            </w:r>
            <w:r>
              <w:rPr>
                <w:rStyle w:val="288"/>
                <w:rFonts w:hint="default" w:ascii="Times New Roman" w:hAnsi="Times New Roman" w:eastAsia="仿宋_GB2312" w:cs="Times New Roman"/>
                <w:color w:val="auto"/>
                <w:sz w:val="28"/>
                <w:szCs w:val="28"/>
                <w:lang w:val="en-US" w:eastAsia="zh-CN" w:bidi="ar"/>
              </w:rPr>
              <w:t>孔不少于5个，单相220伏2孔不少于3个，独立空气开关总控；操作台每套含两工位，整体结构尺寸1600mm×800mm×750mm（尺寸可定制），框架材质要求钢木结构（钢材厚度≥1.0mm），防火、防水、耐磨防静电三聚氰胺桌面（板厚度≥20mm）；单套配套合适钢木结构凳子2个，尺寸：长340mm*宽240mm*高420mm（尺寸可定制），凳面25mm三聚氰胺板。</w:t>
            </w:r>
          </w:p>
        </w:tc>
      </w:tr>
    </w:tbl>
    <w:p w14:paraId="0357A75B">
      <w:pPr>
        <w:pStyle w:val="70"/>
        <w:jc w:val="center"/>
        <w:outlineLvl w:val="2"/>
        <w:rPr>
          <w:rFonts w:ascii="Times New Roman" w:hAnsi="Times New Roman" w:eastAsia="仿宋" w:cs="Times New Roman"/>
          <w:b/>
          <w:bCs/>
          <w:color w:val="auto"/>
          <w:sz w:val="32"/>
          <w:szCs w:val="32"/>
        </w:rPr>
        <w:sectPr>
          <w:footerReference r:id="rId9" w:type="default"/>
          <w:pgSz w:w="11906" w:h="16838"/>
          <w:pgMar w:top="1440" w:right="1080" w:bottom="1440" w:left="1080" w:header="851" w:footer="992" w:gutter="0"/>
          <w:cols w:space="720" w:num="1"/>
          <w:docGrid w:type="lines" w:linePitch="312" w:charSpace="0"/>
        </w:sectPr>
      </w:pPr>
    </w:p>
    <w:p w14:paraId="54BBFF83">
      <w:pPr>
        <w:pStyle w:val="70"/>
        <w:jc w:val="center"/>
        <w:outlineLvl w:val="2"/>
        <w:rPr>
          <w:rFonts w:hint="eastAsia" w:ascii="宋体" w:hAnsi="宋体" w:cs="宋体"/>
          <w:b/>
          <w:bCs/>
          <w:color w:val="auto"/>
          <w:sz w:val="28"/>
          <w:szCs w:val="28"/>
        </w:rPr>
      </w:pPr>
      <w:r>
        <w:rPr>
          <w:rFonts w:hint="eastAsia" w:ascii="Times New Roman" w:hAnsi="Times New Roman" w:eastAsia="仿宋" w:cs="Times New Roman"/>
          <w:b/>
          <w:bCs/>
          <w:color w:val="auto"/>
          <w:sz w:val="32"/>
          <w:szCs w:val="32"/>
        </w:rPr>
        <w:t>附表1 台式计算机技术参数</w:t>
      </w:r>
    </w:p>
    <w:p w14:paraId="4B4619EF">
      <w:pPr>
        <w:pStyle w:val="70"/>
        <w:jc w:val="both"/>
        <w:rPr>
          <w:rFonts w:ascii="Times New Roman" w:hAnsi="Times New Roman" w:eastAsia="仿宋" w:cs="Times New Roman"/>
          <w:b/>
          <w:bCs/>
          <w:color w:val="auto"/>
          <w:sz w:val="28"/>
          <w:szCs w:val="28"/>
        </w:rPr>
      </w:pPr>
    </w:p>
    <w:tbl>
      <w:tblPr>
        <w:tblStyle w:val="52"/>
        <w:tblW w:w="95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0"/>
        <w:gridCol w:w="598"/>
        <w:gridCol w:w="1176"/>
        <w:gridCol w:w="1176"/>
        <w:gridCol w:w="1508"/>
        <w:gridCol w:w="3852"/>
        <w:gridCol w:w="607"/>
      </w:tblGrid>
      <w:tr w14:paraId="1F48D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620" w:type="dxa"/>
            <w:vAlign w:val="center"/>
          </w:tcPr>
          <w:p w14:paraId="5B5DBB64">
            <w:pPr>
              <w:adjustRightInd w:val="0"/>
              <w:snapToGrid w:val="0"/>
              <w:jc w:val="center"/>
              <w:textAlignment w:val="center"/>
              <w:rPr>
                <w:rFonts w:ascii="黑体" w:hAnsi="黑体" w:eastAsia="黑体" w:cstheme="minorEastAsia"/>
                <w:color w:val="auto"/>
                <w:sz w:val="28"/>
                <w:szCs w:val="28"/>
              </w:rPr>
            </w:pPr>
            <w:r>
              <w:rPr>
                <w:rFonts w:ascii="黑体" w:hAnsi="黑体" w:eastAsia="黑体" w:cstheme="minorEastAsia"/>
                <w:color w:val="auto"/>
                <w:kern w:val="0"/>
                <w:sz w:val="28"/>
                <w:szCs w:val="28"/>
                <w:lang w:bidi="ar"/>
              </w:rPr>
              <w:t>重要</w:t>
            </w:r>
            <w:r>
              <w:rPr>
                <w:rFonts w:ascii="黑体" w:hAnsi="黑体" w:eastAsia="黑体" w:cstheme="minorEastAsia"/>
                <w:color w:val="auto"/>
                <w:kern w:val="0"/>
                <w:sz w:val="28"/>
                <w:szCs w:val="28"/>
                <w:lang w:bidi="ar"/>
              </w:rPr>
              <w:br w:type="textWrapping"/>
            </w:r>
            <w:r>
              <w:rPr>
                <w:rFonts w:ascii="黑体" w:hAnsi="黑体" w:eastAsia="黑体" w:cstheme="minorEastAsia"/>
                <w:color w:val="auto"/>
                <w:kern w:val="0"/>
                <w:sz w:val="28"/>
                <w:szCs w:val="28"/>
                <w:lang w:bidi="ar"/>
              </w:rPr>
              <w:t>程度</w:t>
            </w:r>
          </w:p>
        </w:tc>
        <w:tc>
          <w:tcPr>
            <w:tcW w:w="598" w:type="dxa"/>
            <w:vAlign w:val="center"/>
          </w:tcPr>
          <w:p w14:paraId="35EAD5CD">
            <w:pPr>
              <w:adjustRightInd w:val="0"/>
              <w:snapToGrid w:val="0"/>
              <w:jc w:val="center"/>
              <w:textAlignment w:val="center"/>
              <w:rPr>
                <w:rFonts w:ascii="黑体" w:hAnsi="黑体" w:eastAsia="黑体" w:cstheme="minorEastAsia"/>
                <w:color w:val="auto"/>
                <w:sz w:val="28"/>
                <w:szCs w:val="28"/>
              </w:rPr>
            </w:pPr>
            <w:r>
              <w:rPr>
                <w:rFonts w:ascii="黑体" w:hAnsi="黑体" w:eastAsia="黑体" w:cstheme="minorEastAsia"/>
                <w:color w:val="auto"/>
                <w:kern w:val="0"/>
                <w:sz w:val="28"/>
                <w:szCs w:val="28"/>
                <w:lang w:bidi="ar"/>
              </w:rPr>
              <w:t>序号</w:t>
            </w:r>
          </w:p>
        </w:tc>
        <w:tc>
          <w:tcPr>
            <w:tcW w:w="1176" w:type="dxa"/>
            <w:vAlign w:val="center"/>
          </w:tcPr>
          <w:p w14:paraId="0D18F796">
            <w:pPr>
              <w:adjustRightInd w:val="0"/>
              <w:snapToGrid w:val="0"/>
              <w:jc w:val="center"/>
              <w:textAlignment w:val="center"/>
              <w:rPr>
                <w:rFonts w:ascii="黑体" w:hAnsi="黑体" w:eastAsia="黑体" w:cstheme="minorEastAsia"/>
                <w:color w:val="auto"/>
                <w:kern w:val="0"/>
                <w:sz w:val="28"/>
                <w:szCs w:val="28"/>
                <w:lang w:bidi="ar"/>
              </w:rPr>
            </w:pPr>
            <w:r>
              <w:rPr>
                <w:rFonts w:ascii="黑体" w:hAnsi="黑体" w:eastAsia="黑体" w:cstheme="minorEastAsia"/>
                <w:color w:val="auto"/>
                <w:kern w:val="0"/>
                <w:sz w:val="28"/>
                <w:szCs w:val="28"/>
                <w:lang w:bidi="ar"/>
              </w:rPr>
              <w:t>指标</w:t>
            </w:r>
            <w:r>
              <w:rPr>
                <w:rFonts w:ascii="黑体" w:hAnsi="黑体" w:eastAsia="黑体" w:cstheme="minorEastAsia"/>
                <w:color w:val="auto"/>
                <w:kern w:val="0"/>
                <w:sz w:val="28"/>
                <w:szCs w:val="28"/>
                <w:lang w:bidi="ar"/>
              </w:rPr>
              <w:br w:type="textWrapping"/>
            </w:r>
            <w:r>
              <w:rPr>
                <w:rFonts w:ascii="黑体" w:hAnsi="黑体" w:eastAsia="黑体" w:cstheme="minorEastAsia"/>
                <w:color w:val="auto"/>
                <w:kern w:val="0"/>
                <w:sz w:val="28"/>
                <w:szCs w:val="28"/>
                <w:lang w:bidi="ar"/>
              </w:rPr>
              <w:t>分类</w:t>
            </w:r>
          </w:p>
        </w:tc>
        <w:tc>
          <w:tcPr>
            <w:tcW w:w="1176" w:type="dxa"/>
            <w:vAlign w:val="center"/>
          </w:tcPr>
          <w:p w14:paraId="11DEEE5E">
            <w:pPr>
              <w:adjustRightInd w:val="0"/>
              <w:snapToGrid w:val="0"/>
              <w:jc w:val="center"/>
              <w:textAlignment w:val="center"/>
              <w:rPr>
                <w:rFonts w:ascii="黑体" w:hAnsi="黑体" w:eastAsia="黑体" w:cstheme="minorEastAsia"/>
                <w:color w:val="auto"/>
                <w:sz w:val="28"/>
                <w:szCs w:val="28"/>
              </w:rPr>
            </w:pPr>
            <w:r>
              <w:fldChar w:fldCharType="begin"/>
            </w:r>
            <w:r>
              <w:instrText xml:space="preserve"> HYPERLINK "file://E:\\工作\\1项目资料\\政府采购资料\\2025\\3增材制造实训中心项目-智能制造学院-公共资源交易中心\\二次-公开招标\\招标文件修改记录\\7.3-周-磋商-河南工业和信息化职业学院增材制造实训中心建设项目.docx" \l "Sheet1!A3" </w:instrText>
            </w:r>
            <w:r>
              <w:fldChar w:fldCharType="separate"/>
            </w:r>
            <w:r>
              <w:rPr>
                <w:rStyle w:val="63"/>
                <w:rFonts w:ascii="黑体" w:hAnsi="黑体" w:eastAsia="黑体" w:cstheme="minorEastAsia"/>
                <w:color w:val="auto"/>
                <w:kern w:val="0"/>
                <w:sz w:val="28"/>
                <w:szCs w:val="28"/>
                <w:u w:val="none"/>
              </w:rPr>
              <w:t>一级</w:t>
            </w:r>
            <w:r>
              <w:rPr>
                <w:rStyle w:val="63"/>
                <w:rFonts w:ascii="黑体" w:hAnsi="黑体" w:eastAsia="黑体" w:cstheme="minorEastAsia"/>
                <w:color w:val="auto"/>
                <w:kern w:val="0"/>
                <w:sz w:val="28"/>
                <w:szCs w:val="28"/>
                <w:u w:val="none"/>
              </w:rPr>
              <w:br w:type="textWrapping"/>
            </w:r>
            <w:r>
              <w:rPr>
                <w:rStyle w:val="63"/>
                <w:rFonts w:ascii="黑体" w:hAnsi="黑体" w:eastAsia="黑体" w:cstheme="minorEastAsia"/>
                <w:color w:val="auto"/>
                <w:kern w:val="0"/>
                <w:sz w:val="28"/>
                <w:szCs w:val="28"/>
                <w:u w:val="none"/>
              </w:rPr>
              <w:t>指标</w:t>
            </w:r>
            <w:r>
              <w:rPr>
                <w:rStyle w:val="63"/>
                <w:rFonts w:ascii="黑体" w:hAnsi="黑体" w:eastAsia="黑体" w:cstheme="minorEastAsia"/>
                <w:color w:val="auto"/>
                <w:kern w:val="0"/>
                <w:sz w:val="28"/>
                <w:szCs w:val="28"/>
                <w:u w:val="none"/>
              </w:rPr>
              <w:fldChar w:fldCharType="end"/>
            </w:r>
          </w:p>
        </w:tc>
        <w:tc>
          <w:tcPr>
            <w:tcW w:w="1508" w:type="dxa"/>
            <w:vAlign w:val="center"/>
          </w:tcPr>
          <w:p w14:paraId="306B3A75">
            <w:pPr>
              <w:adjustRightInd w:val="0"/>
              <w:snapToGrid w:val="0"/>
              <w:jc w:val="center"/>
              <w:textAlignment w:val="center"/>
              <w:rPr>
                <w:rFonts w:ascii="黑体" w:hAnsi="黑体" w:eastAsia="黑体" w:cstheme="minorEastAsia"/>
                <w:color w:val="auto"/>
                <w:sz w:val="28"/>
                <w:szCs w:val="28"/>
              </w:rPr>
            </w:pPr>
            <w:r>
              <w:rPr>
                <w:rFonts w:ascii="黑体" w:hAnsi="黑体" w:eastAsia="黑体" w:cstheme="minorEastAsia"/>
                <w:color w:val="auto"/>
                <w:kern w:val="0"/>
                <w:sz w:val="28"/>
                <w:szCs w:val="28"/>
                <w:lang w:bidi="ar"/>
              </w:rPr>
              <w:t>二级</w:t>
            </w:r>
            <w:r>
              <w:rPr>
                <w:rFonts w:ascii="黑体" w:hAnsi="黑体" w:eastAsia="黑体" w:cstheme="minorEastAsia"/>
                <w:color w:val="auto"/>
                <w:kern w:val="0"/>
                <w:sz w:val="28"/>
                <w:szCs w:val="28"/>
                <w:lang w:bidi="ar"/>
              </w:rPr>
              <w:br w:type="textWrapping"/>
            </w:r>
            <w:r>
              <w:rPr>
                <w:rFonts w:ascii="黑体" w:hAnsi="黑体" w:eastAsia="黑体" w:cstheme="minorEastAsia"/>
                <w:color w:val="auto"/>
                <w:kern w:val="0"/>
                <w:sz w:val="28"/>
                <w:szCs w:val="28"/>
                <w:lang w:bidi="ar"/>
              </w:rPr>
              <w:t>指标</w:t>
            </w:r>
          </w:p>
        </w:tc>
        <w:tc>
          <w:tcPr>
            <w:tcW w:w="3852" w:type="dxa"/>
            <w:vAlign w:val="center"/>
          </w:tcPr>
          <w:p w14:paraId="1CAE57B9">
            <w:pPr>
              <w:adjustRightInd w:val="0"/>
              <w:snapToGrid w:val="0"/>
              <w:jc w:val="center"/>
              <w:textAlignment w:val="center"/>
              <w:rPr>
                <w:rStyle w:val="288"/>
                <w:rFonts w:hAnsi="黑体" w:cstheme="minorEastAsia"/>
                <w:color w:val="auto"/>
                <w:sz w:val="28"/>
                <w:szCs w:val="28"/>
                <w:lang w:bidi="ar"/>
              </w:rPr>
            </w:pPr>
            <w:r>
              <w:rPr>
                <w:rStyle w:val="288"/>
                <w:rFonts w:hAnsi="黑体" w:cstheme="minorEastAsia"/>
                <w:color w:val="auto"/>
                <w:sz w:val="28"/>
                <w:szCs w:val="28"/>
                <w:lang w:bidi="ar"/>
              </w:rPr>
              <w:t>指标要求</w:t>
            </w:r>
          </w:p>
        </w:tc>
        <w:tc>
          <w:tcPr>
            <w:tcW w:w="607" w:type="dxa"/>
            <w:vAlign w:val="center"/>
          </w:tcPr>
          <w:p w14:paraId="6768170A">
            <w:pPr>
              <w:adjustRightInd w:val="0"/>
              <w:snapToGrid w:val="0"/>
              <w:jc w:val="center"/>
              <w:textAlignment w:val="center"/>
              <w:rPr>
                <w:rStyle w:val="288"/>
                <w:rFonts w:hAnsi="黑体" w:cstheme="minorEastAsia"/>
                <w:color w:val="auto"/>
                <w:sz w:val="28"/>
                <w:szCs w:val="28"/>
                <w:lang w:bidi="ar"/>
              </w:rPr>
            </w:pPr>
            <w:r>
              <w:rPr>
                <w:rStyle w:val="288"/>
                <w:rFonts w:hAnsi="黑体" w:cstheme="minorEastAsia"/>
                <w:color w:val="auto"/>
                <w:sz w:val="28"/>
                <w:szCs w:val="28"/>
                <w:lang w:bidi="ar"/>
              </w:rPr>
              <w:t>证明材</w:t>
            </w:r>
            <w:r>
              <w:rPr>
                <w:rStyle w:val="288"/>
                <w:rFonts w:hAnsi="黑体" w:cstheme="minorEastAsia"/>
                <w:color w:val="auto"/>
                <w:sz w:val="28"/>
                <w:szCs w:val="28"/>
                <w:lang w:bidi="ar"/>
              </w:rPr>
              <w:br w:type="textWrapping"/>
            </w:r>
            <w:r>
              <w:rPr>
                <w:rStyle w:val="288"/>
                <w:rFonts w:hAnsi="黑体" w:cstheme="minorEastAsia"/>
                <w:color w:val="auto"/>
                <w:sz w:val="28"/>
                <w:szCs w:val="28"/>
                <w:lang w:bidi="ar"/>
              </w:rPr>
              <w:t>料要求</w:t>
            </w:r>
          </w:p>
        </w:tc>
      </w:tr>
      <w:tr w14:paraId="398E0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20" w:type="dxa"/>
            <w:vAlign w:val="center"/>
          </w:tcPr>
          <w:p w14:paraId="492293DD">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4E8F539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w:t>
            </w:r>
          </w:p>
        </w:tc>
        <w:tc>
          <w:tcPr>
            <w:tcW w:w="1176" w:type="dxa"/>
            <w:vAlign w:val="center"/>
          </w:tcPr>
          <w:p w14:paraId="6B86743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202529D7">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*CPU规格</w:t>
            </w:r>
          </w:p>
        </w:tc>
        <w:tc>
          <w:tcPr>
            <w:tcW w:w="1508" w:type="dxa"/>
            <w:vAlign w:val="center"/>
          </w:tcPr>
          <w:p w14:paraId="4CC2D813">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*CPU信息</w:t>
            </w:r>
          </w:p>
        </w:tc>
        <w:tc>
          <w:tcPr>
            <w:tcW w:w="3852" w:type="dxa"/>
            <w:vAlign w:val="center"/>
          </w:tcPr>
          <w:p w14:paraId="69E828DE">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供应商给出CPU信息，包含CPU型号、物理核心数、主频、末级缓存容量、线程数、热设计功耗及内存的最高速率、通道数和位宽</w:t>
            </w:r>
          </w:p>
        </w:tc>
        <w:tc>
          <w:tcPr>
            <w:tcW w:w="607" w:type="dxa"/>
            <w:vAlign w:val="center"/>
          </w:tcPr>
          <w:p w14:paraId="0A74AFEF">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0C3B7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620" w:type="dxa"/>
            <w:vAlign w:val="center"/>
          </w:tcPr>
          <w:p w14:paraId="1940AC3F">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611C9D9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2</w:t>
            </w:r>
          </w:p>
        </w:tc>
        <w:tc>
          <w:tcPr>
            <w:tcW w:w="1176" w:type="dxa"/>
            <w:vAlign w:val="center"/>
          </w:tcPr>
          <w:p w14:paraId="21D6863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3DE8D0F0">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*内存规格</w:t>
            </w:r>
          </w:p>
        </w:tc>
        <w:tc>
          <w:tcPr>
            <w:tcW w:w="1508" w:type="dxa"/>
            <w:vAlign w:val="center"/>
          </w:tcPr>
          <w:p w14:paraId="27A46DEA">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*内存配置容量</w:t>
            </w:r>
          </w:p>
        </w:tc>
        <w:tc>
          <w:tcPr>
            <w:tcW w:w="3852" w:type="dxa"/>
            <w:vAlign w:val="center"/>
          </w:tcPr>
          <w:p w14:paraId="6A1984F8">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≥8GB</w:t>
            </w:r>
          </w:p>
        </w:tc>
        <w:tc>
          <w:tcPr>
            <w:tcW w:w="607" w:type="dxa"/>
            <w:vAlign w:val="center"/>
          </w:tcPr>
          <w:p w14:paraId="700F0B9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D1B9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20" w:type="dxa"/>
            <w:vAlign w:val="center"/>
          </w:tcPr>
          <w:p w14:paraId="610209E1">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2641E065">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3</w:t>
            </w:r>
          </w:p>
        </w:tc>
        <w:tc>
          <w:tcPr>
            <w:tcW w:w="1176" w:type="dxa"/>
            <w:vAlign w:val="center"/>
          </w:tcPr>
          <w:p w14:paraId="484A4C7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65657AC0">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*内存规格</w:t>
            </w:r>
          </w:p>
        </w:tc>
        <w:tc>
          <w:tcPr>
            <w:tcW w:w="1508" w:type="dxa"/>
            <w:vAlign w:val="center"/>
          </w:tcPr>
          <w:p w14:paraId="0123170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*内存类型</w:t>
            </w:r>
          </w:p>
        </w:tc>
        <w:tc>
          <w:tcPr>
            <w:tcW w:w="3852" w:type="dxa"/>
            <w:vAlign w:val="center"/>
          </w:tcPr>
          <w:p w14:paraId="3A383EDD">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DDR4</w:t>
            </w:r>
          </w:p>
        </w:tc>
        <w:tc>
          <w:tcPr>
            <w:tcW w:w="607" w:type="dxa"/>
            <w:vAlign w:val="center"/>
          </w:tcPr>
          <w:p w14:paraId="1AD088C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34E15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620" w:type="dxa"/>
            <w:vAlign w:val="center"/>
          </w:tcPr>
          <w:p w14:paraId="374BBCB0">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6F92784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4</w:t>
            </w:r>
          </w:p>
        </w:tc>
        <w:tc>
          <w:tcPr>
            <w:tcW w:w="1176" w:type="dxa"/>
            <w:vAlign w:val="center"/>
          </w:tcPr>
          <w:p w14:paraId="611D8C3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459A0CF3">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*内存规格</w:t>
            </w:r>
          </w:p>
        </w:tc>
        <w:tc>
          <w:tcPr>
            <w:tcW w:w="1508" w:type="dxa"/>
            <w:vAlign w:val="center"/>
          </w:tcPr>
          <w:p w14:paraId="41EFABBB">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*内存条配置数量（板载内存不涉及）</w:t>
            </w:r>
          </w:p>
        </w:tc>
        <w:tc>
          <w:tcPr>
            <w:tcW w:w="3852" w:type="dxa"/>
            <w:vAlign w:val="center"/>
          </w:tcPr>
          <w:p w14:paraId="229BFC87">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r>
              <w:rPr>
                <w:rFonts w:ascii="仿宋_GB2312" w:hAnsi="Arial" w:eastAsia="仿宋_GB2312" w:cs="Arial"/>
                <w:sz w:val="28"/>
                <w:szCs w:val="28"/>
                <w:lang w:eastAsia="zh-CN"/>
              </w:rPr>
              <w:t>1</w:t>
            </w:r>
          </w:p>
        </w:tc>
        <w:tc>
          <w:tcPr>
            <w:tcW w:w="607" w:type="dxa"/>
            <w:vAlign w:val="center"/>
          </w:tcPr>
          <w:p w14:paraId="5533877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C4C9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44847F62">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2A17BB4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5</w:t>
            </w:r>
          </w:p>
        </w:tc>
        <w:tc>
          <w:tcPr>
            <w:tcW w:w="1176" w:type="dxa"/>
            <w:vAlign w:val="center"/>
          </w:tcPr>
          <w:p w14:paraId="6B78631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047F44F4">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*主板规格</w:t>
            </w:r>
          </w:p>
        </w:tc>
        <w:tc>
          <w:tcPr>
            <w:tcW w:w="1508" w:type="dxa"/>
            <w:vAlign w:val="center"/>
          </w:tcPr>
          <w:p w14:paraId="2184EA08">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*主板集成模块</w:t>
            </w:r>
          </w:p>
        </w:tc>
        <w:tc>
          <w:tcPr>
            <w:tcW w:w="3852" w:type="dxa"/>
            <w:vAlign w:val="center"/>
          </w:tcPr>
          <w:p w14:paraId="031300E3">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集成资源扩展模块、计算处理模块、音频扩展模块等，主板的互联拓扑可通过处理器或交换电路实现</w:t>
            </w:r>
          </w:p>
        </w:tc>
        <w:tc>
          <w:tcPr>
            <w:tcW w:w="607" w:type="dxa"/>
            <w:vAlign w:val="center"/>
          </w:tcPr>
          <w:p w14:paraId="0B15BEF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3BE53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0258DED1">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2668AAA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6</w:t>
            </w:r>
          </w:p>
        </w:tc>
        <w:tc>
          <w:tcPr>
            <w:tcW w:w="1176" w:type="dxa"/>
            <w:vAlign w:val="center"/>
          </w:tcPr>
          <w:p w14:paraId="1867A16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5AA71FD7">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*主板规格</w:t>
            </w:r>
          </w:p>
        </w:tc>
        <w:tc>
          <w:tcPr>
            <w:tcW w:w="1508" w:type="dxa"/>
            <w:vAlign w:val="center"/>
          </w:tcPr>
          <w:p w14:paraId="587D62E1">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*主板支持的 CPU和内存情况</w:t>
            </w:r>
          </w:p>
        </w:tc>
        <w:tc>
          <w:tcPr>
            <w:tcW w:w="3852" w:type="dxa"/>
            <w:vAlign w:val="center"/>
          </w:tcPr>
          <w:p w14:paraId="5D474188">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供应商给出主板支持的CPU和内存型号和数量</w:t>
            </w:r>
          </w:p>
        </w:tc>
        <w:tc>
          <w:tcPr>
            <w:tcW w:w="607" w:type="dxa"/>
            <w:vAlign w:val="center"/>
          </w:tcPr>
          <w:p w14:paraId="11A9D88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36D68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0" w:type="dxa"/>
            <w:vAlign w:val="center"/>
          </w:tcPr>
          <w:p w14:paraId="63F080E6">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1C8DEDA5">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7</w:t>
            </w:r>
          </w:p>
        </w:tc>
        <w:tc>
          <w:tcPr>
            <w:tcW w:w="1176" w:type="dxa"/>
            <w:vAlign w:val="center"/>
          </w:tcPr>
          <w:p w14:paraId="0BE2909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0DD276F5">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*主板规格</w:t>
            </w:r>
          </w:p>
        </w:tc>
        <w:tc>
          <w:tcPr>
            <w:tcW w:w="1508" w:type="dxa"/>
            <w:vAlign w:val="center"/>
          </w:tcPr>
          <w:p w14:paraId="5E2A5704">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主板内置PCIe 插槽数量</w:t>
            </w:r>
          </w:p>
        </w:tc>
        <w:tc>
          <w:tcPr>
            <w:tcW w:w="3852" w:type="dxa"/>
            <w:vAlign w:val="center"/>
          </w:tcPr>
          <w:p w14:paraId="19590F45">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支持PCIe插槽数量不少于2个</w:t>
            </w:r>
          </w:p>
        </w:tc>
        <w:tc>
          <w:tcPr>
            <w:tcW w:w="607" w:type="dxa"/>
            <w:vAlign w:val="center"/>
          </w:tcPr>
          <w:p w14:paraId="08AB833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50C8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0" w:type="dxa"/>
            <w:vAlign w:val="center"/>
          </w:tcPr>
          <w:p w14:paraId="5EC62DB3">
            <w:pPr>
              <w:adjustRightInd w:val="0"/>
              <w:snapToGrid w:val="0"/>
              <w:jc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73D416B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8</w:t>
            </w:r>
          </w:p>
        </w:tc>
        <w:tc>
          <w:tcPr>
            <w:tcW w:w="1176" w:type="dxa"/>
            <w:vAlign w:val="center"/>
          </w:tcPr>
          <w:p w14:paraId="2A78AA3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72271FA6">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*主板规格</w:t>
            </w:r>
          </w:p>
        </w:tc>
        <w:tc>
          <w:tcPr>
            <w:tcW w:w="1508" w:type="dxa"/>
            <w:vAlign w:val="center"/>
          </w:tcPr>
          <w:p w14:paraId="61F6266D">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特殊孔位及接口</w:t>
            </w:r>
          </w:p>
        </w:tc>
        <w:tc>
          <w:tcPr>
            <w:tcW w:w="3852" w:type="dxa"/>
            <w:vAlign w:val="center"/>
          </w:tcPr>
          <w:p w14:paraId="3B2D1F01">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4D0B496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B045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620" w:type="dxa"/>
            <w:vAlign w:val="center"/>
          </w:tcPr>
          <w:p w14:paraId="0CEA09A1">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09802C7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9</w:t>
            </w:r>
          </w:p>
        </w:tc>
        <w:tc>
          <w:tcPr>
            <w:tcW w:w="1176" w:type="dxa"/>
            <w:vAlign w:val="center"/>
          </w:tcPr>
          <w:p w14:paraId="1535EBC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50A30D61">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*主板规格</w:t>
            </w:r>
          </w:p>
        </w:tc>
        <w:tc>
          <w:tcPr>
            <w:tcW w:w="1508" w:type="dxa"/>
            <w:vAlign w:val="center"/>
          </w:tcPr>
          <w:p w14:paraId="1A452525">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*主板其他内置接口</w:t>
            </w:r>
          </w:p>
        </w:tc>
        <w:tc>
          <w:tcPr>
            <w:tcW w:w="3852" w:type="dxa"/>
            <w:vAlign w:val="center"/>
          </w:tcPr>
          <w:p w14:paraId="69AECD49">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供应商给出相关SATA、M.2、USB接口数量及占用状态</w:t>
            </w:r>
          </w:p>
        </w:tc>
        <w:tc>
          <w:tcPr>
            <w:tcW w:w="607" w:type="dxa"/>
            <w:vAlign w:val="center"/>
          </w:tcPr>
          <w:p w14:paraId="7206695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A41C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 w:hRule="atLeast"/>
          <w:jc w:val="center"/>
        </w:trPr>
        <w:tc>
          <w:tcPr>
            <w:tcW w:w="620" w:type="dxa"/>
            <w:vAlign w:val="center"/>
          </w:tcPr>
          <w:p w14:paraId="6F9212BF">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51E62325">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10</w:t>
            </w:r>
          </w:p>
        </w:tc>
        <w:tc>
          <w:tcPr>
            <w:tcW w:w="1176" w:type="dxa"/>
            <w:vAlign w:val="center"/>
          </w:tcPr>
          <w:p w14:paraId="04DF22B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7F43FCB4">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*主板规格</w:t>
            </w:r>
          </w:p>
        </w:tc>
        <w:tc>
          <w:tcPr>
            <w:tcW w:w="1508" w:type="dxa"/>
            <w:vAlign w:val="center"/>
          </w:tcPr>
          <w:p w14:paraId="6E427C00">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*单内存插槽最大可支持容量（板载内存不涉及）</w:t>
            </w:r>
          </w:p>
        </w:tc>
        <w:tc>
          <w:tcPr>
            <w:tcW w:w="3852" w:type="dxa"/>
            <w:vAlign w:val="center"/>
          </w:tcPr>
          <w:p w14:paraId="079BFA86">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≥32GB</w:t>
            </w:r>
          </w:p>
        </w:tc>
        <w:tc>
          <w:tcPr>
            <w:tcW w:w="607" w:type="dxa"/>
            <w:vAlign w:val="center"/>
          </w:tcPr>
          <w:p w14:paraId="05E6972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1B42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620" w:type="dxa"/>
            <w:vAlign w:val="center"/>
          </w:tcPr>
          <w:p w14:paraId="488A92A7">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0728F65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11</w:t>
            </w:r>
          </w:p>
        </w:tc>
        <w:tc>
          <w:tcPr>
            <w:tcW w:w="1176" w:type="dxa"/>
            <w:vAlign w:val="center"/>
          </w:tcPr>
          <w:p w14:paraId="497F7A7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3A8A01AB">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*主板规格</w:t>
            </w:r>
          </w:p>
        </w:tc>
        <w:tc>
          <w:tcPr>
            <w:tcW w:w="1508" w:type="dxa"/>
            <w:vAlign w:val="center"/>
          </w:tcPr>
          <w:p w14:paraId="5B6EE02D">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*内存插槽满配时提供的最高内存总容量</w:t>
            </w:r>
          </w:p>
        </w:tc>
        <w:tc>
          <w:tcPr>
            <w:tcW w:w="3852" w:type="dxa"/>
            <w:vAlign w:val="center"/>
          </w:tcPr>
          <w:p w14:paraId="479AFD22">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r>
              <w:rPr>
                <w:rFonts w:ascii="仿宋_GB2312" w:hAnsi="Arial" w:eastAsia="仿宋_GB2312" w:cs="Arial"/>
                <w:sz w:val="28"/>
                <w:szCs w:val="28"/>
                <w:lang w:eastAsia="zh-CN"/>
              </w:rPr>
              <w:t>32</w:t>
            </w:r>
            <w:r>
              <w:rPr>
                <w:rFonts w:ascii="仿宋_GB2312" w:hAnsi="Arial" w:eastAsia="仿宋_GB2312" w:cs="Arial"/>
                <w:sz w:val="28"/>
                <w:szCs w:val="28"/>
              </w:rPr>
              <w:t>GB</w:t>
            </w:r>
          </w:p>
        </w:tc>
        <w:tc>
          <w:tcPr>
            <w:tcW w:w="607" w:type="dxa"/>
            <w:vAlign w:val="center"/>
          </w:tcPr>
          <w:p w14:paraId="1FEDD29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77CD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775641EB">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432BC43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12</w:t>
            </w:r>
          </w:p>
        </w:tc>
        <w:tc>
          <w:tcPr>
            <w:tcW w:w="1176" w:type="dxa"/>
            <w:vAlign w:val="center"/>
          </w:tcPr>
          <w:p w14:paraId="0114504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0358476E">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*存储设备规格</w:t>
            </w:r>
          </w:p>
        </w:tc>
        <w:tc>
          <w:tcPr>
            <w:tcW w:w="1508" w:type="dxa"/>
            <w:vAlign w:val="center"/>
          </w:tcPr>
          <w:p w14:paraId="6CB8EAB3">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*固态盘数量</w:t>
            </w:r>
          </w:p>
        </w:tc>
        <w:tc>
          <w:tcPr>
            <w:tcW w:w="3852" w:type="dxa"/>
            <w:vAlign w:val="center"/>
          </w:tcPr>
          <w:p w14:paraId="0D10D305">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≥1个</w:t>
            </w:r>
          </w:p>
        </w:tc>
        <w:tc>
          <w:tcPr>
            <w:tcW w:w="607" w:type="dxa"/>
            <w:vAlign w:val="center"/>
          </w:tcPr>
          <w:p w14:paraId="597C0FF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36069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5AAE7BD9">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72D21B15">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13</w:t>
            </w:r>
          </w:p>
        </w:tc>
        <w:tc>
          <w:tcPr>
            <w:tcW w:w="1176" w:type="dxa"/>
            <w:vAlign w:val="center"/>
          </w:tcPr>
          <w:p w14:paraId="0165DA0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3B694F6D">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*存储设备规格</w:t>
            </w:r>
          </w:p>
        </w:tc>
        <w:tc>
          <w:tcPr>
            <w:tcW w:w="1508" w:type="dxa"/>
            <w:vAlign w:val="center"/>
          </w:tcPr>
          <w:p w14:paraId="5218D420">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*固态存储容量</w:t>
            </w:r>
          </w:p>
        </w:tc>
        <w:tc>
          <w:tcPr>
            <w:tcW w:w="3852" w:type="dxa"/>
            <w:vAlign w:val="center"/>
          </w:tcPr>
          <w:p w14:paraId="1D8EB887">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≥512GB</w:t>
            </w:r>
          </w:p>
        </w:tc>
        <w:tc>
          <w:tcPr>
            <w:tcW w:w="607" w:type="dxa"/>
            <w:vAlign w:val="center"/>
          </w:tcPr>
          <w:p w14:paraId="0749D1E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1294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65B7BAE">
            <w:pPr>
              <w:adjustRightInd w:val="0"/>
              <w:snapToGrid w:val="0"/>
              <w:jc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6EA4A30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14</w:t>
            </w:r>
          </w:p>
        </w:tc>
        <w:tc>
          <w:tcPr>
            <w:tcW w:w="1176" w:type="dxa"/>
            <w:vAlign w:val="center"/>
          </w:tcPr>
          <w:p w14:paraId="3D0EC45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7A9023FC">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*存储设备规格</w:t>
            </w:r>
          </w:p>
        </w:tc>
        <w:tc>
          <w:tcPr>
            <w:tcW w:w="1508" w:type="dxa"/>
            <w:vAlign w:val="center"/>
          </w:tcPr>
          <w:p w14:paraId="06C17296">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*机械硬盘数量</w:t>
            </w:r>
          </w:p>
        </w:tc>
        <w:tc>
          <w:tcPr>
            <w:tcW w:w="3852" w:type="dxa"/>
            <w:vAlign w:val="center"/>
          </w:tcPr>
          <w:p w14:paraId="465597AB">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5CA8574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EBDF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68C9B2A1">
            <w:pPr>
              <w:adjustRightInd w:val="0"/>
              <w:snapToGrid w:val="0"/>
              <w:jc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1CD6CAB1">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15</w:t>
            </w:r>
          </w:p>
        </w:tc>
        <w:tc>
          <w:tcPr>
            <w:tcW w:w="1176" w:type="dxa"/>
            <w:vAlign w:val="center"/>
          </w:tcPr>
          <w:p w14:paraId="772AB9F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3D2D5ED9">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*存储设备规格</w:t>
            </w:r>
          </w:p>
        </w:tc>
        <w:tc>
          <w:tcPr>
            <w:tcW w:w="1508" w:type="dxa"/>
            <w:vAlign w:val="center"/>
          </w:tcPr>
          <w:p w14:paraId="109C7923">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*机械硬盘总容量</w:t>
            </w:r>
          </w:p>
        </w:tc>
        <w:tc>
          <w:tcPr>
            <w:tcW w:w="3852" w:type="dxa"/>
            <w:vAlign w:val="center"/>
          </w:tcPr>
          <w:p w14:paraId="5DDFE012">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70A400C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2B6C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83C4472">
            <w:pPr>
              <w:adjustRightInd w:val="0"/>
              <w:snapToGrid w:val="0"/>
              <w:jc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7B1A986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16</w:t>
            </w:r>
          </w:p>
        </w:tc>
        <w:tc>
          <w:tcPr>
            <w:tcW w:w="1176" w:type="dxa"/>
            <w:vAlign w:val="center"/>
          </w:tcPr>
          <w:p w14:paraId="4654F90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44E2BDD6">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*存储设备规格</w:t>
            </w:r>
          </w:p>
        </w:tc>
        <w:tc>
          <w:tcPr>
            <w:tcW w:w="1508" w:type="dxa"/>
            <w:vAlign w:val="center"/>
          </w:tcPr>
          <w:p w14:paraId="4999A657">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*机械硬盘转速</w:t>
            </w:r>
          </w:p>
        </w:tc>
        <w:tc>
          <w:tcPr>
            <w:tcW w:w="3852" w:type="dxa"/>
            <w:vAlign w:val="center"/>
          </w:tcPr>
          <w:p w14:paraId="268F2B27">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5D773EF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CD42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7985F1CB">
            <w:pPr>
              <w:adjustRightInd w:val="0"/>
              <w:snapToGrid w:val="0"/>
              <w:jc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2299DFC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17</w:t>
            </w:r>
          </w:p>
        </w:tc>
        <w:tc>
          <w:tcPr>
            <w:tcW w:w="1176" w:type="dxa"/>
            <w:vAlign w:val="center"/>
          </w:tcPr>
          <w:p w14:paraId="042A7F7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6D694F46">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*存储设备规格</w:t>
            </w:r>
          </w:p>
        </w:tc>
        <w:tc>
          <w:tcPr>
            <w:tcW w:w="1508" w:type="dxa"/>
            <w:vAlign w:val="center"/>
          </w:tcPr>
          <w:p w14:paraId="7C13161B">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机械硬盘接口协议</w:t>
            </w:r>
          </w:p>
        </w:tc>
        <w:tc>
          <w:tcPr>
            <w:tcW w:w="3852" w:type="dxa"/>
            <w:vAlign w:val="center"/>
          </w:tcPr>
          <w:p w14:paraId="0343F662">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614FC8B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65B0E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00F9316F">
            <w:pPr>
              <w:adjustRightInd w:val="0"/>
              <w:snapToGrid w:val="0"/>
              <w:jc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72EA0DF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18</w:t>
            </w:r>
          </w:p>
        </w:tc>
        <w:tc>
          <w:tcPr>
            <w:tcW w:w="1176" w:type="dxa"/>
            <w:vAlign w:val="center"/>
          </w:tcPr>
          <w:p w14:paraId="1826C81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22D746C4">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*存储设备规格</w:t>
            </w:r>
          </w:p>
        </w:tc>
        <w:tc>
          <w:tcPr>
            <w:tcW w:w="1508" w:type="dxa"/>
            <w:vAlign w:val="center"/>
          </w:tcPr>
          <w:p w14:paraId="37C2A552">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*机械硬盘形态</w:t>
            </w:r>
          </w:p>
        </w:tc>
        <w:tc>
          <w:tcPr>
            <w:tcW w:w="3852" w:type="dxa"/>
            <w:vAlign w:val="center"/>
          </w:tcPr>
          <w:p w14:paraId="414D05A5">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42DE500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652E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4DE0C231">
            <w:pPr>
              <w:adjustRightInd w:val="0"/>
              <w:snapToGrid w:val="0"/>
              <w:jc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4286AB5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19</w:t>
            </w:r>
          </w:p>
        </w:tc>
        <w:tc>
          <w:tcPr>
            <w:tcW w:w="1176" w:type="dxa"/>
            <w:vAlign w:val="center"/>
          </w:tcPr>
          <w:p w14:paraId="436804C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088BBD15">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*存储设备规格</w:t>
            </w:r>
          </w:p>
        </w:tc>
        <w:tc>
          <w:tcPr>
            <w:tcW w:w="1508" w:type="dxa"/>
            <w:vAlign w:val="center"/>
          </w:tcPr>
          <w:p w14:paraId="73E174FD">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固态存储接口协议</w:t>
            </w:r>
          </w:p>
        </w:tc>
        <w:tc>
          <w:tcPr>
            <w:tcW w:w="3852" w:type="dxa"/>
            <w:vAlign w:val="center"/>
          </w:tcPr>
          <w:p w14:paraId="2B520E1D">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05F4404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4C46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5FB940F">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0F6BCF9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20</w:t>
            </w:r>
          </w:p>
        </w:tc>
        <w:tc>
          <w:tcPr>
            <w:tcW w:w="1176" w:type="dxa"/>
            <w:vAlign w:val="center"/>
          </w:tcPr>
          <w:p w14:paraId="3607293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4BC53BFC">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*存储设备规格</w:t>
            </w:r>
          </w:p>
        </w:tc>
        <w:tc>
          <w:tcPr>
            <w:tcW w:w="1508" w:type="dxa"/>
            <w:vAlign w:val="center"/>
          </w:tcPr>
          <w:p w14:paraId="689B08F0">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*固态存储形态</w:t>
            </w:r>
          </w:p>
        </w:tc>
        <w:tc>
          <w:tcPr>
            <w:tcW w:w="3852" w:type="dxa"/>
            <w:vAlign w:val="center"/>
          </w:tcPr>
          <w:p w14:paraId="1EB2C997">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PCIe NVMe M.2 存储</w:t>
            </w:r>
          </w:p>
        </w:tc>
        <w:tc>
          <w:tcPr>
            <w:tcW w:w="607" w:type="dxa"/>
            <w:vAlign w:val="center"/>
          </w:tcPr>
          <w:p w14:paraId="4BEC56A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E0EA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DDE8D8C">
            <w:pPr>
              <w:adjustRightInd w:val="0"/>
              <w:snapToGrid w:val="0"/>
              <w:jc w:val="center"/>
              <w:textAlignment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1DE91AF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21</w:t>
            </w:r>
          </w:p>
        </w:tc>
        <w:tc>
          <w:tcPr>
            <w:tcW w:w="1176" w:type="dxa"/>
            <w:vAlign w:val="center"/>
          </w:tcPr>
          <w:p w14:paraId="12BC26D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5729AC10">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*存储设备规格</w:t>
            </w:r>
          </w:p>
        </w:tc>
        <w:tc>
          <w:tcPr>
            <w:tcW w:w="1508" w:type="dxa"/>
            <w:vAlign w:val="center"/>
          </w:tcPr>
          <w:p w14:paraId="74BACBFC">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存储设备扩展盘位</w:t>
            </w:r>
          </w:p>
        </w:tc>
        <w:tc>
          <w:tcPr>
            <w:tcW w:w="3852" w:type="dxa"/>
            <w:vAlign w:val="center"/>
          </w:tcPr>
          <w:p w14:paraId="3D306B26">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058B5A2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776A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239F197B">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Segoe UI Symbol" w:hAnsi="Segoe UI Symbol" w:cs="Arial"/>
                <w:sz w:val="28"/>
                <w:szCs w:val="28"/>
              </w:rPr>
              <w:t>★</w:t>
            </w:r>
          </w:p>
        </w:tc>
        <w:tc>
          <w:tcPr>
            <w:tcW w:w="598" w:type="dxa"/>
            <w:vAlign w:val="center"/>
          </w:tcPr>
          <w:p w14:paraId="29A14C3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22</w:t>
            </w:r>
          </w:p>
        </w:tc>
        <w:tc>
          <w:tcPr>
            <w:tcW w:w="1176" w:type="dxa"/>
            <w:vAlign w:val="center"/>
          </w:tcPr>
          <w:p w14:paraId="2BF5AD3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0B035C58">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*存储设备规格</w:t>
            </w:r>
          </w:p>
        </w:tc>
        <w:tc>
          <w:tcPr>
            <w:tcW w:w="1508" w:type="dxa"/>
            <w:vAlign w:val="center"/>
          </w:tcPr>
          <w:p w14:paraId="1AFA6062">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*存储设备其他参数要求</w:t>
            </w:r>
          </w:p>
        </w:tc>
        <w:tc>
          <w:tcPr>
            <w:tcW w:w="3852" w:type="dxa"/>
            <w:vAlign w:val="center"/>
          </w:tcPr>
          <w:p w14:paraId="12503CDD">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固态盘应符合SJ/T11654相关规定；</w:t>
            </w:r>
          </w:p>
        </w:tc>
        <w:tc>
          <w:tcPr>
            <w:tcW w:w="607" w:type="dxa"/>
            <w:vAlign w:val="center"/>
          </w:tcPr>
          <w:p w14:paraId="2B3B92A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00D8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0DE42A2A">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05324A6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23</w:t>
            </w:r>
          </w:p>
        </w:tc>
        <w:tc>
          <w:tcPr>
            <w:tcW w:w="1176" w:type="dxa"/>
            <w:vAlign w:val="center"/>
          </w:tcPr>
          <w:p w14:paraId="755D0D4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0DD38862">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*显卡规格</w:t>
            </w:r>
          </w:p>
        </w:tc>
        <w:tc>
          <w:tcPr>
            <w:tcW w:w="1508" w:type="dxa"/>
            <w:vAlign w:val="center"/>
          </w:tcPr>
          <w:p w14:paraId="0723C995">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*显卡类型</w:t>
            </w:r>
          </w:p>
        </w:tc>
        <w:tc>
          <w:tcPr>
            <w:tcW w:w="3852" w:type="dxa"/>
            <w:vAlign w:val="center"/>
          </w:tcPr>
          <w:p w14:paraId="02F91287">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集成显卡</w:t>
            </w:r>
          </w:p>
        </w:tc>
        <w:tc>
          <w:tcPr>
            <w:tcW w:w="607" w:type="dxa"/>
            <w:vAlign w:val="center"/>
          </w:tcPr>
          <w:p w14:paraId="28487DC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A20F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233169A7">
            <w:pPr>
              <w:adjustRightInd w:val="0"/>
              <w:snapToGrid w:val="0"/>
              <w:jc w:val="center"/>
              <w:textAlignment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39AEE4B1">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24</w:t>
            </w:r>
          </w:p>
        </w:tc>
        <w:tc>
          <w:tcPr>
            <w:tcW w:w="1176" w:type="dxa"/>
            <w:vAlign w:val="center"/>
          </w:tcPr>
          <w:p w14:paraId="0588242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52E0D64C">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*显卡规格</w:t>
            </w:r>
          </w:p>
        </w:tc>
        <w:tc>
          <w:tcPr>
            <w:tcW w:w="1508" w:type="dxa"/>
            <w:vAlign w:val="center"/>
          </w:tcPr>
          <w:p w14:paraId="1689F66E">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*独立显卡显存类型</w:t>
            </w:r>
          </w:p>
        </w:tc>
        <w:tc>
          <w:tcPr>
            <w:tcW w:w="3852" w:type="dxa"/>
            <w:vAlign w:val="center"/>
          </w:tcPr>
          <w:p w14:paraId="45BFA51D">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642E2A7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395A5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EED7EDD">
            <w:pPr>
              <w:adjustRightInd w:val="0"/>
              <w:snapToGrid w:val="0"/>
              <w:jc w:val="center"/>
              <w:textAlignment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3828AFBD">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25</w:t>
            </w:r>
          </w:p>
        </w:tc>
        <w:tc>
          <w:tcPr>
            <w:tcW w:w="1176" w:type="dxa"/>
            <w:vAlign w:val="center"/>
          </w:tcPr>
          <w:p w14:paraId="0BEABC2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474008F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*显卡规格</w:t>
            </w:r>
          </w:p>
        </w:tc>
        <w:tc>
          <w:tcPr>
            <w:tcW w:w="1508" w:type="dxa"/>
            <w:vAlign w:val="center"/>
          </w:tcPr>
          <w:p w14:paraId="7EA5CB4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*独立显卡显存位宽</w:t>
            </w:r>
          </w:p>
        </w:tc>
        <w:tc>
          <w:tcPr>
            <w:tcW w:w="3852" w:type="dxa"/>
            <w:vAlign w:val="center"/>
          </w:tcPr>
          <w:p w14:paraId="3974DFFA">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53C14AA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62BA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5A785EAF">
            <w:pPr>
              <w:adjustRightInd w:val="0"/>
              <w:snapToGrid w:val="0"/>
              <w:jc w:val="center"/>
              <w:textAlignment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56D54D91">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26</w:t>
            </w:r>
          </w:p>
        </w:tc>
        <w:tc>
          <w:tcPr>
            <w:tcW w:w="1176" w:type="dxa"/>
            <w:vAlign w:val="center"/>
          </w:tcPr>
          <w:p w14:paraId="500DA66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36B527B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*显卡规格</w:t>
            </w:r>
          </w:p>
        </w:tc>
        <w:tc>
          <w:tcPr>
            <w:tcW w:w="1508" w:type="dxa"/>
            <w:vAlign w:val="center"/>
          </w:tcPr>
          <w:p w14:paraId="5EC0713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*独立显卡显存容量</w:t>
            </w:r>
          </w:p>
        </w:tc>
        <w:tc>
          <w:tcPr>
            <w:tcW w:w="3852" w:type="dxa"/>
            <w:vAlign w:val="center"/>
          </w:tcPr>
          <w:p w14:paraId="17C42280">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5A6C41F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B60F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549E4D6A">
            <w:pPr>
              <w:adjustRightInd w:val="0"/>
              <w:snapToGrid w:val="0"/>
              <w:jc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580CC7B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27</w:t>
            </w:r>
          </w:p>
        </w:tc>
        <w:tc>
          <w:tcPr>
            <w:tcW w:w="1176" w:type="dxa"/>
            <w:vAlign w:val="center"/>
          </w:tcPr>
          <w:p w14:paraId="7D56295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6D7BFBF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*显卡规格</w:t>
            </w:r>
          </w:p>
        </w:tc>
        <w:tc>
          <w:tcPr>
            <w:tcW w:w="1508" w:type="dxa"/>
            <w:vAlign w:val="center"/>
          </w:tcPr>
          <w:p w14:paraId="487E102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独立显卡接口协议</w:t>
            </w:r>
          </w:p>
        </w:tc>
        <w:tc>
          <w:tcPr>
            <w:tcW w:w="3852" w:type="dxa"/>
            <w:vAlign w:val="center"/>
          </w:tcPr>
          <w:p w14:paraId="273F0894">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3838F02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6E1AF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530001CF">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4252330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28</w:t>
            </w:r>
          </w:p>
        </w:tc>
        <w:tc>
          <w:tcPr>
            <w:tcW w:w="1176" w:type="dxa"/>
            <w:vAlign w:val="center"/>
          </w:tcPr>
          <w:p w14:paraId="667D2CD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6B2D6FD8">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*显示设备规格</w:t>
            </w:r>
          </w:p>
        </w:tc>
        <w:tc>
          <w:tcPr>
            <w:tcW w:w="1508" w:type="dxa"/>
            <w:vAlign w:val="center"/>
          </w:tcPr>
          <w:p w14:paraId="49289F77">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*显示屏屏占比</w:t>
            </w:r>
          </w:p>
        </w:tc>
        <w:tc>
          <w:tcPr>
            <w:tcW w:w="3852" w:type="dxa"/>
            <w:vAlign w:val="center"/>
          </w:tcPr>
          <w:p w14:paraId="367A6495">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≥80%</w:t>
            </w:r>
          </w:p>
        </w:tc>
        <w:tc>
          <w:tcPr>
            <w:tcW w:w="607" w:type="dxa"/>
            <w:vAlign w:val="center"/>
          </w:tcPr>
          <w:p w14:paraId="1071857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B04E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1ADD2175">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Segoe UI Symbol" w:hAnsi="Segoe UI Symbol" w:cs="Arial"/>
                <w:sz w:val="28"/>
                <w:szCs w:val="28"/>
              </w:rPr>
              <w:t>★</w:t>
            </w:r>
          </w:p>
        </w:tc>
        <w:tc>
          <w:tcPr>
            <w:tcW w:w="598" w:type="dxa"/>
            <w:vAlign w:val="center"/>
          </w:tcPr>
          <w:p w14:paraId="30593EFA">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29</w:t>
            </w:r>
          </w:p>
        </w:tc>
        <w:tc>
          <w:tcPr>
            <w:tcW w:w="1176" w:type="dxa"/>
            <w:vAlign w:val="center"/>
          </w:tcPr>
          <w:p w14:paraId="6AD1BC8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0B39B034">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*显示设备规格</w:t>
            </w:r>
          </w:p>
        </w:tc>
        <w:tc>
          <w:tcPr>
            <w:tcW w:w="1508" w:type="dxa"/>
            <w:vAlign w:val="center"/>
          </w:tcPr>
          <w:p w14:paraId="3F2980CD">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*显示屏分辨率</w:t>
            </w:r>
          </w:p>
        </w:tc>
        <w:tc>
          <w:tcPr>
            <w:tcW w:w="3852" w:type="dxa"/>
            <w:vAlign w:val="center"/>
          </w:tcPr>
          <w:p w14:paraId="363EFE02">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≥1920x1080</w:t>
            </w:r>
          </w:p>
        </w:tc>
        <w:tc>
          <w:tcPr>
            <w:tcW w:w="607" w:type="dxa"/>
            <w:vAlign w:val="center"/>
          </w:tcPr>
          <w:p w14:paraId="29A35BC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61D4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05DE3038">
            <w:pPr>
              <w:adjustRightInd w:val="0"/>
              <w:snapToGrid w:val="0"/>
              <w:jc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37EC751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30</w:t>
            </w:r>
          </w:p>
        </w:tc>
        <w:tc>
          <w:tcPr>
            <w:tcW w:w="1176" w:type="dxa"/>
            <w:vAlign w:val="center"/>
          </w:tcPr>
          <w:p w14:paraId="0554B54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1DBBD218">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规格</w:t>
            </w:r>
          </w:p>
        </w:tc>
        <w:tc>
          <w:tcPr>
            <w:tcW w:w="1508" w:type="dxa"/>
            <w:vAlign w:val="center"/>
          </w:tcPr>
          <w:p w14:paraId="4977A003">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显示屏像素密度</w:t>
            </w:r>
          </w:p>
        </w:tc>
        <w:tc>
          <w:tcPr>
            <w:tcW w:w="3852" w:type="dxa"/>
            <w:vAlign w:val="center"/>
          </w:tcPr>
          <w:p w14:paraId="0D425CE6">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45F293C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64AB7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2BF240DC">
            <w:pPr>
              <w:adjustRightInd w:val="0"/>
              <w:snapToGrid w:val="0"/>
              <w:jc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07AEF60B">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31</w:t>
            </w:r>
          </w:p>
        </w:tc>
        <w:tc>
          <w:tcPr>
            <w:tcW w:w="1176" w:type="dxa"/>
            <w:vAlign w:val="center"/>
          </w:tcPr>
          <w:p w14:paraId="5E21A75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4C1E6A6F">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*显示设备规格</w:t>
            </w:r>
          </w:p>
        </w:tc>
        <w:tc>
          <w:tcPr>
            <w:tcW w:w="1508" w:type="dxa"/>
            <w:vAlign w:val="center"/>
          </w:tcPr>
          <w:p w14:paraId="45E60163">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显示屏可视角度</w:t>
            </w:r>
          </w:p>
        </w:tc>
        <w:tc>
          <w:tcPr>
            <w:tcW w:w="3852" w:type="dxa"/>
            <w:vAlign w:val="center"/>
          </w:tcPr>
          <w:p w14:paraId="23CFFD5F">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7D37E72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374A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219FE1EE">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0DAB36BD">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32</w:t>
            </w:r>
          </w:p>
        </w:tc>
        <w:tc>
          <w:tcPr>
            <w:tcW w:w="1176" w:type="dxa"/>
            <w:vAlign w:val="center"/>
          </w:tcPr>
          <w:p w14:paraId="7C5FAAE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7D2B58BE">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*显示设备规格</w:t>
            </w:r>
          </w:p>
        </w:tc>
        <w:tc>
          <w:tcPr>
            <w:tcW w:w="1508" w:type="dxa"/>
            <w:vAlign w:val="center"/>
          </w:tcPr>
          <w:p w14:paraId="02F87D85">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*显示屏尺寸</w:t>
            </w:r>
          </w:p>
        </w:tc>
        <w:tc>
          <w:tcPr>
            <w:tcW w:w="3852" w:type="dxa"/>
            <w:vAlign w:val="center"/>
          </w:tcPr>
          <w:p w14:paraId="11F3FA9C">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≥23英寸</w:t>
            </w:r>
          </w:p>
        </w:tc>
        <w:tc>
          <w:tcPr>
            <w:tcW w:w="607" w:type="dxa"/>
            <w:vAlign w:val="center"/>
          </w:tcPr>
          <w:p w14:paraId="57E1FB5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0FC0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7CBFD610">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6684102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33</w:t>
            </w:r>
          </w:p>
        </w:tc>
        <w:tc>
          <w:tcPr>
            <w:tcW w:w="1176" w:type="dxa"/>
            <w:vAlign w:val="center"/>
          </w:tcPr>
          <w:p w14:paraId="736CC18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2E49EABB">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*显示设备规格</w:t>
            </w:r>
          </w:p>
        </w:tc>
        <w:tc>
          <w:tcPr>
            <w:tcW w:w="1508" w:type="dxa"/>
            <w:vAlign w:val="center"/>
          </w:tcPr>
          <w:p w14:paraId="64BEDDE0">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*显示屏屏幕比例</w:t>
            </w:r>
          </w:p>
        </w:tc>
        <w:tc>
          <w:tcPr>
            <w:tcW w:w="3852" w:type="dxa"/>
            <w:vAlign w:val="center"/>
          </w:tcPr>
          <w:p w14:paraId="0952C155">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16:9</w:t>
            </w:r>
          </w:p>
        </w:tc>
        <w:tc>
          <w:tcPr>
            <w:tcW w:w="607" w:type="dxa"/>
            <w:vAlign w:val="center"/>
          </w:tcPr>
          <w:p w14:paraId="46CF7D0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4BA5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00158C2A">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55AECA2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34</w:t>
            </w:r>
          </w:p>
        </w:tc>
        <w:tc>
          <w:tcPr>
            <w:tcW w:w="1176" w:type="dxa"/>
            <w:vAlign w:val="center"/>
          </w:tcPr>
          <w:p w14:paraId="2D8EEC8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5F15BA48">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*显示设备规格</w:t>
            </w:r>
          </w:p>
        </w:tc>
        <w:tc>
          <w:tcPr>
            <w:tcW w:w="1508" w:type="dxa"/>
            <w:vAlign w:val="center"/>
          </w:tcPr>
          <w:p w14:paraId="5F984CEC">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*显示器外观颜色</w:t>
            </w:r>
          </w:p>
        </w:tc>
        <w:tc>
          <w:tcPr>
            <w:tcW w:w="3852" w:type="dxa"/>
            <w:vAlign w:val="center"/>
          </w:tcPr>
          <w:p w14:paraId="70CBE1BB">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黑色</w:t>
            </w:r>
          </w:p>
        </w:tc>
        <w:tc>
          <w:tcPr>
            <w:tcW w:w="607" w:type="dxa"/>
            <w:vAlign w:val="center"/>
          </w:tcPr>
          <w:p w14:paraId="589FC7A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00B3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7CF64BA9">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0FC1995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35</w:t>
            </w:r>
          </w:p>
        </w:tc>
        <w:tc>
          <w:tcPr>
            <w:tcW w:w="1176" w:type="dxa"/>
            <w:vAlign w:val="center"/>
          </w:tcPr>
          <w:p w14:paraId="11247DB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3FF6B609">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*显示设备规格</w:t>
            </w:r>
          </w:p>
        </w:tc>
        <w:tc>
          <w:tcPr>
            <w:tcW w:w="1508" w:type="dxa"/>
            <w:vAlign w:val="center"/>
          </w:tcPr>
          <w:p w14:paraId="76B23CBA">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*显示屏防蓝光</w:t>
            </w:r>
          </w:p>
        </w:tc>
        <w:tc>
          <w:tcPr>
            <w:tcW w:w="3852" w:type="dxa"/>
            <w:vAlign w:val="center"/>
          </w:tcPr>
          <w:p w14:paraId="2ED09406">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支持防蓝光模式，蓝光加权辐射亮度比应≤0.0012W/(·cd·sr)（瓦每坎特拉每球面度）</w:t>
            </w:r>
          </w:p>
        </w:tc>
        <w:tc>
          <w:tcPr>
            <w:tcW w:w="607" w:type="dxa"/>
            <w:vAlign w:val="center"/>
          </w:tcPr>
          <w:p w14:paraId="12CB65C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63F7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69B2C9F8">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0AFB25C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36</w:t>
            </w:r>
          </w:p>
        </w:tc>
        <w:tc>
          <w:tcPr>
            <w:tcW w:w="1176" w:type="dxa"/>
            <w:vAlign w:val="center"/>
          </w:tcPr>
          <w:p w14:paraId="5FE538B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77BD436E">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*显示设备规格</w:t>
            </w:r>
          </w:p>
        </w:tc>
        <w:tc>
          <w:tcPr>
            <w:tcW w:w="1508" w:type="dxa"/>
            <w:vAlign w:val="center"/>
          </w:tcPr>
          <w:p w14:paraId="32D0BE56">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*显示屏低频闪</w:t>
            </w:r>
          </w:p>
        </w:tc>
        <w:tc>
          <w:tcPr>
            <w:tcW w:w="3852" w:type="dxa"/>
            <w:vAlign w:val="center"/>
          </w:tcPr>
          <w:p w14:paraId="0D22A7F6">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显示屏应支持低频闪≤-35dB</w:t>
            </w:r>
          </w:p>
        </w:tc>
        <w:tc>
          <w:tcPr>
            <w:tcW w:w="607" w:type="dxa"/>
            <w:vAlign w:val="center"/>
          </w:tcPr>
          <w:p w14:paraId="05923D1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7F14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5CA9099C">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5BE27A4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37</w:t>
            </w:r>
          </w:p>
        </w:tc>
        <w:tc>
          <w:tcPr>
            <w:tcW w:w="1176" w:type="dxa"/>
            <w:vAlign w:val="center"/>
          </w:tcPr>
          <w:p w14:paraId="1A795F5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3D4A6D62">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*显示设备规格</w:t>
            </w:r>
          </w:p>
        </w:tc>
        <w:tc>
          <w:tcPr>
            <w:tcW w:w="1508" w:type="dxa"/>
            <w:vAlign w:val="center"/>
          </w:tcPr>
          <w:p w14:paraId="6B5322F6">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*显示屏防炫目</w:t>
            </w:r>
          </w:p>
        </w:tc>
        <w:tc>
          <w:tcPr>
            <w:tcW w:w="3852" w:type="dxa"/>
            <w:vAlign w:val="center"/>
          </w:tcPr>
          <w:p w14:paraId="6F7139D1">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显示屏镜面反射率≤10%</w:t>
            </w:r>
          </w:p>
        </w:tc>
        <w:tc>
          <w:tcPr>
            <w:tcW w:w="607" w:type="dxa"/>
            <w:vAlign w:val="center"/>
          </w:tcPr>
          <w:p w14:paraId="65C3E9E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16C7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6D5E114B">
            <w:pPr>
              <w:adjustRightInd w:val="0"/>
              <w:snapToGrid w:val="0"/>
              <w:jc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4CCA620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38</w:t>
            </w:r>
          </w:p>
        </w:tc>
        <w:tc>
          <w:tcPr>
            <w:tcW w:w="1176" w:type="dxa"/>
            <w:vAlign w:val="center"/>
          </w:tcPr>
          <w:p w14:paraId="0B209E0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7D5A9448">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*外设规格</w:t>
            </w:r>
          </w:p>
        </w:tc>
        <w:tc>
          <w:tcPr>
            <w:tcW w:w="1508" w:type="dxa"/>
            <w:vAlign w:val="center"/>
          </w:tcPr>
          <w:p w14:paraId="16F77B08">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传声器数量</w:t>
            </w:r>
          </w:p>
        </w:tc>
        <w:tc>
          <w:tcPr>
            <w:tcW w:w="3852" w:type="dxa"/>
            <w:vAlign w:val="center"/>
          </w:tcPr>
          <w:p w14:paraId="2F379289">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01FD673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0C38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6969CECF">
            <w:pPr>
              <w:adjustRightInd w:val="0"/>
              <w:snapToGrid w:val="0"/>
              <w:jc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1B2FD0C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39</w:t>
            </w:r>
          </w:p>
        </w:tc>
        <w:tc>
          <w:tcPr>
            <w:tcW w:w="1176" w:type="dxa"/>
            <w:vAlign w:val="center"/>
          </w:tcPr>
          <w:p w14:paraId="1468A27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0D2D1F46">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*外设规格</w:t>
            </w:r>
          </w:p>
        </w:tc>
        <w:tc>
          <w:tcPr>
            <w:tcW w:w="1508" w:type="dxa"/>
            <w:vAlign w:val="center"/>
          </w:tcPr>
          <w:p w14:paraId="17157FD2">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扬声器数量</w:t>
            </w:r>
          </w:p>
        </w:tc>
        <w:tc>
          <w:tcPr>
            <w:tcW w:w="3852" w:type="dxa"/>
            <w:vAlign w:val="center"/>
          </w:tcPr>
          <w:p w14:paraId="2ED56864">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4C129AA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0014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69600AC6">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248A30EA">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40</w:t>
            </w:r>
          </w:p>
        </w:tc>
        <w:tc>
          <w:tcPr>
            <w:tcW w:w="1176" w:type="dxa"/>
            <w:vAlign w:val="center"/>
          </w:tcPr>
          <w:p w14:paraId="64833DE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19EB7A6D">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*外设规格</w:t>
            </w:r>
          </w:p>
        </w:tc>
        <w:tc>
          <w:tcPr>
            <w:tcW w:w="1508" w:type="dxa"/>
            <w:vAlign w:val="center"/>
          </w:tcPr>
          <w:p w14:paraId="79C46C74">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*鼠标数量</w:t>
            </w:r>
          </w:p>
        </w:tc>
        <w:tc>
          <w:tcPr>
            <w:tcW w:w="3852" w:type="dxa"/>
            <w:vAlign w:val="center"/>
          </w:tcPr>
          <w:p w14:paraId="7F819B91">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≥1个</w:t>
            </w:r>
          </w:p>
        </w:tc>
        <w:tc>
          <w:tcPr>
            <w:tcW w:w="607" w:type="dxa"/>
            <w:vAlign w:val="center"/>
          </w:tcPr>
          <w:p w14:paraId="2A3A0C9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4064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1C7A2F79">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167BE630">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41</w:t>
            </w:r>
          </w:p>
        </w:tc>
        <w:tc>
          <w:tcPr>
            <w:tcW w:w="1176" w:type="dxa"/>
            <w:vAlign w:val="center"/>
          </w:tcPr>
          <w:p w14:paraId="2A3A7FE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2148964F">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*外设规格</w:t>
            </w:r>
          </w:p>
        </w:tc>
        <w:tc>
          <w:tcPr>
            <w:tcW w:w="1508" w:type="dxa"/>
            <w:vAlign w:val="center"/>
          </w:tcPr>
          <w:p w14:paraId="78BB17AF">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*键盘数量</w:t>
            </w:r>
          </w:p>
        </w:tc>
        <w:tc>
          <w:tcPr>
            <w:tcW w:w="3852" w:type="dxa"/>
            <w:vAlign w:val="center"/>
          </w:tcPr>
          <w:p w14:paraId="3C887D40">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≥1个</w:t>
            </w:r>
          </w:p>
        </w:tc>
        <w:tc>
          <w:tcPr>
            <w:tcW w:w="607" w:type="dxa"/>
            <w:vAlign w:val="center"/>
          </w:tcPr>
          <w:p w14:paraId="5B39D0A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BE9D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620" w:type="dxa"/>
            <w:vAlign w:val="center"/>
          </w:tcPr>
          <w:p w14:paraId="0FC4A5B6">
            <w:pPr>
              <w:adjustRightInd w:val="0"/>
              <w:snapToGrid w:val="0"/>
              <w:jc w:val="center"/>
              <w:textAlignment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0615FC81">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42</w:t>
            </w:r>
          </w:p>
        </w:tc>
        <w:tc>
          <w:tcPr>
            <w:tcW w:w="1176" w:type="dxa"/>
            <w:vAlign w:val="center"/>
          </w:tcPr>
          <w:p w14:paraId="14849BFC">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3E60D216">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23687108">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摄像头数量</w:t>
            </w:r>
          </w:p>
        </w:tc>
        <w:tc>
          <w:tcPr>
            <w:tcW w:w="3852" w:type="dxa"/>
            <w:vAlign w:val="center"/>
          </w:tcPr>
          <w:p w14:paraId="78C50DFA">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3AB63A5D">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5D327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54C6A45E">
            <w:pPr>
              <w:adjustRightInd w:val="0"/>
              <w:snapToGrid w:val="0"/>
              <w:jc w:val="center"/>
              <w:rPr>
                <w:rFonts w:ascii="仿宋_GB2312" w:eastAsia="仿宋_GB2312" w:hAnsiTheme="minorEastAsia" w:cstheme="minorEastAsia"/>
                <w:color w:val="auto"/>
                <w:sz w:val="28"/>
                <w:szCs w:val="28"/>
                <w:lang w:eastAsia="zh-CN"/>
              </w:rPr>
            </w:pPr>
            <w:r>
              <w:rPr>
                <w:rFonts w:ascii="Arial" w:hAnsi="Arial" w:cs="Arial"/>
                <w:sz w:val="28"/>
                <w:szCs w:val="28"/>
              </w:rPr>
              <w:t>　</w:t>
            </w:r>
          </w:p>
        </w:tc>
        <w:tc>
          <w:tcPr>
            <w:tcW w:w="598" w:type="dxa"/>
            <w:vAlign w:val="center"/>
          </w:tcPr>
          <w:p w14:paraId="639C8197">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43</w:t>
            </w:r>
          </w:p>
        </w:tc>
        <w:tc>
          <w:tcPr>
            <w:tcW w:w="1176" w:type="dxa"/>
            <w:vAlign w:val="center"/>
          </w:tcPr>
          <w:p w14:paraId="062456B9">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3B1FBB05">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4B56710D">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光驱数量</w:t>
            </w:r>
          </w:p>
        </w:tc>
        <w:tc>
          <w:tcPr>
            <w:tcW w:w="3852" w:type="dxa"/>
            <w:vAlign w:val="center"/>
          </w:tcPr>
          <w:p w14:paraId="4E3BEF71">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6C5D9538">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61D46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740C76B1">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Segoe UI Symbol" w:hAnsi="Segoe UI Symbol" w:cs="Arial"/>
                <w:sz w:val="28"/>
                <w:szCs w:val="28"/>
              </w:rPr>
              <w:t>★</w:t>
            </w:r>
          </w:p>
        </w:tc>
        <w:tc>
          <w:tcPr>
            <w:tcW w:w="598" w:type="dxa"/>
            <w:vAlign w:val="center"/>
          </w:tcPr>
          <w:p w14:paraId="1D3264E1">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44</w:t>
            </w:r>
          </w:p>
        </w:tc>
        <w:tc>
          <w:tcPr>
            <w:tcW w:w="1176" w:type="dxa"/>
            <w:vAlign w:val="center"/>
          </w:tcPr>
          <w:p w14:paraId="3154D9E4">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1F37C49D">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397E8B22">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*键盘按键数目</w:t>
            </w:r>
          </w:p>
        </w:tc>
        <w:tc>
          <w:tcPr>
            <w:tcW w:w="3852" w:type="dxa"/>
            <w:vAlign w:val="center"/>
          </w:tcPr>
          <w:p w14:paraId="46AC77DC">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104键</w:t>
            </w:r>
          </w:p>
        </w:tc>
        <w:tc>
          <w:tcPr>
            <w:tcW w:w="607" w:type="dxa"/>
            <w:vAlign w:val="center"/>
          </w:tcPr>
          <w:p w14:paraId="617F0AF6">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6C59C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2CE49B9B">
            <w:pPr>
              <w:adjustRightInd w:val="0"/>
              <w:snapToGrid w:val="0"/>
              <w:jc w:val="center"/>
              <w:rPr>
                <w:rFonts w:ascii="仿宋_GB2312" w:eastAsia="仿宋_GB2312" w:hAnsiTheme="minorEastAsia" w:cstheme="minorEastAsia"/>
                <w:color w:val="auto"/>
                <w:sz w:val="28"/>
                <w:szCs w:val="28"/>
                <w:lang w:eastAsia="zh-CN"/>
              </w:rPr>
            </w:pPr>
            <w:r>
              <w:rPr>
                <w:rFonts w:ascii="Arial" w:hAnsi="Arial" w:cs="Arial"/>
                <w:sz w:val="28"/>
                <w:szCs w:val="28"/>
              </w:rPr>
              <w:t>　</w:t>
            </w:r>
          </w:p>
        </w:tc>
        <w:tc>
          <w:tcPr>
            <w:tcW w:w="598" w:type="dxa"/>
            <w:vAlign w:val="center"/>
          </w:tcPr>
          <w:p w14:paraId="59324E8B">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45</w:t>
            </w:r>
          </w:p>
        </w:tc>
        <w:tc>
          <w:tcPr>
            <w:tcW w:w="1176" w:type="dxa"/>
            <w:vAlign w:val="center"/>
          </w:tcPr>
          <w:p w14:paraId="79FBFE0A">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534DB3C7">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66F6B3BB">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摄像头像素</w:t>
            </w:r>
          </w:p>
        </w:tc>
        <w:tc>
          <w:tcPr>
            <w:tcW w:w="3852" w:type="dxa"/>
            <w:vAlign w:val="center"/>
          </w:tcPr>
          <w:p w14:paraId="2159EFFE">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12589BB3">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44005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4C15F668">
            <w:pPr>
              <w:adjustRightInd w:val="0"/>
              <w:snapToGrid w:val="0"/>
              <w:jc w:val="center"/>
              <w:rPr>
                <w:rFonts w:ascii="仿宋_GB2312" w:eastAsia="仿宋_GB2312" w:hAnsiTheme="minorEastAsia" w:cstheme="minorEastAsia"/>
                <w:color w:val="auto"/>
                <w:sz w:val="28"/>
                <w:szCs w:val="28"/>
                <w:lang w:eastAsia="zh-CN"/>
              </w:rPr>
            </w:pPr>
            <w:r>
              <w:rPr>
                <w:rFonts w:ascii="Arial" w:hAnsi="Arial" w:cs="Arial"/>
                <w:sz w:val="28"/>
                <w:szCs w:val="28"/>
              </w:rPr>
              <w:t>　</w:t>
            </w:r>
          </w:p>
        </w:tc>
        <w:tc>
          <w:tcPr>
            <w:tcW w:w="598" w:type="dxa"/>
            <w:vAlign w:val="center"/>
          </w:tcPr>
          <w:p w14:paraId="019ADAD0">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46</w:t>
            </w:r>
          </w:p>
        </w:tc>
        <w:tc>
          <w:tcPr>
            <w:tcW w:w="1176" w:type="dxa"/>
            <w:vAlign w:val="center"/>
          </w:tcPr>
          <w:p w14:paraId="2CC907AC">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37382E79">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015BA6E6">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摄像头分辨率</w:t>
            </w:r>
          </w:p>
        </w:tc>
        <w:tc>
          <w:tcPr>
            <w:tcW w:w="3852" w:type="dxa"/>
            <w:vAlign w:val="center"/>
          </w:tcPr>
          <w:p w14:paraId="341E7390">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0F442306">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6A5F4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5BE2361A">
            <w:pPr>
              <w:adjustRightInd w:val="0"/>
              <w:snapToGrid w:val="0"/>
              <w:jc w:val="center"/>
              <w:rPr>
                <w:rFonts w:ascii="仿宋_GB2312" w:eastAsia="仿宋_GB2312" w:hAnsiTheme="minorEastAsia" w:cstheme="minorEastAsia"/>
                <w:color w:val="auto"/>
                <w:sz w:val="28"/>
                <w:szCs w:val="28"/>
                <w:lang w:eastAsia="zh-CN"/>
              </w:rPr>
            </w:pPr>
            <w:r>
              <w:rPr>
                <w:rFonts w:ascii="Arial" w:hAnsi="Arial" w:cs="Arial"/>
                <w:sz w:val="28"/>
                <w:szCs w:val="28"/>
              </w:rPr>
              <w:t>　</w:t>
            </w:r>
          </w:p>
        </w:tc>
        <w:tc>
          <w:tcPr>
            <w:tcW w:w="598" w:type="dxa"/>
            <w:vAlign w:val="center"/>
          </w:tcPr>
          <w:p w14:paraId="10426A8D">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47</w:t>
            </w:r>
          </w:p>
        </w:tc>
        <w:tc>
          <w:tcPr>
            <w:tcW w:w="1176" w:type="dxa"/>
            <w:vAlign w:val="center"/>
          </w:tcPr>
          <w:p w14:paraId="5EFE544D">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5DF4E6D6">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174889EB">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扬声器功率</w:t>
            </w:r>
          </w:p>
        </w:tc>
        <w:tc>
          <w:tcPr>
            <w:tcW w:w="3852" w:type="dxa"/>
            <w:vAlign w:val="center"/>
          </w:tcPr>
          <w:p w14:paraId="54DFBE9B">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26A03007">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32A8E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6581EAC8">
            <w:pPr>
              <w:adjustRightInd w:val="0"/>
              <w:snapToGrid w:val="0"/>
              <w:jc w:val="center"/>
              <w:rPr>
                <w:rFonts w:ascii="仿宋_GB2312" w:eastAsia="仿宋_GB2312" w:hAnsiTheme="minorEastAsia" w:cstheme="minorEastAsia"/>
                <w:color w:val="auto"/>
                <w:sz w:val="28"/>
                <w:szCs w:val="28"/>
                <w:lang w:eastAsia="zh-CN"/>
              </w:rPr>
            </w:pPr>
            <w:r>
              <w:rPr>
                <w:rFonts w:ascii="Arial" w:hAnsi="Arial" w:cs="Arial"/>
                <w:sz w:val="28"/>
                <w:szCs w:val="28"/>
              </w:rPr>
              <w:t>　</w:t>
            </w:r>
          </w:p>
        </w:tc>
        <w:tc>
          <w:tcPr>
            <w:tcW w:w="598" w:type="dxa"/>
            <w:vAlign w:val="center"/>
          </w:tcPr>
          <w:p w14:paraId="4418E98D">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48</w:t>
            </w:r>
          </w:p>
        </w:tc>
        <w:tc>
          <w:tcPr>
            <w:tcW w:w="1176" w:type="dxa"/>
            <w:vAlign w:val="center"/>
          </w:tcPr>
          <w:p w14:paraId="0AC49979">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334062DE">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481DA30F">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扬声器频率范围</w:t>
            </w:r>
          </w:p>
        </w:tc>
        <w:tc>
          <w:tcPr>
            <w:tcW w:w="3852" w:type="dxa"/>
            <w:vAlign w:val="center"/>
          </w:tcPr>
          <w:p w14:paraId="34054A12">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49F7634A">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1A519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14419C38">
            <w:pPr>
              <w:adjustRightInd w:val="0"/>
              <w:snapToGrid w:val="0"/>
              <w:jc w:val="center"/>
              <w:rPr>
                <w:rFonts w:ascii="仿宋_GB2312" w:eastAsia="仿宋_GB2312" w:hAnsiTheme="minorEastAsia" w:cstheme="minorEastAsia"/>
                <w:color w:val="auto"/>
                <w:sz w:val="28"/>
                <w:szCs w:val="28"/>
                <w:lang w:eastAsia="zh-CN"/>
              </w:rPr>
            </w:pPr>
            <w:r>
              <w:rPr>
                <w:rFonts w:ascii="Arial" w:hAnsi="Arial" w:cs="Arial"/>
                <w:sz w:val="28"/>
                <w:szCs w:val="28"/>
              </w:rPr>
              <w:t>　</w:t>
            </w:r>
          </w:p>
        </w:tc>
        <w:tc>
          <w:tcPr>
            <w:tcW w:w="598" w:type="dxa"/>
            <w:vAlign w:val="center"/>
          </w:tcPr>
          <w:p w14:paraId="3412CD7C">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49</w:t>
            </w:r>
          </w:p>
        </w:tc>
        <w:tc>
          <w:tcPr>
            <w:tcW w:w="1176" w:type="dxa"/>
            <w:vAlign w:val="center"/>
          </w:tcPr>
          <w:p w14:paraId="5061F047">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584BB2A7">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6B1188DB">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扬声器总谐波失真</w:t>
            </w:r>
          </w:p>
        </w:tc>
        <w:tc>
          <w:tcPr>
            <w:tcW w:w="3852" w:type="dxa"/>
            <w:vAlign w:val="center"/>
          </w:tcPr>
          <w:p w14:paraId="1ABC31BF">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40CD2D5A">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4CFCE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47CE2EB6">
            <w:pPr>
              <w:adjustRightInd w:val="0"/>
              <w:snapToGrid w:val="0"/>
              <w:jc w:val="center"/>
              <w:rPr>
                <w:rFonts w:ascii="仿宋_GB2312" w:eastAsia="仿宋_GB2312" w:hAnsiTheme="minorEastAsia" w:cstheme="minorEastAsia"/>
                <w:color w:val="auto"/>
                <w:sz w:val="28"/>
                <w:szCs w:val="28"/>
                <w:lang w:eastAsia="zh-CN"/>
              </w:rPr>
            </w:pPr>
            <w:r>
              <w:rPr>
                <w:rFonts w:ascii="Arial" w:hAnsi="Arial" w:cs="Arial"/>
                <w:sz w:val="28"/>
                <w:szCs w:val="28"/>
              </w:rPr>
              <w:t>　</w:t>
            </w:r>
          </w:p>
        </w:tc>
        <w:tc>
          <w:tcPr>
            <w:tcW w:w="598" w:type="dxa"/>
            <w:vAlign w:val="center"/>
          </w:tcPr>
          <w:p w14:paraId="4BE2E76A">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50</w:t>
            </w:r>
          </w:p>
        </w:tc>
        <w:tc>
          <w:tcPr>
            <w:tcW w:w="1176" w:type="dxa"/>
            <w:vAlign w:val="center"/>
          </w:tcPr>
          <w:p w14:paraId="5AD4AB8B">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2BC5CBC3">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5E26D0A1">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扬声器最大声压级</w:t>
            </w:r>
          </w:p>
        </w:tc>
        <w:tc>
          <w:tcPr>
            <w:tcW w:w="3852" w:type="dxa"/>
            <w:vAlign w:val="center"/>
          </w:tcPr>
          <w:p w14:paraId="121E93B2">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3A14DA06">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1A6A3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1C56B897">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Segoe UI Symbol" w:hAnsi="Segoe UI Symbol" w:cs="Arial"/>
                <w:sz w:val="28"/>
                <w:szCs w:val="28"/>
              </w:rPr>
              <w:t>★</w:t>
            </w:r>
          </w:p>
        </w:tc>
        <w:tc>
          <w:tcPr>
            <w:tcW w:w="598" w:type="dxa"/>
            <w:vAlign w:val="center"/>
          </w:tcPr>
          <w:p w14:paraId="45F43266">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51</w:t>
            </w:r>
          </w:p>
        </w:tc>
        <w:tc>
          <w:tcPr>
            <w:tcW w:w="1176" w:type="dxa"/>
            <w:vAlign w:val="center"/>
          </w:tcPr>
          <w:p w14:paraId="443E6013">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27F89DC2">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07C8E1B0">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*键盘连接方式</w:t>
            </w:r>
          </w:p>
        </w:tc>
        <w:tc>
          <w:tcPr>
            <w:tcW w:w="3852" w:type="dxa"/>
            <w:vAlign w:val="center"/>
          </w:tcPr>
          <w:p w14:paraId="4086D7FB">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有线</w:t>
            </w:r>
          </w:p>
        </w:tc>
        <w:tc>
          <w:tcPr>
            <w:tcW w:w="607" w:type="dxa"/>
            <w:vAlign w:val="center"/>
          </w:tcPr>
          <w:p w14:paraId="1018971F">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47F58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620" w:type="dxa"/>
            <w:vAlign w:val="center"/>
          </w:tcPr>
          <w:p w14:paraId="781BC226">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Segoe UI Symbol" w:hAnsi="Segoe UI Symbol" w:cs="Arial"/>
                <w:sz w:val="28"/>
                <w:szCs w:val="28"/>
              </w:rPr>
              <w:t>★</w:t>
            </w:r>
          </w:p>
        </w:tc>
        <w:tc>
          <w:tcPr>
            <w:tcW w:w="598" w:type="dxa"/>
            <w:vAlign w:val="center"/>
          </w:tcPr>
          <w:p w14:paraId="5BF41381">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52</w:t>
            </w:r>
          </w:p>
        </w:tc>
        <w:tc>
          <w:tcPr>
            <w:tcW w:w="1176" w:type="dxa"/>
            <w:vAlign w:val="center"/>
          </w:tcPr>
          <w:p w14:paraId="3D9D24B0">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50955232">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0B7F3557">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*键盘键程</w:t>
            </w:r>
          </w:p>
        </w:tc>
        <w:tc>
          <w:tcPr>
            <w:tcW w:w="3852" w:type="dxa"/>
            <w:vAlign w:val="center"/>
          </w:tcPr>
          <w:p w14:paraId="2A2DF0AC">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2.3mm~4.0mm</w:t>
            </w:r>
          </w:p>
        </w:tc>
        <w:tc>
          <w:tcPr>
            <w:tcW w:w="607" w:type="dxa"/>
            <w:vAlign w:val="center"/>
          </w:tcPr>
          <w:p w14:paraId="3F76B473">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483F3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308685B7">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Segoe UI Symbol" w:hAnsi="Segoe UI Symbol" w:cs="Arial"/>
                <w:sz w:val="28"/>
                <w:szCs w:val="28"/>
              </w:rPr>
              <w:t>★</w:t>
            </w:r>
          </w:p>
        </w:tc>
        <w:tc>
          <w:tcPr>
            <w:tcW w:w="598" w:type="dxa"/>
            <w:vAlign w:val="center"/>
          </w:tcPr>
          <w:p w14:paraId="33C499CB">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53</w:t>
            </w:r>
          </w:p>
        </w:tc>
        <w:tc>
          <w:tcPr>
            <w:tcW w:w="1176" w:type="dxa"/>
            <w:vAlign w:val="center"/>
          </w:tcPr>
          <w:p w14:paraId="184CD232">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56288CA6">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6CA896E4">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*键盘按键压力</w:t>
            </w:r>
          </w:p>
        </w:tc>
        <w:tc>
          <w:tcPr>
            <w:tcW w:w="3852" w:type="dxa"/>
            <w:vAlign w:val="center"/>
          </w:tcPr>
          <w:p w14:paraId="1AB199D3">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按键压力应在0.54N±0.14N</w:t>
            </w:r>
          </w:p>
        </w:tc>
        <w:tc>
          <w:tcPr>
            <w:tcW w:w="607" w:type="dxa"/>
            <w:vAlign w:val="center"/>
          </w:tcPr>
          <w:p w14:paraId="2A66E3D5">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71FCA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3BC82F98">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Segoe UI Symbol" w:hAnsi="Segoe UI Symbol" w:cs="Arial"/>
                <w:sz w:val="28"/>
                <w:szCs w:val="28"/>
              </w:rPr>
              <w:t>★</w:t>
            </w:r>
          </w:p>
        </w:tc>
        <w:tc>
          <w:tcPr>
            <w:tcW w:w="598" w:type="dxa"/>
            <w:vAlign w:val="center"/>
          </w:tcPr>
          <w:p w14:paraId="09D6BE54">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54</w:t>
            </w:r>
          </w:p>
        </w:tc>
        <w:tc>
          <w:tcPr>
            <w:tcW w:w="1176" w:type="dxa"/>
            <w:vAlign w:val="center"/>
          </w:tcPr>
          <w:p w14:paraId="0E504368">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3836AAAC">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243E63AD">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*有线键盘连接线</w:t>
            </w:r>
          </w:p>
        </w:tc>
        <w:tc>
          <w:tcPr>
            <w:tcW w:w="3852" w:type="dxa"/>
            <w:vAlign w:val="center"/>
          </w:tcPr>
          <w:p w14:paraId="08829980">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≥1.5米</w:t>
            </w:r>
          </w:p>
        </w:tc>
        <w:tc>
          <w:tcPr>
            <w:tcW w:w="607" w:type="dxa"/>
            <w:vAlign w:val="center"/>
          </w:tcPr>
          <w:p w14:paraId="15477914">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6A04F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0" w:type="dxa"/>
            <w:vAlign w:val="center"/>
          </w:tcPr>
          <w:p w14:paraId="04011E1B">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Segoe UI Symbol" w:hAnsi="Segoe UI Symbol" w:cs="Arial"/>
                <w:sz w:val="28"/>
                <w:szCs w:val="28"/>
              </w:rPr>
              <w:t>★</w:t>
            </w:r>
          </w:p>
        </w:tc>
        <w:tc>
          <w:tcPr>
            <w:tcW w:w="598" w:type="dxa"/>
            <w:vAlign w:val="center"/>
          </w:tcPr>
          <w:p w14:paraId="39ECA43C">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55</w:t>
            </w:r>
          </w:p>
        </w:tc>
        <w:tc>
          <w:tcPr>
            <w:tcW w:w="1176" w:type="dxa"/>
            <w:vAlign w:val="center"/>
          </w:tcPr>
          <w:p w14:paraId="46657500">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3D466DB9">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51EC1B30">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*键盘颜色</w:t>
            </w:r>
          </w:p>
        </w:tc>
        <w:tc>
          <w:tcPr>
            <w:tcW w:w="3852" w:type="dxa"/>
            <w:vAlign w:val="center"/>
          </w:tcPr>
          <w:p w14:paraId="69DBD721">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黑色</w:t>
            </w:r>
          </w:p>
        </w:tc>
        <w:tc>
          <w:tcPr>
            <w:tcW w:w="607" w:type="dxa"/>
            <w:vAlign w:val="center"/>
          </w:tcPr>
          <w:p w14:paraId="31D8ECE6">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41497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5BFFCE78">
            <w:pPr>
              <w:adjustRightInd w:val="0"/>
              <w:snapToGrid w:val="0"/>
              <w:jc w:val="center"/>
              <w:rPr>
                <w:rFonts w:ascii="仿宋_GB2312" w:eastAsia="仿宋_GB2312" w:hAnsiTheme="minorEastAsia" w:cstheme="minorEastAsia"/>
                <w:color w:val="auto"/>
                <w:sz w:val="28"/>
                <w:szCs w:val="28"/>
                <w:lang w:eastAsia="zh-CN"/>
              </w:rPr>
            </w:pPr>
            <w:r>
              <w:rPr>
                <w:rFonts w:ascii="Arial" w:hAnsi="Arial" w:cs="Arial"/>
                <w:sz w:val="28"/>
                <w:szCs w:val="28"/>
              </w:rPr>
              <w:t>　</w:t>
            </w:r>
          </w:p>
        </w:tc>
        <w:tc>
          <w:tcPr>
            <w:tcW w:w="598" w:type="dxa"/>
            <w:vAlign w:val="center"/>
          </w:tcPr>
          <w:p w14:paraId="7FA0BE29">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56</w:t>
            </w:r>
          </w:p>
        </w:tc>
        <w:tc>
          <w:tcPr>
            <w:tcW w:w="1176" w:type="dxa"/>
            <w:vAlign w:val="center"/>
          </w:tcPr>
          <w:p w14:paraId="54AC32AA">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6D2082B1">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13429F76">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键盘其他要求</w:t>
            </w:r>
          </w:p>
        </w:tc>
        <w:tc>
          <w:tcPr>
            <w:tcW w:w="3852" w:type="dxa"/>
            <w:vAlign w:val="center"/>
          </w:tcPr>
          <w:p w14:paraId="7DEC3FB7">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6B55451E">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15192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3972BD82">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Segoe UI Symbol" w:hAnsi="Segoe UI Symbol" w:cs="Arial"/>
                <w:sz w:val="28"/>
                <w:szCs w:val="28"/>
              </w:rPr>
              <w:t>★</w:t>
            </w:r>
          </w:p>
        </w:tc>
        <w:tc>
          <w:tcPr>
            <w:tcW w:w="598" w:type="dxa"/>
            <w:vAlign w:val="center"/>
          </w:tcPr>
          <w:p w14:paraId="01DD0916">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57</w:t>
            </w:r>
          </w:p>
        </w:tc>
        <w:tc>
          <w:tcPr>
            <w:tcW w:w="1176" w:type="dxa"/>
            <w:vAlign w:val="center"/>
          </w:tcPr>
          <w:p w14:paraId="17B230D7">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2A086327">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1ED09EBF">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*鼠标连接方式</w:t>
            </w:r>
          </w:p>
        </w:tc>
        <w:tc>
          <w:tcPr>
            <w:tcW w:w="3852" w:type="dxa"/>
            <w:vAlign w:val="center"/>
          </w:tcPr>
          <w:p w14:paraId="4466B51E">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有线</w:t>
            </w:r>
          </w:p>
        </w:tc>
        <w:tc>
          <w:tcPr>
            <w:tcW w:w="607" w:type="dxa"/>
            <w:vAlign w:val="center"/>
          </w:tcPr>
          <w:p w14:paraId="333F0E6D">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63983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01DAD5C8">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Segoe UI Symbol" w:hAnsi="Segoe UI Symbol" w:cs="Arial"/>
                <w:sz w:val="28"/>
                <w:szCs w:val="28"/>
              </w:rPr>
              <w:t>★</w:t>
            </w:r>
          </w:p>
        </w:tc>
        <w:tc>
          <w:tcPr>
            <w:tcW w:w="598" w:type="dxa"/>
            <w:vAlign w:val="center"/>
          </w:tcPr>
          <w:p w14:paraId="434815AD">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58</w:t>
            </w:r>
          </w:p>
        </w:tc>
        <w:tc>
          <w:tcPr>
            <w:tcW w:w="1176" w:type="dxa"/>
            <w:vAlign w:val="center"/>
          </w:tcPr>
          <w:p w14:paraId="3F745448">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6CD2351B">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574C3CAD">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*有线鼠标连接线</w:t>
            </w:r>
          </w:p>
        </w:tc>
        <w:tc>
          <w:tcPr>
            <w:tcW w:w="3852" w:type="dxa"/>
            <w:vAlign w:val="center"/>
          </w:tcPr>
          <w:p w14:paraId="22C09A08">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≥1.5米</w:t>
            </w:r>
          </w:p>
        </w:tc>
        <w:tc>
          <w:tcPr>
            <w:tcW w:w="607" w:type="dxa"/>
            <w:vAlign w:val="center"/>
          </w:tcPr>
          <w:p w14:paraId="51E1EEEF">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5304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60D04CE8">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Segoe UI Symbol" w:hAnsi="Segoe UI Symbol" w:cs="Arial"/>
                <w:sz w:val="28"/>
                <w:szCs w:val="28"/>
              </w:rPr>
              <w:t>★</w:t>
            </w:r>
          </w:p>
        </w:tc>
        <w:tc>
          <w:tcPr>
            <w:tcW w:w="598" w:type="dxa"/>
            <w:vAlign w:val="center"/>
          </w:tcPr>
          <w:p w14:paraId="3223528C">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59</w:t>
            </w:r>
          </w:p>
        </w:tc>
        <w:tc>
          <w:tcPr>
            <w:tcW w:w="1176" w:type="dxa"/>
            <w:vAlign w:val="center"/>
          </w:tcPr>
          <w:p w14:paraId="10229EC7">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1B31EA93">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6500B84E">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*鼠标 DPI分辨率</w:t>
            </w:r>
          </w:p>
        </w:tc>
        <w:tc>
          <w:tcPr>
            <w:tcW w:w="3852" w:type="dxa"/>
            <w:vAlign w:val="center"/>
          </w:tcPr>
          <w:p w14:paraId="67AB7D4C">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800~1600</w:t>
            </w:r>
          </w:p>
        </w:tc>
        <w:tc>
          <w:tcPr>
            <w:tcW w:w="607" w:type="dxa"/>
            <w:vAlign w:val="center"/>
          </w:tcPr>
          <w:p w14:paraId="38F2BB34">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2B1FC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7239B7E1">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Segoe UI Symbol" w:hAnsi="Segoe UI Symbol" w:cs="Arial"/>
                <w:sz w:val="28"/>
                <w:szCs w:val="28"/>
              </w:rPr>
              <w:t>★</w:t>
            </w:r>
          </w:p>
        </w:tc>
        <w:tc>
          <w:tcPr>
            <w:tcW w:w="598" w:type="dxa"/>
            <w:vAlign w:val="center"/>
          </w:tcPr>
          <w:p w14:paraId="2B501C04">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60</w:t>
            </w:r>
          </w:p>
        </w:tc>
        <w:tc>
          <w:tcPr>
            <w:tcW w:w="1176" w:type="dxa"/>
            <w:vAlign w:val="center"/>
          </w:tcPr>
          <w:p w14:paraId="3B4F80DF">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740FC66C">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1C3C0E27">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*鼠标颜色</w:t>
            </w:r>
          </w:p>
        </w:tc>
        <w:tc>
          <w:tcPr>
            <w:tcW w:w="3852" w:type="dxa"/>
            <w:vAlign w:val="center"/>
          </w:tcPr>
          <w:p w14:paraId="46F7BDD1">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黑色</w:t>
            </w:r>
          </w:p>
        </w:tc>
        <w:tc>
          <w:tcPr>
            <w:tcW w:w="607" w:type="dxa"/>
            <w:vAlign w:val="center"/>
          </w:tcPr>
          <w:p w14:paraId="2939D7FD">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560E0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7E61180F">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Segoe UI Symbol" w:hAnsi="Segoe UI Symbol" w:cs="Arial"/>
                <w:sz w:val="28"/>
                <w:szCs w:val="28"/>
              </w:rPr>
              <w:t>★</w:t>
            </w:r>
          </w:p>
        </w:tc>
        <w:tc>
          <w:tcPr>
            <w:tcW w:w="598" w:type="dxa"/>
            <w:vAlign w:val="center"/>
          </w:tcPr>
          <w:p w14:paraId="6DE4FC25">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61</w:t>
            </w:r>
          </w:p>
        </w:tc>
        <w:tc>
          <w:tcPr>
            <w:tcW w:w="1176" w:type="dxa"/>
            <w:vAlign w:val="center"/>
          </w:tcPr>
          <w:p w14:paraId="04AA0BA9">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0A8DFB62">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03F19FCB">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*鼠标其他要求</w:t>
            </w:r>
          </w:p>
        </w:tc>
        <w:tc>
          <w:tcPr>
            <w:tcW w:w="3852" w:type="dxa"/>
            <w:vAlign w:val="center"/>
          </w:tcPr>
          <w:p w14:paraId="678BE345">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其它参数应符合GB/T26245的相关规定</w:t>
            </w:r>
          </w:p>
        </w:tc>
        <w:tc>
          <w:tcPr>
            <w:tcW w:w="607" w:type="dxa"/>
            <w:vAlign w:val="center"/>
          </w:tcPr>
          <w:p w14:paraId="7C9AB491">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2E424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73CC91A0">
            <w:pPr>
              <w:adjustRightInd w:val="0"/>
              <w:snapToGrid w:val="0"/>
              <w:jc w:val="center"/>
              <w:rPr>
                <w:rFonts w:ascii="仿宋_GB2312" w:eastAsia="仿宋_GB2312" w:hAnsiTheme="minorEastAsia" w:cstheme="minorEastAsia"/>
                <w:color w:val="auto"/>
                <w:sz w:val="28"/>
                <w:szCs w:val="28"/>
                <w:lang w:eastAsia="zh-CN"/>
              </w:rPr>
            </w:pPr>
            <w:r>
              <w:rPr>
                <w:rFonts w:ascii="Arial" w:hAnsi="Arial" w:cs="Arial"/>
                <w:sz w:val="28"/>
                <w:szCs w:val="28"/>
              </w:rPr>
              <w:t>　</w:t>
            </w:r>
          </w:p>
        </w:tc>
        <w:tc>
          <w:tcPr>
            <w:tcW w:w="598" w:type="dxa"/>
            <w:vAlign w:val="center"/>
          </w:tcPr>
          <w:p w14:paraId="09FB9546">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62</w:t>
            </w:r>
          </w:p>
        </w:tc>
        <w:tc>
          <w:tcPr>
            <w:tcW w:w="1176" w:type="dxa"/>
            <w:vAlign w:val="center"/>
          </w:tcPr>
          <w:p w14:paraId="139A5282">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225C01EC">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3EC27328">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内置光驱</w:t>
            </w:r>
          </w:p>
        </w:tc>
        <w:tc>
          <w:tcPr>
            <w:tcW w:w="3852" w:type="dxa"/>
            <w:vAlign w:val="center"/>
          </w:tcPr>
          <w:p w14:paraId="44C896C1">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5E4C400E">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6F8AD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E9F8923">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Segoe UI Symbol" w:hAnsi="Segoe UI Symbol" w:cs="Arial"/>
                <w:sz w:val="28"/>
                <w:szCs w:val="28"/>
              </w:rPr>
              <w:t>★</w:t>
            </w:r>
          </w:p>
        </w:tc>
        <w:tc>
          <w:tcPr>
            <w:tcW w:w="598" w:type="dxa"/>
            <w:vAlign w:val="center"/>
          </w:tcPr>
          <w:p w14:paraId="095CE4D3">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63</w:t>
            </w:r>
          </w:p>
        </w:tc>
        <w:tc>
          <w:tcPr>
            <w:tcW w:w="1176" w:type="dxa"/>
            <w:vAlign w:val="center"/>
          </w:tcPr>
          <w:p w14:paraId="4BC335B6">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1AF076C3">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*网络设备规格</w:t>
            </w:r>
          </w:p>
        </w:tc>
        <w:tc>
          <w:tcPr>
            <w:tcW w:w="1508" w:type="dxa"/>
            <w:vAlign w:val="center"/>
          </w:tcPr>
          <w:p w14:paraId="1608E30B">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*有线网卡数量</w:t>
            </w:r>
          </w:p>
        </w:tc>
        <w:tc>
          <w:tcPr>
            <w:tcW w:w="3852" w:type="dxa"/>
            <w:vAlign w:val="center"/>
          </w:tcPr>
          <w:p w14:paraId="6DFAEC6B">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≥1</w:t>
            </w:r>
          </w:p>
        </w:tc>
        <w:tc>
          <w:tcPr>
            <w:tcW w:w="607" w:type="dxa"/>
            <w:vAlign w:val="center"/>
          </w:tcPr>
          <w:p w14:paraId="4E4CB364">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7F94B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CE09177">
            <w:pPr>
              <w:adjustRightInd w:val="0"/>
              <w:snapToGrid w:val="0"/>
              <w:jc w:val="center"/>
              <w:rPr>
                <w:rFonts w:ascii="仿宋_GB2312" w:eastAsia="仿宋_GB2312" w:hAnsiTheme="minorEastAsia" w:cstheme="minorEastAsia"/>
                <w:color w:val="auto"/>
                <w:sz w:val="28"/>
                <w:szCs w:val="28"/>
                <w:lang w:eastAsia="zh-CN"/>
              </w:rPr>
            </w:pPr>
            <w:r>
              <w:rPr>
                <w:rFonts w:ascii="Arial" w:hAnsi="Arial" w:cs="Arial"/>
                <w:sz w:val="28"/>
                <w:szCs w:val="28"/>
              </w:rPr>
              <w:t>　</w:t>
            </w:r>
          </w:p>
        </w:tc>
        <w:tc>
          <w:tcPr>
            <w:tcW w:w="598" w:type="dxa"/>
            <w:vAlign w:val="center"/>
          </w:tcPr>
          <w:p w14:paraId="0E39672A">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64</w:t>
            </w:r>
          </w:p>
        </w:tc>
        <w:tc>
          <w:tcPr>
            <w:tcW w:w="1176" w:type="dxa"/>
            <w:vAlign w:val="center"/>
          </w:tcPr>
          <w:p w14:paraId="4B375D12">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25FA58D4">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*网络设备规格</w:t>
            </w:r>
          </w:p>
        </w:tc>
        <w:tc>
          <w:tcPr>
            <w:tcW w:w="1508" w:type="dxa"/>
            <w:vAlign w:val="center"/>
          </w:tcPr>
          <w:p w14:paraId="102E75F7">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无线网卡及天线数量</w:t>
            </w:r>
          </w:p>
        </w:tc>
        <w:tc>
          <w:tcPr>
            <w:tcW w:w="3852" w:type="dxa"/>
            <w:vAlign w:val="center"/>
          </w:tcPr>
          <w:p w14:paraId="61703A01">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296E17D3">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4B994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081E4181">
            <w:pPr>
              <w:adjustRightInd w:val="0"/>
              <w:snapToGrid w:val="0"/>
              <w:jc w:val="center"/>
              <w:rPr>
                <w:rFonts w:ascii="仿宋_GB2312" w:eastAsia="仿宋_GB2312" w:hAnsiTheme="minorEastAsia" w:cstheme="minorEastAsia"/>
                <w:color w:val="auto"/>
                <w:sz w:val="28"/>
                <w:szCs w:val="28"/>
                <w:lang w:eastAsia="zh-CN"/>
              </w:rPr>
            </w:pPr>
            <w:r>
              <w:rPr>
                <w:rFonts w:ascii="Arial" w:hAnsi="Arial" w:cs="Arial"/>
                <w:sz w:val="28"/>
                <w:szCs w:val="28"/>
              </w:rPr>
              <w:t>　</w:t>
            </w:r>
          </w:p>
        </w:tc>
        <w:tc>
          <w:tcPr>
            <w:tcW w:w="598" w:type="dxa"/>
            <w:vAlign w:val="center"/>
          </w:tcPr>
          <w:p w14:paraId="0BC3B5D4">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65</w:t>
            </w:r>
          </w:p>
        </w:tc>
        <w:tc>
          <w:tcPr>
            <w:tcW w:w="1176" w:type="dxa"/>
            <w:vAlign w:val="center"/>
          </w:tcPr>
          <w:p w14:paraId="6E232FD3">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56EE9921">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*网络设备规格</w:t>
            </w:r>
          </w:p>
        </w:tc>
        <w:tc>
          <w:tcPr>
            <w:tcW w:w="1508" w:type="dxa"/>
            <w:vAlign w:val="center"/>
          </w:tcPr>
          <w:p w14:paraId="1A755AFC">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单无线网卡天线数量</w:t>
            </w:r>
          </w:p>
        </w:tc>
        <w:tc>
          <w:tcPr>
            <w:tcW w:w="3852" w:type="dxa"/>
            <w:vAlign w:val="center"/>
          </w:tcPr>
          <w:p w14:paraId="233040C7">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0D31D3DC">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327A0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539C08FE">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Segoe UI Symbol" w:hAnsi="Segoe UI Symbol" w:cs="Arial"/>
                <w:sz w:val="28"/>
                <w:szCs w:val="28"/>
              </w:rPr>
              <w:t>★</w:t>
            </w:r>
          </w:p>
        </w:tc>
        <w:tc>
          <w:tcPr>
            <w:tcW w:w="598" w:type="dxa"/>
            <w:vAlign w:val="center"/>
          </w:tcPr>
          <w:p w14:paraId="2411E692">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66</w:t>
            </w:r>
          </w:p>
        </w:tc>
        <w:tc>
          <w:tcPr>
            <w:tcW w:w="1176" w:type="dxa"/>
            <w:vAlign w:val="center"/>
          </w:tcPr>
          <w:p w14:paraId="5DC730E6">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3DABDACB">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*外部接口规格</w:t>
            </w:r>
          </w:p>
        </w:tc>
        <w:tc>
          <w:tcPr>
            <w:tcW w:w="1508" w:type="dxa"/>
            <w:vAlign w:val="center"/>
          </w:tcPr>
          <w:p w14:paraId="04F58587">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*USB 接口数量</w:t>
            </w:r>
          </w:p>
        </w:tc>
        <w:tc>
          <w:tcPr>
            <w:tcW w:w="3852" w:type="dxa"/>
            <w:vAlign w:val="center"/>
          </w:tcPr>
          <w:p w14:paraId="5A102F1C">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机箱应提供不少于</w:t>
            </w:r>
            <w:r>
              <w:rPr>
                <w:rFonts w:ascii="仿宋_GB2312" w:hAnsi="Arial" w:eastAsia="仿宋_GB2312" w:cs="Arial"/>
                <w:sz w:val="28"/>
                <w:szCs w:val="28"/>
                <w:lang w:val="en-US" w:eastAsia="zh-CN"/>
              </w:rPr>
              <w:t>8个</w:t>
            </w:r>
            <w:r>
              <w:rPr>
                <w:rFonts w:ascii="仿宋_GB2312" w:hAnsi="Arial" w:eastAsia="仿宋_GB2312" w:cs="Arial"/>
                <w:sz w:val="28"/>
                <w:szCs w:val="28"/>
                <w:lang w:eastAsia="zh-CN"/>
              </w:rPr>
              <w:t>USB接口（其中USB3.0接口</w:t>
            </w:r>
            <w:r>
              <w:rPr>
                <w:rFonts w:ascii="东文宋体" w:hAnsi="东文宋体" w:eastAsia="东文宋体" w:cs="东文宋体"/>
                <w:sz w:val="28"/>
                <w:szCs w:val="28"/>
                <w:lang w:eastAsia="zh-CN"/>
              </w:rPr>
              <w:t>≥</w:t>
            </w:r>
            <w:r>
              <w:rPr>
                <w:rFonts w:ascii="仿宋_GB2312" w:hAnsi="Arial" w:eastAsia="仿宋_GB2312" w:cs="Arial"/>
                <w:sz w:val="28"/>
                <w:szCs w:val="28"/>
                <w:lang w:eastAsia="zh-CN"/>
              </w:rPr>
              <w:t>4个）</w:t>
            </w:r>
          </w:p>
        </w:tc>
        <w:tc>
          <w:tcPr>
            <w:tcW w:w="607" w:type="dxa"/>
            <w:vAlign w:val="center"/>
          </w:tcPr>
          <w:p w14:paraId="39EC1F50">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7AA37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0E74C4CC">
            <w:pPr>
              <w:adjustRightInd w:val="0"/>
              <w:snapToGrid w:val="0"/>
              <w:jc w:val="center"/>
              <w:rPr>
                <w:rFonts w:ascii="仿宋_GB2312" w:eastAsia="仿宋_GB2312" w:hAnsiTheme="minorEastAsia" w:cstheme="minorEastAsia"/>
                <w:color w:val="auto"/>
                <w:sz w:val="28"/>
                <w:szCs w:val="28"/>
                <w:lang w:eastAsia="zh-CN"/>
              </w:rPr>
            </w:pPr>
            <w:r>
              <w:rPr>
                <w:rFonts w:ascii="Arial" w:hAnsi="Arial" w:cs="Arial"/>
                <w:sz w:val="28"/>
                <w:szCs w:val="28"/>
              </w:rPr>
              <w:t>　</w:t>
            </w:r>
          </w:p>
        </w:tc>
        <w:tc>
          <w:tcPr>
            <w:tcW w:w="598" w:type="dxa"/>
            <w:vAlign w:val="center"/>
          </w:tcPr>
          <w:p w14:paraId="30AE6F79">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67</w:t>
            </w:r>
          </w:p>
        </w:tc>
        <w:tc>
          <w:tcPr>
            <w:tcW w:w="1176" w:type="dxa"/>
            <w:vAlign w:val="center"/>
          </w:tcPr>
          <w:p w14:paraId="2EF732A0">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5C5DEA68">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*外部接口规格</w:t>
            </w:r>
          </w:p>
        </w:tc>
        <w:tc>
          <w:tcPr>
            <w:tcW w:w="1508" w:type="dxa"/>
            <w:vAlign w:val="center"/>
          </w:tcPr>
          <w:p w14:paraId="19F68029">
            <w:pPr>
              <w:adjustRightInd w:val="0"/>
              <w:snapToGrid w:val="0"/>
              <w:jc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USB 母座接口要求</w:t>
            </w:r>
          </w:p>
        </w:tc>
        <w:tc>
          <w:tcPr>
            <w:tcW w:w="3852" w:type="dxa"/>
            <w:vAlign w:val="center"/>
          </w:tcPr>
          <w:p w14:paraId="209F5959">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1C336481">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215F3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6B814017">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Segoe UI Symbol" w:hAnsi="Segoe UI Symbol" w:cs="Arial"/>
                <w:sz w:val="28"/>
                <w:szCs w:val="28"/>
              </w:rPr>
              <w:t>★</w:t>
            </w:r>
          </w:p>
        </w:tc>
        <w:tc>
          <w:tcPr>
            <w:tcW w:w="598" w:type="dxa"/>
            <w:vAlign w:val="center"/>
          </w:tcPr>
          <w:p w14:paraId="58849D21">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68</w:t>
            </w:r>
          </w:p>
        </w:tc>
        <w:tc>
          <w:tcPr>
            <w:tcW w:w="1176" w:type="dxa"/>
            <w:vAlign w:val="center"/>
          </w:tcPr>
          <w:p w14:paraId="728CCEAE">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1EE1E54B">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*外部接口规格</w:t>
            </w:r>
          </w:p>
        </w:tc>
        <w:tc>
          <w:tcPr>
            <w:tcW w:w="1508" w:type="dxa"/>
            <w:vAlign w:val="center"/>
          </w:tcPr>
          <w:p w14:paraId="5B26404B">
            <w:pPr>
              <w:adjustRightInd w:val="0"/>
              <w:snapToGrid w:val="0"/>
              <w:jc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*视频接口数量</w:t>
            </w:r>
          </w:p>
        </w:tc>
        <w:tc>
          <w:tcPr>
            <w:tcW w:w="3852" w:type="dxa"/>
            <w:vAlign w:val="center"/>
          </w:tcPr>
          <w:p w14:paraId="657D531D">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≥3</w:t>
            </w:r>
          </w:p>
        </w:tc>
        <w:tc>
          <w:tcPr>
            <w:tcW w:w="607" w:type="dxa"/>
            <w:vAlign w:val="center"/>
          </w:tcPr>
          <w:p w14:paraId="13EA5F85">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48247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5DFE8448">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Segoe UI Symbol" w:hAnsi="Segoe UI Symbol" w:cs="Arial"/>
                <w:sz w:val="28"/>
                <w:szCs w:val="28"/>
              </w:rPr>
              <w:t>★</w:t>
            </w:r>
          </w:p>
        </w:tc>
        <w:tc>
          <w:tcPr>
            <w:tcW w:w="598" w:type="dxa"/>
            <w:vAlign w:val="center"/>
          </w:tcPr>
          <w:p w14:paraId="0825AB1B">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69</w:t>
            </w:r>
          </w:p>
        </w:tc>
        <w:tc>
          <w:tcPr>
            <w:tcW w:w="1176" w:type="dxa"/>
            <w:vAlign w:val="center"/>
          </w:tcPr>
          <w:p w14:paraId="2821E255">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36F4A135">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*外部接口规格</w:t>
            </w:r>
          </w:p>
        </w:tc>
        <w:tc>
          <w:tcPr>
            <w:tcW w:w="1508" w:type="dxa"/>
            <w:vAlign w:val="center"/>
          </w:tcPr>
          <w:p w14:paraId="61D94F49">
            <w:pPr>
              <w:adjustRightInd w:val="0"/>
              <w:snapToGrid w:val="0"/>
              <w:jc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*音频接口数量</w:t>
            </w:r>
          </w:p>
        </w:tc>
        <w:tc>
          <w:tcPr>
            <w:tcW w:w="3852" w:type="dxa"/>
            <w:vAlign w:val="center"/>
          </w:tcPr>
          <w:p w14:paraId="68C385F9">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≥2</w:t>
            </w:r>
          </w:p>
        </w:tc>
        <w:tc>
          <w:tcPr>
            <w:tcW w:w="607" w:type="dxa"/>
            <w:vAlign w:val="center"/>
          </w:tcPr>
          <w:p w14:paraId="2FF79539">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78232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3A0A95B7">
            <w:pPr>
              <w:adjustRightInd w:val="0"/>
              <w:snapToGrid w:val="0"/>
              <w:jc w:val="center"/>
              <w:rPr>
                <w:rFonts w:ascii="仿宋_GB2312" w:eastAsia="仿宋_GB2312" w:hAnsiTheme="minorEastAsia" w:cstheme="minorEastAsia"/>
                <w:color w:val="auto"/>
                <w:sz w:val="28"/>
                <w:szCs w:val="28"/>
                <w:lang w:eastAsia="zh-CN"/>
              </w:rPr>
            </w:pPr>
            <w:r>
              <w:rPr>
                <w:rFonts w:ascii="Arial" w:hAnsi="Arial" w:cs="Arial"/>
                <w:sz w:val="28"/>
                <w:szCs w:val="28"/>
              </w:rPr>
              <w:t>　</w:t>
            </w:r>
          </w:p>
        </w:tc>
        <w:tc>
          <w:tcPr>
            <w:tcW w:w="598" w:type="dxa"/>
            <w:vAlign w:val="center"/>
          </w:tcPr>
          <w:p w14:paraId="431E6A3E">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70</w:t>
            </w:r>
          </w:p>
        </w:tc>
        <w:tc>
          <w:tcPr>
            <w:tcW w:w="1176" w:type="dxa"/>
            <w:vAlign w:val="center"/>
          </w:tcPr>
          <w:p w14:paraId="00DEA16C">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77E357FD">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*外部接口规格</w:t>
            </w:r>
          </w:p>
        </w:tc>
        <w:tc>
          <w:tcPr>
            <w:tcW w:w="1508" w:type="dxa"/>
            <w:vAlign w:val="center"/>
          </w:tcPr>
          <w:p w14:paraId="67B3881C">
            <w:pPr>
              <w:adjustRightInd w:val="0"/>
              <w:snapToGrid w:val="0"/>
              <w:jc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存储卡接口数量</w:t>
            </w:r>
          </w:p>
        </w:tc>
        <w:tc>
          <w:tcPr>
            <w:tcW w:w="3852" w:type="dxa"/>
            <w:vAlign w:val="center"/>
          </w:tcPr>
          <w:p w14:paraId="6D7981A5">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696F9139">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37046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620" w:type="dxa"/>
            <w:vAlign w:val="center"/>
          </w:tcPr>
          <w:p w14:paraId="76E8DC8F">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Segoe UI Symbol" w:hAnsi="Segoe UI Symbol" w:cs="Arial"/>
                <w:sz w:val="28"/>
                <w:szCs w:val="28"/>
              </w:rPr>
              <w:t>★</w:t>
            </w:r>
          </w:p>
        </w:tc>
        <w:tc>
          <w:tcPr>
            <w:tcW w:w="598" w:type="dxa"/>
            <w:vAlign w:val="center"/>
          </w:tcPr>
          <w:p w14:paraId="5E625774">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71</w:t>
            </w:r>
          </w:p>
        </w:tc>
        <w:tc>
          <w:tcPr>
            <w:tcW w:w="1176" w:type="dxa"/>
            <w:vAlign w:val="center"/>
          </w:tcPr>
          <w:p w14:paraId="7DC1E091">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11D11C4E">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*整机基础规格</w:t>
            </w:r>
          </w:p>
        </w:tc>
        <w:tc>
          <w:tcPr>
            <w:tcW w:w="1508" w:type="dxa"/>
            <w:vAlign w:val="center"/>
          </w:tcPr>
          <w:p w14:paraId="1E37991B">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*整机外观</w:t>
            </w:r>
          </w:p>
        </w:tc>
        <w:tc>
          <w:tcPr>
            <w:tcW w:w="3852" w:type="dxa"/>
            <w:vAlign w:val="center"/>
          </w:tcPr>
          <w:p w14:paraId="55F96032">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a)产品表面不应有凹痕、划伤、裂缝、变形和污染等。表面涂层均匀，不应起泡、龟裂、脱落和磨损，金属零部件无锈蚀及其它机械损伤；</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b)产品表面说明功能的文字、符号、标志，应清晰、端正、牢固</w:t>
            </w:r>
          </w:p>
        </w:tc>
        <w:tc>
          <w:tcPr>
            <w:tcW w:w="607" w:type="dxa"/>
            <w:vAlign w:val="center"/>
          </w:tcPr>
          <w:p w14:paraId="5AEC51A1">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5E246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E75B944">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Segoe UI Symbol" w:hAnsi="Segoe UI Symbol" w:cs="Arial"/>
                <w:sz w:val="28"/>
                <w:szCs w:val="28"/>
              </w:rPr>
              <w:t>★</w:t>
            </w:r>
          </w:p>
        </w:tc>
        <w:tc>
          <w:tcPr>
            <w:tcW w:w="598" w:type="dxa"/>
            <w:vAlign w:val="center"/>
          </w:tcPr>
          <w:p w14:paraId="455140F7">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72</w:t>
            </w:r>
          </w:p>
        </w:tc>
        <w:tc>
          <w:tcPr>
            <w:tcW w:w="1176" w:type="dxa"/>
            <w:vAlign w:val="center"/>
          </w:tcPr>
          <w:p w14:paraId="593626B6">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0D77EBF0">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*整机基础规格</w:t>
            </w:r>
          </w:p>
        </w:tc>
        <w:tc>
          <w:tcPr>
            <w:tcW w:w="1508" w:type="dxa"/>
            <w:vAlign w:val="center"/>
          </w:tcPr>
          <w:p w14:paraId="4CA3052B">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*状态指示灯</w:t>
            </w:r>
          </w:p>
        </w:tc>
        <w:tc>
          <w:tcPr>
            <w:tcW w:w="3852" w:type="dxa"/>
            <w:vAlign w:val="center"/>
          </w:tcPr>
          <w:p w14:paraId="250A1831">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在产品显著位置提供状态指示功能，如运行状态，并由供应商提供详细参数</w:t>
            </w:r>
          </w:p>
        </w:tc>
        <w:tc>
          <w:tcPr>
            <w:tcW w:w="607" w:type="dxa"/>
            <w:vAlign w:val="center"/>
          </w:tcPr>
          <w:p w14:paraId="0F4ED3EA">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2C73E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6E01E59">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Segoe UI Symbol" w:hAnsi="Segoe UI Symbol" w:cs="Arial"/>
                <w:sz w:val="28"/>
                <w:szCs w:val="28"/>
              </w:rPr>
              <w:t>★</w:t>
            </w:r>
          </w:p>
        </w:tc>
        <w:tc>
          <w:tcPr>
            <w:tcW w:w="598" w:type="dxa"/>
            <w:vAlign w:val="center"/>
          </w:tcPr>
          <w:p w14:paraId="4EF91100">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73</w:t>
            </w:r>
          </w:p>
        </w:tc>
        <w:tc>
          <w:tcPr>
            <w:tcW w:w="1176" w:type="dxa"/>
            <w:vAlign w:val="center"/>
          </w:tcPr>
          <w:p w14:paraId="440E1094">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6A9EE6F6">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*整机基础规格</w:t>
            </w:r>
          </w:p>
        </w:tc>
        <w:tc>
          <w:tcPr>
            <w:tcW w:w="1508" w:type="dxa"/>
            <w:vAlign w:val="center"/>
          </w:tcPr>
          <w:p w14:paraId="6D0F6C77">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*整机结构</w:t>
            </w:r>
          </w:p>
        </w:tc>
        <w:tc>
          <w:tcPr>
            <w:tcW w:w="3852" w:type="dxa"/>
            <w:vAlign w:val="center"/>
          </w:tcPr>
          <w:p w14:paraId="03C1102A">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a)机箱应符合GB/T4208、GB/T26246的相关规定；</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b)产品内部结构应符合通用部件的安装需求；</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c)所有输入输出接口应符合相关国家或行业标准；</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d)产品零部件应紧固无松动，可插拔部件应可靠连接，开关、按钮和其它控制部件应灵活可靠，布局应方便使用；</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e)所有I/O连接器及需插接线缆的部位应预留采购人操作空间，方便插拔解锁与插拔线缆；</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f)可插拔板卡插槽部位应预留安装、拆卸或更换板卡空间；</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g)拆装可能接触到的金属剪口或金属尖角部位应做防划伤处理，以保证安全；</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h)整机内部走线应规整，固线结构和位置要合理可靠并做防割线处理，需便于理线和插拔操作，走线应不影响系统各主要部件组装和拆卸；</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i)如需通过孔走线，过线孔应做防割线处理；</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j)各插头位置和插拔方向应合理，应做到插拔无障碍设计，具备防呆设计，有效避免误操作；</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k)各主要部件拆装无障碍，使用常规工具拆装，无特殊拆装工具需求；</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l)各主要部件拆装步骤要少，各自拆装需避免相互干扰；</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m)对于整机或零部件外表面为高亮面的，应粘贴保护膜，保护膜需粘贴牢固，运输、组装等过程不易脱落，撕下无残留；</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n)其它要求应符合GB/T9813.1的相关规定</w:t>
            </w:r>
          </w:p>
        </w:tc>
        <w:tc>
          <w:tcPr>
            <w:tcW w:w="607" w:type="dxa"/>
            <w:vAlign w:val="center"/>
          </w:tcPr>
          <w:p w14:paraId="2095C35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A967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620" w:type="dxa"/>
            <w:vAlign w:val="center"/>
          </w:tcPr>
          <w:p w14:paraId="7589CB19">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4241867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74</w:t>
            </w:r>
          </w:p>
        </w:tc>
        <w:tc>
          <w:tcPr>
            <w:tcW w:w="1176" w:type="dxa"/>
            <w:vAlign w:val="center"/>
          </w:tcPr>
          <w:p w14:paraId="66CFDA1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4EEEAF46">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*整机基础规格</w:t>
            </w:r>
          </w:p>
        </w:tc>
        <w:tc>
          <w:tcPr>
            <w:tcW w:w="1508" w:type="dxa"/>
            <w:vAlign w:val="center"/>
          </w:tcPr>
          <w:p w14:paraId="35C6E121">
            <w:pPr>
              <w:adjustRightInd w:val="0"/>
              <w:snapToGrid w:val="0"/>
              <w:jc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*机箱防护要求</w:t>
            </w:r>
          </w:p>
        </w:tc>
        <w:tc>
          <w:tcPr>
            <w:tcW w:w="3852" w:type="dxa"/>
            <w:vAlign w:val="center"/>
          </w:tcPr>
          <w:p w14:paraId="29B77A85">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机箱应符合GB/T4208中IP20防护要求</w:t>
            </w:r>
          </w:p>
        </w:tc>
        <w:tc>
          <w:tcPr>
            <w:tcW w:w="607" w:type="dxa"/>
            <w:vAlign w:val="center"/>
          </w:tcPr>
          <w:p w14:paraId="7EE3F76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A68B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20" w:type="dxa"/>
            <w:vAlign w:val="center"/>
          </w:tcPr>
          <w:p w14:paraId="4A74B129">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79BD600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75</w:t>
            </w:r>
          </w:p>
        </w:tc>
        <w:tc>
          <w:tcPr>
            <w:tcW w:w="1176" w:type="dxa"/>
            <w:vAlign w:val="center"/>
          </w:tcPr>
          <w:p w14:paraId="711A39E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162CE7EE">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*整机基础规格</w:t>
            </w:r>
          </w:p>
        </w:tc>
        <w:tc>
          <w:tcPr>
            <w:tcW w:w="1508" w:type="dxa"/>
            <w:vAlign w:val="center"/>
          </w:tcPr>
          <w:p w14:paraId="53CA5D2B">
            <w:pPr>
              <w:adjustRightInd w:val="0"/>
              <w:snapToGrid w:val="0"/>
              <w:jc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*整机噪音</w:t>
            </w:r>
          </w:p>
        </w:tc>
        <w:tc>
          <w:tcPr>
            <w:tcW w:w="3852" w:type="dxa"/>
            <w:vAlign w:val="center"/>
          </w:tcPr>
          <w:p w14:paraId="15650DF2">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产品工作在空闲状态下，产品的声功率级应不超过4.5Bel</w:t>
            </w:r>
          </w:p>
        </w:tc>
        <w:tc>
          <w:tcPr>
            <w:tcW w:w="607" w:type="dxa"/>
            <w:vAlign w:val="center"/>
          </w:tcPr>
          <w:p w14:paraId="60D4AFC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3217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4" w:hRule="atLeast"/>
          <w:jc w:val="center"/>
        </w:trPr>
        <w:tc>
          <w:tcPr>
            <w:tcW w:w="620" w:type="dxa"/>
            <w:vAlign w:val="center"/>
          </w:tcPr>
          <w:p w14:paraId="7F759043">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5C2C4BE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76</w:t>
            </w:r>
          </w:p>
        </w:tc>
        <w:tc>
          <w:tcPr>
            <w:tcW w:w="1176" w:type="dxa"/>
            <w:vAlign w:val="center"/>
          </w:tcPr>
          <w:p w14:paraId="2A69D16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38929A55">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*整机基础规格</w:t>
            </w:r>
          </w:p>
        </w:tc>
        <w:tc>
          <w:tcPr>
            <w:tcW w:w="1508" w:type="dxa"/>
            <w:vAlign w:val="center"/>
          </w:tcPr>
          <w:p w14:paraId="6B3780C6">
            <w:pPr>
              <w:adjustRightInd w:val="0"/>
              <w:snapToGrid w:val="0"/>
              <w:jc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*整机散热</w:t>
            </w:r>
          </w:p>
        </w:tc>
        <w:tc>
          <w:tcPr>
            <w:tcW w:w="3852" w:type="dxa"/>
            <w:vAlign w:val="center"/>
          </w:tcPr>
          <w:p w14:paraId="4B541A39">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在环境温度25℃及处理器满载情况下，产品表面温度应符合如下要求：</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a)出风口在机箱后面板情况下，出风口温度不高于55℃;</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b)可触及面温度不高于45℃;</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c)显示器表面温度：显示屏不高于38℃,显示屏上下灯带位置温度（如涉及）不高于40℃,出风口温度不高于45℃</w:t>
            </w:r>
          </w:p>
        </w:tc>
        <w:tc>
          <w:tcPr>
            <w:tcW w:w="607" w:type="dxa"/>
            <w:vAlign w:val="center"/>
          </w:tcPr>
          <w:p w14:paraId="747EE4E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38397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7513C7F3">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12EAB30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77</w:t>
            </w:r>
          </w:p>
        </w:tc>
        <w:tc>
          <w:tcPr>
            <w:tcW w:w="1176" w:type="dxa"/>
            <w:vAlign w:val="center"/>
          </w:tcPr>
          <w:p w14:paraId="50E225C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0ECFF2CD">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*整机基础规格</w:t>
            </w:r>
          </w:p>
        </w:tc>
        <w:tc>
          <w:tcPr>
            <w:tcW w:w="1508" w:type="dxa"/>
            <w:vAlign w:val="center"/>
          </w:tcPr>
          <w:p w14:paraId="5AA25C17">
            <w:pPr>
              <w:adjustRightInd w:val="0"/>
              <w:snapToGrid w:val="0"/>
              <w:jc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*整机能效限定值</w:t>
            </w:r>
          </w:p>
        </w:tc>
        <w:tc>
          <w:tcPr>
            <w:tcW w:w="3852" w:type="dxa"/>
            <w:vAlign w:val="center"/>
          </w:tcPr>
          <w:p w14:paraId="21B3D259">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产品能效限定值应达到GB28380-2012标准中能效等级2级及以上</w:t>
            </w:r>
          </w:p>
        </w:tc>
        <w:tc>
          <w:tcPr>
            <w:tcW w:w="607" w:type="dxa"/>
            <w:vAlign w:val="center"/>
          </w:tcPr>
          <w:p w14:paraId="0A995AB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3E1B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0ED63B58">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4BAF694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78</w:t>
            </w:r>
          </w:p>
        </w:tc>
        <w:tc>
          <w:tcPr>
            <w:tcW w:w="1176" w:type="dxa"/>
            <w:vAlign w:val="center"/>
          </w:tcPr>
          <w:p w14:paraId="236769A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514C9B08">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*整机基础规格</w:t>
            </w:r>
          </w:p>
        </w:tc>
        <w:tc>
          <w:tcPr>
            <w:tcW w:w="1508" w:type="dxa"/>
            <w:vAlign w:val="center"/>
          </w:tcPr>
          <w:p w14:paraId="02E475AD">
            <w:pPr>
              <w:adjustRightInd w:val="0"/>
              <w:snapToGrid w:val="0"/>
              <w:jc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*机身材质</w:t>
            </w:r>
          </w:p>
        </w:tc>
        <w:tc>
          <w:tcPr>
            <w:tcW w:w="3852" w:type="dxa"/>
            <w:vAlign w:val="center"/>
          </w:tcPr>
          <w:p w14:paraId="11831351">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金属</w:t>
            </w:r>
          </w:p>
        </w:tc>
        <w:tc>
          <w:tcPr>
            <w:tcW w:w="607" w:type="dxa"/>
            <w:vAlign w:val="center"/>
          </w:tcPr>
          <w:p w14:paraId="6C88B70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0916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15E29CAE">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31A172C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79</w:t>
            </w:r>
          </w:p>
        </w:tc>
        <w:tc>
          <w:tcPr>
            <w:tcW w:w="1176" w:type="dxa"/>
            <w:vAlign w:val="center"/>
          </w:tcPr>
          <w:p w14:paraId="19BC7B7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6ED9F2F3">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*整机基础规格</w:t>
            </w:r>
          </w:p>
        </w:tc>
        <w:tc>
          <w:tcPr>
            <w:tcW w:w="1508" w:type="dxa"/>
            <w:vAlign w:val="center"/>
          </w:tcPr>
          <w:p w14:paraId="3A4A493E">
            <w:pPr>
              <w:adjustRightInd w:val="0"/>
              <w:snapToGrid w:val="0"/>
              <w:jc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*机身颜色</w:t>
            </w:r>
          </w:p>
        </w:tc>
        <w:tc>
          <w:tcPr>
            <w:tcW w:w="3852" w:type="dxa"/>
            <w:vAlign w:val="center"/>
          </w:tcPr>
          <w:p w14:paraId="4EE897D4">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黑色</w:t>
            </w:r>
          </w:p>
        </w:tc>
        <w:tc>
          <w:tcPr>
            <w:tcW w:w="607" w:type="dxa"/>
            <w:vAlign w:val="center"/>
          </w:tcPr>
          <w:p w14:paraId="4C1584B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3E462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14EEE2F9">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2B86226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80</w:t>
            </w:r>
          </w:p>
        </w:tc>
        <w:tc>
          <w:tcPr>
            <w:tcW w:w="1176" w:type="dxa"/>
            <w:vAlign w:val="center"/>
          </w:tcPr>
          <w:p w14:paraId="53E3A3B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5F0D51F7">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*整机基础规格</w:t>
            </w:r>
          </w:p>
        </w:tc>
        <w:tc>
          <w:tcPr>
            <w:tcW w:w="1508" w:type="dxa"/>
            <w:vAlign w:val="center"/>
          </w:tcPr>
          <w:p w14:paraId="1D0E5570">
            <w:pPr>
              <w:adjustRightInd w:val="0"/>
              <w:snapToGrid w:val="0"/>
              <w:jc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*机箱尺寸容量</w:t>
            </w:r>
          </w:p>
        </w:tc>
        <w:tc>
          <w:tcPr>
            <w:tcW w:w="3852" w:type="dxa"/>
            <w:vAlign w:val="center"/>
          </w:tcPr>
          <w:p w14:paraId="49F061F5">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机箱体积应不大于30L</w:t>
            </w:r>
          </w:p>
        </w:tc>
        <w:tc>
          <w:tcPr>
            <w:tcW w:w="607" w:type="dxa"/>
            <w:vAlign w:val="center"/>
          </w:tcPr>
          <w:p w14:paraId="25EADDA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FBAE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2559EA66">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05821B9B">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81</w:t>
            </w:r>
          </w:p>
        </w:tc>
        <w:tc>
          <w:tcPr>
            <w:tcW w:w="1176" w:type="dxa"/>
            <w:vAlign w:val="center"/>
          </w:tcPr>
          <w:p w14:paraId="6B69C6E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54004B3B">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*CPU性能</w:t>
            </w:r>
          </w:p>
        </w:tc>
        <w:tc>
          <w:tcPr>
            <w:tcW w:w="1508" w:type="dxa"/>
            <w:vAlign w:val="center"/>
          </w:tcPr>
          <w:p w14:paraId="2A530302">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*CPU 物理核数</w:t>
            </w:r>
          </w:p>
        </w:tc>
        <w:tc>
          <w:tcPr>
            <w:tcW w:w="3852" w:type="dxa"/>
            <w:vAlign w:val="center"/>
          </w:tcPr>
          <w:p w14:paraId="4DA71EC5">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r>
              <w:rPr>
                <w:rFonts w:ascii="仿宋_GB2312" w:hAnsi="Arial" w:eastAsia="仿宋_GB2312" w:cs="Arial"/>
                <w:sz w:val="28"/>
                <w:szCs w:val="28"/>
                <w:lang w:val="en-US" w:eastAsia="zh-CN"/>
              </w:rPr>
              <w:t>10</w:t>
            </w:r>
          </w:p>
        </w:tc>
        <w:tc>
          <w:tcPr>
            <w:tcW w:w="607" w:type="dxa"/>
            <w:vAlign w:val="center"/>
          </w:tcPr>
          <w:p w14:paraId="1F544A8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7FBC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4188F418">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3E09247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82</w:t>
            </w:r>
          </w:p>
        </w:tc>
        <w:tc>
          <w:tcPr>
            <w:tcW w:w="1176" w:type="dxa"/>
            <w:vAlign w:val="center"/>
          </w:tcPr>
          <w:p w14:paraId="7FC9E59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7F78C5D0">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*CPU性能</w:t>
            </w:r>
          </w:p>
        </w:tc>
        <w:tc>
          <w:tcPr>
            <w:tcW w:w="1508" w:type="dxa"/>
            <w:vAlign w:val="center"/>
          </w:tcPr>
          <w:p w14:paraId="5749AA2E">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*CPU 主频</w:t>
            </w:r>
          </w:p>
        </w:tc>
        <w:tc>
          <w:tcPr>
            <w:tcW w:w="3852" w:type="dxa"/>
            <w:vAlign w:val="center"/>
          </w:tcPr>
          <w:p w14:paraId="40129D06">
            <w:pPr>
              <w:adjustRightInd w:val="0"/>
              <w:snapToGrid w:val="0"/>
              <w:jc w:val="left"/>
              <w:textAlignment w:val="center"/>
              <w:rPr>
                <w:rStyle w:val="288"/>
                <w:rFonts w:ascii="仿宋_GB2312" w:eastAsia="仿宋_GB2312" w:hAnsiTheme="minorEastAsia" w:cstheme="minorEastAsia"/>
                <w:color w:val="auto"/>
                <w:sz w:val="28"/>
                <w:szCs w:val="28"/>
                <w:lang w:val="en-US" w:eastAsia="zh-CN" w:bidi="ar"/>
              </w:rPr>
            </w:pPr>
            <w:r>
              <w:rPr>
                <w:rFonts w:ascii="仿宋_GB2312" w:hAnsi="Arial" w:eastAsia="仿宋_GB2312" w:cs="Arial"/>
                <w:sz w:val="28"/>
                <w:szCs w:val="28"/>
              </w:rPr>
              <w:t>≥</w:t>
            </w:r>
            <w:r>
              <w:rPr>
                <w:rFonts w:ascii="仿宋_GB2312" w:hAnsi="Arial" w:eastAsia="仿宋_GB2312" w:cs="Arial"/>
                <w:sz w:val="28"/>
                <w:szCs w:val="28"/>
                <w:lang w:val="en-US" w:eastAsia="zh-CN"/>
              </w:rPr>
              <w:t>2.5</w:t>
            </w:r>
            <w:r>
              <w:rPr>
                <w:rFonts w:ascii="仿宋_GB2312" w:hAnsi="Arial" w:eastAsia="仿宋_GB2312" w:cs="Arial"/>
                <w:sz w:val="28"/>
                <w:szCs w:val="28"/>
              </w:rPr>
              <w:t>GHz，睿频≥</w:t>
            </w:r>
            <w:r>
              <w:rPr>
                <w:rFonts w:ascii="仿宋_GB2312" w:hAnsi="Arial" w:eastAsia="仿宋_GB2312" w:cs="Arial"/>
                <w:sz w:val="28"/>
                <w:szCs w:val="28"/>
                <w:lang w:val="en-US" w:eastAsia="zh-CN"/>
              </w:rPr>
              <w:t>4.6</w:t>
            </w:r>
            <w:r>
              <w:rPr>
                <w:rFonts w:ascii="仿宋_GB2312" w:hAnsi="Arial" w:eastAsia="仿宋_GB2312" w:cs="Arial"/>
                <w:sz w:val="28"/>
                <w:szCs w:val="28"/>
              </w:rPr>
              <w:t>GHz</w:t>
            </w:r>
          </w:p>
        </w:tc>
        <w:tc>
          <w:tcPr>
            <w:tcW w:w="607" w:type="dxa"/>
            <w:vAlign w:val="center"/>
          </w:tcPr>
          <w:p w14:paraId="251EC1C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950B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0075F369">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4807AD0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83</w:t>
            </w:r>
          </w:p>
        </w:tc>
        <w:tc>
          <w:tcPr>
            <w:tcW w:w="1176" w:type="dxa"/>
            <w:vAlign w:val="center"/>
          </w:tcPr>
          <w:p w14:paraId="6985D3F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4E226C2C">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*CPU性能</w:t>
            </w:r>
          </w:p>
        </w:tc>
        <w:tc>
          <w:tcPr>
            <w:tcW w:w="1508" w:type="dxa"/>
            <w:vAlign w:val="center"/>
          </w:tcPr>
          <w:p w14:paraId="199CB6F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*CPU 末级缓存容量</w:t>
            </w:r>
          </w:p>
        </w:tc>
        <w:tc>
          <w:tcPr>
            <w:tcW w:w="3852" w:type="dxa"/>
            <w:vAlign w:val="center"/>
          </w:tcPr>
          <w:p w14:paraId="2C23F98C">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r>
              <w:rPr>
                <w:rFonts w:ascii="仿宋_GB2312" w:hAnsi="Arial" w:eastAsia="仿宋_GB2312" w:cs="Arial"/>
                <w:sz w:val="28"/>
                <w:szCs w:val="28"/>
                <w:lang w:val="en-US" w:eastAsia="zh-CN"/>
              </w:rPr>
              <w:t>20</w:t>
            </w:r>
            <w:r>
              <w:rPr>
                <w:rFonts w:ascii="仿宋_GB2312" w:hAnsi="Arial" w:eastAsia="仿宋_GB2312" w:cs="Arial"/>
                <w:sz w:val="28"/>
                <w:szCs w:val="28"/>
              </w:rPr>
              <w:t>MB</w:t>
            </w:r>
          </w:p>
        </w:tc>
        <w:tc>
          <w:tcPr>
            <w:tcW w:w="607" w:type="dxa"/>
            <w:vAlign w:val="center"/>
          </w:tcPr>
          <w:p w14:paraId="7B29453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DF71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27B4C021">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5C3B77B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84</w:t>
            </w:r>
          </w:p>
        </w:tc>
        <w:tc>
          <w:tcPr>
            <w:tcW w:w="1176" w:type="dxa"/>
            <w:vAlign w:val="center"/>
          </w:tcPr>
          <w:p w14:paraId="706DB85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3C45FFA1">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*CPU性能</w:t>
            </w:r>
          </w:p>
        </w:tc>
        <w:tc>
          <w:tcPr>
            <w:tcW w:w="1508" w:type="dxa"/>
            <w:vAlign w:val="center"/>
          </w:tcPr>
          <w:p w14:paraId="646CA079">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*CPU 支持的内存最高速率</w:t>
            </w:r>
          </w:p>
        </w:tc>
        <w:tc>
          <w:tcPr>
            <w:tcW w:w="3852" w:type="dxa"/>
            <w:vAlign w:val="center"/>
          </w:tcPr>
          <w:p w14:paraId="36552BC2">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≥3200MT/s</w:t>
            </w:r>
          </w:p>
        </w:tc>
        <w:tc>
          <w:tcPr>
            <w:tcW w:w="607" w:type="dxa"/>
            <w:vAlign w:val="center"/>
          </w:tcPr>
          <w:p w14:paraId="7C7C773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7E6B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1B30E1ED">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3D580595">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85</w:t>
            </w:r>
          </w:p>
        </w:tc>
        <w:tc>
          <w:tcPr>
            <w:tcW w:w="1176" w:type="dxa"/>
            <w:vAlign w:val="center"/>
          </w:tcPr>
          <w:p w14:paraId="74DAFFB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1091007A">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*内存性能</w:t>
            </w:r>
          </w:p>
        </w:tc>
        <w:tc>
          <w:tcPr>
            <w:tcW w:w="1508" w:type="dxa"/>
            <w:vAlign w:val="center"/>
          </w:tcPr>
          <w:p w14:paraId="25CBF880">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*内存读写速率</w:t>
            </w:r>
          </w:p>
        </w:tc>
        <w:tc>
          <w:tcPr>
            <w:tcW w:w="3852" w:type="dxa"/>
            <w:vAlign w:val="center"/>
          </w:tcPr>
          <w:p w14:paraId="1D091879">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≥3200MT/s</w:t>
            </w:r>
          </w:p>
        </w:tc>
        <w:tc>
          <w:tcPr>
            <w:tcW w:w="607" w:type="dxa"/>
            <w:vAlign w:val="center"/>
          </w:tcPr>
          <w:p w14:paraId="00FCA8D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53CF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6A06F002">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27326C9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86</w:t>
            </w:r>
          </w:p>
        </w:tc>
        <w:tc>
          <w:tcPr>
            <w:tcW w:w="1176" w:type="dxa"/>
            <w:vAlign w:val="center"/>
          </w:tcPr>
          <w:p w14:paraId="547CE45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56502D93">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*显卡性能</w:t>
            </w:r>
          </w:p>
        </w:tc>
        <w:tc>
          <w:tcPr>
            <w:tcW w:w="1508" w:type="dxa"/>
            <w:vAlign w:val="center"/>
          </w:tcPr>
          <w:p w14:paraId="5CF1500B">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*显示分辨率</w:t>
            </w:r>
          </w:p>
        </w:tc>
        <w:tc>
          <w:tcPr>
            <w:tcW w:w="3852" w:type="dxa"/>
            <w:vAlign w:val="center"/>
          </w:tcPr>
          <w:p w14:paraId="3098A890">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≥1920x1080</w:t>
            </w:r>
          </w:p>
        </w:tc>
        <w:tc>
          <w:tcPr>
            <w:tcW w:w="607" w:type="dxa"/>
            <w:vAlign w:val="center"/>
          </w:tcPr>
          <w:p w14:paraId="6B876BB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00ED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4F489DC4">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2FD9560D">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87</w:t>
            </w:r>
          </w:p>
        </w:tc>
        <w:tc>
          <w:tcPr>
            <w:tcW w:w="1176" w:type="dxa"/>
            <w:vAlign w:val="center"/>
          </w:tcPr>
          <w:p w14:paraId="3FC6EF2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4DD0F751">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*显卡性能</w:t>
            </w:r>
          </w:p>
        </w:tc>
        <w:tc>
          <w:tcPr>
            <w:tcW w:w="1508" w:type="dxa"/>
            <w:vAlign w:val="center"/>
          </w:tcPr>
          <w:p w14:paraId="64ACC3F4">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*显卡显示芯片核心频率</w:t>
            </w:r>
          </w:p>
        </w:tc>
        <w:tc>
          <w:tcPr>
            <w:tcW w:w="3852" w:type="dxa"/>
            <w:vAlign w:val="center"/>
          </w:tcPr>
          <w:p w14:paraId="52E64633">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≥350MHz</w:t>
            </w:r>
          </w:p>
        </w:tc>
        <w:tc>
          <w:tcPr>
            <w:tcW w:w="607" w:type="dxa"/>
            <w:vAlign w:val="center"/>
          </w:tcPr>
          <w:p w14:paraId="671FF53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60E6C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63FD57C6">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091D415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88</w:t>
            </w:r>
          </w:p>
        </w:tc>
        <w:tc>
          <w:tcPr>
            <w:tcW w:w="1176" w:type="dxa"/>
            <w:vAlign w:val="center"/>
          </w:tcPr>
          <w:p w14:paraId="42615EF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2C85A6FD">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*显卡性能</w:t>
            </w:r>
          </w:p>
        </w:tc>
        <w:tc>
          <w:tcPr>
            <w:tcW w:w="1508" w:type="dxa"/>
            <w:vAlign w:val="center"/>
          </w:tcPr>
          <w:p w14:paraId="1E640FA7">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*显存等效频率</w:t>
            </w:r>
          </w:p>
        </w:tc>
        <w:tc>
          <w:tcPr>
            <w:tcW w:w="3852" w:type="dxa"/>
            <w:vAlign w:val="center"/>
          </w:tcPr>
          <w:p w14:paraId="7FB9480A">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≥1000MT/s</w:t>
            </w:r>
          </w:p>
        </w:tc>
        <w:tc>
          <w:tcPr>
            <w:tcW w:w="607" w:type="dxa"/>
            <w:vAlign w:val="center"/>
          </w:tcPr>
          <w:p w14:paraId="020DA7B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1AFD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620" w:type="dxa"/>
            <w:vAlign w:val="center"/>
          </w:tcPr>
          <w:p w14:paraId="11965DFE">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50A0934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89</w:t>
            </w:r>
          </w:p>
        </w:tc>
        <w:tc>
          <w:tcPr>
            <w:tcW w:w="1176" w:type="dxa"/>
            <w:vAlign w:val="center"/>
          </w:tcPr>
          <w:p w14:paraId="3B3E882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68FACC1C">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*显卡性能</w:t>
            </w:r>
          </w:p>
        </w:tc>
        <w:tc>
          <w:tcPr>
            <w:tcW w:w="1508" w:type="dxa"/>
            <w:vAlign w:val="center"/>
          </w:tcPr>
          <w:p w14:paraId="78753CFD">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*显卡可支持多屏同时显示数量</w:t>
            </w:r>
          </w:p>
        </w:tc>
        <w:tc>
          <w:tcPr>
            <w:tcW w:w="3852" w:type="dxa"/>
            <w:vAlign w:val="center"/>
          </w:tcPr>
          <w:p w14:paraId="44B1A88D">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显卡应支持2块屏幕同时显示，分辨率应不低于1920×1080</w:t>
            </w:r>
          </w:p>
        </w:tc>
        <w:tc>
          <w:tcPr>
            <w:tcW w:w="607" w:type="dxa"/>
            <w:vAlign w:val="center"/>
          </w:tcPr>
          <w:p w14:paraId="6E9BFFC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2547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20" w:type="dxa"/>
            <w:vAlign w:val="center"/>
          </w:tcPr>
          <w:p w14:paraId="016B9167">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16B5C1C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90</w:t>
            </w:r>
          </w:p>
        </w:tc>
        <w:tc>
          <w:tcPr>
            <w:tcW w:w="1176" w:type="dxa"/>
            <w:vAlign w:val="center"/>
          </w:tcPr>
          <w:p w14:paraId="55D8EE2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7E3620BA">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*显示设备性能</w:t>
            </w:r>
          </w:p>
        </w:tc>
        <w:tc>
          <w:tcPr>
            <w:tcW w:w="1508" w:type="dxa"/>
            <w:vAlign w:val="center"/>
          </w:tcPr>
          <w:p w14:paraId="7D928923">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*显示屏刷新率</w:t>
            </w:r>
          </w:p>
        </w:tc>
        <w:tc>
          <w:tcPr>
            <w:tcW w:w="3852" w:type="dxa"/>
            <w:vAlign w:val="center"/>
          </w:tcPr>
          <w:p w14:paraId="79A3F06F">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≥75Hz</w:t>
            </w:r>
          </w:p>
        </w:tc>
        <w:tc>
          <w:tcPr>
            <w:tcW w:w="607" w:type="dxa"/>
            <w:vAlign w:val="center"/>
          </w:tcPr>
          <w:p w14:paraId="214BC1B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364C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2CE9BC3C">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1DE70CD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91</w:t>
            </w:r>
          </w:p>
        </w:tc>
        <w:tc>
          <w:tcPr>
            <w:tcW w:w="1176" w:type="dxa"/>
            <w:vAlign w:val="center"/>
          </w:tcPr>
          <w:p w14:paraId="43E51D3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479E2018">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*显示设备性能</w:t>
            </w:r>
          </w:p>
        </w:tc>
        <w:tc>
          <w:tcPr>
            <w:tcW w:w="1508" w:type="dxa"/>
            <w:vAlign w:val="center"/>
          </w:tcPr>
          <w:p w14:paraId="18420825">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*显示屏位深</w:t>
            </w:r>
          </w:p>
        </w:tc>
        <w:tc>
          <w:tcPr>
            <w:tcW w:w="3852" w:type="dxa"/>
            <w:vAlign w:val="center"/>
          </w:tcPr>
          <w:p w14:paraId="383F3B99">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≥8位</w:t>
            </w:r>
          </w:p>
        </w:tc>
        <w:tc>
          <w:tcPr>
            <w:tcW w:w="607" w:type="dxa"/>
            <w:vAlign w:val="center"/>
          </w:tcPr>
          <w:p w14:paraId="6CDE335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15C2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6BC80E3A">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74D6B34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92</w:t>
            </w:r>
          </w:p>
        </w:tc>
        <w:tc>
          <w:tcPr>
            <w:tcW w:w="1176" w:type="dxa"/>
            <w:vAlign w:val="center"/>
          </w:tcPr>
          <w:p w14:paraId="6BA81CA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2B5F401B">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*显示设备性能</w:t>
            </w:r>
          </w:p>
        </w:tc>
        <w:tc>
          <w:tcPr>
            <w:tcW w:w="1508" w:type="dxa"/>
            <w:vAlign w:val="center"/>
          </w:tcPr>
          <w:p w14:paraId="002B09C7">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*显示屏色域</w:t>
            </w:r>
          </w:p>
        </w:tc>
        <w:tc>
          <w:tcPr>
            <w:tcW w:w="3852" w:type="dxa"/>
            <w:vAlign w:val="center"/>
          </w:tcPr>
          <w:p w14:paraId="0E22D317">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≥99%sRGB</w:t>
            </w:r>
          </w:p>
        </w:tc>
        <w:tc>
          <w:tcPr>
            <w:tcW w:w="607" w:type="dxa"/>
            <w:vAlign w:val="center"/>
          </w:tcPr>
          <w:p w14:paraId="6908CAE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8F8F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17E20F2E">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566D06FD">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93</w:t>
            </w:r>
          </w:p>
        </w:tc>
        <w:tc>
          <w:tcPr>
            <w:tcW w:w="1176" w:type="dxa"/>
            <w:vAlign w:val="center"/>
          </w:tcPr>
          <w:p w14:paraId="2FB2095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5C1D9BAF">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*显示设备性能</w:t>
            </w:r>
          </w:p>
        </w:tc>
        <w:tc>
          <w:tcPr>
            <w:tcW w:w="1508" w:type="dxa"/>
            <w:vAlign w:val="center"/>
          </w:tcPr>
          <w:p w14:paraId="76EA682E">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*显示屏色准</w:t>
            </w:r>
          </w:p>
        </w:tc>
        <w:tc>
          <w:tcPr>
            <w:tcW w:w="3852" w:type="dxa"/>
            <w:vAlign w:val="center"/>
          </w:tcPr>
          <w:p w14:paraId="19ABA439">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△E≤4</w:t>
            </w:r>
          </w:p>
        </w:tc>
        <w:tc>
          <w:tcPr>
            <w:tcW w:w="607" w:type="dxa"/>
            <w:vAlign w:val="center"/>
          </w:tcPr>
          <w:p w14:paraId="68C7EDC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8FD3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20" w:type="dxa"/>
            <w:vAlign w:val="center"/>
          </w:tcPr>
          <w:p w14:paraId="622E7E8A">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2CB9592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94</w:t>
            </w:r>
          </w:p>
        </w:tc>
        <w:tc>
          <w:tcPr>
            <w:tcW w:w="1176" w:type="dxa"/>
            <w:vAlign w:val="center"/>
          </w:tcPr>
          <w:p w14:paraId="5D9D67D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7AA63C15">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*显示设备性能</w:t>
            </w:r>
          </w:p>
        </w:tc>
        <w:tc>
          <w:tcPr>
            <w:tcW w:w="1508" w:type="dxa"/>
            <w:vAlign w:val="center"/>
          </w:tcPr>
          <w:p w14:paraId="565BF7AD">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*显示屏响应时间</w:t>
            </w:r>
          </w:p>
        </w:tc>
        <w:tc>
          <w:tcPr>
            <w:tcW w:w="3852" w:type="dxa"/>
            <w:vAlign w:val="center"/>
          </w:tcPr>
          <w:p w14:paraId="2139800A">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≤8ms</w:t>
            </w:r>
          </w:p>
        </w:tc>
        <w:tc>
          <w:tcPr>
            <w:tcW w:w="607" w:type="dxa"/>
            <w:vAlign w:val="center"/>
          </w:tcPr>
          <w:p w14:paraId="35F1D17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8B63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451F5F94">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5FA27D4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95</w:t>
            </w:r>
          </w:p>
        </w:tc>
        <w:tc>
          <w:tcPr>
            <w:tcW w:w="1176" w:type="dxa"/>
            <w:vAlign w:val="center"/>
          </w:tcPr>
          <w:p w14:paraId="77AC84F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30772F09">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*显示设备性能</w:t>
            </w:r>
          </w:p>
        </w:tc>
        <w:tc>
          <w:tcPr>
            <w:tcW w:w="1508" w:type="dxa"/>
            <w:vAlign w:val="center"/>
          </w:tcPr>
          <w:p w14:paraId="6754449C">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*显示屏亮度</w:t>
            </w:r>
          </w:p>
        </w:tc>
        <w:tc>
          <w:tcPr>
            <w:tcW w:w="3852" w:type="dxa"/>
            <w:vAlign w:val="center"/>
          </w:tcPr>
          <w:p w14:paraId="26D8F46F">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≥250尼特</w:t>
            </w:r>
          </w:p>
        </w:tc>
        <w:tc>
          <w:tcPr>
            <w:tcW w:w="607" w:type="dxa"/>
            <w:vAlign w:val="center"/>
          </w:tcPr>
          <w:p w14:paraId="6C25FF0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5166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5145FC2D">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04E832CD">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96</w:t>
            </w:r>
          </w:p>
        </w:tc>
        <w:tc>
          <w:tcPr>
            <w:tcW w:w="1176" w:type="dxa"/>
            <w:vAlign w:val="center"/>
          </w:tcPr>
          <w:p w14:paraId="5AF19DE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02430F3F">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*显示设备性能</w:t>
            </w:r>
          </w:p>
        </w:tc>
        <w:tc>
          <w:tcPr>
            <w:tcW w:w="1508" w:type="dxa"/>
            <w:vAlign w:val="center"/>
          </w:tcPr>
          <w:p w14:paraId="61AC8813">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*显示屏亮度一致性</w:t>
            </w:r>
          </w:p>
        </w:tc>
        <w:tc>
          <w:tcPr>
            <w:tcW w:w="3852" w:type="dxa"/>
            <w:vAlign w:val="center"/>
          </w:tcPr>
          <w:p w14:paraId="32ED36D8">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≥70%</w:t>
            </w:r>
          </w:p>
        </w:tc>
        <w:tc>
          <w:tcPr>
            <w:tcW w:w="607" w:type="dxa"/>
            <w:vAlign w:val="center"/>
          </w:tcPr>
          <w:p w14:paraId="515DC33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6FE33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1787A9C9">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4A893F70">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97</w:t>
            </w:r>
          </w:p>
        </w:tc>
        <w:tc>
          <w:tcPr>
            <w:tcW w:w="1176" w:type="dxa"/>
            <w:vAlign w:val="center"/>
          </w:tcPr>
          <w:p w14:paraId="0E53871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3572BB00">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*显示设备性能</w:t>
            </w:r>
          </w:p>
        </w:tc>
        <w:tc>
          <w:tcPr>
            <w:tcW w:w="1508" w:type="dxa"/>
            <w:vAlign w:val="center"/>
          </w:tcPr>
          <w:p w14:paraId="0D7CBE94">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*显示屏对比度</w:t>
            </w:r>
          </w:p>
        </w:tc>
        <w:tc>
          <w:tcPr>
            <w:tcW w:w="3852" w:type="dxa"/>
            <w:vAlign w:val="center"/>
          </w:tcPr>
          <w:p w14:paraId="05A7E380">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≥500：1</w:t>
            </w:r>
          </w:p>
        </w:tc>
        <w:tc>
          <w:tcPr>
            <w:tcW w:w="607" w:type="dxa"/>
            <w:vAlign w:val="center"/>
          </w:tcPr>
          <w:p w14:paraId="14CF4DA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7CEB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7A4F85AB">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57C7FA0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98</w:t>
            </w:r>
          </w:p>
        </w:tc>
        <w:tc>
          <w:tcPr>
            <w:tcW w:w="1176" w:type="dxa"/>
            <w:vAlign w:val="center"/>
          </w:tcPr>
          <w:p w14:paraId="2DCF3FE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02D3293C">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*显示设备性能</w:t>
            </w:r>
          </w:p>
        </w:tc>
        <w:tc>
          <w:tcPr>
            <w:tcW w:w="1508" w:type="dxa"/>
            <w:vAlign w:val="center"/>
          </w:tcPr>
          <w:p w14:paraId="79E18BA1">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*显示屏其他参数</w:t>
            </w:r>
          </w:p>
        </w:tc>
        <w:tc>
          <w:tcPr>
            <w:tcW w:w="3852" w:type="dxa"/>
            <w:vAlign w:val="center"/>
          </w:tcPr>
          <w:p w14:paraId="5CB69F77">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其它参数应符合SJ/T11292的相关规定</w:t>
            </w:r>
          </w:p>
        </w:tc>
        <w:tc>
          <w:tcPr>
            <w:tcW w:w="607" w:type="dxa"/>
            <w:vAlign w:val="center"/>
          </w:tcPr>
          <w:p w14:paraId="6510927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AA86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603617C5">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163ADD8D">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99</w:t>
            </w:r>
          </w:p>
        </w:tc>
        <w:tc>
          <w:tcPr>
            <w:tcW w:w="1176" w:type="dxa"/>
            <w:vAlign w:val="center"/>
          </w:tcPr>
          <w:p w14:paraId="6B521CC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4827AF40">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*网络设备性能</w:t>
            </w:r>
          </w:p>
        </w:tc>
        <w:tc>
          <w:tcPr>
            <w:tcW w:w="1508" w:type="dxa"/>
            <w:vAlign w:val="center"/>
          </w:tcPr>
          <w:p w14:paraId="357B0EE1">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*有线网卡速率</w:t>
            </w:r>
          </w:p>
        </w:tc>
        <w:tc>
          <w:tcPr>
            <w:tcW w:w="3852" w:type="dxa"/>
            <w:vAlign w:val="center"/>
          </w:tcPr>
          <w:p w14:paraId="4CF6A567">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最高速率应不低于1000Mbps，应支持10Mbps、100Mbps、1000Mbps速率自适应</w:t>
            </w:r>
          </w:p>
        </w:tc>
        <w:tc>
          <w:tcPr>
            <w:tcW w:w="607" w:type="dxa"/>
            <w:vAlign w:val="center"/>
          </w:tcPr>
          <w:p w14:paraId="2D344E3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69EE6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9410B9C">
            <w:pPr>
              <w:adjustRightInd w:val="0"/>
              <w:snapToGrid w:val="0"/>
              <w:jc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0F6744D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100</w:t>
            </w:r>
          </w:p>
        </w:tc>
        <w:tc>
          <w:tcPr>
            <w:tcW w:w="1176" w:type="dxa"/>
            <w:vAlign w:val="center"/>
          </w:tcPr>
          <w:p w14:paraId="07C834B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269BE139">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*网络设备性能</w:t>
            </w:r>
          </w:p>
        </w:tc>
        <w:tc>
          <w:tcPr>
            <w:tcW w:w="1508" w:type="dxa"/>
            <w:vAlign w:val="center"/>
          </w:tcPr>
          <w:p w14:paraId="451C01C7">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支持无线网络通信技术协议</w:t>
            </w:r>
          </w:p>
        </w:tc>
        <w:tc>
          <w:tcPr>
            <w:tcW w:w="3852" w:type="dxa"/>
            <w:vAlign w:val="center"/>
          </w:tcPr>
          <w:p w14:paraId="5E7D005D">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7C83DE2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34BCF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7AE6518A">
            <w:pPr>
              <w:adjustRightInd w:val="0"/>
              <w:snapToGrid w:val="0"/>
              <w:jc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70D3034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101</w:t>
            </w:r>
          </w:p>
        </w:tc>
        <w:tc>
          <w:tcPr>
            <w:tcW w:w="1176" w:type="dxa"/>
            <w:vAlign w:val="center"/>
          </w:tcPr>
          <w:p w14:paraId="6A31CD9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13A87A50">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*网络设备性能</w:t>
            </w:r>
          </w:p>
        </w:tc>
        <w:tc>
          <w:tcPr>
            <w:tcW w:w="1508" w:type="dxa"/>
            <w:vAlign w:val="center"/>
          </w:tcPr>
          <w:p w14:paraId="416916D8">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无线网卡频宽</w:t>
            </w:r>
          </w:p>
        </w:tc>
        <w:tc>
          <w:tcPr>
            <w:tcW w:w="3852" w:type="dxa"/>
            <w:vAlign w:val="center"/>
          </w:tcPr>
          <w:p w14:paraId="779E36C1">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0BA7859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EC35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620" w:type="dxa"/>
            <w:vAlign w:val="center"/>
          </w:tcPr>
          <w:p w14:paraId="5198E45C">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717D7A6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102</w:t>
            </w:r>
          </w:p>
        </w:tc>
        <w:tc>
          <w:tcPr>
            <w:tcW w:w="1176" w:type="dxa"/>
            <w:vAlign w:val="center"/>
          </w:tcPr>
          <w:p w14:paraId="75CDD19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73EE06E2">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*主板功能</w:t>
            </w:r>
          </w:p>
        </w:tc>
        <w:tc>
          <w:tcPr>
            <w:tcW w:w="1508" w:type="dxa"/>
            <w:vAlign w:val="center"/>
          </w:tcPr>
          <w:p w14:paraId="0D8B1081">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*内存扩展接口</w:t>
            </w:r>
            <w:r>
              <w:rPr>
                <w:rStyle w:val="288"/>
                <w:rFonts w:ascii="仿宋_GB2312" w:eastAsia="仿宋_GB2312" w:hAnsiTheme="minorEastAsia" w:cstheme="minorEastAsia"/>
                <w:color w:val="auto"/>
                <w:sz w:val="28"/>
                <w:szCs w:val="28"/>
                <w:lang w:eastAsia="zh-CN" w:bidi="ar"/>
              </w:rPr>
              <w:br w:type="textWrapping"/>
            </w:r>
            <w:r>
              <w:rPr>
                <w:rStyle w:val="288"/>
                <w:rFonts w:ascii="仿宋_GB2312" w:eastAsia="仿宋_GB2312" w:hAnsiTheme="minorEastAsia" w:cstheme="minorEastAsia"/>
                <w:color w:val="auto"/>
                <w:sz w:val="28"/>
                <w:szCs w:val="28"/>
                <w:lang w:eastAsia="zh-CN" w:bidi="ar"/>
              </w:rPr>
              <w:t>(板载内存不涉及)</w:t>
            </w:r>
          </w:p>
        </w:tc>
        <w:tc>
          <w:tcPr>
            <w:tcW w:w="3852" w:type="dxa"/>
            <w:vAlign w:val="center"/>
          </w:tcPr>
          <w:p w14:paraId="2B04D6D8">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≥2个</w:t>
            </w:r>
          </w:p>
        </w:tc>
        <w:tc>
          <w:tcPr>
            <w:tcW w:w="607" w:type="dxa"/>
            <w:vAlign w:val="center"/>
          </w:tcPr>
          <w:p w14:paraId="73B2D5D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68F5B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620" w:type="dxa"/>
            <w:vAlign w:val="center"/>
          </w:tcPr>
          <w:p w14:paraId="18082952">
            <w:pPr>
              <w:adjustRightInd w:val="0"/>
              <w:snapToGrid w:val="0"/>
              <w:jc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0C25FB3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103</w:t>
            </w:r>
          </w:p>
        </w:tc>
        <w:tc>
          <w:tcPr>
            <w:tcW w:w="1176" w:type="dxa"/>
            <w:vAlign w:val="center"/>
          </w:tcPr>
          <w:p w14:paraId="2823515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6DF325DA">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*主板功能</w:t>
            </w:r>
          </w:p>
        </w:tc>
        <w:tc>
          <w:tcPr>
            <w:tcW w:w="1508" w:type="dxa"/>
            <w:vAlign w:val="center"/>
          </w:tcPr>
          <w:p w14:paraId="24001A74">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存储扩展接口(板</w:t>
            </w:r>
            <w:r>
              <w:rPr>
                <w:rStyle w:val="288"/>
                <w:rFonts w:ascii="仿宋_GB2312" w:eastAsia="仿宋_GB2312" w:hAnsiTheme="minorEastAsia" w:cstheme="minorEastAsia"/>
                <w:color w:val="auto"/>
                <w:sz w:val="28"/>
                <w:szCs w:val="28"/>
                <w:lang w:eastAsia="zh-CN" w:bidi="ar"/>
              </w:rPr>
              <w:br w:type="textWrapping"/>
            </w:r>
            <w:r>
              <w:rPr>
                <w:rStyle w:val="288"/>
                <w:rFonts w:ascii="仿宋_GB2312" w:eastAsia="仿宋_GB2312" w:hAnsiTheme="minorEastAsia" w:cstheme="minorEastAsia"/>
                <w:color w:val="auto"/>
                <w:sz w:val="28"/>
                <w:szCs w:val="28"/>
                <w:lang w:eastAsia="zh-CN" w:bidi="ar"/>
              </w:rPr>
              <w:t>载存储不涉及)</w:t>
            </w:r>
          </w:p>
        </w:tc>
        <w:tc>
          <w:tcPr>
            <w:tcW w:w="3852" w:type="dxa"/>
            <w:vAlign w:val="center"/>
          </w:tcPr>
          <w:p w14:paraId="33038A2A">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29D845A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F72B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68EF895">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25E3333D">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104</w:t>
            </w:r>
          </w:p>
        </w:tc>
        <w:tc>
          <w:tcPr>
            <w:tcW w:w="1176" w:type="dxa"/>
            <w:vAlign w:val="center"/>
          </w:tcPr>
          <w:p w14:paraId="18316D1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3B332BED">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*主板功能</w:t>
            </w:r>
          </w:p>
        </w:tc>
        <w:tc>
          <w:tcPr>
            <w:tcW w:w="1508" w:type="dxa"/>
            <w:vAlign w:val="center"/>
          </w:tcPr>
          <w:p w14:paraId="352906C1">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*主板 USB瞬间过流保护</w:t>
            </w:r>
          </w:p>
        </w:tc>
        <w:tc>
          <w:tcPr>
            <w:tcW w:w="3852" w:type="dxa"/>
            <w:vAlign w:val="center"/>
          </w:tcPr>
          <w:p w14:paraId="01F4E3EC">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支持有瞬间过流保护功能</w:t>
            </w:r>
          </w:p>
        </w:tc>
        <w:tc>
          <w:tcPr>
            <w:tcW w:w="607" w:type="dxa"/>
            <w:vAlign w:val="center"/>
          </w:tcPr>
          <w:p w14:paraId="2AD884F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316BE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7EDDAAF9">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18F5143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105</w:t>
            </w:r>
          </w:p>
        </w:tc>
        <w:tc>
          <w:tcPr>
            <w:tcW w:w="1176" w:type="dxa"/>
            <w:vAlign w:val="center"/>
          </w:tcPr>
          <w:p w14:paraId="0D160C5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21E4A845">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*主板功能</w:t>
            </w:r>
          </w:p>
        </w:tc>
        <w:tc>
          <w:tcPr>
            <w:tcW w:w="1508" w:type="dxa"/>
            <w:vAlign w:val="center"/>
          </w:tcPr>
          <w:p w14:paraId="5C183528">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*主板防静电保护</w:t>
            </w:r>
          </w:p>
        </w:tc>
        <w:tc>
          <w:tcPr>
            <w:tcW w:w="3852" w:type="dxa"/>
            <w:vAlign w:val="center"/>
          </w:tcPr>
          <w:p w14:paraId="27BC346C">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支持防静电保护功能</w:t>
            </w:r>
          </w:p>
        </w:tc>
        <w:tc>
          <w:tcPr>
            <w:tcW w:w="607" w:type="dxa"/>
            <w:vAlign w:val="center"/>
          </w:tcPr>
          <w:p w14:paraId="7A33D47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BD47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2" w:hRule="atLeast"/>
          <w:jc w:val="center"/>
        </w:trPr>
        <w:tc>
          <w:tcPr>
            <w:tcW w:w="620" w:type="dxa"/>
            <w:vAlign w:val="center"/>
          </w:tcPr>
          <w:p w14:paraId="14960BCF">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5B4FB23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106</w:t>
            </w:r>
          </w:p>
        </w:tc>
        <w:tc>
          <w:tcPr>
            <w:tcW w:w="1176" w:type="dxa"/>
            <w:vAlign w:val="center"/>
          </w:tcPr>
          <w:p w14:paraId="1B7462F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5B054AB0">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*主板功能</w:t>
            </w:r>
          </w:p>
        </w:tc>
        <w:tc>
          <w:tcPr>
            <w:tcW w:w="1508" w:type="dxa"/>
            <w:vAlign w:val="center"/>
          </w:tcPr>
          <w:p w14:paraId="750F1B2D">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*I/O 接口功能</w:t>
            </w:r>
          </w:p>
        </w:tc>
        <w:tc>
          <w:tcPr>
            <w:tcW w:w="3852" w:type="dxa"/>
            <w:vAlign w:val="center"/>
          </w:tcPr>
          <w:p w14:paraId="5F9273FF">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提供基于标准USB接口外设连接功能、基于音频输入输出接口的音频扩展功能、基于PCIe接口板卡扩展功能、基于HDMI或VGA或Type-C或DVI或DP等接口外接显示器扩展功能、基于存储接口对产品进行增容功能等。产品I/O接口，应具备外接标准USB设备、显示器、音频设备等内外部设备能力</w:t>
            </w:r>
          </w:p>
        </w:tc>
        <w:tc>
          <w:tcPr>
            <w:tcW w:w="607" w:type="dxa"/>
            <w:vAlign w:val="center"/>
          </w:tcPr>
          <w:p w14:paraId="1078F82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6B900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71BD25FD">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00675965">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107</w:t>
            </w:r>
          </w:p>
        </w:tc>
        <w:tc>
          <w:tcPr>
            <w:tcW w:w="1176" w:type="dxa"/>
            <w:vAlign w:val="center"/>
          </w:tcPr>
          <w:p w14:paraId="17DD1C2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188EFC2A">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*显卡功能</w:t>
            </w:r>
          </w:p>
        </w:tc>
        <w:tc>
          <w:tcPr>
            <w:tcW w:w="1508" w:type="dxa"/>
            <w:vAlign w:val="center"/>
          </w:tcPr>
          <w:p w14:paraId="406C84D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*显卡外接显示接口</w:t>
            </w:r>
          </w:p>
        </w:tc>
        <w:tc>
          <w:tcPr>
            <w:tcW w:w="3852" w:type="dxa"/>
            <w:vAlign w:val="center"/>
          </w:tcPr>
          <w:p w14:paraId="1E323217">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显卡至少支持VGA、HDMI、DVI、DP、Type-C中1种显示接口，并与显示器接口相匹配</w:t>
            </w:r>
          </w:p>
        </w:tc>
        <w:tc>
          <w:tcPr>
            <w:tcW w:w="607" w:type="dxa"/>
            <w:vAlign w:val="center"/>
          </w:tcPr>
          <w:p w14:paraId="06B8689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6219A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0F2AFC09">
            <w:pPr>
              <w:adjustRightInd w:val="0"/>
              <w:snapToGrid w:val="0"/>
              <w:jc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7F1395B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108</w:t>
            </w:r>
          </w:p>
        </w:tc>
        <w:tc>
          <w:tcPr>
            <w:tcW w:w="1176" w:type="dxa"/>
            <w:vAlign w:val="center"/>
          </w:tcPr>
          <w:p w14:paraId="2D64AE3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0A7CF25E">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*显卡功能</w:t>
            </w:r>
          </w:p>
        </w:tc>
        <w:tc>
          <w:tcPr>
            <w:tcW w:w="1508" w:type="dxa"/>
            <w:vAlign w:val="center"/>
          </w:tcPr>
          <w:p w14:paraId="766AA6F5">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独立显卡数量</w:t>
            </w:r>
          </w:p>
        </w:tc>
        <w:tc>
          <w:tcPr>
            <w:tcW w:w="3852" w:type="dxa"/>
            <w:vAlign w:val="center"/>
          </w:tcPr>
          <w:p w14:paraId="749408A6">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6E1CCE0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1E37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0DD170CD">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36E12EE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109</w:t>
            </w:r>
          </w:p>
        </w:tc>
        <w:tc>
          <w:tcPr>
            <w:tcW w:w="1176" w:type="dxa"/>
            <w:vAlign w:val="center"/>
          </w:tcPr>
          <w:p w14:paraId="77D14A3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33198C01">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*显示设备功能</w:t>
            </w:r>
          </w:p>
        </w:tc>
        <w:tc>
          <w:tcPr>
            <w:tcW w:w="1508" w:type="dxa"/>
            <w:vAlign w:val="center"/>
          </w:tcPr>
          <w:p w14:paraId="761CE2CB">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*显示器接口</w:t>
            </w:r>
          </w:p>
        </w:tc>
        <w:tc>
          <w:tcPr>
            <w:tcW w:w="3852" w:type="dxa"/>
            <w:vAlign w:val="center"/>
          </w:tcPr>
          <w:p w14:paraId="4D357D2E">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显示器应与显卡外接显示接口匹配</w:t>
            </w:r>
          </w:p>
        </w:tc>
        <w:tc>
          <w:tcPr>
            <w:tcW w:w="607" w:type="dxa"/>
            <w:vAlign w:val="center"/>
          </w:tcPr>
          <w:p w14:paraId="18103C3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044C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4ED3DD67">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30E1A152">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110</w:t>
            </w:r>
          </w:p>
        </w:tc>
        <w:tc>
          <w:tcPr>
            <w:tcW w:w="1176" w:type="dxa"/>
            <w:vAlign w:val="center"/>
          </w:tcPr>
          <w:p w14:paraId="5AF685A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3E7240B8">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*显示设备功能</w:t>
            </w:r>
          </w:p>
        </w:tc>
        <w:tc>
          <w:tcPr>
            <w:tcW w:w="1508" w:type="dxa"/>
            <w:vAlign w:val="center"/>
          </w:tcPr>
          <w:p w14:paraId="40299FA5">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*显示器支架</w:t>
            </w:r>
          </w:p>
        </w:tc>
        <w:tc>
          <w:tcPr>
            <w:tcW w:w="3852" w:type="dxa"/>
            <w:vAlign w:val="center"/>
          </w:tcPr>
          <w:p w14:paraId="17DE5DC0">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显示器应提供显示器支架，根据采购人需求支持屏幕旋转、升降等</w:t>
            </w:r>
          </w:p>
        </w:tc>
        <w:tc>
          <w:tcPr>
            <w:tcW w:w="607" w:type="dxa"/>
            <w:vAlign w:val="center"/>
          </w:tcPr>
          <w:p w14:paraId="48BF5C4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6AB0D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1AE2505E">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7731DD5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111</w:t>
            </w:r>
          </w:p>
        </w:tc>
        <w:tc>
          <w:tcPr>
            <w:tcW w:w="1176" w:type="dxa"/>
            <w:vAlign w:val="center"/>
          </w:tcPr>
          <w:p w14:paraId="4F065A5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41C43A08">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*显示设备功能</w:t>
            </w:r>
          </w:p>
        </w:tc>
        <w:tc>
          <w:tcPr>
            <w:tcW w:w="1508" w:type="dxa"/>
            <w:vAlign w:val="center"/>
          </w:tcPr>
          <w:p w14:paraId="1FF325DE">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*显示器参数调节</w:t>
            </w:r>
          </w:p>
        </w:tc>
        <w:tc>
          <w:tcPr>
            <w:tcW w:w="3852" w:type="dxa"/>
            <w:vAlign w:val="center"/>
          </w:tcPr>
          <w:p w14:paraId="4E006AC6">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a)提供OSD选单按钮用于调节色彩、模式等；</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b)支持色温、亮度、对比度调节</w:t>
            </w:r>
          </w:p>
        </w:tc>
        <w:tc>
          <w:tcPr>
            <w:tcW w:w="607" w:type="dxa"/>
            <w:vAlign w:val="center"/>
          </w:tcPr>
          <w:p w14:paraId="010CFF7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76E0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620" w:type="dxa"/>
            <w:vAlign w:val="center"/>
          </w:tcPr>
          <w:p w14:paraId="1C3F2DB1">
            <w:pPr>
              <w:adjustRightInd w:val="0"/>
              <w:snapToGrid w:val="0"/>
              <w:jc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3EC88F6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112</w:t>
            </w:r>
          </w:p>
        </w:tc>
        <w:tc>
          <w:tcPr>
            <w:tcW w:w="1176" w:type="dxa"/>
            <w:vAlign w:val="center"/>
          </w:tcPr>
          <w:p w14:paraId="2F3253C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38C5190A">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外设功能</w:t>
            </w:r>
          </w:p>
        </w:tc>
        <w:tc>
          <w:tcPr>
            <w:tcW w:w="1508" w:type="dxa"/>
            <w:vAlign w:val="center"/>
          </w:tcPr>
          <w:p w14:paraId="7C5E785C">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摄像头物理隐私保护开关</w:t>
            </w:r>
          </w:p>
        </w:tc>
        <w:tc>
          <w:tcPr>
            <w:tcW w:w="3852" w:type="dxa"/>
            <w:vAlign w:val="center"/>
          </w:tcPr>
          <w:p w14:paraId="4F3C588F">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591E389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30BF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52FB0EF9">
            <w:pPr>
              <w:adjustRightInd w:val="0"/>
              <w:snapToGrid w:val="0"/>
              <w:jc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047A372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113</w:t>
            </w:r>
          </w:p>
        </w:tc>
        <w:tc>
          <w:tcPr>
            <w:tcW w:w="1176" w:type="dxa"/>
            <w:vAlign w:val="center"/>
          </w:tcPr>
          <w:p w14:paraId="5FA2C50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026EADE4">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外设功能</w:t>
            </w:r>
          </w:p>
        </w:tc>
        <w:tc>
          <w:tcPr>
            <w:tcW w:w="1508" w:type="dxa"/>
            <w:vAlign w:val="center"/>
          </w:tcPr>
          <w:p w14:paraId="6B11A458">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传声器降噪</w:t>
            </w:r>
          </w:p>
        </w:tc>
        <w:tc>
          <w:tcPr>
            <w:tcW w:w="3852" w:type="dxa"/>
            <w:vAlign w:val="center"/>
          </w:tcPr>
          <w:p w14:paraId="1EDABDBB">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48AD7FC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009D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620" w:type="dxa"/>
            <w:vAlign w:val="center"/>
          </w:tcPr>
          <w:p w14:paraId="3CC77B75">
            <w:pPr>
              <w:adjustRightInd w:val="0"/>
              <w:snapToGrid w:val="0"/>
              <w:jc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4BD7FF2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114</w:t>
            </w:r>
          </w:p>
        </w:tc>
        <w:tc>
          <w:tcPr>
            <w:tcW w:w="1176" w:type="dxa"/>
            <w:vAlign w:val="center"/>
          </w:tcPr>
          <w:p w14:paraId="3863AE1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63199F89">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外设功能</w:t>
            </w:r>
          </w:p>
        </w:tc>
        <w:tc>
          <w:tcPr>
            <w:tcW w:w="1508" w:type="dxa"/>
            <w:vAlign w:val="center"/>
          </w:tcPr>
          <w:p w14:paraId="690A310B">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键盘背光</w:t>
            </w:r>
          </w:p>
        </w:tc>
        <w:tc>
          <w:tcPr>
            <w:tcW w:w="3852" w:type="dxa"/>
            <w:vAlign w:val="center"/>
          </w:tcPr>
          <w:p w14:paraId="470870E0">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29DF213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828A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44229D50">
            <w:pPr>
              <w:adjustRightInd w:val="0"/>
              <w:snapToGrid w:val="0"/>
              <w:jc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7EF9CBF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115</w:t>
            </w:r>
          </w:p>
        </w:tc>
        <w:tc>
          <w:tcPr>
            <w:tcW w:w="1176" w:type="dxa"/>
            <w:vAlign w:val="center"/>
          </w:tcPr>
          <w:p w14:paraId="5012D4F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7D81DD53">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外设功能</w:t>
            </w:r>
          </w:p>
        </w:tc>
        <w:tc>
          <w:tcPr>
            <w:tcW w:w="1508" w:type="dxa"/>
            <w:vAlign w:val="center"/>
          </w:tcPr>
          <w:p w14:paraId="7A14BD2C">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光驱功能</w:t>
            </w:r>
          </w:p>
        </w:tc>
        <w:tc>
          <w:tcPr>
            <w:tcW w:w="3852" w:type="dxa"/>
            <w:vAlign w:val="center"/>
          </w:tcPr>
          <w:p w14:paraId="08AA434A">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06E41C9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366E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499D311B">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2E71B57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116</w:t>
            </w:r>
          </w:p>
        </w:tc>
        <w:tc>
          <w:tcPr>
            <w:tcW w:w="1176" w:type="dxa"/>
            <w:vAlign w:val="center"/>
          </w:tcPr>
          <w:p w14:paraId="5B4C971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244C170F">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*存储功能</w:t>
            </w:r>
          </w:p>
        </w:tc>
        <w:tc>
          <w:tcPr>
            <w:tcW w:w="1508" w:type="dxa"/>
            <w:vAlign w:val="center"/>
          </w:tcPr>
          <w:p w14:paraId="161D508D">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*存储功能</w:t>
            </w:r>
          </w:p>
        </w:tc>
        <w:tc>
          <w:tcPr>
            <w:tcW w:w="3852" w:type="dxa"/>
            <w:vAlign w:val="center"/>
          </w:tcPr>
          <w:p w14:paraId="7DA7EA3D">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PCIe固态存储</w:t>
            </w:r>
          </w:p>
        </w:tc>
        <w:tc>
          <w:tcPr>
            <w:tcW w:w="607" w:type="dxa"/>
            <w:vAlign w:val="center"/>
          </w:tcPr>
          <w:p w14:paraId="2DD22F2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EDF3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4CB8BA1A">
            <w:pPr>
              <w:adjustRightInd w:val="0"/>
              <w:snapToGrid w:val="0"/>
              <w:jc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65C84B4A">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117</w:t>
            </w:r>
          </w:p>
        </w:tc>
        <w:tc>
          <w:tcPr>
            <w:tcW w:w="1176" w:type="dxa"/>
            <w:vAlign w:val="center"/>
          </w:tcPr>
          <w:p w14:paraId="4FFD398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40952CF0">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*存储功能</w:t>
            </w:r>
          </w:p>
        </w:tc>
        <w:tc>
          <w:tcPr>
            <w:tcW w:w="1508" w:type="dxa"/>
            <w:vAlign w:val="center"/>
          </w:tcPr>
          <w:p w14:paraId="35E9C9CE">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内置控制器固态存储加密</w:t>
            </w:r>
          </w:p>
        </w:tc>
        <w:tc>
          <w:tcPr>
            <w:tcW w:w="3852" w:type="dxa"/>
            <w:vAlign w:val="center"/>
          </w:tcPr>
          <w:p w14:paraId="64EFBCC6">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5C29E91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2A69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650E558B">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71F4AB81">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118</w:t>
            </w:r>
          </w:p>
        </w:tc>
        <w:tc>
          <w:tcPr>
            <w:tcW w:w="1176" w:type="dxa"/>
            <w:vAlign w:val="center"/>
          </w:tcPr>
          <w:p w14:paraId="5264774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73411C6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*网络设备功能</w:t>
            </w:r>
          </w:p>
        </w:tc>
        <w:tc>
          <w:tcPr>
            <w:tcW w:w="1508" w:type="dxa"/>
            <w:vAlign w:val="center"/>
          </w:tcPr>
          <w:p w14:paraId="23ECC443">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*网络功能</w:t>
            </w:r>
          </w:p>
        </w:tc>
        <w:tc>
          <w:tcPr>
            <w:tcW w:w="3852" w:type="dxa"/>
            <w:vAlign w:val="center"/>
          </w:tcPr>
          <w:p w14:paraId="154C7498">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a)支持网络连接、网络开启/关闭功能；</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b)支持访问网络和数据交换功能</w:t>
            </w:r>
          </w:p>
        </w:tc>
        <w:tc>
          <w:tcPr>
            <w:tcW w:w="607" w:type="dxa"/>
            <w:vAlign w:val="center"/>
          </w:tcPr>
          <w:p w14:paraId="3121A43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A330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0" w:type="dxa"/>
            <w:vAlign w:val="center"/>
          </w:tcPr>
          <w:p w14:paraId="7C8C2C8A">
            <w:pPr>
              <w:adjustRightInd w:val="0"/>
              <w:snapToGrid w:val="0"/>
              <w:jc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2895942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119</w:t>
            </w:r>
          </w:p>
        </w:tc>
        <w:tc>
          <w:tcPr>
            <w:tcW w:w="1176" w:type="dxa"/>
            <w:vAlign w:val="center"/>
          </w:tcPr>
          <w:p w14:paraId="0D619D46">
            <w:pPr>
              <w:adjustRightInd w:val="0"/>
              <w:snapToGrid w:val="0"/>
              <w:jc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74DB38A1">
            <w:pPr>
              <w:adjustRightInd w:val="0"/>
              <w:snapToGrid w:val="0"/>
              <w:jc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*网络设备功能</w:t>
            </w:r>
          </w:p>
        </w:tc>
        <w:tc>
          <w:tcPr>
            <w:tcW w:w="1508" w:type="dxa"/>
            <w:vAlign w:val="center"/>
          </w:tcPr>
          <w:p w14:paraId="19186D28">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无线网卡频段</w:t>
            </w:r>
          </w:p>
        </w:tc>
        <w:tc>
          <w:tcPr>
            <w:tcW w:w="3852" w:type="dxa"/>
            <w:vAlign w:val="center"/>
          </w:tcPr>
          <w:p w14:paraId="592043F6">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45DC298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3A1AD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0308CF95">
            <w:pPr>
              <w:adjustRightInd w:val="0"/>
              <w:snapToGrid w:val="0"/>
              <w:jc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041044A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120</w:t>
            </w:r>
          </w:p>
        </w:tc>
        <w:tc>
          <w:tcPr>
            <w:tcW w:w="1176" w:type="dxa"/>
            <w:vAlign w:val="center"/>
          </w:tcPr>
          <w:p w14:paraId="7F264CA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7B5783EA">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*网络设备功能</w:t>
            </w:r>
          </w:p>
        </w:tc>
        <w:tc>
          <w:tcPr>
            <w:tcW w:w="1508" w:type="dxa"/>
            <w:vAlign w:val="center"/>
          </w:tcPr>
          <w:p w14:paraId="676C903B">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物理开关</w:t>
            </w:r>
          </w:p>
        </w:tc>
        <w:tc>
          <w:tcPr>
            <w:tcW w:w="3852" w:type="dxa"/>
            <w:vAlign w:val="center"/>
          </w:tcPr>
          <w:p w14:paraId="4AE61ABF">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789D002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5A1F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33B676FC">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79FF6C2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121</w:t>
            </w:r>
          </w:p>
        </w:tc>
        <w:tc>
          <w:tcPr>
            <w:tcW w:w="1176" w:type="dxa"/>
            <w:vAlign w:val="center"/>
          </w:tcPr>
          <w:p w14:paraId="56E5D0E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498B8CE0">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*网络设备功能</w:t>
            </w:r>
          </w:p>
        </w:tc>
        <w:tc>
          <w:tcPr>
            <w:tcW w:w="1508" w:type="dxa"/>
            <w:vAlign w:val="center"/>
          </w:tcPr>
          <w:p w14:paraId="09A8433F">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*数据传输</w:t>
            </w:r>
          </w:p>
        </w:tc>
        <w:tc>
          <w:tcPr>
            <w:tcW w:w="3852" w:type="dxa"/>
            <w:vAlign w:val="center"/>
          </w:tcPr>
          <w:p w14:paraId="17288182">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支持数据传输能力，并提供数据流量和异常日志记录功能</w:t>
            </w:r>
          </w:p>
        </w:tc>
        <w:tc>
          <w:tcPr>
            <w:tcW w:w="607" w:type="dxa"/>
            <w:vAlign w:val="center"/>
          </w:tcPr>
          <w:p w14:paraId="07FD25D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32A5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0270FD0C">
            <w:pPr>
              <w:adjustRightInd w:val="0"/>
              <w:snapToGrid w:val="0"/>
              <w:jc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43A86CE2">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122</w:t>
            </w:r>
          </w:p>
        </w:tc>
        <w:tc>
          <w:tcPr>
            <w:tcW w:w="1176" w:type="dxa"/>
            <w:vAlign w:val="center"/>
          </w:tcPr>
          <w:p w14:paraId="2F65E46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72F947F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*网络设备功能</w:t>
            </w:r>
          </w:p>
        </w:tc>
        <w:tc>
          <w:tcPr>
            <w:tcW w:w="1508" w:type="dxa"/>
            <w:vAlign w:val="center"/>
          </w:tcPr>
          <w:p w14:paraId="604BDB06">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蓝牙协议</w:t>
            </w:r>
          </w:p>
        </w:tc>
        <w:tc>
          <w:tcPr>
            <w:tcW w:w="3852" w:type="dxa"/>
            <w:vAlign w:val="center"/>
          </w:tcPr>
          <w:p w14:paraId="591E69D8">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7ECF563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4FE5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B57D75D">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33EDE2D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123</w:t>
            </w:r>
          </w:p>
        </w:tc>
        <w:tc>
          <w:tcPr>
            <w:tcW w:w="1176" w:type="dxa"/>
            <w:vAlign w:val="center"/>
          </w:tcPr>
          <w:p w14:paraId="4823A2E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1A2D4120">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*网络设备功能</w:t>
            </w:r>
          </w:p>
        </w:tc>
        <w:tc>
          <w:tcPr>
            <w:tcW w:w="1508" w:type="dxa"/>
            <w:vAlign w:val="center"/>
          </w:tcPr>
          <w:p w14:paraId="55282DDC">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*有线网卡接口类型</w:t>
            </w:r>
          </w:p>
        </w:tc>
        <w:tc>
          <w:tcPr>
            <w:tcW w:w="3852" w:type="dxa"/>
            <w:vAlign w:val="center"/>
          </w:tcPr>
          <w:p w14:paraId="01742479">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支持RJ45接口</w:t>
            </w:r>
          </w:p>
        </w:tc>
        <w:tc>
          <w:tcPr>
            <w:tcW w:w="607" w:type="dxa"/>
            <w:vAlign w:val="center"/>
          </w:tcPr>
          <w:p w14:paraId="5FA7D76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22D1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6C8923D7">
            <w:pPr>
              <w:adjustRightInd w:val="0"/>
              <w:snapToGrid w:val="0"/>
              <w:jc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6430CE1D">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124</w:t>
            </w:r>
          </w:p>
        </w:tc>
        <w:tc>
          <w:tcPr>
            <w:tcW w:w="1176" w:type="dxa"/>
            <w:vAlign w:val="center"/>
          </w:tcPr>
          <w:p w14:paraId="3F6014A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6405875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*网络设备功能</w:t>
            </w:r>
          </w:p>
        </w:tc>
        <w:tc>
          <w:tcPr>
            <w:tcW w:w="1508" w:type="dxa"/>
            <w:vAlign w:val="center"/>
          </w:tcPr>
          <w:p w14:paraId="4325D651">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无线网卡标准</w:t>
            </w:r>
          </w:p>
        </w:tc>
        <w:tc>
          <w:tcPr>
            <w:tcW w:w="3852" w:type="dxa"/>
            <w:vAlign w:val="center"/>
          </w:tcPr>
          <w:p w14:paraId="1D9BC6BB">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7C23BD9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7166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162CF31B">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5577046A">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125</w:t>
            </w:r>
          </w:p>
        </w:tc>
        <w:tc>
          <w:tcPr>
            <w:tcW w:w="1176" w:type="dxa"/>
            <w:vAlign w:val="center"/>
          </w:tcPr>
          <w:p w14:paraId="51F12A6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2BF5823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*网络设备功能</w:t>
            </w:r>
          </w:p>
        </w:tc>
        <w:tc>
          <w:tcPr>
            <w:tcW w:w="1508" w:type="dxa"/>
            <w:vAlign w:val="center"/>
          </w:tcPr>
          <w:p w14:paraId="04918A65">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*网络设备拆装</w:t>
            </w:r>
          </w:p>
        </w:tc>
        <w:tc>
          <w:tcPr>
            <w:tcW w:w="3852" w:type="dxa"/>
            <w:vAlign w:val="center"/>
          </w:tcPr>
          <w:p w14:paraId="5E76F551">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网络设备支持物理拆装，包括无线网卡和蓝牙模块等</w:t>
            </w:r>
          </w:p>
        </w:tc>
        <w:tc>
          <w:tcPr>
            <w:tcW w:w="607" w:type="dxa"/>
            <w:vAlign w:val="center"/>
          </w:tcPr>
          <w:p w14:paraId="14AE203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412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327EC4BC">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444E3EE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126</w:t>
            </w:r>
          </w:p>
        </w:tc>
        <w:tc>
          <w:tcPr>
            <w:tcW w:w="1176" w:type="dxa"/>
            <w:vAlign w:val="center"/>
          </w:tcPr>
          <w:p w14:paraId="08D11A1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58E3825B">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*外部接口功能</w:t>
            </w:r>
          </w:p>
        </w:tc>
        <w:tc>
          <w:tcPr>
            <w:tcW w:w="1508" w:type="dxa"/>
            <w:vAlign w:val="center"/>
          </w:tcPr>
          <w:p w14:paraId="2B0CC343">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*音频接口类型</w:t>
            </w:r>
          </w:p>
        </w:tc>
        <w:tc>
          <w:tcPr>
            <w:tcW w:w="3852" w:type="dxa"/>
            <w:vAlign w:val="center"/>
          </w:tcPr>
          <w:p w14:paraId="23ABB1E4">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支持3.5mm孔径3段式或4段式接口</w:t>
            </w:r>
          </w:p>
        </w:tc>
        <w:tc>
          <w:tcPr>
            <w:tcW w:w="607" w:type="dxa"/>
            <w:vAlign w:val="center"/>
          </w:tcPr>
          <w:p w14:paraId="0CD4356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2FF2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08B6FA5C">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6EAF4F7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127</w:t>
            </w:r>
          </w:p>
        </w:tc>
        <w:tc>
          <w:tcPr>
            <w:tcW w:w="1176" w:type="dxa"/>
            <w:vAlign w:val="center"/>
          </w:tcPr>
          <w:p w14:paraId="56899E3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78869CBB">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*外部接口功能</w:t>
            </w:r>
          </w:p>
        </w:tc>
        <w:tc>
          <w:tcPr>
            <w:tcW w:w="1508" w:type="dxa"/>
            <w:vAlign w:val="center"/>
          </w:tcPr>
          <w:p w14:paraId="5F37B774">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*视频接口类型</w:t>
            </w:r>
          </w:p>
        </w:tc>
        <w:tc>
          <w:tcPr>
            <w:tcW w:w="3852" w:type="dxa"/>
            <w:vAlign w:val="center"/>
          </w:tcPr>
          <w:p w14:paraId="7785D15A">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 xml:space="preserve">至少支持 VGA、HDMI、DVI、DP、Type-C 中 </w:t>
            </w:r>
            <w:r>
              <w:rPr>
                <w:rFonts w:ascii="仿宋_GB2312" w:hAnsi="Arial" w:eastAsia="仿宋_GB2312" w:cs="Arial"/>
                <w:sz w:val="28"/>
                <w:szCs w:val="28"/>
                <w:lang w:val="en-US" w:eastAsia="zh-CN"/>
              </w:rPr>
              <w:t>2</w:t>
            </w:r>
            <w:r>
              <w:rPr>
                <w:rFonts w:ascii="仿宋_GB2312" w:hAnsi="Arial" w:eastAsia="仿宋_GB2312" w:cs="Arial"/>
                <w:sz w:val="28"/>
                <w:szCs w:val="28"/>
                <w:lang w:eastAsia="zh-CN"/>
              </w:rPr>
              <w:t xml:space="preserve"> 种显示接口</w:t>
            </w:r>
          </w:p>
        </w:tc>
        <w:tc>
          <w:tcPr>
            <w:tcW w:w="607" w:type="dxa"/>
            <w:vAlign w:val="center"/>
          </w:tcPr>
          <w:p w14:paraId="63BD5F5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6EB14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4092ED9E">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5FB2A46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128</w:t>
            </w:r>
          </w:p>
        </w:tc>
        <w:tc>
          <w:tcPr>
            <w:tcW w:w="1176" w:type="dxa"/>
            <w:vAlign w:val="center"/>
          </w:tcPr>
          <w:p w14:paraId="635B0E9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374B8FA5">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*外部接口功能</w:t>
            </w:r>
          </w:p>
        </w:tc>
        <w:tc>
          <w:tcPr>
            <w:tcW w:w="1508" w:type="dxa"/>
            <w:vAlign w:val="center"/>
          </w:tcPr>
          <w:p w14:paraId="68D29025">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*HDMI、DP、Type-C显示接口要求</w:t>
            </w:r>
          </w:p>
        </w:tc>
        <w:tc>
          <w:tcPr>
            <w:tcW w:w="3852" w:type="dxa"/>
            <w:vAlign w:val="center"/>
          </w:tcPr>
          <w:p w14:paraId="70F0C829">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若提供HDMI或DP或Type-C作为显示接口，应支持音频和视频同步输出</w:t>
            </w:r>
          </w:p>
        </w:tc>
        <w:tc>
          <w:tcPr>
            <w:tcW w:w="607" w:type="dxa"/>
            <w:vAlign w:val="center"/>
          </w:tcPr>
          <w:p w14:paraId="603BBC3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6EC3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21FDB8D9">
            <w:pPr>
              <w:adjustRightInd w:val="0"/>
              <w:snapToGrid w:val="0"/>
              <w:jc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1DA91B6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129</w:t>
            </w:r>
          </w:p>
        </w:tc>
        <w:tc>
          <w:tcPr>
            <w:tcW w:w="1176" w:type="dxa"/>
            <w:vAlign w:val="center"/>
          </w:tcPr>
          <w:p w14:paraId="7B8CE53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6742E5B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*外部接口功能</w:t>
            </w:r>
          </w:p>
        </w:tc>
        <w:tc>
          <w:tcPr>
            <w:tcW w:w="1508" w:type="dxa"/>
            <w:vAlign w:val="center"/>
          </w:tcPr>
          <w:p w14:paraId="0C73A33B">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其他接口</w:t>
            </w:r>
          </w:p>
        </w:tc>
        <w:tc>
          <w:tcPr>
            <w:tcW w:w="3852" w:type="dxa"/>
            <w:vAlign w:val="center"/>
          </w:tcPr>
          <w:p w14:paraId="4B49CAAD">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68F12A2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CC3A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2F07B4E0">
            <w:pPr>
              <w:adjustRightInd w:val="0"/>
              <w:snapToGrid w:val="0"/>
              <w:jc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55B2CB1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130</w:t>
            </w:r>
          </w:p>
        </w:tc>
        <w:tc>
          <w:tcPr>
            <w:tcW w:w="1176" w:type="dxa"/>
            <w:vAlign w:val="center"/>
          </w:tcPr>
          <w:p w14:paraId="472629C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1E1D1A1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*外部接口功能</w:t>
            </w:r>
          </w:p>
        </w:tc>
        <w:tc>
          <w:tcPr>
            <w:tcW w:w="1508" w:type="dxa"/>
            <w:vAlign w:val="center"/>
          </w:tcPr>
          <w:p w14:paraId="5D7E0485">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存储卡接口类型</w:t>
            </w:r>
          </w:p>
        </w:tc>
        <w:tc>
          <w:tcPr>
            <w:tcW w:w="3852" w:type="dxa"/>
            <w:vAlign w:val="center"/>
          </w:tcPr>
          <w:p w14:paraId="4680564E">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447BCF1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1164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59AEFF25">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297F1F2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131</w:t>
            </w:r>
          </w:p>
        </w:tc>
        <w:tc>
          <w:tcPr>
            <w:tcW w:w="1176" w:type="dxa"/>
            <w:vAlign w:val="center"/>
          </w:tcPr>
          <w:p w14:paraId="0CDA3C6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2B4B5E0F">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*电源功能</w:t>
            </w:r>
          </w:p>
        </w:tc>
        <w:tc>
          <w:tcPr>
            <w:tcW w:w="1508" w:type="dxa"/>
            <w:vAlign w:val="center"/>
          </w:tcPr>
          <w:p w14:paraId="056432DB">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*电源线适配能力</w:t>
            </w:r>
          </w:p>
        </w:tc>
        <w:tc>
          <w:tcPr>
            <w:tcW w:w="3852" w:type="dxa"/>
            <w:vAlign w:val="center"/>
          </w:tcPr>
          <w:p w14:paraId="6FFFA105">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电源适配器电线组件应符合GB/T 15934的要求，可拆线的插头和连接器可以不做要求</w:t>
            </w:r>
          </w:p>
        </w:tc>
        <w:tc>
          <w:tcPr>
            <w:tcW w:w="607" w:type="dxa"/>
            <w:vAlign w:val="center"/>
          </w:tcPr>
          <w:p w14:paraId="3CD1362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1DA8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0E99F8BC">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43E7EBE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132</w:t>
            </w:r>
          </w:p>
        </w:tc>
        <w:tc>
          <w:tcPr>
            <w:tcW w:w="1176" w:type="dxa"/>
            <w:vAlign w:val="center"/>
          </w:tcPr>
          <w:p w14:paraId="33530D0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1427EA9D">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*操作系统及软件功能</w:t>
            </w:r>
          </w:p>
        </w:tc>
        <w:tc>
          <w:tcPr>
            <w:tcW w:w="1508" w:type="dxa"/>
            <w:vAlign w:val="center"/>
          </w:tcPr>
          <w:p w14:paraId="5A60426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*中文信息处理要求</w:t>
            </w:r>
          </w:p>
        </w:tc>
        <w:tc>
          <w:tcPr>
            <w:tcW w:w="3852" w:type="dxa"/>
            <w:vAlign w:val="center"/>
          </w:tcPr>
          <w:p w14:paraId="39E1550C">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符合GB18030的相关规定</w:t>
            </w:r>
          </w:p>
        </w:tc>
        <w:tc>
          <w:tcPr>
            <w:tcW w:w="607" w:type="dxa"/>
            <w:vAlign w:val="center"/>
          </w:tcPr>
          <w:p w14:paraId="1488741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0DB4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46C0E0CC">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707CD3E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133</w:t>
            </w:r>
          </w:p>
        </w:tc>
        <w:tc>
          <w:tcPr>
            <w:tcW w:w="1176" w:type="dxa"/>
            <w:vAlign w:val="center"/>
          </w:tcPr>
          <w:p w14:paraId="7FD9AD3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5CD7EE1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*操作系统及软件功能</w:t>
            </w:r>
          </w:p>
        </w:tc>
        <w:tc>
          <w:tcPr>
            <w:tcW w:w="1508" w:type="dxa"/>
            <w:vAlign w:val="center"/>
          </w:tcPr>
          <w:p w14:paraId="62D544EA">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*操作系统备份及还原功能</w:t>
            </w:r>
          </w:p>
        </w:tc>
        <w:tc>
          <w:tcPr>
            <w:tcW w:w="3852" w:type="dxa"/>
            <w:vAlign w:val="center"/>
          </w:tcPr>
          <w:p w14:paraId="2AC1A212">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支持操作系统备份及还原功能</w:t>
            </w:r>
          </w:p>
        </w:tc>
        <w:tc>
          <w:tcPr>
            <w:tcW w:w="607" w:type="dxa"/>
            <w:vAlign w:val="center"/>
          </w:tcPr>
          <w:p w14:paraId="617356F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354D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620" w:type="dxa"/>
            <w:vAlign w:val="center"/>
          </w:tcPr>
          <w:p w14:paraId="16BB568F">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2BF479BA">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134</w:t>
            </w:r>
          </w:p>
        </w:tc>
        <w:tc>
          <w:tcPr>
            <w:tcW w:w="1176" w:type="dxa"/>
            <w:vAlign w:val="center"/>
          </w:tcPr>
          <w:p w14:paraId="5CEE9CE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4905221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*操作系统及软件功能</w:t>
            </w:r>
          </w:p>
        </w:tc>
        <w:tc>
          <w:tcPr>
            <w:tcW w:w="1508" w:type="dxa"/>
            <w:vAlign w:val="center"/>
          </w:tcPr>
          <w:p w14:paraId="64F937E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*固件备份还原能力</w:t>
            </w:r>
          </w:p>
        </w:tc>
        <w:tc>
          <w:tcPr>
            <w:tcW w:w="3852" w:type="dxa"/>
            <w:vAlign w:val="center"/>
          </w:tcPr>
          <w:p w14:paraId="47E25C34">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支持备份及还原固件的功能</w:t>
            </w:r>
          </w:p>
        </w:tc>
        <w:tc>
          <w:tcPr>
            <w:tcW w:w="607" w:type="dxa"/>
            <w:vAlign w:val="center"/>
          </w:tcPr>
          <w:p w14:paraId="51F8151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60F6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746CBC5B">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0A82D30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135</w:t>
            </w:r>
          </w:p>
        </w:tc>
        <w:tc>
          <w:tcPr>
            <w:tcW w:w="1176" w:type="dxa"/>
            <w:vAlign w:val="center"/>
          </w:tcPr>
          <w:p w14:paraId="57E5FFE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2D97AE71">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*操作系统及软件功能</w:t>
            </w:r>
          </w:p>
        </w:tc>
        <w:tc>
          <w:tcPr>
            <w:tcW w:w="1508" w:type="dxa"/>
            <w:vAlign w:val="center"/>
          </w:tcPr>
          <w:p w14:paraId="2F0BF740">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*操作系统及驱动</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升级</w:t>
            </w:r>
          </w:p>
        </w:tc>
        <w:tc>
          <w:tcPr>
            <w:tcW w:w="3852" w:type="dxa"/>
            <w:vAlign w:val="center"/>
          </w:tcPr>
          <w:p w14:paraId="79190FB0">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支持通过网络、闪存盘等方式对操作系统、驱动进行升级</w:t>
            </w:r>
          </w:p>
        </w:tc>
        <w:tc>
          <w:tcPr>
            <w:tcW w:w="607" w:type="dxa"/>
            <w:vAlign w:val="center"/>
          </w:tcPr>
          <w:p w14:paraId="517BD10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7600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671A3312">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73261F8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136</w:t>
            </w:r>
          </w:p>
        </w:tc>
        <w:tc>
          <w:tcPr>
            <w:tcW w:w="1176" w:type="dxa"/>
            <w:vAlign w:val="center"/>
          </w:tcPr>
          <w:p w14:paraId="1893ECF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7DF66351">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*操作系统及软件功能</w:t>
            </w:r>
          </w:p>
        </w:tc>
        <w:tc>
          <w:tcPr>
            <w:tcW w:w="1508" w:type="dxa"/>
            <w:vAlign w:val="center"/>
          </w:tcPr>
          <w:p w14:paraId="704D255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*固件升级</w:t>
            </w:r>
          </w:p>
        </w:tc>
        <w:tc>
          <w:tcPr>
            <w:tcW w:w="3852" w:type="dxa"/>
            <w:vAlign w:val="center"/>
          </w:tcPr>
          <w:p w14:paraId="5A9E71D1">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支持通过网络、闪存盘等方式对固件进行升级</w:t>
            </w:r>
          </w:p>
        </w:tc>
        <w:tc>
          <w:tcPr>
            <w:tcW w:w="607" w:type="dxa"/>
            <w:vAlign w:val="center"/>
          </w:tcPr>
          <w:p w14:paraId="0B81387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8FCF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A552B34">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706736B1">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137</w:t>
            </w:r>
          </w:p>
        </w:tc>
        <w:tc>
          <w:tcPr>
            <w:tcW w:w="1176" w:type="dxa"/>
            <w:vAlign w:val="center"/>
          </w:tcPr>
          <w:p w14:paraId="42AA051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0F92D0BA">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*操作系统及软件功能</w:t>
            </w:r>
          </w:p>
        </w:tc>
        <w:tc>
          <w:tcPr>
            <w:tcW w:w="1508" w:type="dxa"/>
            <w:vAlign w:val="center"/>
          </w:tcPr>
          <w:p w14:paraId="0E5E22F9">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*BIOS 支持关闭通讯接口</w:t>
            </w:r>
          </w:p>
        </w:tc>
        <w:tc>
          <w:tcPr>
            <w:tcW w:w="3852" w:type="dxa"/>
            <w:vAlign w:val="center"/>
          </w:tcPr>
          <w:p w14:paraId="4C707529">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支持BIOS关闭以太网及USB接口</w:t>
            </w:r>
          </w:p>
        </w:tc>
        <w:tc>
          <w:tcPr>
            <w:tcW w:w="607" w:type="dxa"/>
            <w:vAlign w:val="center"/>
          </w:tcPr>
          <w:p w14:paraId="114B836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6FC5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C27E820">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6200F435">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138</w:t>
            </w:r>
          </w:p>
        </w:tc>
        <w:tc>
          <w:tcPr>
            <w:tcW w:w="1176" w:type="dxa"/>
            <w:vAlign w:val="center"/>
          </w:tcPr>
          <w:p w14:paraId="59A5744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3B6A147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*操作系统及软件功能</w:t>
            </w:r>
          </w:p>
        </w:tc>
        <w:tc>
          <w:tcPr>
            <w:tcW w:w="1508" w:type="dxa"/>
            <w:vAlign w:val="center"/>
          </w:tcPr>
          <w:p w14:paraId="6FA0092C">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*固件查看信息</w:t>
            </w:r>
          </w:p>
        </w:tc>
        <w:tc>
          <w:tcPr>
            <w:tcW w:w="3852" w:type="dxa"/>
            <w:vAlign w:val="center"/>
          </w:tcPr>
          <w:p w14:paraId="698CC50F">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支持查看固件版本、内存信息、主板信息、处理器信息和系统时间信息等功能</w:t>
            </w:r>
          </w:p>
        </w:tc>
        <w:tc>
          <w:tcPr>
            <w:tcW w:w="607" w:type="dxa"/>
            <w:vAlign w:val="center"/>
          </w:tcPr>
          <w:p w14:paraId="5870B5D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2392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49949623">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64509E5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139</w:t>
            </w:r>
          </w:p>
        </w:tc>
        <w:tc>
          <w:tcPr>
            <w:tcW w:w="1176" w:type="dxa"/>
            <w:vAlign w:val="center"/>
          </w:tcPr>
          <w:p w14:paraId="03D789D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7ECE9CF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*操作系统及软件功能</w:t>
            </w:r>
          </w:p>
        </w:tc>
        <w:tc>
          <w:tcPr>
            <w:tcW w:w="1508" w:type="dxa"/>
            <w:vAlign w:val="center"/>
          </w:tcPr>
          <w:p w14:paraId="5769B17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*固件设置启动顺序</w:t>
            </w:r>
          </w:p>
        </w:tc>
        <w:tc>
          <w:tcPr>
            <w:tcW w:w="3852" w:type="dxa"/>
            <w:vAlign w:val="center"/>
          </w:tcPr>
          <w:p w14:paraId="0CC9D902">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支持设置启动顺序功能，并按照设置的启动顺序启动</w:t>
            </w:r>
          </w:p>
        </w:tc>
        <w:tc>
          <w:tcPr>
            <w:tcW w:w="607" w:type="dxa"/>
            <w:vAlign w:val="center"/>
          </w:tcPr>
          <w:p w14:paraId="3696CCB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3992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7660990E">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72DC9EB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140</w:t>
            </w:r>
          </w:p>
        </w:tc>
        <w:tc>
          <w:tcPr>
            <w:tcW w:w="1176" w:type="dxa"/>
            <w:vAlign w:val="center"/>
          </w:tcPr>
          <w:p w14:paraId="14C1398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53C8DDAA">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*操作系统及软件功能</w:t>
            </w:r>
          </w:p>
        </w:tc>
        <w:tc>
          <w:tcPr>
            <w:tcW w:w="1508" w:type="dxa"/>
            <w:vAlign w:val="center"/>
          </w:tcPr>
          <w:p w14:paraId="5BEC92A1">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*固件设置口令</w:t>
            </w:r>
          </w:p>
        </w:tc>
        <w:tc>
          <w:tcPr>
            <w:tcW w:w="3852" w:type="dxa"/>
            <w:vAlign w:val="center"/>
          </w:tcPr>
          <w:p w14:paraId="1DC21C75">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支持设置口令、修改口令、验证口令功能</w:t>
            </w:r>
          </w:p>
        </w:tc>
        <w:tc>
          <w:tcPr>
            <w:tcW w:w="607" w:type="dxa"/>
            <w:vAlign w:val="center"/>
          </w:tcPr>
          <w:p w14:paraId="3ACA728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7C8C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2591D289">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6646881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141</w:t>
            </w:r>
          </w:p>
        </w:tc>
        <w:tc>
          <w:tcPr>
            <w:tcW w:w="1176" w:type="dxa"/>
            <w:vAlign w:val="center"/>
          </w:tcPr>
          <w:p w14:paraId="3ADFCEA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3707662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*操作系统及软件功能</w:t>
            </w:r>
          </w:p>
        </w:tc>
        <w:tc>
          <w:tcPr>
            <w:tcW w:w="1508" w:type="dxa"/>
            <w:vAlign w:val="center"/>
          </w:tcPr>
          <w:p w14:paraId="31E7F58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*固件设置网络引导</w:t>
            </w:r>
          </w:p>
        </w:tc>
        <w:tc>
          <w:tcPr>
            <w:tcW w:w="3852" w:type="dxa"/>
            <w:vAlign w:val="center"/>
          </w:tcPr>
          <w:p w14:paraId="2AC36828">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支持网络引导启动和关闭功能</w:t>
            </w:r>
          </w:p>
        </w:tc>
        <w:tc>
          <w:tcPr>
            <w:tcW w:w="607" w:type="dxa"/>
            <w:vAlign w:val="center"/>
          </w:tcPr>
          <w:p w14:paraId="257F82C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7A7F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5BAB37A6">
            <w:pPr>
              <w:adjustRightInd w:val="0"/>
              <w:snapToGrid w:val="0"/>
              <w:jc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5282D55D">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142</w:t>
            </w:r>
          </w:p>
        </w:tc>
        <w:tc>
          <w:tcPr>
            <w:tcW w:w="1176" w:type="dxa"/>
            <w:vAlign w:val="center"/>
          </w:tcPr>
          <w:p w14:paraId="0040268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3811F4E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生物识别功能</w:t>
            </w:r>
          </w:p>
        </w:tc>
        <w:tc>
          <w:tcPr>
            <w:tcW w:w="1508" w:type="dxa"/>
            <w:vAlign w:val="center"/>
          </w:tcPr>
          <w:p w14:paraId="23ED6484">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指纹识别</w:t>
            </w:r>
          </w:p>
        </w:tc>
        <w:tc>
          <w:tcPr>
            <w:tcW w:w="3852" w:type="dxa"/>
            <w:vAlign w:val="center"/>
          </w:tcPr>
          <w:p w14:paraId="6535E3F5">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5F771D3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A1D2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01A01050">
            <w:pPr>
              <w:adjustRightInd w:val="0"/>
              <w:snapToGrid w:val="0"/>
              <w:jc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749E6CC1">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143</w:t>
            </w:r>
          </w:p>
        </w:tc>
        <w:tc>
          <w:tcPr>
            <w:tcW w:w="1176" w:type="dxa"/>
            <w:vAlign w:val="center"/>
          </w:tcPr>
          <w:p w14:paraId="7CBF21F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4B8633A1">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生物识别功能</w:t>
            </w:r>
          </w:p>
        </w:tc>
        <w:tc>
          <w:tcPr>
            <w:tcW w:w="1508" w:type="dxa"/>
            <w:vAlign w:val="center"/>
          </w:tcPr>
          <w:p w14:paraId="767784EC">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人脸识别</w:t>
            </w:r>
          </w:p>
        </w:tc>
        <w:tc>
          <w:tcPr>
            <w:tcW w:w="3852" w:type="dxa"/>
            <w:vAlign w:val="center"/>
          </w:tcPr>
          <w:p w14:paraId="62333EFA">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6303F6B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AEF5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C22E5C5">
            <w:pPr>
              <w:adjustRightInd w:val="0"/>
              <w:snapToGrid w:val="0"/>
              <w:jc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21D58BB0">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144</w:t>
            </w:r>
          </w:p>
        </w:tc>
        <w:tc>
          <w:tcPr>
            <w:tcW w:w="1176" w:type="dxa"/>
            <w:vAlign w:val="center"/>
          </w:tcPr>
          <w:p w14:paraId="185C9F9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3463A76B">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生物识别功能</w:t>
            </w:r>
          </w:p>
        </w:tc>
        <w:tc>
          <w:tcPr>
            <w:tcW w:w="1508" w:type="dxa"/>
            <w:vAlign w:val="center"/>
          </w:tcPr>
          <w:p w14:paraId="6E1A90DB">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静脉识别</w:t>
            </w:r>
          </w:p>
        </w:tc>
        <w:tc>
          <w:tcPr>
            <w:tcW w:w="3852" w:type="dxa"/>
            <w:vAlign w:val="center"/>
          </w:tcPr>
          <w:p w14:paraId="0C340B5C">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43A48E2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1E04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6B298FC7">
            <w:pPr>
              <w:adjustRightInd w:val="0"/>
              <w:snapToGrid w:val="0"/>
              <w:jc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347DC892">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145</w:t>
            </w:r>
          </w:p>
        </w:tc>
        <w:tc>
          <w:tcPr>
            <w:tcW w:w="1176" w:type="dxa"/>
            <w:vAlign w:val="center"/>
          </w:tcPr>
          <w:p w14:paraId="5884458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656B561B">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硬件加速功能</w:t>
            </w:r>
          </w:p>
        </w:tc>
        <w:tc>
          <w:tcPr>
            <w:tcW w:w="1508" w:type="dxa"/>
            <w:vAlign w:val="center"/>
          </w:tcPr>
          <w:p w14:paraId="61D32764">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NPU/GPU等A I加速模块</w:t>
            </w:r>
          </w:p>
        </w:tc>
        <w:tc>
          <w:tcPr>
            <w:tcW w:w="3852" w:type="dxa"/>
            <w:vAlign w:val="center"/>
          </w:tcPr>
          <w:p w14:paraId="7C9B2282">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6687C6B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EBC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1439238B">
            <w:pPr>
              <w:adjustRightInd w:val="0"/>
              <w:snapToGrid w:val="0"/>
              <w:jc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6F1558E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146</w:t>
            </w:r>
          </w:p>
        </w:tc>
        <w:tc>
          <w:tcPr>
            <w:tcW w:w="1176" w:type="dxa"/>
            <w:vAlign w:val="center"/>
          </w:tcPr>
          <w:p w14:paraId="2100526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246569E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硬件加速功能</w:t>
            </w:r>
          </w:p>
        </w:tc>
        <w:tc>
          <w:tcPr>
            <w:tcW w:w="1508" w:type="dxa"/>
            <w:vAlign w:val="center"/>
          </w:tcPr>
          <w:p w14:paraId="619D40EC">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视频编解码加速模块</w:t>
            </w:r>
          </w:p>
        </w:tc>
        <w:tc>
          <w:tcPr>
            <w:tcW w:w="3852" w:type="dxa"/>
            <w:vAlign w:val="center"/>
          </w:tcPr>
          <w:p w14:paraId="68D094CB">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24E921A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8295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815988D">
            <w:pPr>
              <w:adjustRightInd w:val="0"/>
              <w:snapToGrid w:val="0"/>
              <w:jc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2F8A2C9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147</w:t>
            </w:r>
          </w:p>
        </w:tc>
        <w:tc>
          <w:tcPr>
            <w:tcW w:w="1176" w:type="dxa"/>
            <w:vAlign w:val="center"/>
          </w:tcPr>
          <w:p w14:paraId="62DE899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0E51E1D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硬件加速功能</w:t>
            </w:r>
          </w:p>
        </w:tc>
        <w:tc>
          <w:tcPr>
            <w:tcW w:w="1508" w:type="dxa"/>
            <w:vAlign w:val="center"/>
          </w:tcPr>
          <w:p w14:paraId="7651C979">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影像处理加速模块</w:t>
            </w:r>
          </w:p>
        </w:tc>
        <w:tc>
          <w:tcPr>
            <w:tcW w:w="3852" w:type="dxa"/>
            <w:vAlign w:val="center"/>
          </w:tcPr>
          <w:p w14:paraId="3AAB1507">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505280F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1991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50AA039">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73B17F1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148</w:t>
            </w:r>
          </w:p>
        </w:tc>
        <w:tc>
          <w:tcPr>
            <w:tcW w:w="1176" w:type="dxa"/>
            <w:vAlign w:val="center"/>
          </w:tcPr>
          <w:p w14:paraId="7B64E9F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可靠性要求</w:t>
            </w:r>
          </w:p>
        </w:tc>
        <w:tc>
          <w:tcPr>
            <w:tcW w:w="1176" w:type="dxa"/>
            <w:vAlign w:val="center"/>
          </w:tcPr>
          <w:p w14:paraId="6970C8DA">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*存储设备可靠性</w:t>
            </w:r>
          </w:p>
        </w:tc>
        <w:tc>
          <w:tcPr>
            <w:tcW w:w="1508" w:type="dxa"/>
            <w:vAlign w:val="center"/>
          </w:tcPr>
          <w:p w14:paraId="26D6337B">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*固态存储寿命</w:t>
            </w:r>
          </w:p>
        </w:tc>
        <w:tc>
          <w:tcPr>
            <w:tcW w:w="3852" w:type="dxa"/>
            <w:vAlign w:val="center"/>
          </w:tcPr>
          <w:p w14:paraId="0281B8D3">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TBW≥80TB（条件：240GB硬盘容量）</w:t>
            </w:r>
          </w:p>
        </w:tc>
        <w:tc>
          <w:tcPr>
            <w:tcW w:w="607" w:type="dxa"/>
            <w:vAlign w:val="center"/>
          </w:tcPr>
          <w:p w14:paraId="459C208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3B768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8F622C8">
            <w:pPr>
              <w:adjustRightInd w:val="0"/>
              <w:snapToGrid w:val="0"/>
              <w:jc w:val="center"/>
              <w:textAlignment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55A1349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149</w:t>
            </w:r>
          </w:p>
        </w:tc>
        <w:tc>
          <w:tcPr>
            <w:tcW w:w="1176" w:type="dxa"/>
            <w:vAlign w:val="center"/>
          </w:tcPr>
          <w:p w14:paraId="246B47D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可靠性要求</w:t>
            </w:r>
          </w:p>
        </w:tc>
        <w:tc>
          <w:tcPr>
            <w:tcW w:w="1176" w:type="dxa"/>
            <w:vAlign w:val="center"/>
          </w:tcPr>
          <w:p w14:paraId="42AFEBC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*存储设备可靠性</w:t>
            </w:r>
          </w:p>
        </w:tc>
        <w:tc>
          <w:tcPr>
            <w:tcW w:w="1508" w:type="dxa"/>
            <w:vAlign w:val="center"/>
          </w:tcPr>
          <w:p w14:paraId="71F527FA">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*机械硬盘寿命</w:t>
            </w:r>
          </w:p>
        </w:tc>
        <w:tc>
          <w:tcPr>
            <w:tcW w:w="3852" w:type="dxa"/>
            <w:vAlign w:val="center"/>
          </w:tcPr>
          <w:p w14:paraId="650B973B">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08B5A48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C077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4C476269">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69972AA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150</w:t>
            </w:r>
          </w:p>
        </w:tc>
        <w:tc>
          <w:tcPr>
            <w:tcW w:w="1176" w:type="dxa"/>
            <w:vAlign w:val="center"/>
          </w:tcPr>
          <w:p w14:paraId="674C916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可靠性要</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求</w:t>
            </w:r>
          </w:p>
        </w:tc>
        <w:tc>
          <w:tcPr>
            <w:tcW w:w="1176" w:type="dxa"/>
            <w:vAlign w:val="center"/>
          </w:tcPr>
          <w:p w14:paraId="7F72E77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*显示设备可靠性</w:t>
            </w:r>
          </w:p>
        </w:tc>
        <w:tc>
          <w:tcPr>
            <w:tcW w:w="1508" w:type="dxa"/>
            <w:vAlign w:val="center"/>
          </w:tcPr>
          <w:p w14:paraId="7627CD1F">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*显示屏屏幕失效点</w:t>
            </w:r>
          </w:p>
        </w:tc>
        <w:tc>
          <w:tcPr>
            <w:tcW w:w="3852" w:type="dxa"/>
            <w:vAlign w:val="center"/>
          </w:tcPr>
          <w:p w14:paraId="6FF5244E">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符合GB/T9813.2的要求</w:t>
            </w:r>
          </w:p>
        </w:tc>
        <w:tc>
          <w:tcPr>
            <w:tcW w:w="607" w:type="dxa"/>
            <w:vAlign w:val="center"/>
          </w:tcPr>
          <w:p w14:paraId="2A7EC2E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99D8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25628581">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4FA867BA">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151</w:t>
            </w:r>
          </w:p>
        </w:tc>
        <w:tc>
          <w:tcPr>
            <w:tcW w:w="1176" w:type="dxa"/>
            <w:vAlign w:val="center"/>
          </w:tcPr>
          <w:p w14:paraId="0AA0177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可靠性要</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求</w:t>
            </w:r>
          </w:p>
        </w:tc>
        <w:tc>
          <w:tcPr>
            <w:tcW w:w="1176" w:type="dxa"/>
            <w:vAlign w:val="center"/>
          </w:tcPr>
          <w:p w14:paraId="3AB05831">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*外设可靠性</w:t>
            </w:r>
          </w:p>
        </w:tc>
        <w:tc>
          <w:tcPr>
            <w:tcW w:w="1508" w:type="dxa"/>
            <w:vAlign w:val="center"/>
          </w:tcPr>
          <w:p w14:paraId="1A34193C">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*键盘按键寿命</w:t>
            </w:r>
          </w:p>
        </w:tc>
        <w:tc>
          <w:tcPr>
            <w:tcW w:w="3852" w:type="dxa"/>
            <w:vAlign w:val="center"/>
          </w:tcPr>
          <w:p w14:paraId="5BB8C692">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≥1000万次</w:t>
            </w:r>
          </w:p>
        </w:tc>
        <w:tc>
          <w:tcPr>
            <w:tcW w:w="607" w:type="dxa"/>
            <w:vAlign w:val="center"/>
          </w:tcPr>
          <w:p w14:paraId="5AA6BC9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9CCF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C930BC7">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7037B552">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152</w:t>
            </w:r>
          </w:p>
        </w:tc>
        <w:tc>
          <w:tcPr>
            <w:tcW w:w="1176" w:type="dxa"/>
            <w:vAlign w:val="center"/>
          </w:tcPr>
          <w:p w14:paraId="2433F77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可靠性要</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求</w:t>
            </w:r>
          </w:p>
        </w:tc>
        <w:tc>
          <w:tcPr>
            <w:tcW w:w="1176" w:type="dxa"/>
            <w:vAlign w:val="center"/>
          </w:tcPr>
          <w:p w14:paraId="78A845D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*外设可靠性</w:t>
            </w:r>
          </w:p>
        </w:tc>
        <w:tc>
          <w:tcPr>
            <w:tcW w:w="1508" w:type="dxa"/>
            <w:vAlign w:val="center"/>
          </w:tcPr>
          <w:p w14:paraId="6A8C7E94">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*鼠标按键寿命</w:t>
            </w:r>
          </w:p>
        </w:tc>
        <w:tc>
          <w:tcPr>
            <w:tcW w:w="3852" w:type="dxa"/>
            <w:vAlign w:val="center"/>
          </w:tcPr>
          <w:p w14:paraId="2AE0F192">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≥500万次</w:t>
            </w:r>
          </w:p>
        </w:tc>
        <w:tc>
          <w:tcPr>
            <w:tcW w:w="607" w:type="dxa"/>
            <w:vAlign w:val="center"/>
          </w:tcPr>
          <w:p w14:paraId="12A046E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6892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709B8F5">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0B09585D">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153</w:t>
            </w:r>
          </w:p>
        </w:tc>
        <w:tc>
          <w:tcPr>
            <w:tcW w:w="1176" w:type="dxa"/>
            <w:vAlign w:val="center"/>
          </w:tcPr>
          <w:p w14:paraId="008F949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可靠</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性要</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求</w:t>
            </w:r>
          </w:p>
        </w:tc>
        <w:tc>
          <w:tcPr>
            <w:tcW w:w="1176" w:type="dxa"/>
            <w:vAlign w:val="center"/>
          </w:tcPr>
          <w:p w14:paraId="1F44568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*外设可靠性</w:t>
            </w:r>
          </w:p>
        </w:tc>
        <w:tc>
          <w:tcPr>
            <w:tcW w:w="1508" w:type="dxa"/>
            <w:vAlign w:val="center"/>
          </w:tcPr>
          <w:p w14:paraId="1BB81B3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*键盘鼠</w:t>
            </w:r>
            <w:r>
              <w:rPr>
                <w:rFonts w:ascii="仿宋_GB2312" w:eastAsia="仿宋_GB2312" w:hAnsiTheme="minorEastAsia" w:cstheme="minorEastAsia"/>
                <w:color w:val="auto"/>
                <w:kern w:val="0"/>
                <w:sz w:val="28"/>
                <w:szCs w:val="28"/>
                <w:lang w:bidi="ar"/>
              </w:rPr>
              <w:br w:type="textWrapping"/>
            </w:r>
            <w:r>
              <w:rPr>
                <w:rFonts w:ascii="仿宋_GB2312" w:eastAsia="仿宋_GB2312" w:hAnsiTheme="minorEastAsia" w:cstheme="minorEastAsia"/>
                <w:color w:val="auto"/>
                <w:kern w:val="0"/>
                <w:sz w:val="28"/>
                <w:szCs w:val="28"/>
                <w:lang w:bidi="ar"/>
              </w:rPr>
              <w:t>标线材寿命</w:t>
            </w:r>
          </w:p>
        </w:tc>
        <w:tc>
          <w:tcPr>
            <w:tcW w:w="3852" w:type="dxa"/>
            <w:vAlign w:val="center"/>
          </w:tcPr>
          <w:p w14:paraId="00F8C55E">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键盘鼠标所用线材经±60°弯折不低于3000次，功能、外观完好</w:t>
            </w:r>
          </w:p>
        </w:tc>
        <w:tc>
          <w:tcPr>
            <w:tcW w:w="607" w:type="dxa"/>
            <w:vAlign w:val="center"/>
          </w:tcPr>
          <w:p w14:paraId="62B861B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9FB9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65D9F6AA">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75D8D80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154</w:t>
            </w:r>
          </w:p>
        </w:tc>
        <w:tc>
          <w:tcPr>
            <w:tcW w:w="1176" w:type="dxa"/>
            <w:vAlign w:val="center"/>
          </w:tcPr>
          <w:p w14:paraId="1AE4A9E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可靠性要</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求</w:t>
            </w:r>
          </w:p>
        </w:tc>
        <w:tc>
          <w:tcPr>
            <w:tcW w:w="1176" w:type="dxa"/>
            <w:vAlign w:val="center"/>
          </w:tcPr>
          <w:p w14:paraId="515724FD">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*外设可靠性</w:t>
            </w:r>
          </w:p>
        </w:tc>
        <w:tc>
          <w:tcPr>
            <w:tcW w:w="1508" w:type="dxa"/>
            <w:vAlign w:val="center"/>
          </w:tcPr>
          <w:p w14:paraId="1732D37B">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*风扇寿命</w:t>
            </w:r>
          </w:p>
        </w:tc>
        <w:tc>
          <w:tcPr>
            <w:tcW w:w="3852" w:type="dxa"/>
            <w:vAlign w:val="center"/>
          </w:tcPr>
          <w:p w14:paraId="13E7D9CC">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≥4万小时</w:t>
            </w:r>
          </w:p>
        </w:tc>
        <w:tc>
          <w:tcPr>
            <w:tcW w:w="607" w:type="dxa"/>
            <w:vAlign w:val="center"/>
          </w:tcPr>
          <w:p w14:paraId="409B1ED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BD23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63D4BE6A">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7399CC1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155</w:t>
            </w:r>
          </w:p>
        </w:tc>
        <w:tc>
          <w:tcPr>
            <w:tcW w:w="1176" w:type="dxa"/>
            <w:vAlign w:val="center"/>
          </w:tcPr>
          <w:p w14:paraId="6E37513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可靠性要</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求</w:t>
            </w:r>
          </w:p>
        </w:tc>
        <w:tc>
          <w:tcPr>
            <w:tcW w:w="1176" w:type="dxa"/>
            <w:vAlign w:val="center"/>
          </w:tcPr>
          <w:p w14:paraId="5B329F8A">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*整机可靠性要求</w:t>
            </w:r>
          </w:p>
        </w:tc>
        <w:tc>
          <w:tcPr>
            <w:tcW w:w="1508" w:type="dxa"/>
            <w:vAlign w:val="center"/>
          </w:tcPr>
          <w:p w14:paraId="401F49C6">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*电磁兼容性要求的抗扰度</w:t>
            </w:r>
          </w:p>
        </w:tc>
        <w:tc>
          <w:tcPr>
            <w:tcW w:w="3852" w:type="dxa"/>
            <w:vAlign w:val="center"/>
          </w:tcPr>
          <w:p w14:paraId="0B5E0634">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符合GB/T9254.2的规定</w:t>
            </w:r>
          </w:p>
        </w:tc>
        <w:tc>
          <w:tcPr>
            <w:tcW w:w="607" w:type="dxa"/>
            <w:vAlign w:val="center"/>
          </w:tcPr>
          <w:p w14:paraId="3120A12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970E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620" w:type="dxa"/>
            <w:vAlign w:val="center"/>
          </w:tcPr>
          <w:p w14:paraId="5A9D3D14">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5D3D0B05">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156</w:t>
            </w:r>
          </w:p>
        </w:tc>
        <w:tc>
          <w:tcPr>
            <w:tcW w:w="1176" w:type="dxa"/>
            <w:vAlign w:val="center"/>
          </w:tcPr>
          <w:p w14:paraId="09DCA81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可靠性要</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求</w:t>
            </w:r>
          </w:p>
        </w:tc>
        <w:tc>
          <w:tcPr>
            <w:tcW w:w="1176" w:type="dxa"/>
            <w:vAlign w:val="center"/>
          </w:tcPr>
          <w:p w14:paraId="71295C0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*整机可靠性要求</w:t>
            </w:r>
          </w:p>
        </w:tc>
        <w:tc>
          <w:tcPr>
            <w:tcW w:w="1508" w:type="dxa"/>
            <w:vAlign w:val="center"/>
          </w:tcPr>
          <w:p w14:paraId="5ABDA641">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*环境条件要求的气候环境适应性</w:t>
            </w:r>
          </w:p>
        </w:tc>
        <w:tc>
          <w:tcPr>
            <w:tcW w:w="3852" w:type="dxa"/>
            <w:vAlign w:val="center"/>
          </w:tcPr>
          <w:p w14:paraId="38A000BA">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符合GB/T9813.1中规定</w:t>
            </w:r>
          </w:p>
        </w:tc>
        <w:tc>
          <w:tcPr>
            <w:tcW w:w="607" w:type="dxa"/>
            <w:vAlign w:val="center"/>
          </w:tcPr>
          <w:p w14:paraId="6D48B5B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4905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620" w:type="dxa"/>
            <w:vAlign w:val="center"/>
          </w:tcPr>
          <w:p w14:paraId="1BAD60C0">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6565689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157</w:t>
            </w:r>
          </w:p>
        </w:tc>
        <w:tc>
          <w:tcPr>
            <w:tcW w:w="1176" w:type="dxa"/>
            <w:vAlign w:val="center"/>
          </w:tcPr>
          <w:p w14:paraId="7E6A1D3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可靠性要</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求</w:t>
            </w:r>
          </w:p>
        </w:tc>
        <w:tc>
          <w:tcPr>
            <w:tcW w:w="1176" w:type="dxa"/>
            <w:vAlign w:val="center"/>
          </w:tcPr>
          <w:p w14:paraId="47F03900">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*整机可靠性要求</w:t>
            </w:r>
          </w:p>
        </w:tc>
        <w:tc>
          <w:tcPr>
            <w:tcW w:w="1508" w:type="dxa"/>
            <w:vAlign w:val="center"/>
          </w:tcPr>
          <w:p w14:paraId="65C78373">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*环境条件要求的振动适应性</w:t>
            </w:r>
          </w:p>
        </w:tc>
        <w:tc>
          <w:tcPr>
            <w:tcW w:w="3852" w:type="dxa"/>
            <w:vAlign w:val="center"/>
          </w:tcPr>
          <w:p w14:paraId="320AB370">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符合GB/T9813.1中规定</w:t>
            </w:r>
          </w:p>
        </w:tc>
        <w:tc>
          <w:tcPr>
            <w:tcW w:w="607" w:type="dxa"/>
            <w:vAlign w:val="center"/>
          </w:tcPr>
          <w:p w14:paraId="5F928F4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A0F6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620" w:type="dxa"/>
            <w:vAlign w:val="center"/>
          </w:tcPr>
          <w:p w14:paraId="01988D24">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546B5C45">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158</w:t>
            </w:r>
          </w:p>
        </w:tc>
        <w:tc>
          <w:tcPr>
            <w:tcW w:w="1176" w:type="dxa"/>
            <w:vAlign w:val="center"/>
          </w:tcPr>
          <w:p w14:paraId="35BF93C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可靠性要</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求</w:t>
            </w:r>
          </w:p>
        </w:tc>
        <w:tc>
          <w:tcPr>
            <w:tcW w:w="1176" w:type="dxa"/>
            <w:vAlign w:val="center"/>
          </w:tcPr>
          <w:p w14:paraId="11949D3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*整机可靠性要求</w:t>
            </w:r>
          </w:p>
        </w:tc>
        <w:tc>
          <w:tcPr>
            <w:tcW w:w="1508" w:type="dxa"/>
            <w:vAlign w:val="center"/>
          </w:tcPr>
          <w:p w14:paraId="0D5F5C96">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*环境条件要求的</w:t>
            </w:r>
            <w:r>
              <w:rPr>
                <w:rStyle w:val="288"/>
                <w:rFonts w:ascii="仿宋_GB2312" w:eastAsia="仿宋_GB2312" w:hAnsiTheme="minorEastAsia" w:cstheme="minorEastAsia"/>
                <w:color w:val="auto"/>
                <w:sz w:val="28"/>
                <w:szCs w:val="28"/>
                <w:lang w:eastAsia="zh-CN" w:bidi="ar"/>
              </w:rPr>
              <w:br w:type="textWrapping"/>
            </w:r>
            <w:r>
              <w:rPr>
                <w:rStyle w:val="288"/>
                <w:rFonts w:ascii="仿宋_GB2312" w:eastAsia="仿宋_GB2312" w:hAnsiTheme="minorEastAsia" w:cstheme="minorEastAsia"/>
                <w:color w:val="auto"/>
                <w:sz w:val="28"/>
                <w:szCs w:val="28"/>
                <w:lang w:eastAsia="zh-CN" w:bidi="ar"/>
              </w:rPr>
              <w:t>冲击适应性</w:t>
            </w:r>
          </w:p>
        </w:tc>
        <w:tc>
          <w:tcPr>
            <w:tcW w:w="3852" w:type="dxa"/>
            <w:vAlign w:val="center"/>
          </w:tcPr>
          <w:p w14:paraId="1E6F9CAB">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符合GB/T9813.1中规定</w:t>
            </w:r>
          </w:p>
        </w:tc>
        <w:tc>
          <w:tcPr>
            <w:tcW w:w="607" w:type="dxa"/>
            <w:vAlign w:val="center"/>
          </w:tcPr>
          <w:p w14:paraId="3ADA0C1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E085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620" w:type="dxa"/>
            <w:vAlign w:val="center"/>
          </w:tcPr>
          <w:p w14:paraId="1CC844BF">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4A02137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159</w:t>
            </w:r>
          </w:p>
        </w:tc>
        <w:tc>
          <w:tcPr>
            <w:tcW w:w="1176" w:type="dxa"/>
            <w:vAlign w:val="center"/>
          </w:tcPr>
          <w:p w14:paraId="4CB1083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可靠性要</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求</w:t>
            </w:r>
          </w:p>
        </w:tc>
        <w:tc>
          <w:tcPr>
            <w:tcW w:w="1176" w:type="dxa"/>
            <w:vAlign w:val="center"/>
          </w:tcPr>
          <w:p w14:paraId="3E95970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*整机可靠性要求</w:t>
            </w:r>
          </w:p>
        </w:tc>
        <w:tc>
          <w:tcPr>
            <w:tcW w:w="1508" w:type="dxa"/>
            <w:vAlign w:val="center"/>
          </w:tcPr>
          <w:p w14:paraId="0BCFA7FC">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*环境条件要求的</w:t>
            </w:r>
            <w:r>
              <w:rPr>
                <w:rStyle w:val="288"/>
                <w:rFonts w:ascii="仿宋_GB2312" w:eastAsia="仿宋_GB2312" w:hAnsiTheme="minorEastAsia" w:cstheme="minorEastAsia"/>
                <w:color w:val="auto"/>
                <w:sz w:val="28"/>
                <w:szCs w:val="28"/>
                <w:lang w:eastAsia="zh-CN" w:bidi="ar"/>
              </w:rPr>
              <w:br w:type="textWrapping"/>
            </w:r>
            <w:r>
              <w:rPr>
                <w:rStyle w:val="288"/>
                <w:rFonts w:ascii="仿宋_GB2312" w:eastAsia="仿宋_GB2312" w:hAnsiTheme="minorEastAsia" w:cstheme="minorEastAsia"/>
                <w:color w:val="auto"/>
                <w:sz w:val="28"/>
                <w:szCs w:val="28"/>
                <w:lang w:eastAsia="zh-CN" w:bidi="ar"/>
              </w:rPr>
              <w:t>碰撞适应性</w:t>
            </w:r>
          </w:p>
        </w:tc>
        <w:tc>
          <w:tcPr>
            <w:tcW w:w="3852" w:type="dxa"/>
            <w:vAlign w:val="center"/>
          </w:tcPr>
          <w:p w14:paraId="386C2A1E">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符合GB/T9813.1中规定</w:t>
            </w:r>
          </w:p>
        </w:tc>
        <w:tc>
          <w:tcPr>
            <w:tcW w:w="607" w:type="dxa"/>
            <w:vAlign w:val="center"/>
          </w:tcPr>
          <w:p w14:paraId="289883E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C855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620" w:type="dxa"/>
            <w:vAlign w:val="center"/>
          </w:tcPr>
          <w:p w14:paraId="22026B9E">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51E75B72">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160</w:t>
            </w:r>
          </w:p>
        </w:tc>
        <w:tc>
          <w:tcPr>
            <w:tcW w:w="1176" w:type="dxa"/>
            <w:vAlign w:val="center"/>
          </w:tcPr>
          <w:p w14:paraId="33AC167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可靠性要</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求</w:t>
            </w:r>
          </w:p>
        </w:tc>
        <w:tc>
          <w:tcPr>
            <w:tcW w:w="1176" w:type="dxa"/>
            <w:vAlign w:val="center"/>
          </w:tcPr>
          <w:p w14:paraId="6BE64B8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*整机可靠性要求</w:t>
            </w:r>
          </w:p>
        </w:tc>
        <w:tc>
          <w:tcPr>
            <w:tcW w:w="1508" w:type="dxa"/>
            <w:vAlign w:val="center"/>
          </w:tcPr>
          <w:p w14:paraId="7CEBC597">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*环境条件要求的</w:t>
            </w:r>
            <w:r>
              <w:rPr>
                <w:rStyle w:val="288"/>
                <w:rFonts w:ascii="仿宋_GB2312" w:eastAsia="仿宋_GB2312" w:hAnsiTheme="minorEastAsia" w:cstheme="minorEastAsia"/>
                <w:color w:val="auto"/>
                <w:sz w:val="28"/>
                <w:szCs w:val="28"/>
                <w:lang w:eastAsia="zh-CN" w:bidi="ar"/>
              </w:rPr>
              <w:br w:type="textWrapping"/>
            </w:r>
            <w:r>
              <w:rPr>
                <w:rStyle w:val="288"/>
                <w:rFonts w:ascii="仿宋_GB2312" w:eastAsia="仿宋_GB2312" w:hAnsiTheme="minorEastAsia" w:cstheme="minorEastAsia"/>
                <w:color w:val="auto"/>
                <w:sz w:val="28"/>
                <w:szCs w:val="28"/>
                <w:lang w:eastAsia="zh-CN" w:bidi="ar"/>
              </w:rPr>
              <w:t>运输包装件跌落适应性</w:t>
            </w:r>
          </w:p>
        </w:tc>
        <w:tc>
          <w:tcPr>
            <w:tcW w:w="3852" w:type="dxa"/>
            <w:vAlign w:val="center"/>
          </w:tcPr>
          <w:p w14:paraId="7C082C5C">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符合GB/T9813.1中规定</w:t>
            </w:r>
          </w:p>
        </w:tc>
        <w:tc>
          <w:tcPr>
            <w:tcW w:w="607" w:type="dxa"/>
            <w:vAlign w:val="center"/>
          </w:tcPr>
          <w:p w14:paraId="609AC50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E693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1370683F">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5A5BFFF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161</w:t>
            </w:r>
          </w:p>
        </w:tc>
        <w:tc>
          <w:tcPr>
            <w:tcW w:w="1176" w:type="dxa"/>
            <w:vAlign w:val="center"/>
          </w:tcPr>
          <w:p w14:paraId="16789B9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可靠性要</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求</w:t>
            </w:r>
          </w:p>
        </w:tc>
        <w:tc>
          <w:tcPr>
            <w:tcW w:w="1176" w:type="dxa"/>
            <w:vAlign w:val="center"/>
          </w:tcPr>
          <w:p w14:paraId="2BF52A40">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*整机可靠性要求</w:t>
            </w:r>
          </w:p>
        </w:tc>
        <w:tc>
          <w:tcPr>
            <w:tcW w:w="1508" w:type="dxa"/>
            <w:vAlign w:val="center"/>
          </w:tcPr>
          <w:p w14:paraId="7762968A">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*MTBF 测试</w:t>
            </w:r>
          </w:p>
        </w:tc>
        <w:tc>
          <w:tcPr>
            <w:tcW w:w="3852" w:type="dxa"/>
            <w:vAlign w:val="center"/>
          </w:tcPr>
          <w:p w14:paraId="1C361C4E">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MTBF(m1)≥</w:t>
            </w:r>
            <w:r>
              <w:rPr>
                <w:rFonts w:ascii="仿宋_GB2312" w:hAnsi="Arial" w:eastAsia="仿宋_GB2312" w:cs="Arial"/>
                <w:sz w:val="28"/>
                <w:szCs w:val="28"/>
                <w:lang w:val="en-US" w:eastAsia="zh-CN"/>
              </w:rPr>
              <w:t>3</w:t>
            </w:r>
            <w:r>
              <w:rPr>
                <w:rFonts w:ascii="仿宋_GB2312" w:hAnsi="Arial" w:eastAsia="仿宋_GB2312" w:cs="Arial"/>
                <w:sz w:val="28"/>
                <w:szCs w:val="28"/>
              </w:rPr>
              <w:t>万小时</w:t>
            </w:r>
          </w:p>
        </w:tc>
        <w:tc>
          <w:tcPr>
            <w:tcW w:w="607" w:type="dxa"/>
            <w:vAlign w:val="center"/>
          </w:tcPr>
          <w:p w14:paraId="62E88CA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7BD0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753CA7C7">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32FD622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162</w:t>
            </w:r>
          </w:p>
        </w:tc>
        <w:tc>
          <w:tcPr>
            <w:tcW w:w="1176" w:type="dxa"/>
            <w:vAlign w:val="center"/>
          </w:tcPr>
          <w:p w14:paraId="3DAB122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兼容要求</w:t>
            </w:r>
          </w:p>
        </w:tc>
        <w:tc>
          <w:tcPr>
            <w:tcW w:w="1176" w:type="dxa"/>
            <w:vAlign w:val="center"/>
          </w:tcPr>
          <w:p w14:paraId="66E49E3C">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*兼容</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要求</w:t>
            </w:r>
          </w:p>
        </w:tc>
        <w:tc>
          <w:tcPr>
            <w:tcW w:w="1508" w:type="dxa"/>
            <w:vAlign w:val="center"/>
          </w:tcPr>
          <w:p w14:paraId="6B9760DA">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*常用软件兼容</w:t>
            </w:r>
          </w:p>
        </w:tc>
        <w:tc>
          <w:tcPr>
            <w:tcW w:w="3852" w:type="dxa"/>
            <w:vAlign w:val="center"/>
          </w:tcPr>
          <w:p w14:paraId="296B6B1B">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支持流式软件、版式软件、浏览器、邮件采购人端、解压软件、多媒体、图形图像处理等常用软件</w:t>
            </w:r>
          </w:p>
        </w:tc>
        <w:tc>
          <w:tcPr>
            <w:tcW w:w="607" w:type="dxa"/>
            <w:vAlign w:val="center"/>
          </w:tcPr>
          <w:p w14:paraId="18F8B17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4C71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49C59D33">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3D2C8EE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163</w:t>
            </w:r>
          </w:p>
        </w:tc>
        <w:tc>
          <w:tcPr>
            <w:tcW w:w="1176" w:type="dxa"/>
            <w:vAlign w:val="center"/>
          </w:tcPr>
          <w:p w14:paraId="717445C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兼容要求</w:t>
            </w:r>
          </w:p>
        </w:tc>
        <w:tc>
          <w:tcPr>
            <w:tcW w:w="1176" w:type="dxa"/>
            <w:vAlign w:val="center"/>
          </w:tcPr>
          <w:p w14:paraId="14A502A3">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*兼容要求</w:t>
            </w:r>
          </w:p>
        </w:tc>
        <w:tc>
          <w:tcPr>
            <w:tcW w:w="1508" w:type="dxa"/>
            <w:vAlign w:val="center"/>
          </w:tcPr>
          <w:p w14:paraId="1962F511">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*数据库兼容</w:t>
            </w:r>
          </w:p>
        </w:tc>
        <w:tc>
          <w:tcPr>
            <w:tcW w:w="3852" w:type="dxa"/>
            <w:vAlign w:val="center"/>
          </w:tcPr>
          <w:p w14:paraId="04605C74">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兼容3个及以上厂商的数据库产品</w:t>
            </w:r>
          </w:p>
        </w:tc>
        <w:tc>
          <w:tcPr>
            <w:tcW w:w="607" w:type="dxa"/>
            <w:vAlign w:val="center"/>
          </w:tcPr>
          <w:p w14:paraId="7FC7885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90E5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03CE3218">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186465F0">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164</w:t>
            </w:r>
          </w:p>
        </w:tc>
        <w:tc>
          <w:tcPr>
            <w:tcW w:w="1176" w:type="dxa"/>
            <w:vAlign w:val="center"/>
          </w:tcPr>
          <w:p w14:paraId="5EA769E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兼容要求</w:t>
            </w:r>
          </w:p>
        </w:tc>
        <w:tc>
          <w:tcPr>
            <w:tcW w:w="1176" w:type="dxa"/>
            <w:vAlign w:val="center"/>
          </w:tcPr>
          <w:p w14:paraId="579681DB">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*兼容要求</w:t>
            </w:r>
          </w:p>
        </w:tc>
        <w:tc>
          <w:tcPr>
            <w:tcW w:w="1508" w:type="dxa"/>
            <w:vAlign w:val="center"/>
          </w:tcPr>
          <w:p w14:paraId="44009E94">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*中间件兼容</w:t>
            </w:r>
          </w:p>
        </w:tc>
        <w:tc>
          <w:tcPr>
            <w:tcW w:w="3852" w:type="dxa"/>
            <w:vAlign w:val="center"/>
          </w:tcPr>
          <w:p w14:paraId="66D05C72">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兼容3个及以上厂商中间件产品</w:t>
            </w:r>
          </w:p>
        </w:tc>
        <w:tc>
          <w:tcPr>
            <w:tcW w:w="607" w:type="dxa"/>
            <w:vAlign w:val="center"/>
          </w:tcPr>
          <w:p w14:paraId="6277629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E8A2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555DB931">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07967FB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165</w:t>
            </w:r>
          </w:p>
        </w:tc>
        <w:tc>
          <w:tcPr>
            <w:tcW w:w="1176" w:type="dxa"/>
            <w:vAlign w:val="center"/>
          </w:tcPr>
          <w:p w14:paraId="33AF67E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兼容要求</w:t>
            </w:r>
          </w:p>
        </w:tc>
        <w:tc>
          <w:tcPr>
            <w:tcW w:w="1176" w:type="dxa"/>
            <w:vAlign w:val="center"/>
          </w:tcPr>
          <w:p w14:paraId="6B32C902">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*兼容要求</w:t>
            </w:r>
          </w:p>
        </w:tc>
        <w:tc>
          <w:tcPr>
            <w:tcW w:w="1508" w:type="dxa"/>
            <w:vAlign w:val="center"/>
          </w:tcPr>
          <w:p w14:paraId="165650BC">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*平台软件兼容</w:t>
            </w:r>
          </w:p>
        </w:tc>
        <w:tc>
          <w:tcPr>
            <w:tcW w:w="3852" w:type="dxa"/>
            <w:vAlign w:val="center"/>
          </w:tcPr>
          <w:p w14:paraId="0863EB48">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兼容3个及以上厂商云计算及大数据平台</w:t>
            </w:r>
          </w:p>
        </w:tc>
        <w:tc>
          <w:tcPr>
            <w:tcW w:w="607" w:type="dxa"/>
            <w:vAlign w:val="center"/>
          </w:tcPr>
          <w:p w14:paraId="7C45D85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CD06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620" w:type="dxa"/>
            <w:vAlign w:val="center"/>
          </w:tcPr>
          <w:p w14:paraId="35C2CE61">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0D741F15">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166</w:t>
            </w:r>
          </w:p>
        </w:tc>
        <w:tc>
          <w:tcPr>
            <w:tcW w:w="1176" w:type="dxa"/>
            <w:vAlign w:val="center"/>
          </w:tcPr>
          <w:p w14:paraId="3AD912D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包装及运输要求</w:t>
            </w:r>
          </w:p>
        </w:tc>
        <w:tc>
          <w:tcPr>
            <w:tcW w:w="1176" w:type="dxa"/>
            <w:vAlign w:val="center"/>
          </w:tcPr>
          <w:p w14:paraId="34B39985">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*包装及运输要求</w:t>
            </w:r>
          </w:p>
        </w:tc>
        <w:tc>
          <w:tcPr>
            <w:tcW w:w="1508" w:type="dxa"/>
            <w:vAlign w:val="center"/>
          </w:tcPr>
          <w:p w14:paraId="691542A1">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*标志、包装、运输和贮存</w:t>
            </w:r>
          </w:p>
        </w:tc>
        <w:tc>
          <w:tcPr>
            <w:tcW w:w="3852" w:type="dxa"/>
            <w:vAlign w:val="center"/>
          </w:tcPr>
          <w:p w14:paraId="6FAA06FB">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符合GB/T9813.1和商品包装政府采购需求标准的相关规定</w:t>
            </w:r>
          </w:p>
        </w:tc>
        <w:tc>
          <w:tcPr>
            <w:tcW w:w="607" w:type="dxa"/>
            <w:vAlign w:val="center"/>
          </w:tcPr>
          <w:p w14:paraId="68DACBF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372B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51D98399">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209A780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167</w:t>
            </w:r>
          </w:p>
        </w:tc>
        <w:tc>
          <w:tcPr>
            <w:tcW w:w="1176" w:type="dxa"/>
            <w:vAlign w:val="center"/>
          </w:tcPr>
          <w:p w14:paraId="60FC3AA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服务要求</w:t>
            </w:r>
          </w:p>
        </w:tc>
        <w:tc>
          <w:tcPr>
            <w:tcW w:w="1176" w:type="dxa"/>
            <w:vAlign w:val="center"/>
          </w:tcPr>
          <w:p w14:paraId="4763E247">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*服务要求</w:t>
            </w:r>
          </w:p>
        </w:tc>
        <w:tc>
          <w:tcPr>
            <w:tcW w:w="1508" w:type="dxa"/>
            <w:vAlign w:val="center"/>
          </w:tcPr>
          <w:p w14:paraId="5DEC990E">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*配置检查工具</w:t>
            </w:r>
          </w:p>
        </w:tc>
        <w:tc>
          <w:tcPr>
            <w:tcW w:w="3852" w:type="dxa"/>
            <w:vAlign w:val="center"/>
          </w:tcPr>
          <w:p w14:paraId="58B89111">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供应商提供自检测试工具</w:t>
            </w:r>
          </w:p>
        </w:tc>
        <w:tc>
          <w:tcPr>
            <w:tcW w:w="607" w:type="dxa"/>
            <w:vAlign w:val="center"/>
          </w:tcPr>
          <w:p w14:paraId="3BA210F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FEFA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9" w:hRule="atLeast"/>
          <w:jc w:val="center"/>
        </w:trPr>
        <w:tc>
          <w:tcPr>
            <w:tcW w:w="620" w:type="dxa"/>
            <w:vAlign w:val="center"/>
          </w:tcPr>
          <w:p w14:paraId="72AE43F7">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22724535">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168</w:t>
            </w:r>
          </w:p>
        </w:tc>
        <w:tc>
          <w:tcPr>
            <w:tcW w:w="1176" w:type="dxa"/>
            <w:vAlign w:val="center"/>
          </w:tcPr>
          <w:p w14:paraId="14D5BA1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服务要求</w:t>
            </w:r>
          </w:p>
        </w:tc>
        <w:tc>
          <w:tcPr>
            <w:tcW w:w="1176" w:type="dxa"/>
            <w:vAlign w:val="center"/>
          </w:tcPr>
          <w:p w14:paraId="6650511A">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*服务要求</w:t>
            </w:r>
          </w:p>
        </w:tc>
        <w:tc>
          <w:tcPr>
            <w:tcW w:w="1508" w:type="dxa"/>
            <w:vAlign w:val="center"/>
          </w:tcPr>
          <w:p w14:paraId="3244495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*服务响应</w:t>
            </w:r>
          </w:p>
        </w:tc>
        <w:tc>
          <w:tcPr>
            <w:tcW w:w="3852" w:type="dxa"/>
            <w:vAlign w:val="center"/>
          </w:tcPr>
          <w:p w14:paraId="00BF0C04">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a)供应商提供电话、电子邮件、远程连接等多种形式服务；</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b)供应商提供同城4h、异地12h技术响应服务，2个工作日解决问题，对于未能解决的问题和故障应提供可行的升级方案，并提供周转设备或更换设备；</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c）建立全国技术服务体系和服务团体，符合专业服务体系标准要求，提供原厂中文服务；</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d）服务周期内提供产品的维修、换件和升级服务</w:t>
            </w:r>
          </w:p>
        </w:tc>
        <w:tc>
          <w:tcPr>
            <w:tcW w:w="607" w:type="dxa"/>
            <w:vAlign w:val="center"/>
          </w:tcPr>
          <w:p w14:paraId="3C3CB4C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CCAA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620" w:type="dxa"/>
            <w:vAlign w:val="center"/>
          </w:tcPr>
          <w:p w14:paraId="29344BEE">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5651C47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169</w:t>
            </w:r>
          </w:p>
        </w:tc>
        <w:tc>
          <w:tcPr>
            <w:tcW w:w="1176" w:type="dxa"/>
            <w:vAlign w:val="center"/>
          </w:tcPr>
          <w:p w14:paraId="19EC309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服务要求</w:t>
            </w:r>
          </w:p>
        </w:tc>
        <w:tc>
          <w:tcPr>
            <w:tcW w:w="1176" w:type="dxa"/>
            <w:vAlign w:val="center"/>
          </w:tcPr>
          <w:p w14:paraId="15105B96">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*服务要求</w:t>
            </w:r>
          </w:p>
        </w:tc>
        <w:tc>
          <w:tcPr>
            <w:tcW w:w="1508" w:type="dxa"/>
            <w:vAlign w:val="center"/>
          </w:tcPr>
          <w:p w14:paraId="2F96375A">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*服务周期</w:t>
            </w:r>
          </w:p>
        </w:tc>
        <w:tc>
          <w:tcPr>
            <w:tcW w:w="3852" w:type="dxa"/>
            <w:vAlign w:val="center"/>
          </w:tcPr>
          <w:p w14:paraId="30D63177">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a)设备停产后应继续提供质量保障服务（含备品备件），服务终止时间与最后一批设备交付时间间隔不低于6年；</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b)产品停止服务时间应提前1年告知；</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c)应明确产品发布日期</w:t>
            </w:r>
          </w:p>
        </w:tc>
        <w:tc>
          <w:tcPr>
            <w:tcW w:w="607" w:type="dxa"/>
            <w:vAlign w:val="center"/>
          </w:tcPr>
          <w:p w14:paraId="24347DC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FB0A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5664C47E">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72D2EC9D">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170</w:t>
            </w:r>
          </w:p>
        </w:tc>
        <w:tc>
          <w:tcPr>
            <w:tcW w:w="1176" w:type="dxa"/>
            <w:vAlign w:val="center"/>
          </w:tcPr>
          <w:p w14:paraId="20CC30E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服务要求</w:t>
            </w:r>
          </w:p>
        </w:tc>
        <w:tc>
          <w:tcPr>
            <w:tcW w:w="1176" w:type="dxa"/>
            <w:vAlign w:val="center"/>
          </w:tcPr>
          <w:p w14:paraId="547C0CAA">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*服务要求</w:t>
            </w:r>
          </w:p>
        </w:tc>
        <w:tc>
          <w:tcPr>
            <w:tcW w:w="1508" w:type="dxa"/>
            <w:vAlign w:val="center"/>
          </w:tcPr>
          <w:p w14:paraId="35FEC94C">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*预装操作系统</w:t>
            </w:r>
          </w:p>
        </w:tc>
        <w:tc>
          <w:tcPr>
            <w:tcW w:w="3852" w:type="dxa"/>
            <w:vAlign w:val="center"/>
          </w:tcPr>
          <w:p w14:paraId="0A7D45E6">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预装符合桌面操作系统政府采购需求标准的正版操作系统</w:t>
            </w:r>
          </w:p>
        </w:tc>
        <w:tc>
          <w:tcPr>
            <w:tcW w:w="607" w:type="dxa"/>
            <w:vAlign w:val="center"/>
          </w:tcPr>
          <w:p w14:paraId="02EF418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35D0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2708C92D">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171A9D90">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171</w:t>
            </w:r>
          </w:p>
        </w:tc>
        <w:tc>
          <w:tcPr>
            <w:tcW w:w="1176" w:type="dxa"/>
            <w:vAlign w:val="center"/>
          </w:tcPr>
          <w:p w14:paraId="731B6B7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服务要求</w:t>
            </w:r>
          </w:p>
        </w:tc>
        <w:tc>
          <w:tcPr>
            <w:tcW w:w="1176" w:type="dxa"/>
            <w:vAlign w:val="center"/>
          </w:tcPr>
          <w:p w14:paraId="7DF67903">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*服务要求</w:t>
            </w:r>
          </w:p>
        </w:tc>
        <w:tc>
          <w:tcPr>
            <w:tcW w:w="1508" w:type="dxa"/>
            <w:vAlign w:val="center"/>
          </w:tcPr>
          <w:p w14:paraId="738D5EB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*培训服务</w:t>
            </w:r>
          </w:p>
        </w:tc>
        <w:tc>
          <w:tcPr>
            <w:tcW w:w="3852" w:type="dxa"/>
            <w:vAlign w:val="center"/>
          </w:tcPr>
          <w:p w14:paraId="1176E78D">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供应商提供培训材料、产品手册、培训视频等培训相关内容</w:t>
            </w:r>
          </w:p>
        </w:tc>
        <w:tc>
          <w:tcPr>
            <w:tcW w:w="607" w:type="dxa"/>
            <w:vAlign w:val="center"/>
          </w:tcPr>
          <w:p w14:paraId="199DBCB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4311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33C3ABCB">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74A249F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172</w:t>
            </w:r>
          </w:p>
        </w:tc>
        <w:tc>
          <w:tcPr>
            <w:tcW w:w="1176" w:type="dxa"/>
            <w:vAlign w:val="center"/>
          </w:tcPr>
          <w:p w14:paraId="10FD2E1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服务要求</w:t>
            </w:r>
          </w:p>
        </w:tc>
        <w:tc>
          <w:tcPr>
            <w:tcW w:w="1176" w:type="dxa"/>
            <w:vAlign w:val="center"/>
          </w:tcPr>
          <w:p w14:paraId="5BDD6D89">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*服务要求</w:t>
            </w:r>
          </w:p>
        </w:tc>
        <w:tc>
          <w:tcPr>
            <w:tcW w:w="1508" w:type="dxa"/>
            <w:vAlign w:val="center"/>
          </w:tcPr>
          <w:p w14:paraId="58C00A6B">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*典型问题解决手册</w:t>
            </w:r>
          </w:p>
        </w:tc>
        <w:tc>
          <w:tcPr>
            <w:tcW w:w="3852" w:type="dxa"/>
            <w:vAlign w:val="center"/>
          </w:tcPr>
          <w:p w14:paraId="5A5C890E">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供应商提供典型问题解决说明文档或视频</w:t>
            </w:r>
          </w:p>
        </w:tc>
        <w:tc>
          <w:tcPr>
            <w:tcW w:w="607" w:type="dxa"/>
            <w:vAlign w:val="center"/>
          </w:tcPr>
          <w:p w14:paraId="2B02C44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640A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0AF62EEB">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2172ACB0">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173</w:t>
            </w:r>
          </w:p>
        </w:tc>
        <w:tc>
          <w:tcPr>
            <w:tcW w:w="1176" w:type="dxa"/>
            <w:vAlign w:val="center"/>
          </w:tcPr>
          <w:p w14:paraId="4757A21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服务要求</w:t>
            </w:r>
          </w:p>
        </w:tc>
        <w:tc>
          <w:tcPr>
            <w:tcW w:w="1176" w:type="dxa"/>
            <w:vAlign w:val="center"/>
          </w:tcPr>
          <w:p w14:paraId="07F166FB">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*服务要求</w:t>
            </w:r>
          </w:p>
        </w:tc>
        <w:tc>
          <w:tcPr>
            <w:tcW w:w="1508" w:type="dxa"/>
            <w:vAlign w:val="center"/>
          </w:tcPr>
          <w:p w14:paraId="530867E0">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*厂家升级软件与</w:t>
            </w:r>
            <w:r>
              <w:rPr>
                <w:rStyle w:val="288"/>
                <w:rFonts w:ascii="仿宋_GB2312" w:eastAsia="仿宋_GB2312" w:hAnsiTheme="minorEastAsia" w:cstheme="minorEastAsia"/>
                <w:color w:val="auto"/>
                <w:sz w:val="28"/>
                <w:szCs w:val="28"/>
                <w:lang w:eastAsia="zh-CN" w:bidi="ar"/>
              </w:rPr>
              <w:br w:type="textWrapping"/>
            </w:r>
            <w:r>
              <w:rPr>
                <w:rStyle w:val="288"/>
                <w:rFonts w:ascii="仿宋_GB2312" w:eastAsia="仿宋_GB2312" w:hAnsiTheme="minorEastAsia" w:cstheme="minorEastAsia"/>
                <w:color w:val="auto"/>
                <w:sz w:val="28"/>
                <w:szCs w:val="28"/>
                <w:lang w:eastAsia="zh-CN" w:bidi="ar"/>
              </w:rPr>
              <w:t>扩容服务</w:t>
            </w:r>
          </w:p>
        </w:tc>
        <w:tc>
          <w:tcPr>
            <w:tcW w:w="3852" w:type="dxa"/>
            <w:vAlign w:val="center"/>
          </w:tcPr>
          <w:p w14:paraId="0485DB2A">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供应商提供上门升级部件/软件与扩容的增值服务</w:t>
            </w:r>
          </w:p>
        </w:tc>
        <w:tc>
          <w:tcPr>
            <w:tcW w:w="607" w:type="dxa"/>
            <w:vAlign w:val="center"/>
          </w:tcPr>
          <w:p w14:paraId="1E35851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7299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7927100E">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6A9FD8F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174</w:t>
            </w:r>
          </w:p>
        </w:tc>
        <w:tc>
          <w:tcPr>
            <w:tcW w:w="1176" w:type="dxa"/>
            <w:vAlign w:val="center"/>
          </w:tcPr>
          <w:p w14:paraId="1152E9D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服务要求</w:t>
            </w:r>
          </w:p>
        </w:tc>
        <w:tc>
          <w:tcPr>
            <w:tcW w:w="1176" w:type="dxa"/>
            <w:vAlign w:val="center"/>
          </w:tcPr>
          <w:p w14:paraId="34E10DAF">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*服务要求</w:t>
            </w:r>
          </w:p>
        </w:tc>
        <w:tc>
          <w:tcPr>
            <w:tcW w:w="1508" w:type="dxa"/>
            <w:vAlign w:val="center"/>
          </w:tcPr>
          <w:p w14:paraId="38D6B7B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*整机质量服务要求</w:t>
            </w:r>
          </w:p>
        </w:tc>
        <w:tc>
          <w:tcPr>
            <w:tcW w:w="3852" w:type="dxa"/>
            <w:vAlign w:val="center"/>
          </w:tcPr>
          <w:p w14:paraId="205373E0">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免费服务周期（含换件和维修）应不小于5年</w:t>
            </w:r>
          </w:p>
        </w:tc>
        <w:tc>
          <w:tcPr>
            <w:tcW w:w="607" w:type="dxa"/>
            <w:vAlign w:val="center"/>
          </w:tcPr>
          <w:p w14:paraId="3C91244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BCDD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00C7A566">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0620E8F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175</w:t>
            </w:r>
          </w:p>
        </w:tc>
        <w:tc>
          <w:tcPr>
            <w:tcW w:w="1176" w:type="dxa"/>
            <w:vAlign w:val="center"/>
          </w:tcPr>
          <w:p w14:paraId="3795F3F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服务要求</w:t>
            </w:r>
          </w:p>
        </w:tc>
        <w:tc>
          <w:tcPr>
            <w:tcW w:w="1176" w:type="dxa"/>
            <w:vAlign w:val="center"/>
          </w:tcPr>
          <w:p w14:paraId="0EBD44D3">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*服务要求</w:t>
            </w:r>
          </w:p>
        </w:tc>
        <w:tc>
          <w:tcPr>
            <w:tcW w:w="1508" w:type="dxa"/>
            <w:vAlign w:val="center"/>
          </w:tcPr>
          <w:p w14:paraId="0E061112">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*合格证书要求</w:t>
            </w:r>
          </w:p>
        </w:tc>
        <w:tc>
          <w:tcPr>
            <w:tcW w:w="3852" w:type="dxa"/>
            <w:vAlign w:val="center"/>
          </w:tcPr>
          <w:p w14:paraId="19C99EC8">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供应商提供产品合格证</w:t>
            </w:r>
          </w:p>
        </w:tc>
        <w:tc>
          <w:tcPr>
            <w:tcW w:w="607" w:type="dxa"/>
            <w:vAlign w:val="center"/>
          </w:tcPr>
          <w:p w14:paraId="66DD1DD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7BAF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4116A83">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1B3005E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176</w:t>
            </w:r>
          </w:p>
        </w:tc>
        <w:tc>
          <w:tcPr>
            <w:tcW w:w="1176" w:type="dxa"/>
            <w:vAlign w:val="center"/>
          </w:tcPr>
          <w:p w14:paraId="1C5F080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服务要求</w:t>
            </w:r>
          </w:p>
        </w:tc>
        <w:tc>
          <w:tcPr>
            <w:tcW w:w="1176" w:type="dxa"/>
            <w:vAlign w:val="center"/>
          </w:tcPr>
          <w:p w14:paraId="04C37BE4">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*服务要求</w:t>
            </w:r>
          </w:p>
        </w:tc>
        <w:tc>
          <w:tcPr>
            <w:tcW w:w="1508" w:type="dxa"/>
            <w:vAlign w:val="center"/>
          </w:tcPr>
          <w:p w14:paraId="5A7485A9">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*开箱组装/使用</w:t>
            </w:r>
            <w:r>
              <w:rPr>
                <w:rStyle w:val="288"/>
                <w:rFonts w:ascii="仿宋_GB2312" w:eastAsia="仿宋_GB2312" w:hAnsiTheme="minorEastAsia" w:cstheme="minorEastAsia"/>
                <w:color w:val="auto"/>
                <w:sz w:val="28"/>
                <w:szCs w:val="28"/>
                <w:lang w:eastAsia="zh-CN" w:bidi="ar"/>
              </w:rPr>
              <w:br w:type="textWrapping"/>
            </w:r>
            <w:r>
              <w:rPr>
                <w:rStyle w:val="288"/>
                <w:rFonts w:ascii="仿宋_GB2312" w:eastAsia="仿宋_GB2312" w:hAnsiTheme="minorEastAsia" w:cstheme="minorEastAsia"/>
                <w:color w:val="auto"/>
                <w:sz w:val="28"/>
                <w:szCs w:val="28"/>
                <w:lang w:eastAsia="zh-CN" w:bidi="ar"/>
              </w:rPr>
              <w:t>指导要求</w:t>
            </w:r>
          </w:p>
        </w:tc>
        <w:tc>
          <w:tcPr>
            <w:tcW w:w="3852" w:type="dxa"/>
            <w:vAlign w:val="center"/>
          </w:tcPr>
          <w:p w14:paraId="43388833">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供应商提供开箱组装/使用指导</w:t>
            </w:r>
          </w:p>
        </w:tc>
        <w:tc>
          <w:tcPr>
            <w:tcW w:w="607" w:type="dxa"/>
            <w:vAlign w:val="center"/>
          </w:tcPr>
          <w:p w14:paraId="6ACDE44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5235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5B003DE3">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3353259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177</w:t>
            </w:r>
          </w:p>
        </w:tc>
        <w:tc>
          <w:tcPr>
            <w:tcW w:w="1176" w:type="dxa"/>
            <w:vAlign w:val="center"/>
          </w:tcPr>
          <w:p w14:paraId="17D558C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服务要求</w:t>
            </w:r>
          </w:p>
        </w:tc>
        <w:tc>
          <w:tcPr>
            <w:tcW w:w="1176" w:type="dxa"/>
            <w:vAlign w:val="center"/>
          </w:tcPr>
          <w:p w14:paraId="6EBAFAF1">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*服务要求</w:t>
            </w:r>
          </w:p>
        </w:tc>
        <w:tc>
          <w:tcPr>
            <w:tcW w:w="1508" w:type="dxa"/>
            <w:vAlign w:val="center"/>
          </w:tcPr>
          <w:p w14:paraId="1639E20B">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*驱动下载服务要求</w:t>
            </w:r>
          </w:p>
        </w:tc>
        <w:tc>
          <w:tcPr>
            <w:tcW w:w="3852" w:type="dxa"/>
            <w:vAlign w:val="center"/>
          </w:tcPr>
          <w:p w14:paraId="45A18874">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供应商提供驱动光盘或下载方式</w:t>
            </w:r>
          </w:p>
        </w:tc>
        <w:tc>
          <w:tcPr>
            <w:tcW w:w="607" w:type="dxa"/>
            <w:vAlign w:val="center"/>
          </w:tcPr>
          <w:p w14:paraId="60FC966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B78D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48BDBDBD">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3224D2C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178</w:t>
            </w:r>
          </w:p>
        </w:tc>
        <w:tc>
          <w:tcPr>
            <w:tcW w:w="1176" w:type="dxa"/>
            <w:vAlign w:val="center"/>
          </w:tcPr>
          <w:p w14:paraId="49B7E5D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服务要求</w:t>
            </w:r>
          </w:p>
        </w:tc>
        <w:tc>
          <w:tcPr>
            <w:tcW w:w="1176" w:type="dxa"/>
            <w:vAlign w:val="center"/>
          </w:tcPr>
          <w:p w14:paraId="2EF8CA50">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*服务要求</w:t>
            </w:r>
          </w:p>
        </w:tc>
        <w:tc>
          <w:tcPr>
            <w:tcW w:w="1508" w:type="dxa"/>
            <w:vAlign w:val="center"/>
          </w:tcPr>
          <w:p w14:paraId="19761FCE">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*兼容适配软件下</w:t>
            </w:r>
            <w:r>
              <w:rPr>
                <w:rFonts w:ascii="仿宋_GB2312" w:eastAsia="仿宋_GB2312" w:hAnsiTheme="minorEastAsia" w:cstheme="minorEastAsia"/>
                <w:color w:val="auto"/>
                <w:kern w:val="0"/>
                <w:sz w:val="28"/>
                <w:szCs w:val="28"/>
                <w:lang w:eastAsia="zh-CN" w:bidi="ar"/>
              </w:rPr>
              <w:br w:type="textWrapping"/>
            </w:r>
            <w:r>
              <w:rPr>
                <w:rFonts w:ascii="仿宋_GB2312" w:eastAsia="仿宋_GB2312" w:hAnsiTheme="minorEastAsia" w:cstheme="minorEastAsia"/>
                <w:color w:val="auto"/>
                <w:kern w:val="0"/>
                <w:sz w:val="28"/>
                <w:szCs w:val="28"/>
                <w:lang w:eastAsia="zh-CN" w:bidi="ar"/>
              </w:rPr>
              <w:t>载服务要求</w:t>
            </w:r>
          </w:p>
        </w:tc>
        <w:tc>
          <w:tcPr>
            <w:tcW w:w="3852" w:type="dxa"/>
            <w:vAlign w:val="center"/>
          </w:tcPr>
          <w:p w14:paraId="63AED2EA">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供应商提供兼容适配软件下载渠道（光盘、网站）</w:t>
            </w:r>
          </w:p>
        </w:tc>
        <w:tc>
          <w:tcPr>
            <w:tcW w:w="607" w:type="dxa"/>
            <w:vAlign w:val="center"/>
          </w:tcPr>
          <w:p w14:paraId="44DE33D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4E89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06A3DFAE">
            <w:pPr>
              <w:adjustRightInd w:val="0"/>
              <w:snapToGrid w:val="0"/>
              <w:jc w:val="center"/>
              <w:textAlignment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57C8B93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179</w:t>
            </w:r>
          </w:p>
        </w:tc>
        <w:tc>
          <w:tcPr>
            <w:tcW w:w="1176" w:type="dxa"/>
            <w:vAlign w:val="center"/>
          </w:tcPr>
          <w:p w14:paraId="4A75D31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服务要求</w:t>
            </w:r>
          </w:p>
        </w:tc>
        <w:tc>
          <w:tcPr>
            <w:tcW w:w="1176" w:type="dxa"/>
            <w:vAlign w:val="center"/>
          </w:tcPr>
          <w:p w14:paraId="252ED81E">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*服务要求</w:t>
            </w:r>
          </w:p>
        </w:tc>
        <w:tc>
          <w:tcPr>
            <w:tcW w:w="1508" w:type="dxa"/>
            <w:vAlign w:val="center"/>
          </w:tcPr>
          <w:p w14:paraId="1125BF6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跨架构平台应用兼容</w:t>
            </w:r>
          </w:p>
        </w:tc>
        <w:tc>
          <w:tcPr>
            <w:tcW w:w="3852" w:type="dxa"/>
            <w:vAlign w:val="center"/>
          </w:tcPr>
          <w:p w14:paraId="702DB234">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241A6D8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199E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0A332D81">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6865745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180</w:t>
            </w:r>
          </w:p>
        </w:tc>
        <w:tc>
          <w:tcPr>
            <w:tcW w:w="1176" w:type="dxa"/>
            <w:vAlign w:val="center"/>
          </w:tcPr>
          <w:p w14:paraId="172E376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供应保障要求</w:t>
            </w:r>
          </w:p>
        </w:tc>
        <w:tc>
          <w:tcPr>
            <w:tcW w:w="1176" w:type="dxa"/>
            <w:vAlign w:val="center"/>
          </w:tcPr>
          <w:p w14:paraId="6311456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*供应链合规性</w:t>
            </w:r>
          </w:p>
        </w:tc>
        <w:tc>
          <w:tcPr>
            <w:tcW w:w="1508" w:type="dxa"/>
            <w:vAlign w:val="center"/>
          </w:tcPr>
          <w:p w14:paraId="28A0ADCE">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*产品部件保障</w:t>
            </w:r>
          </w:p>
        </w:tc>
        <w:tc>
          <w:tcPr>
            <w:tcW w:w="3852" w:type="dxa"/>
            <w:vAlign w:val="center"/>
          </w:tcPr>
          <w:p w14:paraId="37387773">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供应商保障产品主要部件，提供6年的备件服务能力（自购买之日起），或提供可兼容原设备的升级换代产品</w:t>
            </w:r>
          </w:p>
        </w:tc>
        <w:tc>
          <w:tcPr>
            <w:tcW w:w="607" w:type="dxa"/>
            <w:vAlign w:val="center"/>
          </w:tcPr>
          <w:p w14:paraId="0C4B58C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9EEE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47589503">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2C5964CA">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181</w:t>
            </w:r>
          </w:p>
        </w:tc>
        <w:tc>
          <w:tcPr>
            <w:tcW w:w="1176" w:type="dxa"/>
            <w:vAlign w:val="center"/>
          </w:tcPr>
          <w:p w14:paraId="7C7C64E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供应保障</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要求</w:t>
            </w:r>
          </w:p>
        </w:tc>
        <w:tc>
          <w:tcPr>
            <w:tcW w:w="1176" w:type="dxa"/>
            <w:vAlign w:val="center"/>
          </w:tcPr>
          <w:p w14:paraId="4B381C1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*供应链质量</w:t>
            </w:r>
          </w:p>
        </w:tc>
        <w:tc>
          <w:tcPr>
            <w:tcW w:w="1508" w:type="dxa"/>
            <w:vAlign w:val="center"/>
          </w:tcPr>
          <w:p w14:paraId="429A189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*抗干扰性</w:t>
            </w:r>
          </w:p>
        </w:tc>
        <w:tc>
          <w:tcPr>
            <w:tcW w:w="3852" w:type="dxa"/>
            <w:vAlign w:val="center"/>
          </w:tcPr>
          <w:p w14:paraId="2CAE0CDB">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当产品部件出现供应风险时，供应商应通知采购人并提供风险应对方案确保产品的服务保障</w:t>
            </w:r>
          </w:p>
        </w:tc>
        <w:tc>
          <w:tcPr>
            <w:tcW w:w="607" w:type="dxa"/>
            <w:vAlign w:val="center"/>
          </w:tcPr>
          <w:p w14:paraId="2C3009A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69D6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6C5B12AD">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7CE876A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182</w:t>
            </w:r>
          </w:p>
        </w:tc>
        <w:tc>
          <w:tcPr>
            <w:tcW w:w="1176" w:type="dxa"/>
            <w:vAlign w:val="center"/>
          </w:tcPr>
          <w:p w14:paraId="7D1DA03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供应保障</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要求</w:t>
            </w:r>
          </w:p>
        </w:tc>
        <w:tc>
          <w:tcPr>
            <w:tcW w:w="1176" w:type="dxa"/>
            <w:vAlign w:val="center"/>
          </w:tcPr>
          <w:p w14:paraId="74974D71">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*供应链质量</w:t>
            </w:r>
          </w:p>
        </w:tc>
        <w:tc>
          <w:tcPr>
            <w:tcW w:w="1508" w:type="dxa"/>
            <w:vAlign w:val="center"/>
          </w:tcPr>
          <w:p w14:paraId="6B82D991">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*供应能力证明</w:t>
            </w:r>
          </w:p>
        </w:tc>
        <w:tc>
          <w:tcPr>
            <w:tcW w:w="3852" w:type="dxa"/>
            <w:vAlign w:val="center"/>
          </w:tcPr>
          <w:p w14:paraId="15E170B6">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供应商提供供应链稳定承诺书，确保产品的部件在产品服务周期内稳定供货</w:t>
            </w:r>
          </w:p>
        </w:tc>
        <w:tc>
          <w:tcPr>
            <w:tcW w:w="607" w:type="dxa"/>
            <w:vAlign w:val="center"/>
          </w:tcPr>
          <w:p w14:paraId="04ADB24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8225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0B3E889">
            <w:pPr>
              <w:adjustRightInd w:val="0"/>
              <w:snapToGrid w:val="0"/>
              <w:jc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00ECA31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183</w:t>
            </w:r>
          </w:p>
        </w:tc>
        <w:tc>
          <w:tcPr>
            <w:tcW w:w="1176" w:type="dxa"/>
            <w:vAlign w:val="center"/>
          </w:tcPr>
          <w:p w14:paraId="1139829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安全要求</w:t>
            </w:r>
          </w:p>
        </w:tc>
        <w:tc>
          <w:tcPr>
            <w:tcW w:w="1176" w:type="dxa"/>
            <w:vAlign w:val="center"/>
          </w:tcPr>
          <w:p w14:paraId="6653E7D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*关键部件安全要求</w:t>
            </w:r>
          </w:p>
        </w:tc>
        <w:tc>
          <w:tcPr>
            <w:tcW w:w="1508" w:type="dxa"/>
            <w:vAlign w:val="center"/>
          </w:tcPr>
          <w:p w14:paraId="3BF33582">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*关键部件安全要求</w:t>
            </w:r>
          </w:p>
        </w:tc>
        <w:tc>
          <w:tcPr>
            <w:tcW w:w="3852" w:type="dxa"/>
            <w:vAlign w:val="center"/>
          </w:tcPr>
          <w:p w14:paraId="7C589623">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6D84BBB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FEF6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7877A214">
            <w:pPr>
              <w:adjustRightInd w:val="0"/>
              <w:snapToGrid w:val="0"/>
              <w:jc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2091CAB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184</w:t>
            </w:r>
          </w:p>
        </w:tc>
        <w:tc>
          <w:tcPr>
            <w:tcW w:w="1176" w:type="dxa"/>
            <w:vAlign w:val="center"/>
          </w:tcPr>
          <w:p w14:paraId="141A5BE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安全要求</w:t>
            </w:r>
          </w:p>
        </w:tc>
        <w:tc>
          <w:tcPr>
            <w:tcW w:w="1176" w:type="dxa"/>
            <w:vAlign w:val="center"/>
          </w:tcPr>
          <w:p w14:paraId="5244275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*关键部件安全要求</w:t>
            </w:r>
          </w:p>
        </w:tc>
        <w:tc>
          <w:tcPr>
            <w:tcW w:w="1508" w:type="dxa"/>
            <w:vAlign w:val="center"/>
          </w:tcPr>
          <w:p w14:paraId="1BA756C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*密码算法实现</w:t>
            </w:r>
          </w:p>
        </w:tc>
        <w:tc>
          <w:tcPr>
            <w:tcW w:w="3852" w:type="dxa"/>
            <w:vAlign w:val="center"/>
          </w:tcPr>
          <w:p w14:paraId="7DB90660">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CPU芯片应符合GM/T0008的相关规定，或芯片密码模块应符合GB/T37092或GM/T0028的相关规定</w:t>
            </w:r>
          </w:p>
        </w:tc>
        <w:tc>
          <w:tcPr>
            <w:tcW w:w="607" w:type="dxa"/>
            <w:vAlign w:val="center"/>
          </w:tcPr>
          <w:p w14:paraId="3E369B4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C30E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2F1F5A94">
            <w:pPr>
              <w:adjustRightInd w:val="0"/>
              <w:snapToGrid w:val="0"/>
              <w:jc w:val="center"/>
              <w:textAlignment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60E2B675">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185</w:t>
            </w:r>
          </w:p>
        </w:tc>
        <w:tc>
          <w:tcPr>
            <w:tcW w:w="1176" w:type="dxa"/>
            <w:vAlign w:val="center"/>
          </w:tcPr>
          <w:p w14:paraId="747E866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安全要求</w:t>
            </w:r>
          </w:p>
        </w:tc>
        <w:tc>
          <w:tcPr>
            <w:tcW w:w="1176" w:type="dxa"/>
            <w:vAlign w:val="center"/>
          </w:tcPr>
          <w:p w14:paraId="34F7572B">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*关键部件安全要求</w:t>
            </w:r>
          </w:p>
        </w:tc>
        <w:tc>
          <w:tcPr>
            <w:tcW w:w="1508" w:type="dxa"/>
            <w:vAlign w:val="center"/>
          </w:tcPr>
          <w:p w14:paraId="0FD7CB31">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USB 端口管控</w:t>
            </w:r>
          </w:p>
        </w:tc>
        <w:tc>
          <w:tcPr>
            <w:tcW w:w="3852" w:type="dxa"/>
            <w:vAlign w:val="center"/>
          </w:tcPr>
          <w:p w14:paraId="649ABD9D">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1F690D5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863E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1A5EB4B9">
            <w:pPr>
              <w:adjustRightInd w:val="0"/>
              <w:snapToGrid w:val="0"/>
              <w:jc w:val="center"/>
              <w:textAlignment w:val="center"/>
              <w:rPr>
                <w:rFonts w:ascii="仿宋_GB2312" w:eastAsia="仿宋_GB2312" w:hAnsiTheme="minorEastAsia" w:cstheme="minorEastAsia"/>
                <w:color w:val="auto"/>
                <w:sz w:val="28"/>
                <w:szCs w:val="28"/>
              </w:rPr>
            </w:pPr>
            <w:r>
              <w:rPr>
                <w:rFonts w:ascii="Arial" w:hAnsi="Arial" w:cs="Arial"/>
                <w:sz w:val="28"/>
                <w:szCs w:val="28"/>
              </w:rPr>
              <w:t>　</w:t>
            </w:r>
          </w:p>
        </w:tc>
        <w:tc>
          <w:tcPr>
            <w:tcW w:w="598" w:type="dxa"/>
            <w:vAlign w:val="center"/>
          </w:tcPr>
          <w:p w14:paraId="3E47D64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186</w:t>
            </w:r>
          </w:p>
        </w:tc>
        <w:tc>
          <w:tcPr>
            <w:tcW w:w="1176" w:type="dxa"/>
            <w:vAlign w:val="center"/>
          </w:tcPr>
          <w:p w14:paraId="64F5318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安全要求</w:t>
            </w:r>
          </w:p>
        </w:tc>
        <w:tc>
          <w:tcPr>
            <w:tcW w:w="1176" w:type="dxa"/>
            <w:vAlign w:val="center"/>
          </w:tcPr>
          <w:p w14:paraId="2D7A9F1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*关键部件安全要求</w:t>
            </w:r>
          </w:p>
        </w:tc>
        <w:tc>
          <w:tcPr>
            <w:tcW w:w="1508" w:type="dxa"/>
            <w:vAlign w:val="center"/>
          </w:tcPr>
          <w:p w14:paraId="5435863A">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安全物理锁</w:t>
            </w:r>
          </w:p>
        </w:tc>
        <w:tc>
          <w:tcPr>
            <w:tcW w:w="3852" w:type="dxa"/>
            <w:vAlign w:val="center"/>
          </w:tcPr>
          <w:p w14:paraId="246B2F3F">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3F00450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3CE77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620" w:type="dxa"/>
            <w:vAlign w:val="center"/>
          </w:tcPr>
          <w:p w14:paraId="7B51F5FE">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1256FD5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187</w:t>
            </w:r>
          </w:p>
        </w:tc>
        <w:tc>
          <w:tcPr>
            <w:tcW w:w="1176" w:type="dxa"/>
            <w:vAlign w:val="center"/>
          </w:tcPr>
          <w:p w14:paraId="2E4109E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安全要求</w:t>
            </w:r>
          </w:p>
        </w:tc>
        <w:tc>
          <w:tcPr>
            <w:tcW w:w="1176" w:type="dxa"/>
            <w:vAlign w:val="center"/>
          </w:tcPr>
          <w:p w14:paraId="1026D2D2">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*关键部件安全要求</w:t>
            </w:r>
          </w:p>
        </w:tc>
        <w:tc>
          <w:tcPr>
            <w:tcW w:w="1508" w:type="dxa"/>
            <w:vAlign w:val="center"/>
          </w:tcPr>
          <w:p w14:paraId="3C72703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*信息安全基本要求</w:t>
            </w:r>
          </w:p>
        </w:tc>
        <w:tc>
          <w:tcPr>
            <w:tcW w:w="3852" w:type="dxa"/>
            <w:vAlign w:val="center"/>
          </w:tcPr>
          <w:p w14:paraId="0D47FB73">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a)产品应符合GB/T39276的5.2的规定；</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b)生产厂商应建立漏洞跟踪表，保证产品版本涉及到的漏洞(如驱动程序等)可查看；</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c)产品不得包含已知的恶意代码或漏洞，不存在未声明的指令、功能、接口</w:t>
            </w:r>
          </w:p>
        </w:tc>
        <w:tc>
          <w:tcPr>
            <w:tcW w:w="607" w:type="dxa"/>
            <w:vAlign w:val="center"/>
          </w:tcPr>
          <w:p w14:paraId="1D861BD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35A32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172A0E69">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43779462">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188</w:t>
            </w:r>
          </w:p>
        </w:tc>
        <w:tc>
          <w:tcPr>
            <w:tcW w:w="1176" w:type="dxa"/>
            <w:vAlign w:val="center"/>
          </w:tcPr>
          <w:p w14:paraId="5D843CF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安全要求</w:t>
            </w:r>
          </w:p>
        </w:tc>
        <w:tc>
          <w:tcPr>
            <w:tcW w:w="1176" w:type="dxa"/>
            <w:vAlign w:val="center"/>
          </w:tcPr>
          <w:p w14:paraId="3523562D">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*关键部件安全要求</w:t>
            </w:r>
          </w:p>
        </w:tc>
        <w:tc>
          <w:tcPr>
            <w:tcW w:w="1508" w:type="dxa"/>
            <w:vAlign w:val="center"/>
          </w:tcPr>
          <w:p w14:paraId="27ADC7A7">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*固件安全启动</w:t>
            </w:r>
          </w:p>
        </w:tc>
        <w:tc>
          <w:tcPr>
            <w:tcW w:w="3852" w:type="dxa"/>
            <w:vAlign w:val="center"/>
          </w:tcPr>
          <w:p w14:paraId="50D11A33">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支持固件安全启动功能，固件启动过程中只有通过启动校验才能正常启动</w:t>
            </w:r>
          </w:p>
        </w:tc>
        <w:tc>
          <w:tcPr>
            <w:tcW w:w="607" w:type="dxa"/>
            <w:vAlign w:val="center"/>
          </w:tcPr>
          <w:p w14:paraId="00E6E9C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1FC1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4E8A464D">
            <w:pPr>
              <w:adjustRightInd w:val="0"/>
              <w:snapToGrid w:val="0"/>
              <w:jc w:val="center"/>
              <w:textAlignment w:val="center"/>
              <w:rPr>
                <w:rFonts w:ascii="仿宋_GB2312" w:eastAsia="仿宋_GB2312" w:hAnsiTheme="minorEastAsia" w:cstheme="minorEastAsia"/>
                <w:color w:val="auto"/>
                <w:sz w:val="28"/>
                <w:szCs w:val="28"/>
              </w:rPr>
            </w:pPr>
            <w:r>
              <w:rPr>
                <w:rFonts w:ascii="Segoe UI Symbol" w:hAnsi="Segoe UI Symbol" w:cs="Arial"/>
                <w:sz w:val="28"/>
                <w:szCs w:val="28"/>
              </w:rPr>
              <w:t>★</w:t>
            </w:r>
          </w:p>
        </w:tc>
        <w:tc>
          <w:tcPr>
            <w:tcW w:w="598" w:type="dxa"/>
            <w:vAlign w:val="center"/>
          </w:tcPr>
          <w:p w14:paraId="29B7D70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189</w:t>
            </w:r>
          </w:p>
        </w:tc>
        <w:tc>
          <w:tcPr>
            <w:tcW w:w="1176" w:type="dxa"/>
            <w:vAlign w:val="center"/>
          </w:tcPr>
          <w:p w14:paraId="0CC2212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安全要求</w:t>
            </w:r>
          </w:p>
        </w:tc>
        <w:tc>
          <w:tcPr>
            <w:tcW w:w="1176" w:type="dxa"/>
            <w:vAlign w:val="center"/>
          </w:tcPr>
          <w:p w14:paraId="0E7FCD8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*关键部件安全要求</w:t>
            </w:r>
          </w:p>
        </w:tc>
        <w:tc>
          <w:tcPr>
            <w:tcW w:w="1508" w:type="dxa"/>
            <w:vAlign w:val="center"/>
          </w:tcPr>
          <w:p w14:paraId="57FCC2DB">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*限用物质的限量</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要求</w:t>
            </w:r>
          </w:p>
        </w:tc>
        <w:tc>
          <w:tcPr>
            <w:tcW w:w="3852" w:type="dxa"/>
            <w:vAlign w:val="center"/>
          </w:tcPr>
          <w:p w14:paraId="16CC2D58">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符合GB/T26572中规定</w:t>
            </w:r>
          </w:p>
        </w:tc>
        <w:tc>
          <w:tcPr>
            <w:tcW w:w="607" w:type="dxa"/>
            <w:vAlign w:val="center"/>
          </w:tcPr>
          <w:p w14:paraId="31F43E05">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bl>
    <w:p w14:paraId="0BB348FD">
      <w:pPr>
        <w:pStyle w:val="70"/>
        <w:jc w:val="center"/>
        <w:outlineLvl w:val="2"/>
        <w:rPr>
          <w:rFonts w:ascii="Times New Roman" w:hAnsi="Times New Roman" w:eastAsia="仿宋" w:cs="Times New Roman"/>
          <w:b/>
          <w:bCs/>
          <w:color w:val="auto"/>
          <w:sz w:val="32"/>
          <w:szCs w:val="32"/>
        </w:rPr>
        <w:sectPr>
          <w:pgSz w:w="11906" w:h="16838"/>
          <w:pgMar w:top="1440" w:right="1080" w:bottom="1440" w:left="1080" w:header="851" w:footer="992" w:gutter="0"/>
          <w:cols w:space="720" w:num="1"/>
          <w:docGrid w:type="lines" w:linePitch="312" w:charSpace="0"/>
        </w:sectPr>
      </w:pPr>
    </w:p>
    <w:p w14:paraId="2F7D4785">
      <w:pPr>
        <w:pStyle w:val="70"/>
        <w:jc w:val="center"/>
        <w:outlineLvl w:val="2"/>
        <w:rPr>
          <w:rFonts w:hint="eastAsia" w:ascii="宋体" w:hAnsi="宋体" w:cs="宋体"/>
          <w:b/>
          <w:bCs/>
          <w:color w:val="auto"/>
          <w:sz w:val="28"/>
          <w:szCs w:val="28"/>
        </w:rPr>
      </w:pPr>
      <w:r>
        <w:rPr>
          <w:rFonts w:hint="eastAsia" w:ascii="Times New Roman" w:hAnsi="Times New Roman" w:eastAsia="仿宋" w:cs="Times New Roman"/>
          <w:b/>
          <w:bCs/>
          <w:color w:val="auto"/>
          <w:sz w:val="32"/>
          <w:szCs w:val="32"/>
        </w:rPr>
        <w:t>附表2 教师机技术参数</w:t>
      </w:r>
    </w:p>
    <w:p w14:paraId="742D97E0"/>
    <w:tbl>
      <w:tblPr>
        <w:tblStyle w:val="52"/>
        <w:tblW w:w="95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0"/>
        <w:gridCol w:w="598"/>
        <w:gridCol w:w="1176"/>
        <w:gridCol w:w="1176"/>
        <w:gridCol w:w="1508"/>
        <w:gridCol w:w="3852"/>
        <w:gridCol w:w="607"/>
      </w:tblGrid>
      <w:tr w14:paraId="6DB75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620" w:type="dxa"/>
            <w:vAlign w:val="center"/>
          </w:tcPr>
          <w:p w14:paraId="14284F0F">
            <w:pPr>
              <w:adjustRightInd w:val="0"/>
              <w:snapToGrid w:val="0"/>
              <w:jc w:val="center"/>
              <w:textAlignment w:val="center"/>
              <w:rPr>
                <w:rFonts w:ascii="黑体" w:hAnsi="黑体" w:eastAsia="黑体" w:cstheme="minorEastAsia"/>
                <w:color w:val="auto"/>
                <w:sz w:val="28"/>
                <w:szCs w:val="28"/>
              </w:rPr>
            </w:pPr>
            <w:r>
              <w:rPr>
                <w:rFonts w:ascii="黑体" w:hAnsi="黑体" w:eastAsia="黑体" w:cstheme="minorEastAsia"/>
                <w:color w:val="auto"/>
                <w:kern w:val="0"/>
                <w:sz w:val="28"/>
                <w:szCs w:val="28"/>
                <w:lang w:bidi="ar"/>
              </w:rPr>
              <w:t>重要</w:t>
            </w:r>
            <w:r>
              <w:rPr>
                <w:rFonts w:ascii="黑体" w:hAnsi="黑体" w:eastAsia="黑体" w:cstheme="minorEastAsia"/>
                <w:color w:val="auto"/>
                <w:kern w:val="0"/>
                <w:sz w:val="28"/>
                <w:szCs w:val="28"/>
                <w:lang w:bidi="ar"/>
              </w:rPr>
              <w:br w:type="textWrapping"/>
            </w:r>
            <w:r>
              <w:rPr>
                <w:rFonts w:ascii="黑体" w:hAnsi="黑体" w:eastAsia="黑体" w:cstheme="minorEastAsia"/>
                <w:color w:val="auto"/>
                <w:kern w:val="0"/>
                <w:sz w:val="28"/>
                <w:szCs w:val="28"/>
                <w:lang w:bidi="ar"/>
              </w:rPr>
              <w:t>程度</w:t>
            </w:r>
          </w:p>
        </w:tc>
        <w:tc>
          <w:tcPr>
            <w:tcW w:w="598" w:type="dxa"/>
            <w:vAlign w:val="center"/>
          </w:tcPr>
          <w:p w14:paraId="696DAE77">
            <w:pPr>
              <w:adjustRightInd w:val="0"/>
              <w:snapToGrid w:val="0"/>
              <w:jc w:val="center"/>
              <w:textAlignment w:val="center"/>
              <w:rPr>
                <w:rFonts w:ascii="黑体" w:hAnsi="黑体" w:eastAsia="黑体" w:cstheme="minorEastAsia"/>
                <w:color w:val="auto"/>
                <w:sz w:val="28"/>
                <w:szCs w:val="28"/>
              </w:rPr>
            </w:pPr>
            <w:r>
              <w:rPr>
                <w:rFonts w:ascii="黑体" w:hAnsi="黑体" w:eastAsia="黑体" w:cstheme="minorEastAsia"/>
                <w:color w:val="auto"/>
                <w:kern w:val="0"/>
                <w:sz w:val="28"/>
                <w:szCs w:val="28"/>
                <w:lang w:bidi="ar"/>
              </w:rPr>
              <w:t>序号</w:t>
            </w:r>
          </w:p>
        </w:tc>
        <w:tc>
          <w:tcPr>
            <w:tcW w:w="1176" w:type="dxa"/>
            <w:vAlign w:val="center"/>
          </w:tcPr>
          <w:p w14:paraId="2FCAF807">
            <w:pPr>
              <w:adjustRightInd w:val="0"/>
              <w:snapToGrid w:val="0"/>
              <w:jc w:val="center"/>
              <w:textAlignment w:val="center"/>
              <w:rPr>
                <w:rFonts w:ascii="黑体" w:hAnsi="黑体" w:eastAsia="黑体" w:cstheme="minorEastAsia"/>
                <w:color w:val="auto"/>
                <w:kern w:val="0"/>
                <w:sz w:val="28"/>
                <w:szCs w:val="28"/>
                <w:lang w:bidi="ar"/>
              </w:rPr>
            </w:pPr>
            <w:r>
              <w:rPr>
                <w:rFonts w:ascii="黑体" w:hAnsi="黑体" w:eastAsia="黑体" w:cstheme="minorEastAsia"/>
                <w:color w:val="auto"/>
                <w:kern w:val="0"/>
                <w:sz w:val="28"/>
                <w:szCs w:val="28"/>
                <w:lang w:bidi="ar"/>
              </w:rPr>
              <w:t>指标</w:t>
            </w:r>
            <w:r>
              <w:rPr>
                <w:rFonts w:ascii="黑体" w:hAnsi="黑体" w:eastAsia="黑体" w:cstheme="minorEastAsia"/>
                <w:color w:val="auto"/>
                <w:kern w:val="0"/>
                <w:sz w:val="28"/>
                <w:szCs w:val="28"/>
                <w:lang w:bidi="ar"/>
              </w:rPr>
              <w:br w:type="textWrapping"/>
            </w:r>
            <w:r>
              <w:rPr>
                <w:rFonts w:ascii="黑体" w:hAnsi="黑体" w:eastAsia="黑体" w:cstheme="minorEastAsia"/>
                <w:color w:val="auto"/>
                <w:kern w:val="0"/>
                <w:sz w:val="28"/>
                <w:szCs w:val="28"/>
                <w:lang w:bidi="ar"/>
              </w:rPr>
              <w:t>分类</w:t>
            </w:r>
          </w:p>
        </w:tc>
        <w:tc>
          <w:tcPr>
            <w:tcW w:w="1176" w:type="dxa"/>
            <w:vAlign w:val="center"/>
          </w:tcPr>
          <w:p w14:paraId="1899F47F">
            <w:pPr>
              <w:adjustRightInd w:val="0"/>
              <w:snapToGrid w:val="0"/>
              <w:jc w:val="center"/>
              <w:textAlignment w:val="center"/>
              <w:rPr>
                <w:rFonts w:ascii="黑体" w:hAnsi="黑体" w:eastAsia="黑体" w:cstheme="minorEastAsia"/>
                <w:color w:val="auto"/>
                <w:sz w:val="28"/>
                <w:szCs w:val="28"/>
              </w:rPr>
            </w:pPr>
            <w:r>
              <w:fldChar w:fldCharType="begin"/>
            </w:r>
            <w:r>
              <w:instrText xml:space="preserve"> HYPERLINK "file://E:\\工作\\1项目资料\\政府采购资料\\2025\\3增材制造实训中心项目-智能制造学院-公共资源交易中心\\二次-公开招标\\招标文件修改记录\\7.3-周-磋商-河南工业和信息化职业学院增材制造实训中心建设项目.docx" \l "Sheet1!A3" </w:instrText>
            </w:r>
            <w:r>
              <w:fldChar w:fldCharType="separate"/>
            </w:r>
            <w:r>
              <w:rPr>
                <w:rStyle w:val="63"/>
                <w:rFonts w:ascii="黑体" w:hAnsi="黑体" w:eastAsia="黑体" w:cstheme="minorEastAsia"/>
                <w:color w:val="auto"/>
                <w:kern w:val="0"/>
                <w:sz w:val="28"/>
                <w:szCs w:val="28"/>
                <w:u w:val="none"/>
              </w:rPr>
              <w:t>一级</w:t>
            </w:r>
            <w:r>
              <w:rPr>
                <w:rStyle w:val="63"/>
                <w:rFonts w:ascii="黑体" w:hAnsi="黑体" w:eastAsia="黑体" w:cstheme="minorEastAsia"/>
                <w:color w:val="auto"/>
                <w:kern w:val="0"/>
                <w:sz w:val="28"/>
                <w:szCs w:val="28"/>
                <w:u w:val="none"/>
              </w:rPr>
              <w:br w:type="textWrapping"/>
            </w:r>
            <w:r>
              <w:rPr>
                <w:rStyle w:val="63"/>
                <w:rFonts w:ascii="黑体" w:hAnsi="黑体" w:eastAsia="黑体" w:cstheme="minorEastAsia"/>
                <w:color w:val="auto"/>
                <w:kern w:val="0"/>
                <w:sz w:val="28"/>
                <w:szCs w:val="28"/>
                <w:u w:val="none"/>
              </w:rPr>
              <w:t>指标</w:t>
            </w:r>
            <w:r>
              <w:rPr>
                <w:rStyle w:val="63"/>
                <w:rFonts w:ascii="黑体" w:hAnsi="黑体" w:eastAsia="黑体" w:cstheme="minorEastAsia"/>
                <w:color w:val="auto"/>
                <w:kern w:val="0"/>
                <w:sz w:val="28"/>
                <w:szCs w:val="28"/>
                <w:u w:val="none"/>
              </w:rPr>
              <w:fldChar w:fldCharType="end"/>
            </w:r>
          </w:p>
        </w:tc>
        <w:tc>
          <w:tcPr>
            <w:tcW w:w="1508" w:type="dxa"/>
            <w:vAlign w:val="center"/>
          </w:tcPr>
          <w:p w14:paraId="65455858">
            <w:pPr>
              <w:adjustRightInd w:val="0"/>
              <w:snapToGrid w:val="0"/>
              <w:jc w:val="center"/>
              <w:textAlignment w:val="center"/>
              <w:rPr>
                <w:rFonts w:ascii="黑体" w:hAnsi="黑体" w:eastAsia="黑体" w:cstheme="minorEastAsia"/>
                <w:color w:val="auto"/>
                <w:sz w:val="28"/>
                <w:szCs w:val="28"/>
              </w:rPr>
            </w:pPr>
            <w:r>
              <w:rPr>
                <w:rFonts w:ascii="黑体" w:hAnsi="黑体" w:eastAsia="黑体" w:cstheme="minorEastAsia"/>
                <w:color w:val="auto"/>
                <w:kern w:val="0"/>
                <w:sz w:val="28"/>
                <w:szCs w:val="28"/>
                <w:lang w:bidi="ar"/>
              </w:rPr>
              <w:t>二级</w:t>
            </w:r>
            <w:r>
              <w:rPr>
                <w:rFonts w:ascii="黑体" w:hAnsi="黑体" w:eastAsia="黑体" w:cstheme="minorEastAsia"/>
                <w:color w:val="auto"/>
                <w:kern w:val="0"/>
                <w:sz w:val="28"/>
                <w:szCs w:val="28"/>
                <w:lang w:bidi="ar"/>
              </w:rPr>
              <w:br w:type="textWrapping"/>
            </w:r>
            <w:r>
              <w:rPr>
                <w:rFonts w:ascii="黑体" w:hAnsi="黑体" w:eastAsia="黑体" w:cstheme="minorEastAsia"/>
                <w:color w:val="auto"/>
                <w:kern w:val="0"/>
                <w:sz w:val="28"/>
                <w:szCs w:val="28"/>
                <w:lang w:bidi="ar"/>
              </w:rPr>
              <w:t>指标</w:t>
            </w:r>
          </w:p>
        </w:tc>
        <w:tc>
          <w:tcPr>
            <w:tcW w:w="3852" w:type="dxa"/>
            <w:vAlign w:val="center"/>
          </w:tcPr>
          <w:p w14:paraId="305B0841">
            <w:pPr>
              <w:adjustRightInd w:val="0"/>
              <w:snapToGrid w:val="0"/>
              <w:jc w:val="left"/>
              <w:textAlignment w:val="center"/>
              <w:rPr>
                <w:rStyle w:val="288"/>
                <w:rFonts w:hAnsi="黑体" w:cstheme="minorEastAsia"/>
                <w:color w:val="auto"/>
                <w:sz w:val="28"/>
                <w:szCs w:val="28"/>
                <w:lang w:bidi="ar"/>
              </w:rPr>
            </w:pPr>
            <w:r>
              <w:rPr>
                <w:rStyle w:val="288"/>
                <w:rFonts w:hAnsi="黑体" w:cstheme="minorEastAsia"/>
                <w:color w:val="auto"/>
                <w:sz w:val="28"/>
                <w:szCs w:val="28"/>
                <w:lang w:bidi="ar"/>
              </w:rPr>
              <w:t>指标要求</w:t>
            </w:r>
          </w:p>
        </w:tc>
        <w:tc>
          <w:tcPr>
            <w:tcW w:w="607" w:type="dxa"/>
            <w:vAlign w:val="center"/>
          </w:tcPr>
          <w:p w14:paraId="2F5868C0">
            <w:pPr>
              <w:adjustRightInd w:val="0"/>
              <w:snapToGrid w:val="0"/>
              <w:jc w:val="center"/>
              <w:textAlignment w:val="center"/>
              <w:rPr>
                <w:rStyle w:val="288"/>
                <w:rFonts w:hAnsi="黑体" w:cstheme="minorEastAsia"/>
                <w:color w:val="auto"/>
                <w:sz w:val="28"/>
                <w:szCs w:val="28"/>
                <w:lang w:bidi="ar"/>
              </w:rPr>
            </w:pPr>
            <w:r>
              <w:rPr>
                <w:rStyle w:val="288"/>
                <w:rFonts w:hAnsi="黑体" w:cstheme="minorEastAsia"/>
                <w:color w:val="auto"/>
                <w:sz w:val="28"/>
                <w:szCs w:val="28"/>
                <w:lang w:bidi="ar"/>
              </w:rPr>
              <w:t>证明材</w:t>
            </w:r>
            <w:r>
              <w:rPr>
                <w:rStyle w:val="288"/>
                <w:rFonts w:hAnsi="黑体" w:cstheme="minorEastAsia"/>
                <w:color w:val="auto"/>
                <w:sz w:val="28"/>
                <w:szCs w:val="28"/>
                <w:lang w:bidi="ar"/>
              </w:rPr>
              <w:br w:type="textWrapping"/>
            </w:r>
            <w:r>
              <w:rPr>
                <w:rStyle w:val="288"/>
                <w:rFonts w:hAnsi="黑体" w:cstheme="minorEastAsia"/>
                <w:color w:val="auto"/>
                <w:sz w:val="28"/>
                <w:szCs w:val="28"/>
                <w:lang w:bidi="ar"/>
              </w:rPr>
              <w:t>料要求</w:t>
            </w:r>
          </w:p>
        </w:tc>
      </w:tr>
      <w:tr w14:paraId="2BCE6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20" w:type="dxa"/>
            <w:vAlign w:val="center"/>
          </w:tcPr>
          <w:p w14:paraId="2E9DEE15">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7BC36B9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w:t>
            </w:r>
          </w:p>
        </w:tc>
        <w:tc>
          <w:tcPr>
            <w:tcW w:w="1176" w:type="dxa"/>
            <w:vAlign w:val="center"/>
          </w:tcPr>
          <w:p w14:paraId="1302DF5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703EC6AC">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*CPU规格</w:t>
            </w:r>
          </w:p>
        </w:tc>
        <w:tc>
          <w:tcPr>
            <w:tcW w:w="1508" w:type="dxa"/>
            <w:vAlign w:val="center"/>
          </w:tcPr>
          <w:p w14:paraId="3358ABEC">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*CPU信息</w:t>
            </w:r>
          </w:p>
        </w:tc>
        <w:tc>
          <w:tcPr>
            <w:tcW w:w="3852" w:type="dxa"/>
            <w:vAlign w:val="center"/>
          </w:tcPr>
          <w:p w14:paraId="6BC844E3">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供应商给出CPU信息，包含CPU型号、物理核心数、主频、末级缓存容量、线程数、热设计功耗及内存的最高速率、通道数和位宽</w:t>
            </w:r>
          </w:p>
        </w:tc>
        <w:tc>
          <w:tcPr>
            <w:tcW w:w="607" w:type="dxa"/>
            <w:vAlign w:val="center"/>
          </w:tcPr>
          <w:p w14:paraId="7D07B597">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10B7C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620" w:type="dxa"/>
            <w:vAlign w:val="center"/>
          </w:tcPr>
          <w:p w14:paraId="298E9470">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5DE14A4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2</w:t>
            </w:r>
          </w:p>
        </w:tc>
        <w:tc>
          <w:tcPr>
            <w:tcW w:w="1176" w:type="dxa"/>
            <w:vAlign w:val="center"/>
          </w:tcPr>
          <w:p w14:paraId="26EB6B7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3086C717">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*内存规格</w:t>
            </w:r>
          </w:p>
        </w:tc>
        <w:tc>
          <w:tcPr>
            <w:tcW w:w="1508" w:type="dxa"/>
            <w:vAlign w:val="center"/>
          </w:tcPr>
          <w:p w14:paraId="3D9097CB">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*内存配置容量</w:t>
            </w:r>
          </w:p>
        </w:tc>
        <w:tc>
          <w:tcPr>
            <w:tcW w:w="3852" w:type="dxa"/>
            <w:vAlign w:val="center"/>
          </w:tcPr>
          <w:p w14:paraId="6F1C29CC">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≥32GB</w:t>
            </w:r>
          </w:p>
        </w:tc>
        <w:tc>
          <w:tcPr>
            <w:tcW w:w="607" w:type="dxa"/>
            <w:vAlign w:val="center"/>
          </w:tcPr>
          <w:p w14:paraId="267C7C4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9E06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20" w:type="dxa"/>
            <w:vAlign w:val="center"/>
          </w:tcPr>
          <w:p w14:paraId="747E775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32B52770">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3</w:t>
            </w:r>
          </w:p>
        </w:tc>
        <w:tc>
          <w:tcPr>
            <w:tcW w:w="1176" w:type="dxa"/>
            <w:vAlign w:val="center"/>
          </w:tcPr>
          <w:p w14:paraId="6AB6BDA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7F962121">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*内存规格</w:t>
            </w:r>
          </w:p>
        </w:tc>
        <w:tc>
          <w:tcPr>
            <w:tcW w:w="1508" w:type="dxa"/>
            <w:vAlign w:val="center"/>
          </w:tcPr>
          <w:p w14:paraId="3D81E60D">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*内存类型</w:t>
            </w:r>
          </w:p>
        </w:tc>
        <w:tc>
          <w:tcPr>
            <w:tcW w:w="3852" w:type="dxa"/>
            <w:vAlign w:val="center"/>
          </w:tcPr>
          <w:p w14:paraId="3B634C53">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DDR4</w:t>
            </w:r>
            <w:r>
              <w:rPr>
                <w:rStyle w:val="288"/>
                <w:rFonts w:ascii="仿宋_GB2312" w:eastAsia="仿宋_GB2312" w:hAnsiTheme="minorEastAsia" w:cstheme="minorEastAsia"/>
                <w:color w:val="auto"/>
                <w:sz w:val="28"/>
                <w:szCs w:val="28"/>
                <w:lang w:eastAsia="zh-CN" w:bidi="ar"/>
              </w:rPr>
              <w:t>及以上内存类型</w:t>
            </w:r>
          </w:p>
        </w:tc>
        <w:tc>
          <w:tcPr>
            <w:tcW w:w="607" w:type="dxa"/>
            <w:vAlign w:val="center"/>
          </w:tcPr>
          <w:p w14:paraId="6B73F08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6FCDB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620" w:type="dxa"/>
            <w:vAlign w:val="center"/>
          </w:tcPr>
          <w:p w14:paraId="0FEAF9F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4484360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4</w:t>
            </w:r>
          </w:p>
        </w:tc>
        <w:tc>
          <w:tcPr>
            <w:tcW w:w="1176" w:type="dxa"/>
            <w:vAlign w:val="center"/>
          </w:tcPr>
          <w:p w14:paraId="1F194DF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28D1932A">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*内存规格</w:t>
            </w:r>
          </w:p>
        </w:tc>
        <w:tc>
          <w:tcPr>
            <w:tcW w:w="1508" w:type="dxa"/>
            <w:vAlign w:val="center"/>
          </w:tcPr>
          <w:p w14:paraId="0B078B34">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*内存条配置数量（板载内存不涉及）</w:t>
            </w:r>
          </w:p>
        </w:tc>
        <w:tc>
          <w:tcPr>
            <w:tcW w:w="3852" w:type="dxa"/>
            <w:vAlign w:val="center"/>
          </w:tcPr>
          <w:p w14:paraId="3B73EE4E">
            <w:pPr>
              <w:adjustRightInd w:val="0"/>
              <w:snapToGrid w:val="0"/>
              <w:jc w:val="left"/>
              <w:textAlignment w:val="center"/>
              <w:rPr>
                <w:rStyle w:val="288"/>
                <w:rFonts w:ascii="仿宋_GB2312" w:eastAsia="仿宋_GB2312" w:hAnsiTheme="minorEastAsia" w:cstheme="minorEastAsia"/>
                <w:color w:val="auto"/>
                <w:sz w:val="28"/>
                <w:szCs w:val="28"/>
                <w:lang w:val="en-US" w:eastAsia="zh-CN" w:bidi="ar"/>
              </w:rPr>
            </w:pPr>
            <w:r>
              <w:rPr>
                <w:rFonts w:ascii="仿宋_GB2312" w:hAnsi="Arial" w:eastAsia="仿宋_GB2312" w:cs="Arial"/>
                <w:sz w:val="28"/>
                <w:szCs w:val="28"/>
              </w:rPr>
              <w:t>≥</w:t>
            </w:r>
            <w:r>
              <w:rPr>
                <w:rFonts w:ascii="仿宋_GB2312" w:hAnsi="Arial" w:eastAsia="仿宋_GB2312" w:cs="Arial"/>
                <w:sz w:val="28"/>
                <w:szCs w:val="28"/>
                <w:lang w:val="en-US" w:eastAsia="zh-CN"/>
              </w:rPr>
              <w:t>1</w:t>
            </w:r>
          </w:p>
        </w:tc>
        <w:tc>
          <w:tcPr>
            <w:tcW w:w="607" w:type="dxa"/>
            <w:vAlign w:val="center"/>
          </w:tcPr>
          <w:p w14:paraId="698A0AD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6FAE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42F1A5A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4B6DE15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5</w:t>
            </w:r>
          </w:p>
        </w:tc>
        <w:tc>
          <w:tcPr>
            <w:tcW w:w="1176" w:type="dxa"/>
            <w:vAlign w:val="center"/>
          </w:tcPr>
          <w:p w14:paraId="516AE4B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0CD4B146">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*主板规格</w:t>
            </w:r>
          </w:p>
        </w:tc>
        <w:tc>
          <w:tcPr>
            <w:tcW w:w="1508" w:type="dxa"/>
            <w:vAlign w:val="center"/>
          </w:tcPr>
          <w:p w14:paraId="56A182C6">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*主板集成模块</w:t>
            </w:r>
          </w:p>
        </w:tc>
        <w:tc>
          <w:tcPr>
            <w:tcW w:w="3852" w:type="dxa"/>
            <w:vAlign w:val="center"/>
          </w:tcPr>
          <w:p w14:paraId="2E4A4E50">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集成资源扩展模块、计算处理模块、音频扩展模块等，主板的互联拓扑可通过处理器或交换电路实现</w:t>
            </w:r>
          </w:p>
        </w:tc>
        <w:tc>
          <w:tcPr>
            <w:tcW w:w="607" w:type="dxa"/>
            <w:vAlign w:val="center"/>
          </w:tcPr>
          <w:p w14:paraId="73AB201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516A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61B19E0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7607E14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6</w:t>
            </w:r>
          </w:p>
        </w:tc>
        <w:tc>
          <w:tcPr>
            <w:tcW w:w="1176" w:type="dxa"/>
            <w:vAlign w:val="center"/>
          </w:tcPr>
          <w:p w14:paraId="275B761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7ACDCA22">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*主板规格</w:t>
            </w:r>
          </w:p>
        </w:tc>
        <w:tc>
          <w:tcPr>
            <w:tcW w:w="1508" w:type="dxa"/>
            <w:vAlign w:val="center"/>
          </w:tcPr>
          <w:p w14:paraId="43D077A2">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*主板支持的 CPU和内存情况</w:t>
            </w:r>
          </w:p>
        </w:tc>
        <w:tc>
          <w:tcPr>
            <w:tcW w:w="3852" w:type="dxa"/>
            <w:vAlign w:val="center"/>
          </w:tcPr>
          <w:p w14:paraId="68377AA1">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供应商给出主板支持的CPU和内存型号和数量</w:t>
            </w:r>
          </w:p>
        </w:tc>
        <w:tc>
          <w:tcPr>
            <w:tcW w:w="607" w:type="dxa"/>
            <w:vAlign w:val="center"/>
          </w:tcPr>
          <w:p w14:paraId="3368587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110D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0" w:type="dxa"/>
            <w:vAlign w:val="center"/>
          </w:tcPr>
          <w:p w14:paraId="124D811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425F1A1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7</w:t>
            </w:r>
          </w:p>
        </w:tc>
        <w:tc>
          <w:tcPr>
            <w:tcW w:w="1176" w:type="dxa"/>
            <w:vAlign w:val="center"/>
          </w:tcPr>
          <w:p w14:paraId="5578B50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12C6A59E">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*主板规格</w:t>
            </w:r>
          </w:p>
        </w:tc>
        <w:tc>
          <w:tcPr>
            <w:tcW w:w="1508" w:type="dxa"/>
            <w:vAlign w:val="center"/>
          </w:tcPr>
          <w:p w14:paraId="69CC5578">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主板内置PCIe 插槽数量</w:t>
            </w:r>
          </w:p>
        </w:tc>
        <w:tc>
          <w:tcPr>
            <w:tcW w:w="3852" w:type="dxa"/>
            <w:vAlign w:val="center"/>
          </w:tcPr>
          <w:p w14:paraId="5EF7C9D6">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支持PCIe插槽数量不少于</w:t>
            </w:r>
            <w:r>
              <w:rPr>
                <w:rFonts w:ascii="仿宋_GB2312" w:hAnsi="Arial" w:eastAsia="仿宋_GB2312" w:cs="Arial"/>
                <w:sz w:val="28"/>
                <w:szCs w:val="28"/>
                <w:lang w:val="en-US" w:eastAsia="zh-CN"/>
              </w:rPr>
              <w:t>2</w:t>
            </w:r>
            <w:r>
              <w:rPr>
                <w:rFonts w:ascii="仿宋_GB2312" w:hAnsi="Arial" w:eastAsia="仿宋_GB2312" w:cs="Arial"/>
                <w:sz w:val="28"/>
                <w:szCs w:val="28"/>
                <w:lang w:eastAsia="zh-CN"/>
              </w:rPr>
              <w:t>个</w:t>
            </w:r>
          </w:p>
        </w:tc>
        <w:tc>
          <w:tcPr>
            <w:tcW w:w="607" w:type="dxa"/>
            <w:vAlign w:val="center"/>
          </w:tcPr>
          <w:p w14:paraId="6307108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CE45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0" w:type="dxa"/>
            <w:vAlign w:val="center"/>
          </w:tcPr>
          <w:p w14:paraId="1F3CA849">
            <w:pPr>
              <w:adjustRightInd w:val="0"/>
              <w:snapToGrid w:val="0"/>
              <w:jc w:val="center"/>
              <w:rPr>
                <w:rFonts w:ascii="仿宋_GB2312" w:eastAsia="仿宋_GB2312" w:hAnsiTheme="minorEastAsia" w:cstheme="minorEastAsia"/>
                <w:color w:val="auto"/>
                <w:sz w:val="28"/>
                <w:szCs w:val="28"/>
              </w:rPr>
            </w:pPr>
          </w:p>
        </w:tc>
        <w:tc>
          <w:tcPr>
            <w:tcW w:w="598" w:type="dxa"/>
            <w:vAlign w:val="center"/>
          </w:tcPr>
          <w:p w14:paraId="7510CCE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8</w:t>
            </w:r>
          </w:p>
        </w:tc>
        <w:tc>
          <w:tcPr>
            <w:tcW w:w="1176" w:type="dxa"/>
            <w:vAlign w:val="center"/>
          </w:tcPr>
          <w:p w14:paraId="20910E8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77E77129">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*主板规格</w:t>
            </w:r>
          </w:p>
        </w:tc>
        <w:tc>
          <w:tcPr>
            <w:tcW w:w="1508" w:type="dxa"/>
            <w:vAlign w:val="center"/>
          </w:tcPr>
          <w:p w14:paraId="04ED3878">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特殊孔位及接口</w:t>
            </w:r>
          </w:p>
        </w:tc>
        <w:tc>
          <w:tcPr>
            <w:tcW w:w="3852" w:type="dxa"/>
            <w:vAlign w:val="center"/>
          </w:tcPr>
          <w:p w14:paraId="1B9C0FC4">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4D15803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4F94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620" w:type="dxa"/>
            <w:vAlign w:val="center"/>
          </w:tcPr>
          <w:p w14:paraId="7029C67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0DAFE93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9</w:t>
            </w:r>
          </w:p>
        </w:tc>
        <w:tc>
          <w:tcPr>
            <w:tcW w:w="1176" w:type="dxa"/>
            <w:vAlign w:val="center"/>
          </w:tcPr>
          <w:p w14:paraId="309209E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6D924ACA">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*主板规格</w:t>
            </w:r>
          </w:p>
        </w:tc>
        <w:tc>
          <w:tcPr>
            <w:tcW w:w="1508" w:type="dxa"/>
            <w:vAlign w:val="center"/>
          </w:tcPr>
          <w:p w14:paraId="204C14DB">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*主板其他内置接口</w:t>
            </w:r>
          </w:p>
        </w:tc>
        <w:tc>
          <w:tcPr>
            <w:tcW w:w="3852" w:type="dxa"/>
            <w:vAlign w:val="center"/>
          </w:tcPr>
          <w:p w14:paraId="21C8D793">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供应商给出相关SATA、M.2、USB接口数量及占用状态</w:t>
            </w:r>
          </w:p>
        </w:tc>
        <w:tc>
          <w:tcPr>
            <w:tcW w:w="607" w:type="dxa"/>
            <w:vAlign w:val="center"/>
          </w:tcPr>
          <w:p w14:paraId="3102D6D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114E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 w:hRule="atLeast"/>
          <w:jc w:val="center"/>
        </w:trPr>
        <w:tc>
          <w:tcPr>
            <w:tcW w:w="620" w:type="dxa"/>
            <w:vAlign w:val="center"/>
          </w:tcPr>
          <w:p w14:paraId="7A67F81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01A643A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10</w:t>
            </w:r>
          </w:p>
        </w:tc>
        <w:tc>
          <w:tcPr>
            <w:tcW w:w="1176" w:type="dxa"/>
            <w:vAlign w:val="center"/>
          </w:tcPr>
          <w:p w14:paraId="627D624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7F2F77F5">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*主板规格</w:t>
            </w:r>
          </w:p>
        </w:tc>
        <w:tc>
          <w:tcPr>
            <w:tcW w:w="1508" w:type="dxa"/>
            <w:vAlign w:val="center"/>
          </w:tcPr>
          <w:p w14:paraId="5B19F294">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*单内存插槽最大可支持容量（板载内存不涉及）</w:t>
            </w:r>
          </w:p>
        </w:tc>
        <w:tc>
          <w:tcPr>
            <w:tcW w:w="3852" w:type="dxa"/>
            <w:vAlign w:val="center"/>
          </w:tcPr>
          <w:p w14:paraId="0D7C0C48">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≥32GB</w:t>
            </w:r>
          </w:p>
        </w:tc>
        <w:tc>
          <w:tcPr>
            <w:tcW w:w="607" w:type="dxa"/>
            <w:vAlign w:val="center"/>
          </w:tcPr>
          <w:p w14:paraId="6AEFEAF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A4EF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620" w:type="dxa"/>
            <w:vAlign w:val="center"/>
          </w:tcPr>
          <w:p w14:paraId="6B3A93E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41484A7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11</w:t>
            </w:r>
          </w:p>
        </w:tc>
        <w:tc>
          <w:tcPr>
            <w:tcW w:w="1176" w:type="dxa"/>
            <w:vAlign w:val="center"/>
          </w:tcPr>
          <w:p w14:paraId="0D5DEA1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66EA1792">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*主板规格</w:t>
            </w:r>
          </w:p>
        </w:tc>
        <w:tc>
          <w:tcPr>
            <w:tcW w:w="1508" w:type="dxa"/>
            <w:vAlign w:val="center"/>
          </w:tcPr>
          <w:p w14:paraId="3D97241D">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*内存插槽满配时提供的最高内存总容量</w:t>
            </w:r>
          </w:p>
        </w:tc>
        <w:tc>
          <w:tcPr>
            <w:tcW w:w="3852" w:type="dxa"/>
            <w:vAlign w:val="center"/>
          </w:tcPr>
          <w:p w14:paraId="6A5151D6">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≥64GB</w:t>
            </w:r>
          </w:p>
        </w:tc>
        <w:tc>
          <w:tcPr>
            <w:tcW w:w="607" w:type="dxa"/>
            <w:vAlign w:val="center"/>
          </w:tcPr>
          <w:p w14:paraId="4CBD6EC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B0F1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627A8A7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12201A8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12</w:t>
            </w:r>
          </w:p>
        </w:tc>
        <w:tc>
          <w:tcPr>
            <w:tcW w:w="1176" w:type="dxa"/>
            <w:vAlign w:val="center"/>
          </w:tcPr>
          <w:p w14:paraId="74A6989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3637BF41">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*存储设备规格</w:t>
            </w:r>
          </w:p>
        </w:tc>
        <w:tc>
          <w:tcPr>
            <w:tcW w:w="1508" w:type="dxa"/>
            <w:vAlign w:val="center"/>
          </w:tcPr>
          <w:p w14:paraId="13B0ECAB">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*固态盘数量</w:t>
            </w:r>
          </w:p>
        </w:tc>
        <w:tc>
          <w:tcPr>
            <w:tcW w:w="3852" w:type="dxa"/>
            <w:vAlign w:val="center"/>
          </w:tcPr>
          <w:p w14:paraId="05741D9D">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≥1个</w:t>
            </w:r>
          </w:p>
        </w:tc>
        <w:tc>
          <w:tcPr>
            <w:tcW w:w="607" w:type="dxa"/>
            <w:vAlign w:val="center"/>
          </w:tcPr>
          <w:p w14:paraId="52A0BA1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6C70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0D7AA782">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3578EBB0">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13</w:t>
            </w:r>
          </w:p>
        </w:tc>
        <w:tc>
          <w:tcPr>
            <w:tcW w:w="1176" w:type="dxa"/>
            <w:vAlign w:val="center"/>
          </w:tcPr>
          <w:p w14:paraId="7AF6810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5DC0A4F6">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*存储设备规格</w:t>
            </w:r>
          </w:p>
        </w:tc>
        <w:tc>
          <w:tcPr>
            <w:tcW w:w="1508" w:type="dxa"/>
            <w:vAlign w:val="center"/>
          </w:tcPr>
          <w:p w14:paraId="42854CDB">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*固态存储容量</w:t>
            </w:r>
          </w:p>
        </w:tc>
        <w:tc>
          <w:tcPr>
            <w:tcW w:w="3852" w:type="dxa"/>
            <w:vAlign w:val="center"/>
          </w:tcPr>
          <w:p w14:paraId="0EE23F15">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≥512GB</w:t>
            </w:r>
          </w:p>
        </w:tc>
        <w:tc>
          <w:tcPr>
            <w:tcW w:w="607" w:type="dxa"/>
            <w:vAlign w:val="center"/>
          </w:tcPr>
          <w:p w14:paraId="189AD41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ECB3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1B5B8A16">
            <w:pPr>
              <w:adjustRightInd w:val="0"/>
              <w:snapToGrid w:val="0"/>
              <w:jc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21CD410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14</w:t>
            </w:r>
          </w:p>
        </w:tc>
        <w:tc>
          <w:tcPr>
            <w:tcW w:w="1176" w:type="dxa"/>
            <w:vAlign w:val="center"/>
          </w:tcPr>
          <w:p w14:paraId="5A43F3D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7BED900F">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*存储设备规格</w:t>
            </w:r>
          </w:p>
        </w:tc>
        <w:tc>
          <w:tcPr>
            <w:tcW w:w="1508" w:type="dxa"/>
            <w:vAlign w:val="center"/>
          </w:tcPr>
          <w:p w14:paraId="63BC884F">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*机械硬盘数量</w:t>
            </w:r>
          </w:p>
        </w:tc>
        <w:tc>
          <w:tcPr>
            <w:tcW w:w="3852" w:type="dxa"/>
            <w:vAlign w:val="center"/>
          </w:tcPr>
          <w:p w14:paraId="52C61816">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≥1个</w:t>
            </w:r>
          </w:p>
        </w:tc>
        <w:tc>
          <w:tcPr>
            <w:tcW w:w="607" w:type="dxa"/>
            <w:vAlign w:val="center"/>
          </w:tcPr>
          <w:p w14:paraId="1496F89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F601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552BA514">
            <w:pPr>
              <w:adjustRightInd w:val="0"/>
              <w:snapToGrid w:val="0"/>
              <w:jc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0668D14D">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15</w:t>
            </w:r>
          </w:p>
        </w:tc>
        <w:tc>
          <w:tcPr>
            <w:tcW w:w="1176" w:type="dxa"/>
            <w:vAlign w:val="center"/>
          </w:tcPr>
          <w:p w14:paraId="7E32331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66DDE093">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*存储设备规格</w:t>
            </w:r>
          </w:p>
        </w:tc>
        <w:tc>
          <w:tcPr>
            <w:tcW w:w="1508" w:type="dxa"/>
            <w:vAlign w:val="center"/>
          </w:tcPr>
          <w:p w14:paraId="68FD59AA">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*机械硬盘总容量</w:t>
            </w:r>
          </w:p>
        </w:tc>
        <w:tc>
          <w:tcPr>
            <w:tcW w:w="3852" w:type="dxa"/>
            <w:vAlign w:val="center"/>
          </w:tcPr>
          <w:p w14:paraId="5A65CF09">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≥1TB</w:t>
            </w:r>
          </w:p>
        </w:tc>
        <w:tc>
          <w:tcPr>
            <w:tcW w:w="607" w:type="dxa"/>
            <w:vAlign w:val="center"/>
          </w:tcPr>
          <w:p w14:paraId="0EC464E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71C0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43E8C69C">
            <w:pPr>
              <w:adjustRightInd w:val="0"/>
              <w:snapToGrid w:val="0"/>
              <w:jc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541816E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16</w:t>
            </w:r>
          </w:p>
        </w:tc>
        <w:tc>
          <w:tcPr>
            <w:tcW w:w="1176" w:type="dxa"/>
            <w:vAlign w:val="center"/>
          </w:tcPr>
          <w:p w14:paraId="3B3379A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40CEDE6C">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*存储设备规格</w:t>
            </w:r>
          </w:p>
        </w:tc>
        <w:tc>
          <w:tcPr>
            <w:tcW w:w="1508" w:type="dxa"/>
            <w:vAlign w:val="center"/>
          </w:tcPr>
          <w:p w14:paraId="5B37BE82">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*机械硬盘转速</w:t>
            </w:r>
          </w:p>
        </w:tc>
        <w:tc>
          <w:tcPr>
            <w:tcW w:w="3852" w:type="dxa"/>
            <w:vAlign w:val="center"/>
          </w:tcPr>
          <w:p w14:paraId="049462F0">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r>
              <w:rPr>
                <w:rFonts w:ascii="仿宋_GB2312" w:hAnsi="Arial" w:eastAsia="仿宋_GB2312" w:cs="Arial"/>
                <w:sz w:val="28"/>
                <w:szCs w:val="28"/>
                <w:lang w:eastAsia="zh-CN"/>
              </w:rPr>
              <w:t>5400</w:t>
            </w:r>
            <w:r>
              <w:rPr>
                <w:rFonts w:ascii="仿宋_GB2312" w:hAnsi="Arial" w:eastAsia="仿宋_GB2312" w:cs="Arial"/>
                <w:sz w:val="28"/>
                <w:szCs w:val="28"/>
              </w:rPr>
              <w:t>rpm</w:t>
            </w:r>
          </w:p>
        </w:tc>
        <w:tc>
          <w:tcPr>
            <w:tcW w:w="607" w:type="dxa"/>
            <w:vAlign w:val="center"/>
          </w:tcPr>
          <w:p w14:paraId="4BA43F4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9BCC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0988303A">
            <w:pPr>
              <w:adjustRightInd w:val="0"/>
              <w:snapToGrid w:val="0"/>
              <w:jc w:val="center"/>
              <w:rPr>
                <w:rFonts w:ascii="仿宋_GB2312" w:eastAsia="仿宋_GB2312" w:hAnsiTheme="minorEastAsia" w:cstheme="minorEastAsia"/>
                <w:color w:val="auto"/>
                <w:sz w:val="28"/>
                <w:szCs w:val="28"/>
              </w:rPr>
            </w:pPr>
          </w:p>
        </w:tc>
        <w:tc>
          <w:tcPr>
            <w:tcW w:w="598" w:type="dxa"/>
            <w:vAlign w:val="center"/>
          </w:tcPr>
          <w:p w14:paraId="48AED465">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17</w:t>
            </w:r>
          </w:p>
        </w:tc>
        <w:tc>
          <w:tcPr>
            <w:tcW w:w="1176" w:type="dxa"/>
            <w:vAlign w:val="center"/>
          </w:tcPr>
          <w:p w14:paraId="761710C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6DEBF703">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*存储设备规格</w:t>
            </w:r>
          </w:p>
        </w:tc>
        <w:tc>
          <w:tcPr>
            <w:tcW w:w="1508" w:type="dxa"/>
            <w:vAlign w:val="center"/>
          </w:tcPr>
          <w:p w14:paraId="10702202">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机械硬盘接口协议</w:t>
            </w:r>
          </w:p>
        </w:tc>
        <w:tc>
          <w:tcPr>
            <w:tcW w:w="3852" w:type="dxa"/>
            <w:vAlign w:val="center"/>
          </w:tcPr>
          <w:p w14:paraId="38D55A34">
            <w:pPr>
              <w:adjustRightInd w:val="0"/>
              <w:snapToGrid w:val="0"/>
              <w:jc w:val="left"/>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c>
          <w:tcPr>
            <w:tcW w:w="607" w:type="dxa"/>
            <w:vAlign w:val="center"/>
          </w:tcPr>
          <w:p w14:paraId="6BF24E8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36B45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69AC9EB0">
            <w:pPr>
              <w:adjustRightInd w:val="0"/>
              <w:snapToGrid w:val="0"/>
              <w:jc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1E50BF0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18</w:t>
            </w:r>
          </w:p>
        </w:tc>
        <w:tc>
          <w:tcPr>
            <w:tcW w:w="1176" w:type="dxa"/>
            <w:vAlign w:val="center"/>
          </w:tcPr>
          <w:p w14:paraId="1ABD110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62436786">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*存储设备规格</w:t>
            </w:r>
          </w:p>
        </w:tc>
        <w:tc>
          <w:tcPr>
            <w:tcW w:w="1508" w:type="dxa"/>
            <w:vAlign w:val="center"/>
          </w:tcPr>
          <w:p w14:paraId="4EE7770A">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*机械硬盘形态</w:t>
            </w:r>
          </w:p>
        </w:tc>
        <w:tc>
          <w:tcPr>
            <w:tcW w:w="3852" w:type="dxa"/>
            <w:vAlign w:val="center"/>
          </w:tcPr>
          <w:p w14:paraId="20CEA209">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2.5英寸或3.5英寸等</w:t>
            </w:r>
          </w:p>
        </w:tc>
        <w:tc>
          <w:tcPr>
            <w:tcW w:w="607" w:type="dxa"/>
            <w:vAlign w:val="center"/>
          </w:tcPr>
          <w:p w14:paraId="322B003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672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EE45EAA">
            <w:pPr>
              <w:adjustRightInd w:val="0"/>
              <w:snapToGrid w:val="0"/>
              <w:jc w:val="center"/>
              <w:rPr>
                <w:rFonts w:ascii="仿宋_GB2312" w:eastAsia="仿宋_GB2312" w:hAnsiTheme="minorEastAsia" w:cstheme="minorEastAsia"/>
                <w:color w:val="auto"/>
                <w:sz w:val="28"/>
                <w:szCs w:val="28"/>
                <w:lang w:eastAsia="zh-CN"/>
              </w:rPr>
            </w:pPr>
          </w:p>
        </w:tc>
        <w:tc>
          <w:tcPr>
            <w:tcW w:w="598" w:type="dxa"/>
            <w:vAlign w:val="center"/>
          </w:tcPr>
          <w:p w14:paraId="5A107A45">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19</w:t>
            </w:r>
          </w:p>
        </w:tc>
        <w:tc>
          <w:tcPr>
            <w:tcW w:w="1176" w:type="dxa"/>
            <w:vAlign w:val="center"/>
          </w:tcPr>
          <w:p w14:paraId="452F931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4D2AB405">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*存储设备规格</w:t>
            </w:r>
          </w:p>
        </w:tc>
        <w:tc>
          <w:tcPr>
            <w:tcW w:w="1508" w:type="dxa"/>
            <w:vAlign w:val="center"/>
          </w:tcPr>
          <w:p w14:paraId="7A48F569">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固态存储接口协议</w:t>
            </w:r>
          </w:p>
        </w:tc>
        <w:tc>
          <w:tcPr>
            <w:tcW w:w="3852" w:type="dxa"/>
            <w:vAlign w:val="center"/>
          </w:tcPr>
          <w:p w14:paraId="5BFBB5ED">
            <w:pPr>
              <w:adjustRightInd w:val="0"/>
              <w:snapToGrid w:val="0"/>
              <w:jc w:val="left"/>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c>
          <w:tcPr>
            <w:tcW w:w="607" w:type="dxa"/>
            <w:vAlign w:val="center"/>
          </w:tcPr>
          <w:p w14:paraId="627F3DC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6E9C0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43DD724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217569D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20</w:t>
            </w:r>
          </w:p>
        </w:tc>
        <w:tc>
          <w:tcPr>
            <w:tcW w:w="1176" w:type="dxa"/>
            <w:vAlign w:val="center"/>
          </w:tcPr>
          <w:p w14:paraId="3069BCA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637786A5">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*存储设备规格</w:t>
            </w:r>
          </w:p>
        </w:tc>
        <w:tc>
          <w:tcPr>
            <w:tcW w:w="1508" w:type="dxa"/>
            <w:vAlign w:val="center"/>
          </w:tcPr>
          <w:p w14:paraId="7B754D51">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*固态存储形态</w:t>
            </w:r>
          </w:p>
        </w:tc>
        <w:tc>
          <w:tcPr>
            <w:tcW w:w="3852" w:type="dxa"/>
            <w:vAlign w:val="center"/>
          </w:tcPr>
          <w:p w14:paraId="5E241369">
            <w:pPr>
              <w:adjustRightInd w:val="0"/>
              <w:snapToGrid w:val="0"/>
              <w:jc w:val="left"/>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PCIe M.2存储</w:t>
            </w:r>
          </w:p>
        </w:tc>
        <w:tc>
          <w:tcPr>
            <w:tcW w:w="607" w:type="dxa"/>
            <w:vAlign w:val="center"/>
          </w:tcPr>
          <w:p w14:paraId="29098E1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5071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724809CD">
            <w:pPr>
              <w:adjustRightInd w:val="0"/>
              <w:snapToGrid w:val="0"/>
              <w:jc w:val="center"/>
              <w:textAlignment w:val="center"/>
              <w:rPr>
                <w:rFonts w:ascii="仿宋_GB2312" w:eastAsia="仿宋_GB2312" w:hAnsiTheme="minorEastAsia" w:cstheme="minorEastAsia"/>
                <w:color w:val="auto"/>
                <w:sz w:val="28"/>
                <w:szCs w:val="28"/>
              </w:rPr>
            </w:pPr>
          </w:p>
        </w:tc>
        <w:tc>
          <w:tcPr>
            <w:tcW w:w="598" w:type="dxa"/>
            <w:vAlign w:val="center"/>
          </w:tcPr>
          <w:p w14:paraId="50ACFAD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21</w:t>
            </w:r>
          </w:p>
        </w:tc>
        <w:tc>
          <w:tcPr>
            <w:tcW w:w="1176" w:type="dxa"/>
            <w:vAlign w:val="center"/>
          </w:tcPr>
          <w:p w14:paraId="171F6C8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2B929ABC">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*存储设备规格</w:t>
            </w:r>
          </w:p>
        </w:tc>
        <w:tc>
          <w:tcPr>
            <w:tcW w:w="1508" w:type="dxa"/>
            <w:vAlign w:val="center"/>
          </w:tcPr>
          <w:p w14:paraId="3246DA2A">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存储设备扩展盘位</w:t>
            </w:r>
          </w:p>
        </w:tc>
        <w:tc>
          <w:tcPr>
            <w:tcW w:w="3852" w:type="dxa"/>
            <w:vAlign w:val="center"/>
          </w:tcPr>
          <w:p w14:paraId="632C5C1D">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37D6C31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F68E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CAA74AD">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724AD6D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22</w:t>
            </w:r>
          </w:p>
        </w:tc>
        <w:tc>
          <w:tcPr>
            <w:tcW w:w="1176" w:type="dxa"/>
            <w:vAlign w:val="center"/>
          </w:tcPr>
          <w:p w14:paraId="3C2075E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4457241C">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*存储设备规格</w:t>
            </w:r>
          </w:p>
        </w:tc>
        <w:tc>
          <w:tcPr>
            <w:tcW w:w="1508" w:type="dxa"/>
            <w:vAlign w:val="center"/>
          </w:tcPr>
          <w:p w14:paraId="5E112B2C">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*存储设备其他参数要求</w:t>
            </w:r>
          </w:p>
        </w:tc>
        <w:tc>
          <w:tcPr>
            <w:tcW w:w="3852" w:type="dxa"/>
            <w:vAlign w:val="center"/>
          </w:tcPr>
          <w:p w14:paraId="53B2317E">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a)固态盘应符合SJ/T11654相关规定；</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b)机械硬盘准备时间应不大于30s；侧面固定螺丝孔数量可为4孔或6孔；工作状态环境温度应满足5℃~55℃;其它参数应符合GB/T12628相关规定</w:t>
            </w:r>
          </w:p>
        </w:tc>
        <w:tc>
          <w:tcPr>
            <w:tcW w:w="607" w:type="dxa"/>
            <w:vAlign w:val="center"/>
          </w:tcPr>
          <w:p w14:paraId="762187E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9312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75AE003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2F4A9CCA">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23</w:t>
            </w:r>
          </w:p>
        </w:tc>
        <w:tc>
          <w:tcPr>
            <w:tcW w:w="1176" w:type="dxa"/>
            <w:vAlign w:val="center"/>
          </w:tcPr>
          <w:p w14:paraId="5C6DB96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786DFA28">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*显卡规格</w:t>
            </w:r>
          </w:p>
        </w:tc>
        <w:tc>
          <w:tcPr>
            <w:tcW w:w="1508" w:type="dxa"/>
            <w:vAlign w:val="center"/>
          </w:tcPr>
          <w:p w14:paraId="2E22BFA7">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*显卡类型</w:t>
            </w:r>
          </w:p>
        </w:tc>
        <w:tc>
          <w:tcPr>
            <w:tcW w:w="3852" w:type="dxa"/>
            <w:vAlign w:val="center"/>
          </w:tcPr>
          <w:p w14:paraId="061F2B89">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独立显卡</w:t>
            </w:r>
          </w:p>
        </w:tc>
        <w:tc>
          <w:tcPr>
            <w:tcW w:w="607" w:type="dxa"/>
            <w:vAlign w:val="center"/>
          </w:tcPr>
          <w:p w14:paraId="74D5CD4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8E13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7E48DC5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4C39639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24</w:t>
            </w:r>
          </w:p>
        </w:tc>
        <w:tc>
          <w:tcPr>
            <w:tcW w:w="1176" w:type="dxa"/>
            <w:vAlign w:val="center"/>
          </w:tcPr>
          <w:p w14:paraId="50AFB42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7FA05EB7">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*显卡规格</w:t>
            </w:r>
          </w:p>
        </w:tc>
        <w:tc>
          <w:tcPr>
            <w:tcW w:w="1508" w:type="dxa"/>
            <w:vAlign w:val="center"/>
          </w:tcPr>
          <w:p w14:paraId="465E850C">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*独立显卡显存类型</w:t>
            </w:r>
          </w:p>
        </w:tc>
        <w:tc>
          <w:tcPr>
            <w:tcW w:w="3852" w:type="dxa"/>
            <w:vAlign w:val="center"/>
          </w:tcPr>
          <w:p w14:paraId="3322ECDC">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GDDR7</w:t>
            </w:r>
          </w:p>
        </w:tc>
        <w:tc>
          <w:tcPr>
            <w:tcW w:w="607" w:type="dxa"/>
            <w:vAlign w:val="center"/>
          </w:tcPr>
          <w:p w14:paraId="5DE5830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31C6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02E1AB9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26818B6A">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25</w:t>
            </w:r>
          </w:p>
        </w:tc>
        <w:tc>
          <w:tcPr>
            <w:tcW w:w="1176" w:type="dxa"/>
            <w:vAlign w:val="center"/>
          </w:tcPr>
          <w:p w14:paraId="52CE322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4B661DE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*显卡规格</w:t>
            </w:r>
          </w:p>
        </w:tc>
        <w:tc>
          <w:tcPr>
            <w:tcW w:w="1508" w:type="dxa"/>
            <w:vAlign w:val="center"/>
          </w:tcPr>
          <w:p w14:paraId="2796728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*独立显卡显存位宽</w:t>
            </w:r>
          </w:p>
        </w:tc>
        <w:tc>
          <w:tcPr>
            <w:tcW w:w="3852" w:type="dxa"/>
            <w:vAlign w:val="center"/>
          </w:tcPr>
          <w:p w14:paraId="51B35FD5">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显存位宽≥128位</w:t>
            </w:r>
          </w:p>
        </w:tc>
        <w:tc>
          <w:tcPr>
            <w:tcW w:w="607" w:type="dxa"/>
            <w:vAlign w:val="center"/>
          </w:tcPr>
          <w:p w14:paraId="6970453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65294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43160D3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4005DC95">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26</w:t>
            </w:r>
          </w:p>
        </w:tc>
        <w:tc>
          <w:tcPr>
            <w:tcW w:w="1176" w:type="dxa"/>
            <w:vAlign w:val="center"/>
          </w:tcPr>
          <w:p w14:paraId="3BEC25A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6D6D7C9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*显卡规格</w:t>
            </w:r>
          </w:p>
        </w:tc>
        <w:tc>
          <w:tcPr>
            <w:tcW w:w="1508" w:type="dxa"/>
            <w:vAlign w:val="center"/>
          </w:tcPr>
          <w:p w14:paraId="1C518F8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*独立显卡显存容量</w:t>
            </w:r>
          </w:p>
        </w:tc>
        <w:tc>
          <w:tcPr>
            <w:tcW w:w="3852" w:type="dxa"/>
            <w:vAlign w:val="center"/>
          </w:tcPr>
          <w:p w14:paraId="7FFC5D26">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显存容量8GB</w:t>
            </w:r>
          </w:p>
        </w:tc>
        <w:tc>
          <w:tcPr>
            <w:tcW w:w="607" w:type="dxa"/>
            <w:vAlign w:val="center"/>
          </w:tcPr>
          <w:p w14:paraId="0F8E679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D55F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7CC479C2">
            <w:pPr>
              <w:adjustRightInd w:val="0"/>
              <w:snapToGrid w:val="0"/>
              <w:jc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18800E20">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27</w:t>
            </w:r>
          </w:p>
        </w:tc>
        <w:tc>
          <w:tcPr>
            <w:tcW w:w="1176" w:type="dxa"/>
            <w:vAlign w:val="center"/>
          </w:tcPr>
          <w:p w14:paraId="03AAA4D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44827CF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*显卡规格</w:t>
            </w:r>
          </w:p>
        </w:tc>
        <w:tc>
          <w:tcPr>
            <w:tcW w:w="1508" w:type="dxa"/>
            <w:vAlign w:val="center"/>
          </w:tcPr>
          <w:p w14:paraId="5D00AD5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独立显卡接口协议</w:t>
            </w:r>
          </w:p>
        </w:tc>
        <w:tc>
          <w:tcPr>
            <w:tcW w:w="3852" w:type="dxa"/>
            <w:vAlign w:val="center"/>
          </w:tcPr>
          <w:p w14:paraId="7E063FAF">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r>
              <w:rPr>
                <w:rFonts w:ascii="仿宋_GB2312" w:hAnsi="Arial" w:eastAsia="仿宋_GB2312" w:cs="Arial"/>
                <w:sz w:val="28"/>
                <w:szCs w:val="28"/>
                <w:lang w:eastAsia="zh-CN"/>
              </w:rPr>
              <w:t xml:space="preserve">PCIe </w:t>
            </w:r>
            <w:r>
              <w:rPr>
                <w:rFonts w:ascii="仿宋_GB2312" w:hAnsi="Arial" w:eastAsia="仿宋_GB2312" w:cs="Arial"/>
                <w:sz w:val="28"/>
                <w:szCs w:val="28"/>
                <w:lang w:val="en-US" w:eastAsia="zh-CN"/>
              </w:rPr>
              <w:t>5</w:t>
            </w:r>
            <w:r>
              <w:rPr>
                <w:rFonts w:ascii="仿宋_GB2312" w:hAnsi="Arial" w:eastAsia="仿宋_GB2312" w:cs="Arial"/>
                <w:sz w:val="28"/>
                <w:szCs w:val="28"/>
                <w:lang w:eastAsia="zh-CN"/>
              </w:rPr>
              <w:t>.0协议版本</w:t>
            </w:r>
          </w:p>
        </w:tc>
        <w:tc>
          <w:tcPr>
            <w:tcW w:w="607" w:type="dxa"/>
            <w:vAlign w:val="center"/>
          </w:tcPr>
          <w:p w14:paraId="50C62A6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6BE1F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462B381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0313B24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28</w:t>
            </w:r>
          </w:p>
        </w:tc>
        <w:tc>
          <w:tcPr>
            <w:tcW w:w="1176" w:type="dxa"/>
            <w:vAlign w:val="center"/>
          </w:tcPr>
          <w:p w14:paraId="25AB4B8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377D2594">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*显示设备规格</w:t>
            </w:r>
          </w:p>
        </w:tc>
        <w:tc>
          <w:tcPr>
            <w:tcW w:w="1508" w:type="dxa"/>
            <w:vAlign w:val="center"/>
          </w:tcPr>
          <w:p w14:paraId="57177DB3">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*显示屏屏占比</w:t>
            </w:r>
          </w:p>
        </w:tc>
        <w:tc>
          <w:tcPr>
            <w:tcW w:w="3852" w:type="dxa"/>
            <w:vAlign w:val="center"/>
          </w:tcPr>
          <w:p w14:paraId="3B3E1B30">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≥80%</w:t>
            </w:r>
          </w:p>
        </w:tc>
        <w:tc>
          <w:tcPr>
            <w:tcW w:w="607" w:type="dxa"/>
            <w:vAlign w:val="center"/>
          </w:tcPr>
          <w:p w14:paraId="58A5CE2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FFE6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579D5755">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4A2C363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29</w:t>
            </w:r>
          </w:p>
        </w:tc>
        <w:tc>
          <w:tcPr>
            <w:tcW w:w="1176" w:type="dxa"/>
            <w:vAlign w:val="center"/>
          </w:tcPr>
          <w:p w14:paraId="1D28A9C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3C053FC8">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*显示设备规格</w:t>
            </w:r>
          </w:p>
        </w:tc>
        <w:tc>
          <w:tcPr>
            <w:tcW w:w="1508" w:type="dxa"/>
            <w:vAlign w:val="center"/>
          </w:tcPr>
          <w:p w14:paraId="306CC05C">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*显示屏分辨率</w:t>
            </w:r>
          </w:p>
        </w:tc>
        <w:tc>
          <w:tcPr>
            <w:tcW w:w="3852" w:type="dxa"/>
            <w:vAlign w:val="center"/>
          </w:tcPr>
          <w:p w14:paraId="571C680E">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≥1920x1080</w:t>
            </w:r>
          </w:p>
        </w:tc>
        <w:tc>
          <w:tcPr>
            <w:tcW w:w="607" w:type="dxa"/>
            <w:vAlign w:val="center"/>
          </w:tcPr>
          <w:p w14:paraId="77D0CAB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6474F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7E9490F5">
            <w:pPr>
              <w:adjustRightInd w:val="0"/>
              <w:snapToGrid w:val="0"/>
              <w:jc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248A04E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30</w:t>
            </w:r>
          </w:p>
        </w:tc>
        <w:tc>
          <w:tcPr>
            <w:tcW w:w="1176" w:type="dxa"/>
            <w:vAlign w:val="center"/>
          </w:tcPr>
          <w:p w14:paraId="5DEA31E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7C8A83E0">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规格</w:t>
            </w:r>
          </w:p>
        </w:tc>
        <w:tc>
          <w:tcPr>
            <w:tcW w:w="1508" w:type="dxa"/>
            <w:vAlign w:val="center"/>
          </w:tcPr>
          <w:p w14:paraId="68F21159">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显示屏像素密度</w:t>
            </w:r>
          </w:p>
        </w:tc>
        <w:tc>
          <w:tcPr>
            <w:tcW w:w="3852" w:type="dxa"/>
            <w:vAlign w:val="center"/>
          </w:tcPr>
          <w:p w14:paraId="29906F9B">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≥85像素/英寸</w:t>
            </w:r>
          </w:p>
        </w:tc>
        <w:tc>
          <w:tcPr>
            <w:tcW w:w="607" w:type="dxa"/>
            <w:vAlign w:val="center"/>
          </w:tcPr>
          <w:p w14:paraId="251652D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B281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75627F56">
            <w:pPr>
              <w:adjustRightInd w:val="0"/>
              <w:snapToGrid w:val="0"/>
              <w:jc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5EBC086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31</w:t>
            </w:r>
          </w:p>
        </w:tc>
        <w:tc>
          <w:tcPr>
            <w:tcW w:w="1176" w:type="dxa"/>
            <w:vAlign w:val="center"/>
          </w:tcPr>
          <w:p w14:paraId="6E9AD1C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446F6769">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*显示设备规格</w:t>
            </w:r>
          </w:p>
        </w:tc>
        <w:tc>
          <w:tcPr>
            <w:tcW w:w="1508" w:type="dxa"/>
            <w:vAlign w:val="center"/>
          </w:tcPr>
          <w:p w14:paraId="00DEFAFE">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显示屏可视角度</w:t>
            </w:r>
          </w:p>
        </w:tc>
        <w:tc>
          <w:tcPr>
            <w:tcW w:w="3852" w:type="dxa"/>
            <w:vAlign w:val="center"/>
          </w:tcPr>
          <w:p w14:paraId="054F9F92">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水平≥17</w:t>
            </w:r>
            <w:r>
              <w:rPr>
                <w:rFonts w:ascii="仿宋_GB2312" w:hAnsi="Arial" w:eastAsia="仿宋_GB2312" w:cs="Arial"/>
                <w:sz w:val="28"/>
                <w:szCs w:val="28"/>
                <w:lang w:eastAsia="zh-CN"/>
              </w:rPr>
              <w:t>0</w:t>
            </w:r>
            <w:r>
              <w:rPr>
                <w:rFonts w:ascii="Calibri" w:hAnsi="Calibri" w:eastAsia="仿宋_GB2312" w:cs="Calibri"/>
                <w:sz w:val="28"/>
                <w:szCs w:val="28"/>
              </w:rPr>
              <w:t>°</w:t>
            </w:r>
          </w:p>
        </w:tc>
        <w:tc>
          <w:tcPr>
            <w:tcW w:w="607" w:type="dxa"/>
            <w:vAlign w:val="center"/>
          </w:tcPr>
          <w:p w14:paraId="5AA9477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369CC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CBF411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1031035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32</w:t>
            </w:r>
          </w:p>
        </w:tc>
        <w:tc>
          <w:tcPr>
            <w:tcW w:w="1176" w:type="dxa"/>
            <w:vAlign w:val="center"/>
          </w:tcPr>
          <w:p w14:paraId="435A27B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74B1EAF8">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*显示设备规格</w:t>
            </w:r>
          </w:p>
        </w:tc>
        <w:tc>
          <w:tcPr>
            <w:tcW w:w="1508" w:type="dxa"/>
            <w:vAlign w:val="center"/>
          </w:tcPr>
          <w:p w14:paraId="68903057">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*显示屏尺寸</w:t>
            </w:r>
          </w:p>
        </w:tc>
        <w:tc>
          <w:tcPr>
            <w:tcW w:w="3852" w:type="dxa"/>
            <w:vAlign w:val="center"/>
          </w:tcPr>
          <w:p w14:paraId="7E9B6A5E">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≥23英寸</w:t>
            </w:r>
          </w:p>
        </w:tc>
        <w:tc>
          <w:tcPr>
            <w:tcW w:w="607" w:type="dxa"/>
            <w:vAlign w:val="center"/>
          </w:tcPr>
          <w:p w14:paraId="2B4CA68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F9E1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894CAE0">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3F37BBA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33</w:t>
            </w:r>
          </w:p>
        </w:tc>
        <w:tc>
          <w:tcPr>
            <w:tcW w:w="1176" w:type="dxa"/>
            <w:vAlign w:val="center"/>
          </w:tcPr>
          <w:p w14:paraId="5827E6E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0DD27DA5">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*显示设备规格</w:t>
            </w:r>
          </w:p>
        </w:tc>
        <w:tc>
          <w:tcPr>
            <w:tcW w:w="1508" w:type="dxa"/>
            <w:vAlign w:val="center"/>
          </w:tcPr>
          <w:p w14:paraId="5F2AE63A">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*显示屏屏幕比例</w:t>
            </w:r>
          </w:p>
        </w:tc>
        <w:tc>
          <w:tcPr>
            <w:tcW w:w="3852" w:type="dxa"/>
            <w:vAlign w:val="center"/>
          </w:tcPr>
          <w:p w14:paraId="0BCF1D42">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16:9</w:t>
            </w:r>
          </w:p>
        </w:tc>
        <w:tc>
          <w:tcPr>
            <w:tcW w:w="607" w:type="dxa"/>
            <w:vAlign w:val="center"/>
          </w:tcPr>
          <w:p w14:paraId="23A22CD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CCFD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1003EBEA">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017E2F5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34</w:t>
            </w:r>
          </w:p>
        </w:tc>
        <w:tc>
          <w:tcPr>
            <w:tcW w:w="1176" w:type="dxa"/>
            <w:vAlign w:val="center"/>
          </w:tcPr>
          <w:p w14:paraId="60EA494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170A4FF6">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*显示设备规格</w:t>
            </w:r>
          </w:p>
        </w:tc>
        <w:tc>
          <w:tcPr>
            <w:tcW w:w="1508" w:type="dxa"/>
            <w:vAlign w:val="center"/>
          </w:tcPr>
          <w:p w14:paraId="01AA5887">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*显示器外观颜色</w:t>
            </w:r>
          </w:p>
        </w:tc>
        <w:tc>
          <w:tcPr>
            <w:tcW w:w="3852" w:type="dxa"/>
            <w:vAlign w:val="center"/>
          </w:tcPr>
          <w:p w14:paraId="7F12E371">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黑色</w:t>
            </w:r>
          </w:p>
        </w:tc>
        <w:tc>
          <w:tcPr>
            <w:tcW w:w="607" w:type="dxa"/>
            <w:vAlign w:val="center"/>
          </w:tcPr>
          <w:p w14:paraId="12AC734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D5B8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4BC757D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3981A35B">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35</w:t>
            </w:r>
          </w:p>
        </w:tc>
        <w:tc>
          <w:tcPr>
            <w:tcW w:w="1176" w:type="dxa"/>
            <w:vAlign w:val="center"/>
          </w:tcPr>
          <w:p w14:paraId="3D64A22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58AD0EE0">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*显示设备规格</w:t>
            </w:r>
          </w:p>
        </w:tc>
        <w:tc>
          <w:tcPr>
            <w:tcW w:w="1508" w:type="dxa"/>
            <w:vAlign w:val="center"/>
          </w:tcPr>
          <w:p w14:paraId="02209260">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*显示屏防蓝光</w:t>
            </w:r>
          </w:p>
        </w:tc>
        <w:tc>
          <w:tcPr>
            <w:tcW w:w="3852" w:type="dxa"/>
            <w:vAlign w:val="center"/>
          </w:tcPr>
          <w:p w14:paraId="369C2F0A">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支持防蓝光模式，蓝光加权辐射亮度比应≤0.0012W/(·cd·sr)（瓦每坎特拉每球面度）</w:t>
            </w:r>
          </w:p>
        </w:tc>
        <w:tc>
          <w:tcPr>
            <w:tcW w:w="607" w:type="dxa"/>
            <w:vAlign w:val="center"/>
          </w:tcPr>
          <w:p w14:paraId="20C5550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3425A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4C8E0D6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00A4CEE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36</w:t>
            </w:r>
          </w:p>
        </w:tc>
        <w:tc>
          <w:tcPr>
            <w:tcW w:w="1176" w:type="dxa"/>
            <w:vAlign w:val="center"/>
          </w:tcPr>
          <w:p w14:paraId="4DA3683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10E2B598">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*显示设备规格</w:t>
            </w:r>
          </w:p>
        </w:tc>
        <w:tc>
          <w:tcPr>
            <w:tcW w:w="1508" w:type="dxa"/>
            <w:vAlign w:val="center"/>
          </w:tcPr>
          <w:p w14:paraId="645D4775">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*显示屏低频闪</w:t>
            </w:r>
          </w:p>
        </w:tc>
        <w:tc>
          <w:tcPr>
            <w:tcW w:w="3852" w:type="dxa"/>
            <w:vAlign w:val="center"/>
          </w:tcPr>
          <w:p w14:paraId="698B3908">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显示屏应支持低频闪≤-35dB</w:t>
            </w:r>
          </w:p>
        </w:tc>
        <w:tc>
          <w:tcPr>
            <w:tcW w:w="607" w:type="dxa"/>
            <w:vAlign w:val="center"/>
          </w:tcPr>
          <w:p w14:paraId="1D17C67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7923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235ABDF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6B35F91A">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37</w:t>
            </w:r>
          </w:p>
        </w:tc>
        <w:tc>
          <w:tcPr>
            <w:tcW w:w="1176" w:type="dxa"/>
            <w:vAlign w:val="center"/>
          </w:tcPr>
          <w:p w14:paraId="10A254E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3E9F0E16">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*显示设备规格</w:t>
            </w:r>
          </w:p>
        </w:tc>
        <w:tc>
          <w:tcPr>
            <w:tcW w:w="1508" w:type="dxa"/>
            <w:vAlign w:val="center"/>
          </w:tcPr>
          <w:p w14:paraId="76EC2D5E">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*显示屏防炫目</w:t>
            </w:r>
          </w:p>
        </w:tc>
        <w:tc>
          <w:tcPr>
            <w:tcW w:w="3852" w:type="dxa"/>
            <w:vAlign w:val="center"/>
          </w:tcPr>
          <w:p w14:paraId="5D956502">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显示屏镜面反射率≤10%</w:t>
            </w:r>
          </w:p>
        </w:tc>
        <w:tc>
          <w:tcPr>
            <w:tcW w:w="607" w:type="dxa"/>
            <w:vAlign w:val="center"/>
          </w:tcPr>
          <w:p w14:paraId="4750F34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D3E3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0F67E645">
            <w:pPr>
              <w:adjustRightInd w:val="0"/>
              <w:snapToGrid w:val="0"/>
              <w:jc w:val="center"/>
              <w:rPr>
                <w:rFonts w:ascii="仿宋_GB2312" w:eastAsia="仿宋_GB2312" w:hAnsiTheme="minorEastAsia" w:cstheme="minorEastAsia"/>
                <w:color w:val="auto"/>
                <w:sz w:val="28"/>
                <w:szCs w:val="28"/>
              </w:rPr>
            </w:pPr>
          </w:p>
        </w:tc>
        <w:tc>
          <w:tcPr>
            <w:tcW w:w="598" w:type="dxa"/>
            <w:vAlign w:val="center"/>
          </w:tcPr>
          <w:p w14:paraId="1FF9A475">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38</w:t>
            </w:r>
          </w:p>
        </w:tc>
        <w:tc>
          <w:tcPr>
            <w:tcW w:w="1176" w:type="dxa"/>
            <w:vAlign w:val="center"/>
          </w:tcPr>
          <w:p w14:paraId="4726E99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3ADCB5A0">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*外设规格</w:t>
            </w:r>
          </w:p>
        </w:tc>
        <w:tc>
          <w:tcPr>
            <w:tcW w:w="1508" w:type="dxa"/>
            <w:vAlign w:val="center"/>
          </w:tcPr>
          <w:p w14:paraId="40309E8E">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传声器数量</w:t>
            </w:r>
          </w:p>
        </w:tc>
        <w:tc>
          <w:tcPr>
            <w:tcW w:w="3852" w:type="dxa"/>
            <w:vAlign w:val="center"/>
          </w:tcPr>
          <w:p w14:paraId="243F88DA">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3471CFD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4C5E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26B8FC95">
            <w:pPr>
              <w:adjustRightInd w:val="0"/>
              <w:snapToGrid w:val="0"/>
              <w:jc w:val="center"/>
              <w:rPr>
                <w:rFonts w:ascii="仿宋_GB2312" w:eastAsia="仿宋_GB2312" w:hAnsiTheme="minorEastAsia" w:cstheme="minorEastAsia"/>
                <w:color w:val="auto"/>
                <w:sz w:val="28"/>
                <w:szCs w:val="28"/>
              </w:rPr>
            </w:pPr>
          </w:p>
        </w:tc>
        <w:tc>
          <w:tcPr>
            <w:tcW w:w="598" w:type="dxa"/>
            <w:vAlign w:val="center"/>
          </w:tcPr>
          <w:p w14:paraId="21BEB5B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39</w:t>
            </w:r>
          </w:p>
        </w:tc>
        <w:tc>
          <w:tcPr>
            <w:tcW w:w="1176" w:type="dxa"/>
            <w:vAlign w:val="center"/>
          </w:tcPr>
          <w:p w14:paraId="2C4D582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2E3B14D4">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*外设规格</w:t>
            </w:r>
          </w:p>
        </w:tc>
        <w:tc>
          <w:tcPr>
            <w:tcW w:w="1508" w:type="dxa"/>
            <w:vAlign w:val="center"/>
          </w:tcPr>
          <w:p w14:paraId="2B9AC1E3">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扬声器数量</w:t>
            </w:r>
          </w:p>
        </w:tc>
        <w:tc>
          <w:tcPr>
            <w:tcW w:w="3852" w:type="dxa"/>
            <w:vAlign w:val="center"/>
          </w:tcPr>
          <w:p w14:paraId="6B0CF622">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6B4B59E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6266F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777E561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44B918A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40</w:t>
            </w:r>
          </w:p>
        </w:tc>
        <w:tc>
          <w:tcPr>
            <w:tcW w:w="1176" w:type="dxa"/>
            <w:vAlign w:val="center"/>
          </w:tcPr>
          <w:p w14:paraId="0BF495C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41224FC7">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*外设规格</w:t>
            </w:r>
          </w:p>
        </w:tc>
        <w:tc>
          <w:tcPr>
            <w:tcW w:w="1508" w:type="dxa"/>
            <w:vAlign w:val="center"/>
          </w:tcPr>
          <w:p w14:paraId="5C5B5B62">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*鼠标数量</w:t>
            </w:r>
          </w:p>
        </w:tc>
        <w:tc>
          <w:tcPr>
            <w:tcW w:w="3852" w:type="dxa"/>
            <w:vAlign w:val="center"/>
          </w:tcPr>
          <w:p w14:paraId="37CDB37E">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≥1个</w:t>
            </w:r>
          </w:p>
        </w:tc>
        <w:tc>
          <w:tcPr>
            <w:tcW w:w="607" w:type="dxa"/>
            <w:vAlign w:val="center"/>
          </w:tcPr>
          <w:p w14:paraId="696BAA0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67710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24099702">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1EF2EE2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41</w:t>
            </w:r>
          </w:p>
        </w:tc>
        <w:tc>
          <w:tcPr>
            <w:tcW w:w="1176" w:type="dxa"/>
            <w:vAlign w:val="center"/>
          </w:tcPr>
          <w:p w14:paraId="68A76AD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79BAB309">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*外设规格</w:t>
            </w:r>
          </w:p>
        </w:tc>
        <w:tc>
          <w:tcPr>
            <w:tcW w:w="1508" w:type="dxa"/>
            <w:vAlign w:val="center"/>
          </w:tcPr>
          <w:p w14:paraId="0A7366EB">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*键盘数量</w:t>
            </w:r>
          </w:p>
        </w:tc>
        <w:tc>
          <w:tcPr>
            <w:tcW w:w="3852" w:type="dxa"/>
            <w:vAlign w:val="center"/>
          </w:tcPr>
          <w:p w14:paraId="08400896">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≥1个</w:t>
            </w:r>
          </w:p>
        </w:tc>
        <w:tc>
          <w:tcPr>
            <w:tcW w:w="607" w:type="dxa"/>
            <w:vAlign w:val="center"/>
          </w:tcPr>
          <w:p w14:paraId="1B96135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8795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620" w:type="dxa"/>
            <w:vAlign w:val="center"/>
          </w:tcPr>
          <w:p w14:paraId="754B6A6B">
            <w:pPr>
              <w:adjustRightInd w:val="0"/>
              <w:snapToGrid w:val="0"/>
              <w:jc w:val="center"/>
              <w:textAlignment w:val="center"/>
              <w:rPr>
                <w:rFonts w:ascii="仿宋_GB2312" w:eastAsia="仿宋_GB2312" w:hAnsiTheme="minorEastAsia" w:cstheme="minorEastAsia"/>
                <w:color w:val="auto"/>
                <w:sz w:val="28"/>
                <w:szCs w:val="28"/>
              </w:rPr>
            </w:pPr>
          </w:p>
        </w:tc>
        <w:tc>
          <w:tcPr>
            <w:tcW w:w="598" w:type="dxa"/>
            <w:vAlign w:val="center"/>
          </w:tcPr>
          <w:p w14:paraId="693E7258">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42</w:t>
            </w:r>
          </w:p>
        </w:tc>
        <w:tc>
          <w:tcPr>
            <w:tcW w:w="1176" w:type="dxa"/>
            <w:vAlign w:val="center"/>
          </w:tcPr>
          <w:p w14:paraId="1BB59454">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200825BF">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739CD1F2">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摄像头数量</w:t>
            </w:r>
          </w:p>
        </w:tc>
        <w:tc>
          <w:tcPr>
            <w:tcW w:w="3852" w:type="dxa"/>
            <w:vAlign w:val="center"/>
          </w:tcPr>
          <w:p w14:paraId="622F2EA4">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471D41FD">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4A27E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72E91E46">
            <w:pPr>
              <w:adjustRightInd w:val="0"/>
              <w:snapToGrid w:val="0"/>
              <w:jc w:val="center"/>
              <w:rPr>
                <w:rFonts w:ascii="仿宋_GB2312" w:eastAsia="仿宋_GB2312" w:hAnsiTheme="minorEastAsia" w:cstheme="minorEastAsia"/>
                <w:color w:val="auto"/>
                <w:sz w:val="28"/>
                <w:szCs w:val="28"/>
                <w:lang w:eastAsia="zh-CN"/>
              </w:rPr>
            </w:pPr>
          </w:p>
        </w:tc>
        <w:tc>
          <w:tcPr>
            <w:tcW w:w="598" w:type="dxa"/>
            <w:vAlign w:val="center"/>
          </w:tcPr>
          <w:p w14:paraId="743B576A">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43</w:t>
            </w:r>
          </w:p>
        </w:tc>
        <w:tc>
          <w:tcPr>
            <w:tcW w:w="1176" w:type="dxa"/>
            <w:vAlign w:val="center"/>
          </w:tcPr>
          <w:p w14:paraId="2395849B">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3A0CF4F7">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1E1E8C96">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光驱数量</w:t>
            </w:r>
          </w:p>
        </w:tc>
        <w:tc>
          <w:tcPr>
            <w:tcW w:w="3852" w:type="dxa"/>
            <w:vAlign w:val="center"/>
          </w:tcPr>
          <w:p w14:paraId="15041CB4">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59CDE06F">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1644C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76F98022">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w:t>
            </w:r>
          </w:p>
        </w:tc>
        <w:tc>
          <w:tcPr>
            <w:tcW w:w="598" w:type="dxa"/>
            <w:vAlign w:val="center"/>
          </w:tcPr>
          <w:p w14:paraId="5CB58C6A">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44</w:t>
            </w:r>
          </w:p>
        </w:tc>
        <w:tc>
          <w:tcPr>
            <w:tcW w:w="1176" w:type="dxa"/>
            <w:vAlign w:val="center"/>
          </w:tcPr>
          <w:p w14:paraId="3BD8A649">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017007F4">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41EDCF6B">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*键盘按键数目</w:t>
            </w:r>
          </w:p>
        </w:tc>
        <w:tc>
          <w:tcPr>
            <w:tcW w:w="3852" w:type="dxa"/>
            <w:vAlign w:val="center"/>
          </w:tcPr>
          <w:p w14:paraId="5B3B030E">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104键</w:t>
            </w:r>
          </w:p>
        </w:tc>
        <w:tc>
          <w:tcPr>
            <w:tcW w:w="607" w:type="dxa"/>
            <w:vAlign w:val="center"/>
          </w:tcPr>
          <w:p w14:paraId="01F10476">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42D90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67281EF0">
            <w:pPr>
              <w:adjustRightInd w:val="0"/>
              <w:snapToGrid w:val="0"/>
              <w:jc w:val="center"/>
              <w:rPr>
                <w:rFonts w:ascii="仿宋_GB2312" w:eastAsia="仿宋_GB2312" w:hAnsiTheme="minorEastAsia" w:cstheme="minorEastAsia"/>
                <w:color w:val="auto"/>
                <w:sz w:val="28"/>
                <w:szCs w:val="28"/>
                <w:lang w:eastAsia="zh-CN"/>
              </w:rPr>
            </w:pPr>
          </w:p>
        </w:tc>
        <w:tc>
          <w:tcPr>
            <w:tcW w:w="598" w:type="dxa"/>
            <w:vAlign w:val="center"/>
          </w:tcPr>
          <w:p w14:paraId="0937CD6F">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45</w:t>
            </w:r>
          </w:p>
        </w:tc>
        <w:tc>
          <w:tcPr>
            <w:tcW w:w="1176" w:type="dxa"/>
            <w:vAlign w:val="center"/>
          </w:tcPr>
          <w:p w14:paraId="3CD0D28C">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322A19AE">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1427F35E">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摄像头像素</w:t>
            </w:r>
          </w:p>
        </w:tc>
        <w:tc>
          <w:tcPr>
            <w:tcW w:w="3852" w:type="dxa"/>
            <w:vAlign w:val="center"/>
          </w:tcPr>
          <w:p w14:paraId="5BB017BE">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0D8BAF84">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50F94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1ACC51FE">
            <w:pPr>
              <w:adjustRightInd w:val="0"/>
              <w:snapToGrid w:val="0"/>
              <w:jc w:val="center"/>
              <w:rPr>
                <w:rFonts w:ascii="仿宋_GB2312" w:eastAsia="仿宋_GB2312" w:hAnsiTheme="minorEastAsia" w:cstheme="minorEastAsia"/>
                <w:color w:val="auto"/>
                <w:sz w:val="28"/>
                <w:szCs w:val="28"/>
                <w:lang w:eastAsia="zh-CN"/>
              </w:rPr>
            </w:pPr>
          </w:p>
        </w:tc>
        <w:tc>
          <w:tcPr>
            <w:tcW w:w="598" w:type="dxa"/>
            <w:vAlign w:val="center"/>
          </w:tcPr>
          <w:p w14:paraId="2B722D61">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46</w:t>
            </w:r>
          </w:p>
        </w:tc>
        <w:tc>
          <w:tcPr>
            <w:tcW w:w="1176" w:type="dxa"/>
            <w:vAlign w:val="center"/>
          </w:tcPr>
          <w:p w14:paraId="5643AD3E">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7D59F68A">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7F541639">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摄像头分辨率</w:t>
            </w:r>
          </w:p>
        </w:tc>
        <w:tc>
          <w:tcPr>
            <w:tcW w:w="3852" w:type="dxa"/>
            <w:vAlign w:val="center"/>
          </w:tcPr>
          <w:p w14:paraId="57E57FEB">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1A6933EA">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67DFB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072AC1B7">
            <w:pPr>
              <w:adjustRightInd w:val="0"/>
              <w:snapToGrid w:val="0"/>
              <w:jc w:val="center"/>
              <w:rPr>
                <w:rFonts w:ascii="仿宋_GB2312" w:eastAsia="仿宋_GB2312" w:hAnsiTheme="minorEastAsia" w:cstheme="minorEastAsia"/>
                <w:color w:val="auto"/>
                <w:sz w:val="28"/>
                <w:szCs w:val="28"/>
                <w:lang w:eastAsia="zh-CN"/>
              </w:rPr>
            </w:pPr>
          </w:p>
        </w:tc>
        <w:tc>
          <w:tcPr>
            <w:tcW w:w="598" w:type="dxa"/>
            <w:vAlign w:val="center"/>
          </w:tcPr>
          <w:p w14:paraId="0E562FD9">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47</w:t>
            </w:r>
          </w:p>
        </w:tc>
        <w:tc>
          <w:tcPr>
            <w:tcW w:w="1176" w:type="dxa"/>
            <w:vAlign w:val="center"/>
          </w:tcPr>
          <w:p w14:paraId="1B764B4F">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2433E760">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764000E6">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扬声器功率</w:t>
            </w:r>
          </w:p>
        </w:tc>
        <w:tc>
          <w:tcPr>
            <w:tcW w:w="3852" w:type="dxa"/>
            <w:vAlign w:val="center"/>
          </w:tcPr>
          <w:p w14:paraId="106F6C25">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1D949332">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7621A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0B9B92F7">
            <w:pPr>
              <w:adjustRightInd w:val="0"/>
              <w:snapToGrid w:val="0"/>
              <w:jc w:val="center"/>
              <w:rPr>
                <w:rFonts w:ascii="仿宋_GB2312" w:eastAsia="仿宋_GB2312" w:hAnsiTheme="minorEastAsia" w:cstheme="minorEastAsia"/>
                <w:color w:val="auto"/>
                <w:sz w:val="28"/>
                <w:szCs w:val="28"/>
                <w:lang w:eastAsia="zh-CN"/>
              </w:rPr>
            </w:pPr>
          </w:p>
        </w:tc>
        <w:tc>
          <w:tcPr>
            <w:tcW w:w="598" w:type="dxa"/>
            <w:vAlign w:val="center"/>
          </w:tcPr>
          <w:p w14:paraId="6A61BBE2">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48</w:t>
            </w:r>
          </w:p>
        </w:tc>
        <w:tc>
          <w:tcPr>
            <w:tcW w:w="1176" w:type="dxa"/>
            <w:vAlign w:val="center"/>
          </w:tcPr>
          <w:p w14:paraId="4271C91C">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223D0241">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198C2B3E">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扬声器频率范围</w:t>
            </w:r>
          </w:p>
        </w:tc>
        <w:tc>
          <w:tcPr>
            <w:tcW w:w="3852" w:type="dxa"/>
            <w:vAlign w:val="center"/>
          </w:tcPr>
          <w:p w14:paraId="3163A2C5">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566830B6">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06990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04BB6C38">
            <w:pPr>
              <w:adjustRightInd w:val="0"/>
              <w:snapToGrid w:val="0"/>
              <w:jc w:val="center"/>
              <w:rPr>
                <w:rFonts w:ascii="仿宋_GB2312" w:eastAsia="仿宋_GB2312" w:hAnsiTheme="minorEastAsia" w:cstheme="minorEastAsia"/>
                <w:color w:val="auto"/>
                <w:sz w:val="28"/>
                <w:szCs w:val="28"/>
                <w:lang w:eastAsia="zh-CN"/>
              </w:rPr>
            </w:pPr>
          </w:p>
        </w:tc>
        <w:tc>
          <w:tcPr>
            <w:tcW w:w="598" w:type="dxa"/>
            <w:vAlign w:val="center"/>
          </w:tcPr>
          <w:p w14:paraId="25334330">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49</w:t>
            </w:r>
          </w:p>
        </w:tc>
        <w:tc>
          <w:tcPr>
            <w:tcW w:w="1176" w:type="dxa"/>
            <w:vAlign w:val="center"/>
          </w:tcPr>
          <w:p w14:paraId="3AA54DAC">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72A19307">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3B9261B0">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扬声器总谐波失真</w:t>
            </w:r>
          </w:p>
        </w:tc>
        <w:tc>
          <w:tcPr>
            <w:tcW w:w="3852" w:type="dxa"/>
            <w:vAlign w:val="center"/>
          </w:tcPr>
          <w:p w14:paraId="79BA775F">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018280EF">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537B1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380A46DA">
            <w:pPr>
              <w:adjustRightInd w:val="0"/>
              <w:snapToGrid w:val="0"/>
              <w:jc w:val="center"/>
              <w:rPr>
                <w:rFonts w:ascii="仿宋_GB2312" w:eastAsia="仿宋_GB2312" w:hAnsiTheme="minorEastAsia" w:cstheme="minorEastAsia"/>
                <w:color w:val="auto"/>
                <w:sz w:val="28"/>
                <w:szCs w:val="28"/>
                <w:lang w:eastAsia="zh-CN"/>
              </w:rPr>
            </w:pPr>
          </w:p>
        </w:tc>
        <w:tc>
          <w:tcPr>
            <w:tcW w:w="598" w:type="dxa"/>
            <w:vAlign w:val="center"/>
          </w:tcPr>
          <w:p w14:paraId="7D4CF264">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50</w:t>
            </w:r>
          </w:p>
        </w:tc>
        <w:tc>
          <w:tcPr>
            <w:tcW w:w="1176" w:type="dxa"/>
            <w:vAlign w:val="center"/>
          </w:tcPr>
          <w:p w14:paraId="0BFBD513">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5729FF5C">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013654E0">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扬声器最大声压级</w:t>
            </w:r>
          </w:p>
        </w:tc>
        <w:tc>
          <w:tcPr>
            <w:tcW w:w="3852" w:type="dxa"/>
            <w:vAlign w:val="center"/>
          </w:tcPr>
          <w:p w14:paraId="1C62D0CC">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15F0D72A">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64F14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3405E980">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w:t>
            </w:r>
          </w:p>
        </w:tc>
        <w:tc>
          <w:tcPr>
            <w:tcW w:w="598" w:type="dxa"/>
            <w:vAlign w:val="center"/>
          </w:tcPr>
          <w:p w14:paraId="61DBA9F7">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51</w:t>
            </w:r>
          </w:p>
        </w:tc>
        <w:tc>
          <w:tcPr>
            <w:tcW w:w="1176" w:type="dxa"/>
            <w:vAlign w:val="center"/>
          </w:tcPr>
          <w:p w14:paraId="43145A19">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7ED14419">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3D2E7D2D">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*键盘连接方式</w:t>
            </w:r>
          </w:p>
        </w:tc>
        <w:tc>
          <w:tcPr>
            <w:tcW w:w="3852" w:type="dxa"/>
            <w:vAlign w:val="center"/>
          </w:tcPr>
          <w:p w14:paraId="3B84F832">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有线</w:t>
            </w:r>
          </w:p>
        </w:tc>
        <w:tc>
          <w:tcPr>
            <w:tcW w:w="607" w:type="dxa"/>
            <w:vAlign w:val="center"/>
          </w:tcPr>
          <w:p w14:paraId="77326FA0">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75CF4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620" w:type="dxa"/>
            <w:vAlign w:val="center"/>
          </w:tcPr>
          <w:p w14:paraId="177E2949">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w:t>
            </w:r>
          </w:p>
        </w:tc>
        <w:tc>
          <w:tcPr>
            <w:tcW w:w="598" w:type="dxa"/>
            <w:vAlign w:val="center"/>
          </w:tcPr>
          <w:p w14:paraId="5E02827A">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52</w:t>
            </w:r>
          </w:p>
        </w:tc>
        <w:tc>
          <w:tcPr>
            <w:tcW w:w="1176" w:type="dxa"/>
            <w:vAlign w:val="center"/>
          </w:tcPr>
          <w:p w14:paraId="21545B90">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3C49639A">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667EDEF0">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*键盘键程</w:t>
            </w:r>
          </w:p>
        </w:tc>
        <w:tc>
          <w:tcPr>
            <w:tcW w:w="3852" w:type="dxa"/>
            <w:vAlign w:val="center"/>
          </w:tcPr>
          <w:p w14:paraId="2C3B8EC8">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2.3mm~4.0mm</w:t>
            </w:r>
          </w:p>
        </w:tc>
        <w:tc>
          <w:tcPr>
            <w:tcW w:w="607" w:type="dxa"/>
            <w:vAlign w:val="center"/>
          </w:tcPr>
          <w:p w14:paraId="03E15039">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25D79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2C985704">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w:t>
            </w:r>
          </w:p>
        </w:tc>
        <w:tc>
          <w:tcPr>
            <w:tcW w:w="598" w:type="dxa"/>
            <w:vAlign w:val="center"/>
          </w:tcPr>
          <w:p w14:paraId="6B4EFC75">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53</w:t>
            </w:r>
          </w:p>
        </w:tc>
        <w:tc>
          <w:tcPr>
            <w:tcW w:w="1176" w:type="dxa"/>
            <w:vAlign w:val="center"/>
          </w:tcPr>
          <w:p w14:paraId="503803B2">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0FF2B2C9">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6CC18ACE">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*键盘按键压力</w:t>
            </w:r>
          </w:p>
        </w:tc>
        <w:tc>
          <w:tcPr>
            <w:tcW w:w="3852" w:type="dxa"/>
            <w:vAlign w:val="center"/>
          </w:tcPr>
          <w:p w14:paraId="57F6ED1B">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按键压力应在0.54N±0.14N</w:t>
            </w:r>
          </w:p>
        </w:tc>
        <w:tc>
          <w:tcPr>
            <w:tcW w:w="607" w:type="dxa"/>
            <w:vAlign w:val="center"/>
          </w:tcPr>
          <w:p w14:paraId="36F310C8">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13608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5B0924C0">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w:t>
            </w:r>
          </w:p>
        </w:tc>
        <w:tc>
          <w:tcPr>
            <w:tcW w:w="598" w:type="dxa"/>
            <w:vAlign w:val="center"/>
          </w:tcPr>
          <w:p w14:paraId="08D3B5EA">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54</w:t>
            </w:r>
          </w:p>
        </w:tc>
        <w:tc>
          <w:tcPr>
            <w:tcW w:w="1176" w:type="dxa"/>
            <w:vAlign w:val="center"/>
          </w:tcPr>
          <w:p w14:paraId="3CF69585">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5AD2DC0B">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66506BD5">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*有线键盘连接线</w:t>
            </w:r>
          </w:p>
        </w:tc>
        <w:tc>
          <w:tcPr>
            <w:tcW w:w="3852" w:type="dxa"/>
            <w:vAlign w:val="center"/>
          </w:tcPr>
          <w:p w14:paraId="3645C26A">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≥1.5米</w:t>
            </w:r>
          </w:p>
        </w:tc>
        <w:tc>
          <w:tcPr>
            <w:tcW w:w="607" w:type="dxa"/>
            <w:vAlign w:val="center"/>
          </w:tcPr>
          <w:p w14:paraId="2D4035E6">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09F67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0" w:type="dxa"/>
            <w:vAlign w:val="center"/>
          </w:tcPr>
          <w:p w14:paraId="791F7268">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w:t>
            </w:r>
          </w:p>
        </w:tc>
        <w:tc>
          <w:tcPr>
            <w:tcW w:w="598" w:type="dxa"/>
            <w:vAlign w:val="center"/>
          </w:tcPr>
          <w:p w14:paraId="4674F21F">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55</w:t>
            </w:r>
          </w:p>
        </w:tc>
        <w:tc>
          <w:tcPr>
            <w:tcW w:w="1176" w:type="dxa"/>
            <w:vAlign w:val="center"/>
          </w:tcPr>
          <w:p w14:paraId="0F79704C">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40D5CFB4">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658DF9CA">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*键盘颜色</w:t>
            </w:r>
          </w:p>
        </w:tc>
        <w:tc>
          <w:tcPr>
            <w:tcW w:w="3852" w:type="dxa"/>
            <w:vAlign w:val="center"/>
          </w:tcPr>
          <w:p w14:paraId="12B4AC94">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黑色</w:t>
            </w:r>
          </w:p>
        </w:tc>
        <w:tc>
          <w:tcPr>
            <w:tcW w:w="607" w:type="dxa"/>
            <w:vAlign w:val="center"/>
          </w:tcPr>
          <w:p w14:paraId="384D5659">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005B5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4E5D7A9D">
            <w:pPr>
              <w:adjustRightInd w:val="0"/>
              <w:snapToGrid w:val="0"/>
              <w:jc w:val="center"/>
              <w:rPr>
                <w:rFonts w:ascii="仿宋_GB2312" w:eastAsia="仿宋_GB2312" w:hAnsiTheme="minorEastAsia" w:cstheme="minorEastAsia"/>
                <w:color w:val="auto"/>
                <w:sz w:val="28"/>
                <w:szCs w:val="28"/>
                <w:lang w:eastAsia="zh-CN"/>
              </w:rPr>
            </w:pPr>
          </w:p>
        </w:tc>
        <w:tc>
          <w:tcPr>
            <w:tcW w:w="598" w:type="dxa"/>
            <w:vAlign w:val="center"/>
          </w:tcPr>
          <w:p w14:paraId="7335AB27">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56</w:t>
            </w:r>
          </w:p>
        </w:tc>
        <w:tc>
          <w:tcPr>
            <w:tcW w:w="1176" w:type="dxa"/>
            <w:vAlign w:val="center"/>
          </w:tcPr>
          <w:p w14:paraId="6CF3FA5D">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66D8C415">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24E7550A">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键盘其他要求</w:t>
            </w:r>
          </w:p>
        </w:tc>
        <w:tc>
          <w:tcPr>
            <w:tcW w:w="3852" w:type="dxa"/>
            <w:vAlign w:val="center"/>
          </w:tcPr>
          <w:p w14:paraId="59B61A54">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3A1CDD1C">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7B03D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4B4380FA">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w:t>
            </w:r>
          </w:p>
        </w:tc>
        <w:tc>
          <w:tcPr>
            <w:tcW w:w="598" w:type="dxa"/>
            <w:vAlign w:val="center"/>
          </w:tcPr>
          <w:p w14:paraId="77B7D12F">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57</w:t>
            </w:r>
          </w:p>
        </w:tc>
        <w:tc>
          <w:tcPr>
            <w:tcW w:w="1176" w:type="dxa"/>
            <w:vAlign w:val="center"/>
          </w:tcPr>
          <w:p w14:paraId="61E0E28C">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0B5FF30C">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7AFBD332">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*鼠标连接方式</w:t>
            </w:r>
          </w:p>
        </w:tc>
        <w:tc>
          <w:tcPr>
            <w:tcW w:w="3852" w:type="dxa"/>
            <w:vAlign w:val="center"/>
          </w:tcPr>
          <w:p w14:paraId="29E21C14">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有线</w:t>
            </w:r>
          </w:p>
        </w:tc>
        <w:tc>
          <w:tcPr>
            <w:tcW w:w="607" w:type="dxa"/>
            <w:vAlign w:val="center"/>
          </w:tcPr>
          <w:p w14:paraId="625BE8EE">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2953E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5E92F72F">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w:t>
            </w:r>
          </w:p>
        </w:tc>
        <w:tc>
          <w:tcPr>
            <w:tcW w:w="598" w:type="dxa"/>
            <w:vAlign w:val="center"/>
          </w:tcPr>
          <w:p w14:paraId="4721A0F6">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58</w:t>
            </w:r>
          </w:p>
        </w:tc>
        <w:tc>
          <w:tcPr>
            <w:tcW w:w="1176" w:type="dxa"/>
            <w:vAlign w:val="center"/>
          </w:tcPr>
          <w:p w14:paraId="7028E3DE">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6BBAA811">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72CE8E15">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*有线鼠标连接线</w:t>
            </w:r>
          </w:p>
        </w:tc>
        <w:tc>
          <w:tcPr>
            <w:tcW w:w="3852" w:type="dxa"/>
            <w:vAlign w:val="center"/>
          </w:tcPr>
          <w:p w14:paraId="792DA9D8">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≥1.5米</w:t>
            </w:r>
          </w:p>
        </w:tc>
        <w:tc>
          <w:tcPr>
            <w:tcW w:w="607" w:type="dxa"/>
            <w:vAlign w:val="center"/>
          </w:tcPr>
          <w:p w14:paraId="67D9CB29">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3F3DC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121D67DC">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w:t>
            </w:r>
          </w:p>
        </w:tc>
        <w:tc>
          <w:tcPr>
            <w:tcW w:w="598" w:type="dxa"/>
            <w:vAlign w:val="center"/>
          </w:tcPr>
          <w:p w14:paraId="0D262C21">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59</w:t>
            </w:r>
          </w:p>
        </w:tc>
        <w:tc>
          <w:tcPr>
            <w:tcW w:w="1176" w:type="dxa"/>
            <w:vAlign w:val="center"/>
          </w:tcPr>
          <w:p w14:paraId="0C77B33A">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67236540">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53F03665">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*鼠标 DPI分辨率</w:t>
            </w:r>
          </w:p>
        </w:tc>
        <w:tc>
          <w:tcPr>
            <w:tcW w:w="3852" w:type="dxa"/>
            <w:vAlign w:val="center"/>
          </w:tcPr>
          <w:p w14:paraId="41639AFB">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800~1600</w:t>
            </w:r>
          </w:p>
        </w:tc>
        <w:tc>
          <w:tcPr>
            <w:tcW w:w="607" w:type="dxa"/>
            <w:vAlign w:val="center"/>
          </w:tcPr>
          <w:p w14:paraId="253D644E">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1E20D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3FBB6179">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w:t>
            </w:r>
          </w:p>
        </w:tc>
        <w:tc>
          <w:tcPr>
            <w:tcW w:w="598" w:type="dxa"/>
            <w:vAlign w:val="center"/>
          </w:tcPr>
          <w:p w14:paraId="12973BF2">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60</w:t>
            </w:r>
          </w:p>
        </w:tc>
        <w:tc>
          <w:tcPr>
            <w:tcW w:w="1176" w:type="dxa"/>
            <w:vAlign w:val="center"/>
          </w:tcPr>
          <w:p w14:paraId="4EE37659">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07402075">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4229E01A">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*鼠标颜色</w:t>
            </w:r>
          </w:p>
        </w:tc>
        <w:tc>
          <w:tcPr>
            <w:tcW w:w="3852" w:type="dxa"/>
            <w:vAlign w:val="center"/>
          </w:tcPr>
          <w:p w14:paraId="5B8716BE">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黑色</w:t>
            </w:r>
          </w:p>
        </w:tc>
        <w:tc>
          <w:tcPr>
            <w:tcW w:w="607" w:type="dxa"/>
            <w:vAlign w:val="center"/>
          </w:tcPr>
          <w:p w14:paraId="688053EF">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43148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6D7128E8">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w:t>
            </w:r>
          </w:p>
        </w:tc>
        <w:tc>
          <w:tcPr>
            <w:tcW w:w="598" w:type="dxa"/>
            <w:vAlign w:val="center"/>
          </w:tcPr>
          <w:p w14:paraId="293B503B">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61</w:t>
            </w:r>
          </w:p>
        </w:tc>
        <w:tc>
          <w:tcPr>
            <w:tcW w:w="1176" w:type="dxa"/>
            <w:vAlign w:val="center"/>
          </w:tcPr>
          <w:p w14:paraId="6381BC53">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0322B4A4">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6578AE0D">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*鼠标其他要求</w:t>
            </w:r>
          </w:p>
        </w:tc>
        <w:tc>
          <w:tcPr>
            <w:tcW w:w="3852" w:type="dxa"/>
            <w:vAlign w:val="center"/>
          </w:tcPr>
          <w:p w14:paraId="61BA0496">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其它参数应符合GB/T26245的相关规定</w:t>
            </w:r>
          </w:p>
        </w:tc>
        <w:tc>
          <w:tcPr>
            <w:tcW w:w="607" w:type="dxa"/>
            <w:vAlign w:val="center"/>
          </w:tcPr>
          <w:p w14:paraId="384ED37F">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0F61C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04FD3A53">
            <w:pPr>
              <w:adjustRightInd w:val="0"/>
              <w:snapToGrid w:val="0"/>
              <w:jc w:val="center"/>
              <w:rPr>
                <w:rFonts w:ascii="仿宋_GB2312" w:eastAsia="仿宋_GB2312" w:hAnsiTheme="minorEastAsia" w:cstheme="minorEastAsia"/>
                <w:color w:val="auto"/>
                <w:sz w:val="28"/>
                <w:szCs w:val="28"/>
                <w:lang w:eastAsia="zh-CN"/>
              </w:rPr>
            </w:pPr>
          </w:p>
        </w:tc>
        <w:tc>
          <w:tcPr>
            <w:tcW w:w="598" w:type="dxa"/>
            <w:vAlign w:val="center"/>
          </w:tcPr>
          <w:p w14:paraId="01B33B7A">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62</w:t>
            </w:r>
          </w:p>
        </w:tc>
        <w:tc>
          <w:tcPr>
            <w:tcW w:w="1176" w:type="dxa"/>
            <w:vAlign w:val="center"/>
          </w:tcPr>
          <w:p w14:paraId="53FD6912">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3BB4C8C2">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*外设规格</w:t>
            </w:r>
          </w:p>
        </w:tc>
        <w:tc>
          <w:tcPr>
            <w:tcW w:w="1508" w:type="dxa"/>
            <w:vAlign w:val="center"/>
          </w:tcPr>
          <w:p w14:paraId="21869691">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内置光驱</w:t>
            </w:r>
          </w:p>
        </w:tc>
        <w:tc>
          <w:tcPr>
            <w:tcW w:w="3852" w:type="dxa"/>
            <w:vAlign w:val="center"/>
          </w:tcPr>
          <w:p w14:paraId="434AF538">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2DAE3631">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33F43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65938E6">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w:t>
            </w:r>
          </w:p>
        </w:tc>
        <w:tc>
          <w:tcPr>
            <w:tcW w:w="598" w:type="dxa"/>
            <w:vAlign w:val="center"/>
          </w:tcPr>
          <w:p w14:paraId="17E89730">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63</w:t>
            </w:r>
          </w:p>
        </w:tc>
        <w:tc>
          <w:tcPr>
            <w:tcW w:w="1176" w:type="dxa"/>
            <w:vAlign w:val="center"/>
          </w:tcPr>
          <w:p w14:paraId="50FCD8CA">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0F159ABF">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*网络设备规格</w:t>
            </w:r>
          </w:p>
        </w:tc>
        <w:tc>
          <w:tcPr>
            <w:tcW w:w="1508" w:type="dxa"/>
            <w:vAlign w:val="center"/>
          </w:tcPr>
          <w:p w14:paraId="4ADE514D">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*有线网卡数量</w:t>
            </w:r>
          </w:p>
        </w:tc>
        <w:tc>
          <w:tcPr>
            <w:tcW w:w="3852" w:type="dxa"/>
            <w:vAlign w:val="center"/>
          </w:tcPr>
          <w:p w14:paraId="4DE1CE7D">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≥1</w:t>
            </w:r>
          </w:p>
        </w:tc>
        <w:tc>
          <w:tcPr>
            <w:tcW w:w="607" w:type="dxa"/>
            <w:vAlign w:val="center"/>
          </w:tcPr>
          <w:p w14:paraId="6ABB713E">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13BF9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BEB1961">
            <w:pPr>
              <w:adjustRightInd w:val="0"/>
              <w:snapToGrid w:val="0"/>
              <w:jc w:val="center"/>
              <w:rPr>
                <w:rFonts w:ascii="仿宋_GB2312" w:eastAsia="仿宋_GB2312" w:hAnsiTheme="minorEastAsia" w:cstheme="minorEastAsia"/>
                <w:color w:val="auto"/>
                <w:sz w:val="28"/>
                <w:szCs w:val="28"/>
                <w:lang w:eastAsia="zh-CN"/>
              </w:rPr>
            </w:pPr>
          </w:p>
        </w:tc>
        <w:tc>
          <w:tcPr>
            <w:tcW w:w="598" w:type="dxa"/>
            <w:vAlign w:val="center"/>
          </w:tcPr>
          <w:p w14:paraId="45396412">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64</w:t>
            </w:r>
          </w:p>
        </w:tc>
        <w:tc>
          <w:tcPr>
            <w:tcW w:w="1176" w:type="dxa"/>
            <w:vAlign w:val="center"/>
          </w:tcPr>
          <w:p w14:paraId="45C0EB78">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151627C6">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*网络设备规格</w:t>
            </w:r>
          </w:p>
        </w:tc>
        <w:tc>
          <w:tcPr>
            <w:tcW w:w="1508" w:type="dxa"/>
            <w:vAlign w:val="center"/>
          </w:tcPr>
          <w:p w14:paraId="0E008DDB">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无线网卡及天线数量</w:t>
            </w:r>
          </w:p>
        </w:tc>
        <w:tc>
          <w:tcPr>
            <w:tcW w:w="3852" w:type="dxa"/>
            <w:vAlign w:val="center"/>
          </w:tcPr>
          <w:p w14:paraId="464EC381">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56AF0780">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634E2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85BD894">
            <w:pPr>
              <w:adjustRightInd w:val="0"/>
              <w:snapToGrid w:val="0"/>
              <w:jc w:val="center"/>
              <w:rPr>
                <w:rFonts w:ascii="仿宋_GB2312" w:eastAsia="仿宋_GB2312" w:hAnsiTheme="minorEastAsia" w:cstheme="minorEastAsia"/>
                <w:color w:val="auto"/>
                <w:sz w:val="28"/>
                <w:szCs w:val="28"/>
                <w:lang w:eastAsia="zh-CN"/>
              </w:rPr>
            </w:pPr>
          </w:p>
        </w:tc>
        <w:tc>
          <w:tcPr>
            <w:tcW w:w="598" w:type="dxa"/>
            <w:vAlign w:val="center"/>
          </w:tcPr>
          <w:p w14:paraId="36907CFC">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65</w:t>
            </w:r>
          </w:p>
        </w:tc>
        <w:tc>
          <w:tcPr>
            <w:tcW w:w="1176" w:type="dxa"/>
            <w:vAlign w:val="center"/>
          </w:tcPr>
          <w:p w14:paraId="60179381">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0382B267">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*网络设备规格</w:t>
            </w:r>
          </w:p>
        </w:tc>
        <w:tc>
          <w:tcPr>
            <w:tcW w:w="1508" w:type="dxa"/>
            <w:vAlign w:val="center"/>
          </w:tcPr>
          <w:p w14:paraId="4802DA88">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单无线网卡天线数量</w:t>
            </w:r>
          </w:p>
        </w:tc>
        <w:tc>
          <w:tcPr>
            <w:tcW w:w="3852" w:type="dxa"/>
            <w:vAlign w:val="center"/>
          </w:tcPr>
          <w:p w14:paraId="30866754">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2F36C5C7">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31A94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4886D5D0">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w:t>
            </w:r>
          </w:p>
        </w:tc>
        <w:tc>
          <w:tcPr>
            <w:tcW w:w="598" w:type="dxa"/>
            <w:vAlign w:val="center"/>
          </w:tcPr>
          <w:p w14:paraId="77C561FA">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66</w:t>
            </w:r>
          </w:p>
        </w:tc>
        <w:tc>
          <w:tcPr>
            <w:tcW w:w="1176" w:type="dxa"/>
            <w:vAlign w:val="center"/>
          </w:tcPr>
          <w:p w14:paraId="6A4CB6B8">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1C0A9746">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*外部接口规格</w:t>
            </w:r>
          </w:p>
        </w:tc>
        <w:tc>
          <w:tcPr>
            <w:tcW w:w="1508" w:type="dxa"/>
            <w:vAlign w:val="center"/>
          </w:tcPr>
          <w:p w14:paraId="5D5A1785">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*USB 接口数量</w:t>
            </w:r>
          </w:p>
        </w:tc>
        <w:tc>
          <w:tcPr>
            <w:tcW w:w="3852" w:type="dxa"/>
            <w:vAlign w:val="center"/>
          </w:tcPr>
          <w:p w14:paraId="644520E8">
            <w:pPr>
              <w:adjustRightInd w:val="0"/>
              <w:snapToGrid w:val="0"/>
              <w:jc w:val="left"/>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整机提供不少于</w:t>
            </w:r>
            <w:r>
              <w:rPr>
                <w:rStyle w:val="288"/>
                <w:rFonts w:ascii="仿宋_GB2312" w:eastAsia="仿宋_GB2312" w:hAnsiTheme="minorEastAsia" w:cstheme="minorEastAsia"/>
                <w:color w:val="auto"/>
                <w:sz w:val="28"/>
                <w:szCs w:val="28"/>
                <w:lang w:eastAsia="zh-CN" w:bidi="ar"/>
              </w:rPr>
              <w:t>9</w:t>
            </w:r>
            <w:r>
              <w:rPr>
                <w:rStyle w:val="288"/>
                <w:rFonts w:ascii="仿宋_GB2312" w:eastAsia="仿宋_GB2312" w:hAnsiTheme="minorEastAsia" w:cstheme="minorEastAsia"/>
                <w:color w:val="auto"/>
                <w:sz w:val="28"/>
                <w:szCs w:val="28"/>
                <w:lang w:bidi="ar"/>
              </w:rPr>
              <w:t>个USB接口(其中</w:t>
            </w:r>
            <w:r>
              <w:rPr>
                <w:rStyle w:val="288"/>
                <w:rFonts w:ascii="仿宋_GB2312" w:eastAsia="仿宋_GB2312" w:hAnsiTheme="minorEastAsia" w:cstheme="minorEastAsia"/>
                <w:color w:val="auto"/>
                <w:sz w:val="28"/>
                <w:szCs w:val="28"/>
                <w:lang w:eastAsia="zh-CN" w:bidi="ar"/>
              </w:rPr>
              <w:t>包含1</w:t>
            </w:r>
            <w:r>
              <w:rPr>
                <w:rStyle w:val="288"/>
                <w:rFonts w:ascii="仿宋_GB2312" w:eastAsia="仿宋_GB2312" w:hAnsiTheme="minorEastAsia" w:cstheme="minorEastAsia"/>
                <w:color w:val="auto"/>
                <w:sz w:val="28"/>
                <w:szCs w:val="28"/>
                <w:lang w:bidi="ar"/>
              </w:rPr>
              <w:t>个USB 3.2 Type-C接口)</w:t>
            </w:r>
          </w:p>
        </w:tc>
        <w:tc>
          <w:tcPr>
            <w:tcW w:w="607" w:type="dxa"/>
            <w:vAlign w:val="center"/>
          </w:tcPr>
          <w:p w14:paraId="4B0C4B15">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7D194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4604C54C">
            <w:pPr>
              <w:adjustRightInd w:val="0"/>
              <w:snapToGrid w:val="0"/>
              <w:jc w:val="center"/>
              <w:rPr>
                <w:rFonts w:ascii="仿宋_GB2312" w:eastAsia="仿宋_GB2312" w:hAnsiTheme="minorEastAsia" w:cstheme="minorEastAsia"/>
                <w:color w:val="auto"/>
                <w:sz w:val="28"/>
                <w:szCs w:val="28"/>
                <w:lang w:eastAsia="zh-CN"/>
              </w:rPr>
            </w:pPr>
          </w:p>
        </w:tc>
        <w:tc>
          <w:tcPr>
            <w:tcW w:w="598" w:type="dxa"/>
            <w:vAlign w:val="center"/>
          </w:tcPr>
          <w:p w14:paraId="4011DD49">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67</w:t>
            </w:r>
          </w:p>
        </w:tc>
        <w:tc>
          <w:tcPr>
            <w:tcW w:w="1176" w:type="dxa"/>
            <w:vAlign w:val="center"/>
          </w:tcPr>
          <w:p w14:paraId="086309D9">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5A7D7284">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*外部接口规格</w:t>
            </w:r>
          </w:p>
        </w:tc>
        <w:tc>
          <w:tcPr>
            <w:tcW w:w="1508" w:type="dxa"/>
            <w:vAlign w:val="center"/>
          </w:tcPr>
          <w:p w14:paraId="199F23FF">
            <w:pPr>
              <w:adjustRightInd w:val="0"/>
              <w:snapToGrid w:val="0"/>
              <w:jc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USB 母座接口要求</w:t>
            </w:r>
          </w:p>
        </w:tc>
        <w:tc>
          <w:tcPr>
            <w:tcW w:w="3852" w:type="dxa"/>
            <w:vAlign w:val="center"/>
          </w:tcPr>
          <w:p w14:paraId="0934B2A6">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45B648F2">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4AEB3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4CBB589D">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w:t>
            </w:r>
          </w:p>
        </w:tc>
        <w:tc>
          <w:tcPr>
            <w:tcW w:w="598" w:type="dxa"/>
            <w:vAlign w:val="center"/>
          </w:tcPr>
          <w:p w14:paraId="4A435EDE">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68</w:t>
            </w:r>
          </w:p>
        </w:tc>
        <w:tc>
          <w:tcPr>
            <w:tcW w:w="1176" w:type="dxa"/>
            <w:vAlign w:val="center"/>
          </w:tcPr>
          <w:p w14:paraId="159B50B4">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0273CC02">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*外部接口规格</w:t>
            </w:r>
          </w:p>
        </w:tc>
        <w:tc>
          <w:tcPr>
            <w:tcW w:w="1508" w:type="dxa"/>
            <w:vAlign w:val="center"/>
          </w:tcPr>
          <w:p w14:paraId="2F660833">
            <w:pPr>
              <w:adjustRightInd w:val="0"/>
              <w:snapToGrid w:val="0"/>
              <w:jc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*视频接口数量</w:t>
            </w:r>
          </w:p>
        </w:tc>
        <w:tc>
          <w:tcPr>
            <w:tcW w:w="3852" w:type="dxa"/>
            <w:vAlign w:val="center"/>
          </w:tcPr>
          <w:p w14:paraId="78554B17">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≥2</w:t>
            </w:r>
          </w:p>
        </w:tc>
        <w:tc>
          <w:tcPr>
            <w:tcW w:w="607" w:type="dxa"/>
            <w:vAlign w:val="center"/>
          </w:tcPr>
          <w:p w14:paraId="7B2EBBE5">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6F497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3D3D7E02">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w:t>
            </w:r>
          </w:p>
        </w:tc>
        <w:tc>
          <w:tcPr>
            <w:tcW w:w="598" w:type="dxa"/>
            <w:vAlign w:val="center"/>
          </w:tcPr>
          <w:p w14:paraId="7B17F122">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69</w:t>
            </w:r>
          </w:p>
        </w:tc>
        <w:tc>
          <w:tcPr>
            <w:tcW w:w="1176" w:type="dxa"/>
            <w:vAlign w:val="center"/>
          </w:tcPr>
          <w:p w14:paraId="608AA075">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413A9321">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*外部接口规格</w:t>
            </w:r>
          </w:p>
        </w:tc>
        <w:tc>
          <w:tcPr>
            <w:tcW w:w="1508" w:type="dxa"/>
            <w:vAlign w:val="center"/>
          </w:tcPr>
          <w:p w14:paraId="7F2B1EAB">
            <w:pPr>
              <w:adjustRightInd w:val="0"/>
              <w:snapToGrid w:val="0"/>
              <w:jc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*音频接口数量</w:t>
            </w:r>
          </w:p>
        </w:tc>
        <w:tc>
          <w:tcPr>
            <w:tcW w:w="3852" w:type="dxa"/>
            <w:vAlign w:val="center"/>
          </w:tcPr>
          <w:p w14:paraId="3444837A">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r>
              <w:rPr>
                <w:rFonts w:ascii="仿宋_GB2312" w:hAnsi="Arial" w:eastAsia="仿宋_GB2312" w:cs="Arial"/>
                <w:sz w:val="28"/>
                <w:szCs w:val="28"/>
                <w:lang w:val="en-US" w:eastAsia="zh-CN"/>
              </w:rPr>
              <w:t>5</w:t>
            </w:r>
          </w:p>
        </w:tc>
        <w:tc>
          <w:tcPr>
            <w:tcW w:w="607" w:type="dxa"/>
            <w:vAlign w:val="center"/>
          </w:tcPr>
          <w:p w14:paraId="4374B4D0">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043EC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6FD03567">
            <w:pPr>
              <w:adjustRightInd w:val="0"/>
              <w:snapToGrid w:val="0"/>
              <w:jc w:val="center"/>
              <w:rPr>
                <w:rFonts w:ascii="仿宋_GB2312" w:eastAsia="仿宋_GB2312" w:hAnsiTheme="minorEastAsia" w:cstheme="minorEastAsia"/>
                <w:color w:val="auto"/>
                <w:sz w:val="28"/>
                <w:szCs w:val="28"/>
                <w:lang w:eastAsia="zh-CN"/>
              </w:rPr>
            </w:pPr>
          </w:p>
        </w:tc>
        <w:tc>
          <w:tcPr>
            <w:tcW w:w="598" w:type="dxa"/>
            <w:vAlign w:val="center"/>
          </w:tcPr>
          <w:p w14:paraId="219DB5B8">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70</w:t>
            </w:r>
          </w:p>
        </w:tc>
        <w:tc>
          <w:tcPr>
            <w:tcW w:w="1176" w:type="dxa"/>
            <w:vAlign w:val="center"/>
          </w:tcPr>
          <w:p w14:paraId="3A510CB7">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52619D26">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*外部接口规格</w:t>
            </w:r>
          </w:p>
        </w:tc>
        <w:tc>
          <w:tcPr>
            <w:tcW w:w="1508" w:type="dxa"/>
            <w:vAlign w:val="center"/>
          </w:tcPr>
          <w:p w14:paraId="05D69E63">
            <w:pPr>
              <w:adjustRightInd w:val="0"/>
              <w:snapToGrid w:val="0"/>
              <w:jc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存储卡接口数量</w:t>
            </w:r>
          </w:p>
        </w:tc>
        <w:tc>
          <w:tcPr>
            <w:tcW w:w="3852" w:type="dxa"/>
            <w:vAlign w:val="center"/>
          </w:tcPr>
          <w:p w14:paraId="1586FECE">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w:t>
            </w:r>
          </w:p>
        </w:tc>
        <w:tc>
          <w:tcPr>
            <w:tcW w:w="607" w:type="dxa"/>
            <w:vAlign w:val="center"/>
          </w:tcPr>
          <w:p w14:paraId="76E9D935">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31AC5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620" w:type="dxa"/>
            <w:vAlign w:val="center"/>
          </w:tcPr>
          <w:p w14:paraId="771F6A85">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w:t>
            </w:r>
          </w:p>
        </w:tc>
        <w:tc>
          <w:tcPr>
            <w:tcW w:w="598" w:type="dxa"/>
            <w:vAlign w:val="center"/>
          </w:tcPr>
          <w:p w14:paraId="0B467757">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71</w:t>
            </w:r>
          </w:p>
        </w:tc>
        <w:tc>
          <w:tcPr>
            <w:tcW w:w="1176" w:type="dxa"/>
            <w:vAlign w:val="center"/>
          </w:tcPr>
          <w:p w14:paraId="295D045F">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707D7A17">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*整机基础规格</w:t>
            </w:r>
          </w:p>
        </w:tc>
        <w:tc>
          <w:tcPr>
            <w:tcW w:w="1508" w:type="dxa"/>
            <w:vAlign w:val="center"/>
          </w:tcPr>
          <w:p w14:paraId="18C1AC6F">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*整机外观</w:t>
            </w:r>
          </w:p>
        </w:tc>
        <w:tc>
          <w:tcPr>
            <w:tcW w:w="3852" w:type="dxa"/>
            <w:vAlign w:val="center"/>
          </w:tcPr>
          <w:p w14:paraId="5900DD56">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a)产品表面不应有凹痕、划伤、裂缝、变形和污染等。表面涂层均匀，不应起泡、龟裂、脱落和磨损，金属零部件无锈蚀及其它机械损伤；</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b)产品表面说明功能的文字、符号、标志，应清晰、端正、牢固</w:t>
            </w:r>
          </w:p>
        </w:tc>
        <w:tc>
          <w:tcPr>
            <w:tcW w:w="607" w:type="dxa"/>
            <w:vAlign w:val="center"/>
          </w:tcPr>
          <w:p w14:paraId="1138233B">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33474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AF8BBD5">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w:t>
            </w:r>
          </w:p>
        </w:tc>
        <w:tc>
          <w:tcPr>
            <w:tcW w:w="598" w:type="dxa"/>
            <w:vAlign w:val="center"/>
          </w:tcPr>
          <w:p w14:paraId="734AA0E2">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72</w:t>
            </w:r>
          </w:p>
        </w:tc>
        <w:tc>
          <w:tcPr>
            <w:tcW w:w="1176" w:type="dxa"/>
            <w:vAlign w:val="center"/>
          </w:tcPr>
          <w:p w14:paraId="110AFB63">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6D5AAD0D">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*整机基础规格</w:t>
            </w:r>
          </w:p>
        </w:tc>
        <w:tc>
          <w:tcPr>
            <w:tcW w:w="1508" w:type="dxa"/>
            <w:vAlign w:val="center"/>
          </w:tcPr>
          <w:p w14:paraId="4AADAC61">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*状态指示灯</w:t>
            </w:r>
          </w:p>
        </w:tc>
        <w:tc>
          <w:tcPr>
            <w:tcW w:w="3852" w:type="dxa"/>
            <w:vAlign w:val="center"/>
          </w:tcPr>
          <w:p w14:paraId="03BAEB5F">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在产品显著位置提供状态指示功能，如运行状态，并由供应商提供详细参数</w:t>
            </w:r>
          </w:p>
        </w:tc>
        <w:tc>
          <w:tcPr>
            <w:tcW w:w="607" w:type="dxa"/>
            <w:vAlign w:val="center"/>
          </w:tcPr>
          <w:p w14:paraId="34E43EBB">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r w14:paraId="22CDC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517A983E">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w:t>
            </w:r>
          </w:p>
        </w:tc>
        <w:tc>
          <w:tcPr>
            <w:tcW w:w="598" w:type="dxa"/>
            <w:vAlign w:val="center"/>
          </w:tcPr>
          <w:p w14:paraId="672F728A">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73</w:t>
            </w:r>
          </w:p>
        </w:tc>
        <w:tc>
          <w:tcPr>
            <w:tcW w:w="1176" w:type="dxa"/>
            <w:vAlign w:val="center"/>
          </w:tcPr>
          <w:p w14:paraId="224A072E">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产品规格</w:t>
            </w:r>
          </w:p>
        </w:tc>
        <w:tc>
          <w:tcPr>
            <w:tcW w:w="1176" w:type="dxa"/>
            <w:vAlign w:val="center"/>
          </w:tcPr>
          <w:p w14:paraId="0D022A88">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*整机基础规格</w:t>
            </w:r>
          </w:p>
        </w:tc>
        <w:tc>
          <w:tcPr>
            <w:tcW w:w="1508" w:type="dxa"/>
            <w:vAlign w:val="center"/>
          </w:tcPr>
          <w:p w14:paraId="27266D70">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*整机结构</w:t>
            </w:r>
          </w:p>
        </w:tc>
        <w:tc>
          <w:tcPr>
            <w:tcW w:w="3852" w:type="dxa"/>
            <w:vAlign w:val="center"/>
          </w:tcPr>
          <w:p w14:paraId="084126DA">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a)机箱应符合GB/T4208、GB/T26246的相关规定；</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b)产品内部结构应符合通用部件的安装需求；</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c)所有输入输出接口应符合相关国家或行业标准；</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d)产品零部件应紧固无松动，可插拔部件应可靠连接，开关、按钮和其它控制部件应灵活可靠，布局应方便使用；</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e)所有I/O连接器及需插接线缆的部位应预留采购人操作空间，方便插拔解锁与插拔线缆；</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f)可插拔板卡插槽部位应预留安装、拆卸或更换板卡空间；</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g)拆装可能接触到的金属剪口或金属尖角部位应做防划伤处理，以保证安全；</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h)整机内部走线应规整，固线结构和位置要合理可靠并做防割线处理，需便于理线和插拔操作，走线应不影响系统各主要部件组装和拆卸；</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i)如需通过孔走线，过线孔应做防割线处理；</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j)各插头位置和插拔方向应合理，应做到插拔无障碍设计，具备防呆设计，有效避免误操作；</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k)各主要部件拆装无障碍，使用常规工具拆装，无特殊拆装工具需求；</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l)各主要部件拆装步骤要少，各自拆装需避免相互干扰；</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m)对于整机或零部件外表面为高亮面的，应粘贴保护膜，保护膜需粘贴牢固，运输、组装等过程不易脱落，撕下无残留；</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n)其它要求应符合GB/T9813.1的相关规定</w:t>
            </w:r>
          </w:p>
        </w:tc>
        <w:tc>
          <w:tcPr>
            <w:tcW w:w="607" w:type="dxa"/>
            <w:vAlign w:val="center"/>
          </w:tcPr>
          <w:p w14:paraId="467C1F6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0B1E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620" w:type="dxa"/>
            <w:vAlign w:val="center"/>
          </w:tcPr>
          <w:p w14:paraId="4BF3654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53810712">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74</w:t>
            </w:r>
          </w:p>
        </w:tc>
        <w:tc>
          <w:tcPr>
            <w:tcW w:w="1176" w:type="dxa"/>
            <w:vAlign w:val="center"/>
          </w:tcPr>
          <w:p w14:paraId="17F912C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49535DCC">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*整机基础规格</w:t>
            </w:r>
          </w:p>
        </w:tc>
        <w:tc>
          <w:tcPr>
            <w:tcW w:w="1508" w:type="dxa"/>
            <w:vAlign w:val="center"/>
          </w:tcPr>
          <w:p w14:paraId="1E4249B5">
            <w:pPr>
              <w:adjustRightInd w:val="0"/>
              <w:snapToGrid w:val="0"/>
              <w:jc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*机箱防护要求</w:t>
            </w:r>
          </w:p>
        </w:tc>
        <w:tc>
          <w:tcPr>
            <w:tcW w:w="3852" w:type="dxa"/>
            <w:vAlign w:val="center"/>
          </w:tcPr>
          <w:p w14:paraId="70125C20">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机箱应符合GB/T4208中IP20防护要求</w:t>
            </w:r>
          </w:p>
        </w:tc>
        <w:tc>
          <w:tcPr>
            <w:tcW w:w="607" w:type="dxa"/>
            <w:vAlign w:val="center"/>
          </w:tcPr>
          <w:p w14:paraId="0B651A6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1A62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20" w:type="dxa"/>
            <w:vAlign w:val="center"/>
          </w:tcPr>
          <w:p w14:paraId="039E170B">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62E6A6D5">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75</w:t>
            </w:r>
          </w:p>
        </w:tc>
        <w:tc>
          <w:tcPr>
            <w:tcW w:w="1176" w:type="dxa"/>
            <w:vAlign w:val="center"/>
          </w:tcPr>
          <w:p w14:paraId="459B2F2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6D6D4CC6">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*整机基础规格</w:t>
            </w:r>
          </w:p>
        </w:tc>
        <w:tc>
          <w:tcPr>
            <w:tcW w:w="1508" w:type="dxa"/>
            <w:vAlign w:val="center"/>
          </w:tcPr>
          <w:p w14:paraId="15274510">
            <w:pPr>
              <w:adjustRightInd w:val="0"/>
              <w:snapToGrid w:val="0"/>
              <w:jc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*整机噪音</w:t>
            </w:r>
          </w:p>
        </w:tc>
        <w:tc>
          <w:tcPr>
            <w:tcW w:w="3852" w:type="dxa"/>
            <w:vAlign w:val="center"/>
          </w:tcPr>
          <w:p w14:paraId="1E91377A">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产品工作在空闲状态下，产品的声功率级应不超过4.5Bel</w:t>
            </w:r>
          </w:p>
        </w:tc>
        <w:tc>
          <w:tcPr>
            <w:tcW w:w="607" w:type="dxa"/>
            <w:vAlign w:val="center"/>
          </w:tcPr>
          <w:p w14:paraId="440A13C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31DBF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4" w:hRule="atLeast"/>
          <w:jc w:val="center"/>
        </w:trPr>
        <w:tc>
          <w:tcPr>
            <w:tcW w:w="620" w:type="dxa"/>
            <w:vAlign w:val="center"/>
          </w:tcPr>
          <w:p w14:paraId="6F8202BB">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69AFAC0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76</w:t>
            </w:r>
          </w:p>
        </w:tc>
        <w:tc>
          <w:tcPr>
            <w:tcW w:w="1176" w:type="dxa"/>
            <w:vAlign w:val="center"/>
          </w:tcPr>
          <w:p w14:paraId="1368732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29154487">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*整机基础规格</w:t>
            </w:r>
          </w:p>
        </w:tc>
        <w:tc>
          <w:tcPr>
            <w:tcW w:w="1508" w:type="dxa"/>
            <w:vAlign w:val="center"/>
          </w:tcPr>
          <w:p w14:paraId="2FF2C7D6">
            <w:pPr>
              <w:adjustRightInd w:val="0"/>
              <w:snapToGrid w:val="0"/>
              <w:jc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*整机散热</w:t>
            </w:r>
          </w:p>
        </w:tc>
        <w:tc>
          <w:tcPr>
            <w:tcW w:w="3852" w:type="dxa"/>
            <w:vAlign w:val="center"/>
          </w:tcPr>
          <w:p w14:paraId="02AFFD5D">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在环境温度25℃及处理器满载情况下，产品表面温度应符合如下要求：</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a)出风口在机箱后面板情况下，出风口温度不高于55℃;</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b)可触及面温度不高于45℃;</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c)显示器表面温度：显示屏不高于38℃,显示屏上下灯带位置温度（如涉及）不高于40℃,出风口温度不高于45℃</w:t>
            </w:r>
          </w:p>
        </w:tc>
        <w:tc>
          <w:tcPr>
            <w:tcW w:w="607" w:type="dxa"/>
            <w:vAlign w:val="center"/>
          </w:tcPr>
          <w:p w14:paraId="349777C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199A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5F454F5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010141DB">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77</w:t>
            </w:r>
          </w:p>
        </w:tc>
        <w:tc>
          <w:tcPr>
            <w:tcW w:w="1176" w:type="dxa"/>
            <w:vAlign w:val="center"/>
          </w:tcPr>
          <w:p w14:paraId="2848171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70AAD7D2">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*整机基础规格</w:t>
            </w:r>
          </w:p>
        </w:tc>
        <w:tc>
          <w:tcPr>
            <w:tcW w:w="1508" w:type="dxa"/>
            <w:vAlign w:val="center"/>
          </w:tcPr>
          <w:p w14:paraId="65269267">
            <w:pPr>
              <w:adjustRightInd w:val="0"/>
              <w:snapToGrid w:val="0"/>
              <w:jc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*整机能效限定值</w:t>
            </w:r>
          </w:p>
        </w:tc>
        <w:tc>
          <w:tcPr>
            <w:tcW w:w="3852" w:type="dxa"/>
            <w:vAlign w:val="center"/>
          </w:tcPr>
          <w:p w14:paraId="13CB6C70">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产品能效限定值应达到GB28380-2012标准中能效等级2级及以上</w:t>
            </w:r>
          </w:p>
        </w:tc>
        <w:tc>
          <w:tcPr>
            <w:tcW w:w="607" w:type="dxa"/>
            <w:vAlign w:val="center"/>
          </w:tcPr>
          <w:p w14:paraId="7E0BB13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6B49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1DC0B01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04306170">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78</w:t>
            </w:r>
          </w:p>
        </w:tc>
        <w:tc>
          <w:tcPr>
            <w:tcW w:w="1176" w:type="dxa"/>
            <w:vAlign w:val="center"/>
          </w:tcPr>
          <w:p w14:paraId="4F16BB8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36264DCB">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*整机基础规格</w:t>
            </w:r>
          </w:p>
        </w:tc>
        <w:tc>
          <w:tcPr>
            <w:tcW w:w="1508" w:type="dxa"/>
            <w:vAlign w:val="center"/>
          </w:tcPr>
          <w:p w14:paraId="76832D59">
            <w:pPr>
              <w:adjustRightInd w:val="0"/>
              <w:snapToGrid w:val="0"/>
              <w:jc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*机身材质</w:t>
            </w:r>
          </w:p>
        </w:tc>
        <w:tc>
          <w:tcPr>
            <w:tcW w:w="3852" w:type="dxa"/>
            <w:vAlign w:val="center"/>
          </w:tcPr>
          <w:p w14:paraId="216FAFE9">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金属</w:t>
            </w:r>
          </w:p>
        </w:tc>
        <w:tc>
          <w:tcPr>
            <w:tcW w:w="607" w:type="dxa"/>
            <w:vAlign w:val="center"/>
          </w:tcPr>
          <w:p w14:paraId="54BC4BC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1B07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68E7424A">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0AE6F165">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79</w:t>
            </w:r>
          </w:p>
        </w:tc>
        <w:tc>
          <w:tcPr>
            <w:tcW w:w="1176" w:type="dxa"/>
            <w:vAlign w:val="center"/>
          </w:tcPr>
          <w:p w14:paraId="58C7615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73EF3D65">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*整机基础规格</w:t>
            </w:r>
          </w:p>
        </w:tc>
        <w:tc>
          <w:tcPr>
            <w:tcW w:w="1508" w:type="dxa"/>
            <w:vAlign w:val="center"/>
          </w:tcPr>
          <w:p w14:paraId="3C133B43">
            <w:pPr>
              <w:adjustRightInd w:val="0"/>
              <w:snapToGrid w:val="0"/>
              <w:jc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*机身颜色</w:t>
            </w:r>
          </w:p>
        </w:tc>
        <w:tc>
          <w:tcPr>
            <w:tcW w:w="3852" w:type="dxa"/>
            <w:vAlign w:val="center"/>
          </w:tcPr>
          <w:p w14:paraId="48D53EA6">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黑色</w:t>
            </w:r>
          </w:p>
        </w:tc>
        <w:tc>
          <w:tcPr>
            <w:tcW w:w="607" w:type="dxa"/>
            <w:vAlign w:val="center"/>
          </w:tcPr>
          <w:p w14:paraId="37D140D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09B4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1A8FF3F1">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1F8E364D">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80</w:t>
            </w:r>
          </w:p>
        </w:tc>
        <w:tc>
          <w:tcPr>
            <w:tcW w:w="1176" w:type="dxa"/>
            <w:vAlign w:val="center"/>
          </w:tcPr>
          <w:p w14:paraId="2DC5E1F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产品规格</w:t>
            </w:r>
          </w:p>
        </w:tc>
        <w:tc>
          <w:tcPr>
            <w:tcW w:w="1176" w:type="dxa"/>
            <w:vAlign w:val="center"/>
          </w:tcPr>
          <w:p w14:paraId="1B7AB133">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*整机基础规格</w:t>
            </w:r>
          </w:p>
        </w:tc>
        <w:tc>
          <w:tcPr>
            <w:tcW w:w="1508" w:type="dxa"/>
            <w:vAlign w:val="center"/>
          </w:tcPr>
          <w:p w14:paraId="4CECBDA7">
            <w:pPr>
              <w:adjustRightInd w:val="0"/>
              <w:snapToGrid w:val="0"/>
              <w:jc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*机箱尺寸容量</w:t>
            </w:r>
          </w:p>
        </w:tc>
        <w:tc>
          <w:tcPr>
            <w:tcW w:w="3852" w:type="dxa"/>
            <w:vAlign w:val="center"/>
          </w:tcPr>
          <w:p w14:paraId="31349E7D">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机箱体积应不大于30L</w:t>
            </w:r>
          </w:p>
        </w:tc>
        <w:tc>
          <w:tcPr>
            <w:tcW w:w="607" w:type="dxa"/>
            <w:vAlign w:val="center"/>
          </w:tcPr>
          <w:p w14:paraId="4AB0EDB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22D6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613F33E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50B76F2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81</w:t>
            </w:r>
          </w:p>
        </w:tc>
        <w:tc>
          <w:tcPr>
            <w:tcW w:w="1176" w:type="dxa"/>
            <w:vAlign w:val="center"/>
          </w:tcPr>
          <w:p w14:paraId="282FF3A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52A20D67">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*CPU性能</w:t>
            </w:r>
          </w:p>
        </w:tc>
        <w:tc>
          <w:tcPr>
            <w:tcW w:w="1508" w:type="dxa"/>
            <w:vAlign w:val="center"/>
          </w:tcPr>
          <w:p w14:paraId="2DE8FED0">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*CPU 物理核数</w:t>
            </w:r>
          </w:p>
        </w:tc>
        <w:tc>
          <w:tcPr>
            <w:tcW w:w="3852" w:type="dxa"/>
            <w:vAlign w:val="center"/>
          </w:tcPr>
          <w:p w14:paraId="5E843599">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≥20</w:t>
            </w:r>
          </w:p>
        </w:tc>
        <w:tc>
          <w:tcPr>
            <w:tcW w:w="607" w:type="dxa"/>
            <w:vAlign w:val="center"/>
          </w:tcPr>
          <w:p w14:paraId="110905B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B42D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43D1019B">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44377E6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82</w:t>
            </w:r>
          </w:p>
        </w:tc>
        <w:tc>
          <w:tcPr>
            <w:tcW w:w="1176" w:type="dxa"/>
            <w:vAlign w:val="center"/>
          </w:tcPr>
          <w:p w14:paraId="1FF9599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3BEEA85C">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*CPU性能</w:t>
            </w:r>
          </w:p>
        </w:tc>
        <w:tc>
          <w:tcPr>
            <w:tcW w:w="1508" w:type="dxa"/>
            <w:vAlign w:val="center"/>
          </w:tcPr>
          <w:p w14:paraId="4DBD953B">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*CPU 主频</w:t>
            </w:r>
          </w:p>
        </w:tc>
        <w:tc>
          <w:tcPr>
            <w:tcW w:w="3852" w:type="dxa"/>
            <w:vAlign w:val="center"/>
          </w:tcPr>
          <w:p w14:paraId="7D12E108">
            <w:pPr>
              <w:adjustRightInd w:val="0"/>
              <w:snapToGrid w:val="0"/>
              <w:jc w:val="left"/>
              <w:textAlignment w:val="center"/>
              <w:rPr>
                <w:rStyle w:val="288"/>
                <w:rFonts w:ascii="仿宋_GB2312" w:eastAsia="仿宋_GB2312" w:hAnsiTheme="minorEastAsia" w:cstheme="minorEastAsia"/>
                <w:color w:val="auto"/>
                <w:sz w:val="28"/>
                <w:szCs w:val="28"/>
                <w:lang w:val="en-US" w:eastAsia="zh-CN" w:bidi="ar"/>
              </w:rPr>
            </w:pPr>
            <w:r>
              <w:rPr>
                <w:rFonts w:ascii="仿宋_GB2312" w:hAnsi="Arial" w:eastAsia="仿宋_GB2312" w:cs="Arial"/>
                <w:sz w:val="28"/>
                <w:szCs w:val="28"/>
              </w:rPr>
              <w:t>≥2.1GHz</w:t>
            </w:r>
          </w:p>
        </w:tc>
        <w:tc>
          <w:tcPr>
            <w:tcW w:w="607" w:type="dxa"/>
            <w:vAlign w:val="center"/>
          </w:tcPr>
          <w:p w14:paraId="584FDFA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9F13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1D409EC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5318496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83</w:t>
            </w:r>
          </w:p>
        </w:tc>
        <w:tc>
          <w:tcPr>
            <w:tcW w:w="1176" w:type="dxa"/>
            <w:vAlign w:val="center"/>
          </w:tcPr>
          <w:p w14:paraId="65C5D49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717926E0">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*CPU性能</w:t>
            </w:r>
          </w:p>
        </w:tc>
        <w:tc>
          <w:tcPr>
            <w:tcW w:w="1508" w:type="dxa"/>
            <w:vAlign w:val="center"/>
          </w:tcPr>
          <w:p w14:paraId="4FD55BE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*CPU 末级缓存容量</w:t>
            </w:r>
          </w:p>
        </w:tc>
        <w:tc>
          <w:tcPr>
            <w:tcW w:w="3852" w:type="dxa"/>
            <w:vAlign w:val="center"/>
          </w:tcPr>
          <w:p w14:paraId="4733A8ED">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≥33MB</w:t>
            </w:r>
          </w:p>
        </w:tc>
        <w:tc>
          <w:tcPr>
            <w:tcW w:w="607" w:type="dxa"/>
            <w:vAlign w:val="center"/>
          </w:tcPr>
          <w:p w14:paraId="23E4572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1A29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054B49DB">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345D015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84</w:t>
            </w:r>
          </w:p>
        </w:tc>
        <w:tc>
          <w:tcPr>
            <w:tcW w:w="1176" w:type="dxa"/>
            <w:vAlign w:val="center"/>
          </w:tcPr>
          <w:p w14:paraId="6F095BF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5519179F">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*CPU性能</w:t>
            </w:r>
          </w:p>
        </w:tc>
        <w:tc>
          <w:tcPr>
            <w:tcW w:w="1508" w:type="dxa"/>
            <w:vAlign w:val="center"/>
          </w:tcPr>
          <w:p w14:paraId="3EAC1E55">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*CPU 支持的内存最高速率</w:t>
            </w:r>
          </w:p>
        </w:tc>
        <w:tc>
          <w:tcPr>
            <w:tcW w:w="3852" w:type="dxa"/>
            <w:vAlign w:val="center"/>
          </w:tcPr>
          <w:p w14:paraId="6C14681C">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≥3200MT/s</w:t>
            </w:r>
          </w:p>
        </w:tc>
        <w:tc>
          <w:tcPr>
            <w:tcW w:w="607" w:type="dxa"/>
            <w:vAlign w:val="center"/>
          </w:tcPr>
          <w:p w14:paraId="65EAF41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A051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54B4234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1DBB385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85</w:t>
            </w:r>
          </w:p>
        </w:tc>
        <w:tc>
          <w:tcPr>
            <w:tcW w:w="1176" w:type="dxa"/>
            <w:vAlign w:val="center"/>
          </w:tcPr>
          <w:p w14:paraId="326D07B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1BCEEF53">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*内存性能</w:t>
            </w:r>
          </w:p>
        </w:tc>
        <w:tc>
          <w:tcPr>
            <w:tcW w:w="1508" w:type="dxa"/>
            <w:vAlign w:val="center"/>
          </w:tcPr>
          <w:p w14:paraId="6CBFFAD2">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*内存读写速率</w:t>
            </w:r>
          </w:p>
        </w:tc>
        <w:tc>
          <w:tcPr>
            <w:tcW w:w="3852" w:type="dxa"/>
            <w:vAlign w:val="center"/>
          </w:tcPr>
          <w:p w14:paraId="1C0648EC">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≥2666MT/s</w:t>
            </w:r>
          </w:p>
        </w:tc>
        <w:tc>
          <w:tcPr>
            <w:tcW w:w="607" w:type="dxa"/>
            <w:vAlign w:val="center"/>
          </w:tcPr>
          <w:p w14:paraId="3828385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C537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31A35F9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6396C74B">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86</w:t>
            </w:r>
          </w:p>
        </w:tc>
        <w:tc>
          <w:tcPr>
            <w:tcW w:w="1176" w:type="dxa"/>
            <w:vAlign w:val="center"/>
          </w:tcPr>
          <w:p w14:paraId="2A68853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06CBDB04">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*显卡性能</w:t>
            </w:r>
          </w:p>
        </w:tc>
        <w:tc>
          <w:tcPr>
            <w:tcW w:w="1508" w:type="dxa"/>
            <w:vAlign w:val="center"/>
          </w:tcPr>
          <w:p w14:paraId="559DCCDE">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*显示分辨率</w:t>
            </w:r>
          </w:p>
        </w:tc>
        <w:tc>
          <w:tcPr>
            <w:tcW w:w="3852" w:type="dxa"/>
            <w:vAlign w:val="center"/>
          </w:tcPr>
          <w:p w14:paraId="21C94521">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≥3840x2160</w:t>
            </w:r>
          </w:p>
        </w:tc>
        <w:tc>
          <w:tcPr>
            <w:tcW w:w="607" w:type="dxa"/>
            <w:vAlign w:val="center"/>
          </w:tcPr>
          <w:p w14:paraId="416DCCB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E644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1A2884D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1F7CD02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87</w:t>
            </w:r>
          </w:p>
        </w:tc>
        <w:tc>
          <w:tcPr>
            <w:tcW w:w="1176" w:type="dxa"/>
            <w:vAlign w:val="center"/>
          </w:tcPr>
          <w:p w14:paraId="124A037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3C72E463">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*显卡性能</w:t>
            </w:r>
          </w:p>
        </w:tc>
        <w:tc>
          <w:tcPr>
            <w:tcW w:w="1508" w:type="dxa"/>
            <w:vAlign w:val="center"/>
          </w:tcPr>
          <w:p w14:paraId="1EB077BE">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*显卡显示芯片核心频率</w:t>
            </w:r>
          </w:p>
        </w:tc>
        <w:tc>
          <w:tcPr>
            <w:tcW w:w="3852" w:type="dxa"/>
            <w:vAlign w:val="center"/>
          </w:tcPr>
          <w:p w14:paraId="72EE7C54">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≥2280MHz</w:t>
            </w:r>
          </w:p>
        </w:tc>
        <w:tc>
          <w:tcPr>
            <w:tcW w:w="607" w:type="dxa"/>
            <w:vAlign w:val="center"/>
          </w:tcPr>
          <w:p w14:paraId="4224873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26CE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3910597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43452EC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88</w:t>
            </w:r>
          </w:p>
        </w:tc>
        <w:tc>
          <w:tcPr>
            <w:tcW w:w="1176" w:type="dxa"/>
            <w:vAlign w:val="center"/>
          </w:tcPr>
          <w:p w14:paraId="50206E7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073BCEB0">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*显卡性能</w:t>
            </w:r>
          </w:p>
        </w:tc>
        <w:tc>
          <w:tcPr>
            <w:tcW w:w="1508" w:type="dxa"/>
            <w:vAlign w:val="center"/>
          </w:tcPr>
          <w:p w14:paraId="1C74F388">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*显存等效频率</w:t>
            </w:r>
          </w:p>
        </w:tc>
        <w:tc>
          <w:tcPr>
            <w:tcW w:w="3852" w:type="dxa"/>
            <w:vAlign w:val="center"/>
          </w:tcPr>
          <w:p w14:paraId="4DAF67B8">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≥28Gbps</w:t>
            </w:r>
          </w:p>
        </w:tc>
        <w:tc>
          <w:tcPr>
            <w:tcW w:w="607" w:type="dxa"/>
            <w:vAlign w:val="center"/>
          </w:tcPr>
          <w:p w14:paraId="5D2AEA5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BA86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620" w:type="dxa"/>
            <w:vAlign w:val="center"/>
          </w:tcPr>
          <w:p w14:paraId="36C2170D">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4EFB2C82">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89</w:t>
            </w:r>
          </w:p>
        </w:tc>
        <w:tc>
          <w:tcPr>
            <w:tcW w:w="1176" w:type="dxa"/>
            <w:vAlign w:val="center"/>
          </w:tcPr>
          <w:p w14:paraId="14E7487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07D339B9">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*显卡性能</w:t>
            </w:r>
          </w:p>
        </w:tc>
        <w:tc>
          <w:tcPr>
            <w:tcW w:w="1508" w:type="dxa"/>
            <w:vAlign w:val="center"/>
          </w:tcPr>
          <w:p w14:paraId="4D5A2ECB">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*显卡可支持多屏同时显示数量</w:t>
            </w:r>
          </w:p>
        </w:tc>
        <w:tc>
          <w:tcPr>
            <w:tcW w:w="3852" w:type="dxa"/>
            <w:vAlign w:val="center"/>
          </w:tcPr>
          <w:p w14:paraId="17C2119E">
            <w:pPr>
              <w:adjustRightInd w:val="0"/>
              <w:snapToGrid w:val="0"/>
              <w:jc w:val="left"/>
              <w:textAlignment w:val="center"/>
              <w:rPr>
                <w:rStyle w:val="288"/>
                <w:rFonts w:ascii="仿宋_GB2312" w:eastAsia="仿宋_GB2312" w:hAnsiTheme="minorEastAsia" w:cstheme="minorEastAsia"/>
                <w:color w:val="auto"/>
                <w:sz w:val="28"/>
                <w:szCs w:val="28"/>
                <w:lang w:val="en-US" w:eastAsia="zh-CN" w:bidi="ar"/>
              </w:rPr>
            </w:pPr>
            <w:r>
              <w:rPr>
                <w:rFonts w:ascii="仿宋_GB2312" w:hAnsi="Arial" w:eastAsia="仿宋_GB2312" w:cs="Arial"/>
                <w:sz w:val="28"/>
                <w:szCs w:val="28"/>
                <w:lang w:eastAsia="zh-CN"/>
              </w:rPr>
              <w:t>显卡应支持</w:t>
            </w:r>
            <w:r>
              <w:rPr>
                <w:rFonts w:ascii="仿宋_GB2312" w:hAnsi="Arial" w:eastAsia="仿宋_GB2312" w:cs="Arial"/>
                <w:sz w:val="28"/>
                <w:szCs w:val="28"/>
                <w:lang w:val="en-US" w:eastAsia="zh-CN"/>
              </w:rPr>
              <w:t>2</w:t>
            </w:r>
            <w:r>
              <w:rPr>
                <w:rFonts w:ascii="仿宋_GB2312" w:hAnsi="Arial" w:eastAsia="仿宋_GB2312" w:cs="Arial"/>
                <w:sz w:val="28"/>
                <w:szCs w:val="28"/>
                <w:lang w:eastAsia="zh-CN"/>
              </w:rPr>
              <w:t>块屏幕同时显示，分辨率应不低于</w:t>
            </w:r>
            <w:r>
              <w:rPr>
                <w:rFonts w:ascii="仿宋_GB2312" w:hAnsi="Arial" w:eastAsia="仿宋_GB2312" w:cs="Arial"/>
                <w:sz w:val="28"/>
                <w:szCs w:val="28"/>
                <w:lang w:val="en-US" w:eastAsia="zh-CN"/>
              </w:rPr>
              <w:t>1920×1080</w:t>
            </w:r>
          </w:p>
        </w:tc>
        <w:tc>
          <w:tcPr>
            <w:tcW w:w="607" w:type="dxa"/>
            <w:vAlign w:val="center"/>
          </w:tcPr>
          <w:p w14:paraId="0B2A952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60764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20" w:type="dxa"/>
            <w:vAlign w:val="center"/>
          </w:tcPr>
          <w:p w14:paraId="07CA712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7C6364CA">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90</w:t>
            </w:r>
          </w:p>
        </w:tc>
        <w:tc>
          <w:tcPr>
            <w:tcW w:w="1176" w:type="dxa"/>
            <w:vAlign w:val="center"/>
          </w:tcPr>
          <w:p w14:paraId="0C1E9D1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0D7DFB3D">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*显示设备性能</w:t>
            </w:r>
          </w:p>
        </w:tc>
        <w:tc>
          <w:tcPr>
            <w:tcW w:w="1508" w:type="dxa"/>
            <w:vAlign w:val="center"/>
          </w:tcPr>
          <w:p w14:paraId="351C1240">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*显示屏刷新率</w:t>
            </w:r>
          </w:p>
        </w:tc>
        <w:tc>
          <w:tcPr>
            <w:tcW w:w="3852" w:type="dxa"/>
            <w:vAlign w:val="center"/>
          </w:tcPr>
          <w:p w14:paraId="10F4F8D8">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≥100Hz</w:t>
            </w:r>
          </w:p>
        </w:tc>
        <w:tc>
          <w:tcPr>
            <w:tcW w:w="607" w:type="dxa"/>
            <w:vAlign w:val="center"/>
          </w:tcPr>
          <w:p w14:paraId="20FB36E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D64F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423B4F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58E2506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91</w:t>
            </w:r>
          </w:p>
        </w:tc>
        <w:tc>
          <w:tcPr>
            <w:tcW w:w="1176" w:type="dxa"/>
            <w:vAlign w:val="center"/>
          </w:tcPr>
          <w:p w14:paraId="7D33761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3A46B8DC">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*显示设备性能</w:t>
            </w:r>
          </w:p>
        </w:tc>
        <w:tc>
          <w:tcPr>
            <w:tcW w:w="1508" w:type="dxa"/>
            <w:vAlign w:val="center"/>
          </w:tcPr>
          <w:p w14:paraId="462E9BAD">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*显示屏位深</w:t>
            </w:r>
          </w:p>
        </w:tc>
        <w:tc>
          <w:tcPr>
            <w:tcW w:w="3852" w:type="dxa"/>
            <w:vAlign w:val="center"/>
          </w:tcPr>
          <w:p w14:paraId="051707D4">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≥8位</w:t>
            </w:r>
          </w:p>
        </w:tc>
        <w:tc>
          <w:tcPr>
            <w:tcW w:w="607" w:type="dxa"/>
            <w:vAlign w:val="center"/>
          </w:tcPr>
          <w:p w14:paraId="5F940A8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75C5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67C328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55AB301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92</w:t>
            </w:r>
          </w:p>
        </w:tc>
        <w:tc>
          <w:tcPr>
            <w:tcW w:w="1176" w:type="dxa"/>
            <w:vAlign w:val="center"/>
          </w:tcPr>
          <w:p w14:paraId="2361EF4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7F2449DB">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*显示设备性能</w:t>
            </w:r>
          </w:p>
        </w:tc>
        <w:tc>
          <w:tcPr>
            <w:tcW w:w="1508" w:type="dxa"/>
            <w:vAlign w:val="center"/>
          </w:tcPr>
          <w:p w14:paraId="2E324E12">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*显示屏色域</w:t>
            </w:r>
          </w:p>
        </w:tc>
        <w:tc>
          <w:tcPr>
            <w:tcW w:w="3852" w:type="dxa"/>
            <w:vAlign w:val="center"/>
          </w:tcPr>
          <w:p w14:paraId="5AE9D796">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≥99%sRGB</w:t>
            </w:r>
          </w:p>
        </w:tc>
        <w:tc>
          <w:tcPr>
            <w:tcW w:w="607" w:type="dxa"/>
            <w:vAlign w:val="center"/>
          </w:tcPr>
          <w:p w14:paraId="5800878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C2C0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1CA0524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4D8201C1">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93</w:t>
            </w:r>
          </w:p>
        </w:tc>
        <w:tc>
          <w:tcPr>
            <w:tcW w:w="1176" w:type="dxa"/>
            <w:vAlign w:val="center"/>
          </w:tcPr>
          <w:p w14:paraId="0F8A224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4151DD7A">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*显示设备性能</w:t>
            </w:r>
          </w:p>
        </w:tc>
        <w:tc>
          <w:tcPr>
            <w:tcW w:w="1508" w:type="dxa"/>
            <w:vAlign w:val="center"/>
          </w:tcPr>
          <w:p w14:paraId="7CAA696F">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*显示屏色准</w:t>
            </w:r>
          </w:p>
        </w:tc>
        <w:tc>
          <w:tcPr>
            <w:tcW w:w="3852" w:type="dxa"/>
            <w:vAlign w:val="center"/>
          </w:tcPr>
          <w:p w14:paraId="309BB88B">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△E≤4</w:t>
            </w:r>
          </w:p>
        </w:tc>
        <w:tc>
          <w:tcPr>
            <w:tcW w:w="607" w:type="dxa"/>
            <w:vAlign w:val="center"/>
          </w:tcPr>
          <w:p w14:paraId="610371A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7D38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20" w:type="dxa"/>
            <w:vAlign w:val="center"/>
          </w:tcPr>
          <w:p w14:paraId="20065A9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2ECD9351">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94</w:t>
            </w:r>
          </w:p>
        </w:tc>
        <w:tc>
          <w:tcPr>
            <w:tcW w:w="1176" w:type="dxa"/>
            <w:vAlign w:val="center"/>
          </w:tcPr>
          <w:p w14:paraId="1F99631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5A7A5871">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*显示设备性能</w:t>
            </w:r>
          </w:p>
        </w:tc>
        <w:tc>
          <w:tcPr>
            <w:tcW w:w="1508" w:type="dxa"/>
            <w:vAlign w:val="center"/>
          </w:tcPr>
          <w:p w14:paraId="229FDC04">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*显示屏响应时间</w:t>
            </w:r>
          </w:p>
        </w:tc>
        <w:tc>
          <w:tcPr>
            <w:tcW w:w="3852" w:type="dxa"/>
            <w:vAlign w:val="center"/>
          </w:tcPr>
          <w:p w14:paraId="69C84DAF">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≤8ms</w:t>
            </w:r>
          </w:p>
        </w:tc>
        <w:tc>
          <w:tcPr>
            <w:tcW w:w="607" w:type="dxa"/>
            <w:vAlign w:val="center"/>
          </w:tcPr>
          <w:p w14:paraId="4459104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7ABD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794D106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1C7B943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95</w:t>
            </w:r>
          </w:p>
        </w:tc>
        <w:tc>
          <w:tcPr>
            <w:tcW w:w="1176" w:type="dxa"/>
            <w:vAlign w:val="center"/>
          </w:tcPr>
          <w:p w14:paraId="4BF1D66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17BBE246">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*显示设备性能</w:t>
            </w:r>
          </w:p>
        </w:tc>
        <w:tc>
          <w:tcPr>
            <w:tcW w:w="1508" w:type="dxa"/>
            <w:vAlign w:val="center"/>
          </w:tcPr>
          <w:p w14:paraId="1DE466A2">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*显示屏亮度</w:t>
            </w:r>
          </w:p>
        </w:tc>
        <w:tc>
          <w:tcPr>
            <w:tcW w:w="3852" w:type="dxa"/>
            <w:vAlign w:val="center"/>
          </w:tcPr>
          <w:p w14:paraId="5E42081A">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≥250尼特</w:t>
            </w:r>
          </w:p>
        </w:tc>
        <w:tc>
          <w:tcPr>
            <w:tcW w:w="607" w:type="dxa"/>
            <w:vAlign w:val="center"/>
          </w:tcPr>
          <w:p w14:paraId="263DB09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3BE66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075014A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2634612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96</w:t>
            </w:r>
          </w:p>
        </w:tc>
        <w:tc>
          <w:tcPr>
            <w:tcW w:w="1176" w:type="dxa"/>
            <w:vAlign w:val="center"/>
          </w:tcPr>
          <w:p w14:paraId="4280920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596FD7FC">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*显示设备性能</w:t>
            </w:r>
          </w:p>
        </w:tc>
        <w:tc>
          <w:tcPr>
            <w:tcW w:w="1508" w:type="dxa"/>
            <w:vAlign w:val="center"/>
          </w:tcPr>
          <w:p w14:paraId="32BDC187">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*显示屏亮度一致性</w:t>
            </w:r>
          </w:p>
        </w:tc>
        <w:tc>
          <w:tcPr>
            <w:tcW w:w="3852" w:type="dxa"/>
            <w:vAlign w:val="center"/>
          </w:tcPr>
          <w:p w14:paraId="34B62FDC">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≥70%</w:t>
            </w:r>
          </w:p>
        </w:tc>
        <w:tc>
          <w:tcPr>
            <w:tcW w:w="607" w:type="dxa"/>
            <w:vAlign w:val="center"/>
          </w:tcPr>
          <w:p w14:paraId="4C56E04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67CE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10EE4F8B">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216E3F3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97</w:t>
            </w:r>
          </w:p>
        </w:tc>
        <w:tc>
          <w:tcPr>
            <w:tcW w:w="1176" w:type="dxa"/>
            <w:vAlign w:val="center"/>
          </w:tcPr>
          <w:p w14:paraId="1D7D0CC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615F4325">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*显示设备性能</w:t>
            </w:r>
          </w:p>
        </w:tc>
        <w:tc>
          <w:tcPr>
            <w:tcW w:w="1508" w:type="dxa"/>
            <w:vAlign w:val="center"/>
          </w:tcPr>
          <w:p w14:paraId="1E9FC606">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*显示屏对比度</w:t>
            </w:r>
          </w:p>
        </w:tc>
        <w:tc>
          <w:tcPr>
            <w:tcW w:w="3852" w:type="dxa"/>
            <w:vAlign w:val="center"/>
          </w:tcPr>
          <w:p w14:paraId="727C9703">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≥3000：1</w:t>
            </w:r>
          </w:p>
        </w:tc>
        <w:tc>
          <w:tcPr>
            <w:tcW w:w="607" w:type="dxa"/>
            <w:vAlign w:val="center"/>
          </w:tcPr>
          <w:p w14:paraId="30BA4F3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A21C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02E3B52">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78A6878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98</w:t>
            </w:r>
          </w:p>
        </w:tc>
        <w:tc>
          <w:tcPr>
            <w:tcW w:w="1176" w:type="dxa"/>
            <w:vAlign w:val="center"/>
          </w:tcPr>
          <w:p w14:paraId="27AA8F4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5548529D">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*显示设备性能</w:t>
            </w:r>
          </w:p>
        </w:tc>
        <w:tc>
          <w:tcPr>
            <w:tcW w:w="1508" w:type="dxa"/>
            <w:vAlign w:val="center"/>
          </w:tcPr>
          <w:p w14:paraId="5296427A">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*显示屏其他参数</w:t>
            </w:r>
          </w:p>
        </w:tc>
        <w:tc>
          <w:tcPr>
            <w:tcW w:w="3852" w:type="dxa"/>
            <w:vAlign w:val="center"/>
          </w:tcPr>
          <w:p w14:paraId="69811C4F">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其它参数应符合SJ/T11292的相关规定</w:t>
            </w:r>
          </w:p>
        </w:tc>
        <w:tc>
          <w:tcPr>
            <w:tcW w:w="607" w:type="dxa"/>
            <w:vAlign w:val="center"/>
          </w:tcPr>
          <w:p w14:paraId="1927E24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E77C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6C1670C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33F279E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99</w:t>
            </w:r>
          </w:p>
        </w:tc>
        <w:tc>
          <w:tcPr>
            <w:tcW w:w="1176" w:type="dxa"/>
            <w:vAlign w:val="center"/>
          </w:tcPr>
          <w:p w14:paraId="783BA8D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23C9786E">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*网络设备性能</w:t>
            </w:r>
          </w:p>
        </w:tc>
        <w:tc>
          <w:tcPr>
            <w:tcW w:w="1508" w:type="dxa"/>
            <w:vAlign w:val="center"/>
          </w:tcPr>
          <w:p w14:paraId="031DE783">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*有线网卡速率</w:t>
            </w:r>
          </w:p>
        </w:tc>
        <w:tc>
          <w:tcPr>
            <w:tcW w:w="3852" w:type="dxa"/>
            <w:vAlign w:val="center"/>
          </w:tcPr>
          <w:p w14:paraId="2D472E02">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最高速率应不低于1000Mbps，应支持10Mbps、100Mbps、1000Mbps速率自适应</w:t>
            </w:r>
          </w:p>
        </w:tc>
        <w:tc>
          <w:tcPr>
            <w:tcW w:w="607" w:type="dxa"/>
            <w:vAlign w:val="center"/>
          </w:tcPr>
          <w:p w14:paraId="1EBCDD0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1D85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653CBB5C">
            <w:pPr>
              <w:adjustRightInd w:val="0"/>
              <w:snapToGrid w:val="0"/>
              <w:jc w:val="center"/>
              <w:rPr>
                <w:rFonts w:ascii="仿宋_GB2312" w:eastAsia="仿宋_GB2312" w:hAnsiTheme="minorEastAsia" w:cstheme="minorEastAsia"/>
                <w:color w:val="auto"/>
                <w:sz w:val="28"/>
                <w:szCs w:val="28"/>
              </w:rPr>
            </w:pPr>
          </w:p>
        </w:tc>
        <w:tc>
          <w:tcPr>
            <w:tcW w:w="598" w:type="dxa"/>
            <w:vAlign w:val="center"/>
          </w:tcPr>
          <w:p w14:paraId="65ECB015">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100</w:t>
            </w:r>
          </w:p>
        </w:tc>
        <w:tc>
          <w:tcPr>
            <w:tcW w:w="1176" w:type="dxa"/>
            <w:vAlign w:val="center"/>
          </w:tcPr>
          <w:p w14:paraId="442BF28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65047AF6">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*网络设备性能</w:t>
            </w:r>
          </w:p>
        </w:tc>
        <w:tc>
          <w:tcPr>
            <w:tcW w:w="1508" w:type="dxa"/>
            <w:vAlign w:val="center"/>
          </w:tcPr>
          <w:p w14:paraId="77EE1F9B">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支持无线网络通信技术协议</w:t>
            </w:r>
          </w:p>
        </w:tc>
        <w:tc>
          <w:tcPr>
            <w:tcW w:w="3852" w:type="dxa"/>
            <w:vAlign w:val="center"/>
          </w:tcPr>
          <w:p w14:paraId="053F8143">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704E95D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51D2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4A01B30">
            <w:pPr>
              <w:adjustRightInd w:val="0"/>
              <w:snapToGrid w:val="0"/>
              <w:jc w:val="center"/>
              <w:rPr>
                <w:rFonts w:ascii="仿宋_GB2312" w:eastAsia="仿宋_GB2312" w:hAnsiTheme="minorEastAsia" w:cstheme="minorEastAsia"/>
                <w:color w:val="auto"/>
                <w:sz w:val="28"/>
                <w:szCs w:val="28"/>
              </w:rPr>
            </w:pPr>
          </w:p>
        </w:tc>
        <w:tc>
          <w:tcPr>
            <w:tcW w:w="598" w:type="dxa"/>
            <w:vAlign w:val="center"/>
          </w:tcPr>
          <w:p w14:paraId="7D3FDC4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101</w:t>
            </w:r>
          </w:p>
        </w:tc>
        <w:tc>
          <w:tcPr>
            <w:tcW w:w="1176" w:type="dxa"/>
            <w:vAlign w:val="center"/>
          </w:tcPr>
          <w:p w14:paraId="15F343F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性能要求</w:t>
            </w:r>
          </w:p>
        </w:tc>
        <w:tc>
          <w:tcPr>
            <w:tcW w:w="1176" w:type="dxa"/>
            <w:vAlign w:val="center"/>
          </w:tcPr>
          <w:p w14:paraId="308384BE">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*网络设备性能</w:t>
            </w:r>
          </w:p>
        </w:tc>
        <w:tc>
          <w:tcPr>
            <w:tcW w:w="1508" w:type="dxa"/>
            <w:vAlign w:val="center"/>
          </w:tcPr>
          <w:p w14:paraId="40884C55">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无线网卡频宽</w:t>
            </w:r>
          </w:p>
        </w:tc>
        <w:tc>
          <w:tcPr>
            <w:tcW w:w="3852" w:type="dxa"/>
            <w:vAlign w:val="center"/>
          </w:tcPr>
          <w:p w14:paraId="47E53484">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3F1C8B6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3ADA1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620" w:type="dxa"/>
            <w:vAlign w:val="center"/>
          </w:tcPr>
          <w:p w14:paraId="0A167E10">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1BEEEFC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102</w:t>
            </w:r>
          </w:p>
        </w:tc>
        <w:tc>
          <w:tcPr>
            <w:tcW w:w="1176" w:type="dxa"/>
            <w:vAlign w:val="center"/>
          </w:tcPr>
          <w:p w14:paraId="38714F1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6DF47FEB">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*主板功能</w:t>
            </w:r>
          </w:p>
        </w:tc>
        <w:tc>
          <w:tcPr>
            <w:tcW w:w="1508" w:type="dxa"/>
            <w:vAlign w:val="center"/>
          </w:tcPr>
          <w:p w14:paraId="57DC54A7">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*内存扩展接口</w:t>
            </w:r>
            <w:r>
              <w:rPr>
                <w:rStyle w:val="288"/>
                <w:rFonts w:ascii="仿宋_GB2312" w:eastAsia="仿宋_GB2312" w:hAnsiTheme="minorEastAsia" w:cstheme="minorEastAsia"/>
                <w:color w:val="auto"/>
                <w:sz w:val="28"/>
                <w:szCs w:val="28"/>
                <w:lang w:eastAsia="zh-CN" w:bidi="ar"/>
              </w:rPr>
              <w:br w:type="textWrapping"/>
            </w:r>
            <w:r>
              <w:rPr>
                <w:rStyle w:val="288"/>
                <w:rFonts w:ascii="仿宋_GB2312" w:eastAsia="仿宋_GB2312" w:hAnsiTheme="minorEastAsia" w:cstheme="minorEastAsia"/>
                <w:color w:val="auto"/>
                <w:sz w:val="28"/>
                <w:szCs w:val="28"/>
                <w:lang w:eastAsia="zh-CN" w:bidi="ar"/>
              </w:rPr>
              <w:t>(板载内存不涉及)</w:t>
            </w:r>
          </w:p>
        </w:tc>
        <w:tc>
          <w:tcPr>
            <w:tcW w:w="3852" w:type="dxa"/>
            <w:vAlign w:val="center"/>
          </w:tcPr>
          <w:p w14:paraId="3AA8754B">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≥2个</w:t>
            </w:r>
          </w:p>
        </w:tc>
        <w:tc>
          <w:tcPr>
            <w:tcW w:w="607" w:type="dxa"/>
            <w:vAlign w:val="center"/>
          </w:tcPr>
          <w:p w14:paraId="6BA883E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CE21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620" w:type="dxa"/>
            <w:vAlign w:val="center"/>
          </w:tcPr>
          <w:p w14:paraId="5BE8EFA2">
            <w:pPr>
              <w:adjustRightInd w:val="0"/>
              <w:snapToGrid w:val="0"/>
              <w:jc w:val="center"/>
              <w:rPr>
                <w:rFonts w:ascii="仿宋_GB2312" w:eastAsia="仿宋_GB2312" w:hAnsiTheme="minorEastAsia" w:cstheme="minorEastAsia"/>
                <w:color w:val="auto"/>
                <w:sz w:val="28"/>
                <w:szCs w:val="28"/>
              </w:rPr>
            </w:pPr>
          </w:p>
        </w:tc>
        <w:tc>
          <w:tcPr>
            <w:tcW w:w="598" w:type="dxa"/>
            <w:vAlign w:val="center"/>
          </w:tcPr>
          <w:p w14:paraId="123DFD5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103</w:t>
            </w:r>
          </w:p>
        </w:tc>
        <w:tc>
          <w:tcPr>
            <w:tcW w:w="1176" w:type="dxa"/>
            <w:vAlign w:val="center"/>
          </w:tcPr>
          <w:p w14:paraId="6F2D6E4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3CECEBBE">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*主板功能</w:t>
            </w:r>
          </w:p>
        </w:tc>
        <w:tc>
          <w:tcPr>
            <w:tcW w:w="1508" w:type="dxa"/>
            <w:vAlign w:val="center"/>
          </w:tcPr>
          <w:p w14:paraId="681CB05D">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存储扩展接口(板</w:t>
            </w:r>
            <w:r>
              <w:rPr>
                <w:rStyle w:val="288"/>
                <w:rFonts w:ascii="仿宋_GB2312" w:eastAsia="仿宋_GB2312" w:hAnsiTheme="minorEastAsia" w:cstheme="minorEastAsia"/>
                <w:color w:val="auto"/>
                <w:sz w:val="28"/>
                <w:szCs w:val="28"/>
                <w:lang w:eastAsia="zh-CN" w:bidi="ar"/>
              </w:rPr>
              <w:br w:type="textWrapping"/>
            </w:r>
            <w:r>
              <w:rPr>
                <w:rStyle w:val="288"/>
                <w:rFonts w:ascii="仿宋_GB2312" w:eastAsia="仿宋_GB2312" w:hAnsiTheme="minorEastAsia" w:cstheme="minorEastAsia"/>
                <w:color w:val="auto"/>
                <w:sz w:val="28"/>
                <w:szCs w:val="28"/>
                <w:lang w:eastAsia="zh-CN" w:bidi="ar"/>
              </w:rPr>
              <w:t>载存储不涉及)</w:t>
            </w:r>
          </w:p>
        </w:tc>
        <w:tc>
          <w:tcPr>
            <w:tcW w:w="3852" w:type="dxa"/>
            <w:vAlign w:val="center"/>
          </w:tcPr>
          <w:p w14:paraId="2FA6BF8B">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2B0F169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5258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08E09BB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2BC3B08D">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104</w:t>
            </w:r>
          </w:p>
        </w:tc>
        <w:tc>
          <w:tcPr>
            <w:tcW w:w="1176" w:type="dxa"/>
            <w:vAlign w:val="center"/>
          </w:tcPr>
          <w:p w14:paraId="0D58D39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23BADEF7">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*主板功能</w:t>
            </w:r>
          </w:p>
        </w:tc>
        <w:tc>
          <w:tcPr>
            <w:tcW w:w="1508" w:type="dxa"/>
            <w:vAlign w:val="center"/>
          </w:tcPr>
          <w:p w14:paraId="530874A8">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*主板 USB瞬间过流保护</w:t>
            </w:r>
          </w:p>
        </w:tc>
        <w:tc>
          <w:tcPr>
            <w:tcW w:w="3852" w:type="dxa"/>
            <w:vAlign w:val="center"/>
          </w:tcPr>
          <w:p w14:paraId="06704373">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支持有瞬间过流保护功能</w:t>
            </w:r>
          </w:p>
        </w:tc>
        <w:tc>
          <w:tcPr>
            <w:tcW w:w="607" w:type="dxa"/>
            <w:vAlign w:val="center"/>
          </w:tcPr>
          <w:p w14:paraId="1BD8544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0889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1B700C7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349AF8CA">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105</w:t>
            </w:r>
          </w:p>
        </w:tc>
        <w:tc>
          <w:tcPr>
            <w:tcW w:w="1176" w:type="dxa"/>
            <w:vAlign w:val="center"/>
          </w:tcPr>
          <w:p w14:paraId="384722C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1C0D9AB0">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*主板功能</w:t>
            </w:r>
          </w:p>
        </w:tc>
        <w:tc>
          <w:tcPr>
            <w:tcW w:w="1508" w:type="dxa"/>
            <w:vAlign w:val="center"/>
          </w:tcPr>
          <w:p w14:paraId="50F4117A">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*主板防静电保护</w:t>
            </w:r>
          </w:p>
        </w:tc>
        <w:tc>
          <w:tcPr>
            <w:tcW w:w="3852" w:type="dxa"/>
            <w:vAlign w:val="center"/>
          </w:tcPr>
          <w:p w14:paraId="3E4F505C">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支持防静电保护功能</w:t>
            </w:r>
          </w:p>
        </w:tc>
        <w:tc>
          <w:tcPr>
            <w:tcW w:w="607" w:type="dxa"/>
            <w:vAlign w:val="center"/>
          </w:tcPr>
          <w:p w14:paraId="03CAA78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5DC3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2" w:hRule="atLeast"/>
          <w:jc w:val="center"/>
        </w:trPr>
        <w:tc>
          <w:tcPr>
            <w:tcW w:w="620" w:type="dxa"/>
            <w:vAlign w:val="center"/>
          </w:tcPr>
          <w:p w14:paraId="6321D2A5">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239AE41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106</w:t>
            </w:r>
          </w:p>
        </w:tc>
        <w:tc>
          <w:tcPr>
            <w:tcW w:w="1176" w:type="dxa"/>
            <w:vAlign w:val="center"/>
          </w:tcPr>
          <w:p w14:paraId="082C887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2F7C15B9">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*主板功能</w:t>
            </w:r>
          </w:p>
        </w:tc>
        <w:tc>
          <w:tcPr>
            <w:tcW w:w="1508" w:type="dxa"/>
            <w:vAlign w:val="center"/>
          </w:tcPr>
          <w:p w14:paraId="465A218A">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*I/O 接口功能</w:t>
            </w:r>
          </w:p>
        </w:tc>
        <w:tc>
          <w:tcPr>
            <w:tcW w:w="3852" w:type="dxa"/>
            <w:vAlign w:val="center"/>
          </w:tcPr>
          <w:p w14:paraId="0AC581FA">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提供基于标准USB接口外设连接功能、基于音频输入输出接口的音频扩展功能、基于PCIe接口板卡扩展功能、基于HDMI或VGA或Type-C或DVI或DP等接口外接显示器扩展功能、基于存储接口对产品进行增容功能等。产品I/O接口，应具备外接标准USB设备、显示器、音频设备等内外部设备能力</w:t>
            </w:r>
          </w:p>
        </w:tc>
        <w:tc>
          <w:tcPr>
            <w:tcW w:w="607" w:type="dxa"/>
            <w:vAlign w:val="center"/>
          </w:tcPr>
          <w:p w14:paraId="56181B4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7B14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1D39D45B">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4E94663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107</w:t>
            </w:r>
          </w:p>
        </w:tc>
        <w:tc>
          <w:tcPr>
            <w:tcW w:w="1176" w:type="dxa"/>
            <w:vAlign w:val="center"/>
          </w:tcPr>
          <w:p w14:paraId="2E22774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7B464E61">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*显卡功能</w:t>
            </w:r>
          </w:p>
        </w:tc>
        <w:tc>
          <w:tcPr>
            <w:tcW w:w="1508" w:type="dxa"/>
            <w:vAlign w:val="center"/>
          </w:tcPr>
          <w:p w14:paraId="5339E7E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*显卡外接显示接口</w:t>
            </w:r>
          </w:p>
        </w:tc>
        <w:tc>
          <w:tcPr>
            <w:tcW w:w="3852" w:type="dxa"/>
            <w:vAlign w:val="center"/>
          </w:tcPr>
          <w:p w14:paraId="6F82951B">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显卡至少支持VGA、HDMI、DVI、DP、Type-C中1种显示接口，并与显示器接口相匹配</w:t>
            </w:r>
          </w:p>
        </w:tc>
        <w:tc>
          <w:tcPr>
            <w:tcW w:w="607" w:type="dxa"/>
            <w:vAlign w:val="center"/>
          </w:tcPr>
          <w:p w14:paraId="7F9F273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09F0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071F0178">
            <w:pPr>
              <w:adjustRightInd w:val="0"/>
              <w:snapToGrid w:val="0"/>
              <w:jc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4B8808B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108</w:t>
            </w:r>
          </w:p>
        </w:tc>
        <w:tc>
          <w:tcPr>
            <w:tcW w:w="1176" w:type="dxa"/>
            <w:vAlign w:val="center"/>
          </w:tcPr>
          <w:p w14:paraId="3CC2860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0D9CB3EE">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*显卡功能</w:t>
            </w:r>
          </w:p>
        </w:tc>
        <w:tc>
          <w:tcPr>
            <w:tcW w:w="1508" w:type="dxa"/>
            <w:vAlign w:val="center"/>
          </w:tcPr>
          <w:p w14:paraId="4FAF6ED4">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独立显卡数量</w:t>
            </w:r>
          </w:p>
        </w:tc>
        <w:tc>
          <w:tcPr>
            <w:tcW w:w="3852" w:type="dxa"/>
            <w:vAlign w:val="center"/>
          </w:tcPr>
          <w:p w14:paraId="183B8BCB">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≥1</w:t>
            </w:r>
          </w:p>
        </w:tc>
        <w:tc>
          <w:tcPr>
            <w:tcW w:w="607" w:type="dxa"/>
            <w:vAlign w:val="center"/>
          </w:tcPr>
          <w:p w14:paraId="3F6E96E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3222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4111535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50B726D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109</w:t>
            </w:r>
          </w:p>
        </w:tc>
        <w:tc>
          <w:tcPr>
            <w:tcW w:w="1176" w:type="dxa"/>
            <w:vAlign w:val="center"/>
          </w:tcPr>
          <w:p w14:paraId="1D59F81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1F8EAEF2">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*显示设备功能</w:t>
            </w:r>
          </w:p>
        </w:tc>
        <w:tc>
          <w:tcPr>
            <w:tcW w:w="1508" w:type="dxa"/>
            <w:vAlign w:val="center"/>
          </w:tcPr>
          <w:p w14:paraId="3FDA3CAD">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*显示器接口</w:t>
            </w:r>
          </w:p>
        </w:tc>
        <w:tc>
          <w:tcPr>
            <w:tcW w:w="3852" w:type="dxa"/>
            <w:vAlign w:val="center"/>
          </w:tcPr>
          <w:p w14:paraId="32568C9E">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显示器应与显卡外接显示接口匹配</w:t>
            </w:r>
          </w:p>
        </w:tc>
        <w:tc>
          <w:tcPr>
            <w:tcW w:w="607" w:type="dxa"/>
            <w:vAlign w:val="center"/>
          </w:tcPr>
          <w:p w14:paraId="3D5D661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EECA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1062389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2322BB80">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110</w:t>
            </w:r>
          </w:p>
        </w:tc>
        <w:tc>
          <w:tcPr>
            <w:tcW w:w="1176" w:type="dxa"/>
            <w:vAlign w:val="center"/>
          </w:tcPr>
          <w:p w14:paraId="067FD68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71558EEB">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*显示设备功能</w:t>
            </w:r>
          </w:p>
        </w:tc>
        <w:tc>
          <w:tcPr>
            <w:tcW w:w="1508" w:type="dxa"/>
            <w:vAlign w:val="center"/>
          </w:tcPr>
          <w:p w14:paraId="7A58CF12">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*显示器支架</w:t>
            </w:r>
          </w:p>
        </w:tc>
        <w:tc>
          <w:tcPr>
            <w:tcW w:w="3852" w:type="dxa"/>
            <w:vAlign w:val="center"/>
          </w:tcPr>
          <w:p w14:paraId="3C0CCF90">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显示器应提供显示器支架，根据采购人需求支持屏幕旋转、升降等</w:t>
            </w:r>
          </w:p>
        </w:tc>
        <w:tc>
          <w:tcPr>
            <w:tcW w:w="607" w:type="dxa"/>
            <w:vAlign w:val="center"/>
          </w:tcPr>
          <w:p w14:paraId="5283A20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74DC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778DD62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175E9BC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111</w:t>
            </w:r>
          </w:p>
        </w:tc>
        <w:tc>
          <w:tcPr>
            <w:tcW w:w="1176" w:type="dxa"/>
            <w:vAlign w:val="center"/>
          </w:tcPr>
          <w:p w14:paraId="238BA8F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3FDDECFD">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*显示设备功能</w:t>
            </w:r>
          </w:p>
        </w:tc>
        <w:tc>
          <w:tcPr>
            <w:tcW w:w="1508" w:type="dxa"/>
            <w:vAlign w:val="center"/>
          </w:tcPr>
          <w:p w14:paraId="3FD976E8">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*显示器参数调节</w:t>
            </w:r>
          </w:p>
        </w:tc>
        <w:tc>
          <w:tcPr>
            <w:tcW w:w="3852" w:type="dxa"/>
            <w:vAlign w:val="center"/>
          </w:tcPr>
          <w:p w14:paraId="14B389AF">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a)提供OSD选单按钮用于调节色彩、模式等；</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b)支持色温、亮度、对比度调节</w:t>
            </w:r>
          </w:p>
        </w:tc>
        <w:tc>
          <w:tcPr>
            <w:tcW w:w="607" w:type="dxa"/>
            <w:vAlign w:val="center"/>
          </w:tcPr>
          <w:p w14:paraId="46B5CB8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BC88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620" w:type="dxa"/>
            <w:vAlign w:val="center"/>
          </w:tcPr>
          <w:p w14:paraId="0D2894E9">
            <w:pPr>
              <w:adjustRightInd w:val="0"/>
              <w:snapToGrid w:val="0"/>
              <w:jc w:val="center"/>
              <w:rPr>
                <w:rFonts w:ascii="仿宋_GB2312" w:eastAsia="仿宋_GB2312" w:hAnsiTheme="minorEastAsia" w:cstheme="minorEastAsia"/>
                <w:color w:val="auto"/>
                <w:sz w:val="28"/>
                <w:szCs w:val="28"/>
              </w:rPr>
            </w:pPr>
          </w:p>
        </w:tc>
        <w:tc>
          <w:tcPr>
            <w:tcW w:w="598" w:type="dxa"/>
            <w:vAlign w:val="center"/>
          </w:tcPr>
          <w:p w14:paraId="68E562CB">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112</w:t>
            </w:r>
          </w:p>
        </w:tc>
        <w:tc>
          <w:tcPr>
            <w:tcW w:w="1176" w:type="dxa"/>
            <w:vAlign w:val="center"/>
          </w:tcPr>
          <w:p w14:paraId="430BEFC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3BFA333B">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外设功能</w:t>
            </w:r>
          </w:p>
        </w:tc>
        <w:tc>
          <w:tcPr>
            <w:tcW w:w="1508" w:type="dxa"/>
            <w:vAlign w:val="center"/>
          </w:tcPr>
          <w:p w14:paraId="088C3009">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摄像头物理隐私保护开关</w:t>
            </w:r>
          </w:p>
        </w:tc>
        <w:tc>
          <w:tcPr>
            <w:tcW w:w="3852" w:type="dxa"/>
            <w:vAlign w:val="center"/>
          </w:tcPr>
          <w:p w14:paraId="051B7555">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0970E9D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6C25C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6815DF41">
            <w:pPr>
              <w:adjustRightInd w:val="0"/>
              <w:snapToGrid w:val="0"/>
              <w:jc w:val="center"/>
              <w:rPr>
                <w:rFonts w:ascii="仿宋_GB2312" w:eastAsia="仿宋_GB2312" w:hAnsiTheme="minorEastAsia" w:cstheme="minorEastAsia"/>
                <w:color w:val="auto"/>
                <w:sz w:val="28"/>
                <w:szCs w:val="28"/>
              </w:rPr>
            </w:pPr>
          </w:p>
        </w:tc>
        <w:tc>
          <w:tcPr>
            <w:tcW w:w="598" w:type="dxa"/>
            <w:vAlign w:val="center"/>
          </w:tcPr>
          <w:p w14:paraId="2A22B61A">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113</w:t>
            </w:r>
          </w:p>
        </w:tc>
        <w:tc>
          <w:tcPr>
            <w:tcW w:w="1176" w:type="dxa"/>
            <w:vAlign w:val="center"/>
          </w:tcPr>
          <w:p w14:paraId="10B0D61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6B12179B">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外设功能</w:t>
            </w:r>
          </w:p>
        </w:tc>
        <w:tc>
          <w:tcPr>
            <w:tcW w:w="1508" w:type="dxa"/>
            <w:vAlign w:val="center"/>
          </w:tcPr>
          <w:p w14:paraId="30207AB0">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传声器降噪</w:t>
            </w:r>
          </w:p>
        </w:tc>
        <w:tc>
          <w:tcPr>
            <w:tcW w:w="3852" w:type="dxa"/>
            <w:vAlign w:val="center"/>
          </w:tcPr>
          <w:p w14:paraId="690F82A2">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131372B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9750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620" w:type="dxa"/>
            <w:vAlign w:val="center"/>
          </w:tcPr>
          <w:p w14:paraId="7F5535BF">
            <w:pPr>
              <w:adjustRightInd w:val="0"/>
              <w:snapToGrid w:val="0"/>
              <w:jc w:val="center"/>
              <w:rPr>
                <w:rFonts w:ascii="仿宋_GB2312" w:eastAsia="仿宋_GB2312" w:hAnsiTheme="minorEastAsia" w:cstheme="minorEastAsia"/>
                <w:color w:val="auto"/>
                <w:sz w:val="28"/>
                <w:szCs w:val="28"/>
              </w:rPr>
            </w:pPr>
          </w:p>
        </w:tc>
        <w:tc>
          <w:tcPr>
            <w:tcW w:w="598" w:type="dxa"/>
            <w:vAlign w:val="center"/>
          </w:tcPr>
          <w:p w14:paraId="02FBDA4D">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114</w:t>
            </w:r>
          </w:p>
        </w:tc>
        <w:tc>
          <w:tcPr>
            <w:tcW w:w="1176" w:type="dxa"/>
            <w:vAlign w:val="center"/>
          </w:tcPr>
          <w:p w14:paraId="12F25D7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76F87F7D">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外设功能</w:t>
            </w:r>
          </w:p>
        </w:tc>
        <w:tc>
          <w:tcPr>
            <w:tcW w:w="1508" w:type="dxa"/>
            <w:vAlign w:val="center"/>
          </w:tcPr>
          <w:p w14:paraId="363FC669">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键盘背光</w:t>
            </w:r>
          </w:p>
        </w:tc>
        <w:tc>
          <w:tcPr>
            <w:tcW w:w="3852" w:type="dxa"/>
            <w:vAlign w:val="center"/>
          </w:tcPr>
          <w:p w14:paraId="47AB887B">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1A9FA47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1ED7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1A3A7BB1">
            <w:pPr>
              <w:adjustRightInd w:val="0"/>
              <w:snapToGrid w:val="0"/>
              <w:jc w:val="center"/>
              <w:rPr>
                <w:rFonts w:ascii="仿宋_GB2312" w:eastAsia="仿宋_GB2312" w:hAnsiTheme="minorEastAsia" w:cstheme="minorEastAsia"/>
                <w:color w:val="auto"/>
                <w:sz w:val="28"/>
                <w:szCs w:val="28"/>
              </w:rPr>
            </w:pPr>
          </w:p>
        </w:tc>
        <w:tc>
          <w:tcPr>
            <w:tcW w:w="598" w:type="dxa"/>
            <w:vAlign w:val="center"/>
          </w:tcPr>
          <w:p w14:paraId="50A7ED92">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115</w:t>
            </w:r>
          </w:p>
        </w:tc>
        <w:tc>
          <w:tcPr>
            <w:tcW w:w="1176" w:type="dxa"/>
            <w:vAlign w:val="center"/>
          </w:tcPr>
          <w:p w14:paraId="5551E3B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4198B51F">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外设功能</w:t>
            </w:r>
          </w:p>
        </w:tc>
        <w:tc>
          <w:tcPr>
            <w:tcW w:w="1508" w:type="dxa"/>
            <w:vAlign w:val="center"/>
          </w:tcPr>
          <w:p w14:paraId="1A694C77">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光驱功能</w:t>
            </w:r>
          </w:p>
        </w:tc>
        <w:tc>
          <w:tcPr>
            <w:tcW w:w="3852" w:type="dxa"/>
            <w:vAlign w:val="center"/>
          </w:tcPr>
          <w:p w14:paraId="54A741C7">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2F93534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62989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4EF6E9C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717484A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116</w:t>
            </w:r>
          </w:p>
        </w:tc>
        <w:tc>
          <w:tcPr>
            <w:tcW w:w="1176" w:type="dxa"/>
            <w:vAlign w:val="center"/>
          </w:tcPr>
          <w:p w14:paraId="1E11444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1774EA01">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*存储功能</w:t>
            </w:r>
          </w:p>
        </w:tc>
        <w:tc>
          <w:tcPr>
            <w:tcW w:w="1508" w:type="dxa"/>
            <w:vAlign w:val="center"/>
          </w:tcPr>
          <w:p w14:paraId="7B41E128">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*存储功能</w:t>
            </w:r>
          </w:p>
        </w:tc>
        <w:tc>
          <w:tcPr>
            <w:tcW w:w="3852" w:type="dxa"/>
            <w:vAlign w:val="center"/>
          </w:tcPr>
          <w:p w14:paraId="2967AF99">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通过PCIe 固态存储部件提供存储功能</w:t>
            </w:r>
          </w:p>
        </w:tc>
        <w:tc>
          <w:tcPr>
            <w:tcW w:w="607" w:type="dxa"/>
            <w:vAlign w:val="center"/>
          </w:tcPr>
          <w:p w14:paraId="09C8420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9017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13CE6F51">
            <w:pPr>
              <w:adjustRightInd w:val="0"/>
              <w:snapToGrid w:val="0"/>
              <w:jc w:val="center"/>
              <w:rPr>
                <w:rFonts w:ascii="仿宋_GB2312" w:eastAsia="仿宋_GB2312" w:hAnsiTheme="minorEastAsia" w:cstheme="minorEastAsia"/>
                <w:color w:val="auto"/>
                <w:sz w:val="28"/>
                <w:szCs w:val="28"/>
                <w:lang w:eastAsia="zh-CN"/>
              </w:rPr>
            </w:pPr>
          </w:p>
        </w:tc>
        <w:tc>
          <w:tcPr>
            <w:tcW w:w="598" w:type="dxa"/>
            <w:vAlign w:val="center"/>
          </w:tcPr>
          <w:p w14:paraId="71913D9B">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117</w:t>
            </w:r>
          </w:p>
        </w:tc>
        <w:tc>
          <w:tcPr>
            <w:tcW w:w="1176" w:type="dxa"/>
            <w:vAlign w:val="center"/>
          </w:tcPr>
          <w:p w14:paraId="6BF5529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3D6DC791">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*存储功能</w:t>
            </w:r>
          </w:p>
        </w:tc>
        <w:tc>
          <w:tcPr>
            <w:tcW w:w="1508" w:type="dxa"/>
            <w:vAlign w:val="center"/>
          </w:tcPr>
          <w:p w14:paraId="378DCA63">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内置控制器固态存储加密</w:t>
            </w:r>
          </w:p>
        </w:tc>
        <w:tc>
          <w:tcPr>
            <w:tcW w:w="3852" w:type="dxa"/>
            <w:vAlign w:val="center"/>
          </w:tcPr>
          <w:p w14:paraId="5568A768">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c>
          <w:tcPr>
            <w:tcW w:w="607" w:type="dxa"/>
            <w:vAlign w:val="center"/>
          </w:tcPr>
          <w:p w14:paraId="2AEB1E9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A4F1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6748C2EB">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6D6A937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118</w:t>
            </w:r>
          </w:p>
        </w:tc>
        <w:tc>
          <w:tcPr>
            <w:tcW w:w="1176" w:type="dxa"/>
            <w:vAlign w:val="center"/>
          </w:tcPr>
          <w:p w14:paraId="2CA79A1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34CE383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*网络设备功能</w:t>
            </w:r>
          </w:p>
        </w:tc>
        <w:tc>
          <w:tcPr>
            <w:tcW w:w="1508" w:type="dxa"/>
            <w:vAlign w:val="center"/>
          </w:tcPr>
          <w:p w14:paraId="665099F5">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*网络功能</w:t>
            </w:r>
          </w:p>
        </w:tc>
        <w:tc>
          <w:tcPr>
            <w:tcW w:w="3852" w:type="dxa"/>
            <w:vAlign w:val="center"/>
          </w:tcPr>
          <w:p w14:paraId="3D2F3A60">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a)支持网络连接、网络开启/关闭功能；</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b)支持访问网络和数据交换功能</w:t>
            </w:r>
          </w:p>
        </w:tc>
        <w:tc>
          <w:tcPr>
            <w:tcW w:w="607" w:type="dxa"/>
            <w:vAlign w:val="center"/>
          </w:tcPr>
          <w:p w14:paraId="57DF3DB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67A7E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0" w:type="dxa"/>
            <w:vAlign w:val="center"/>
          </w:tcPr>
          <w:p w14:paraId="365F9061">
            <w:pPr>
              <w:adjustRightInd w:val="0"/>
              <w:snapToGrid w:val="0"/>
              <w:jc w:val="center"/>
              <w:rPr>
                <w:rFonts w:ascii="仿宋_GB2312" w:eastAsia="仿宋_GB2312" w:hAnsiTheme="minorEastAsia" w:cstheme="minorEastAsia"/>
                <w:color w:val="auto"/>
                <w:sz w:val="28"/>
                <w:szCs w:val="28"/>
              </w:rPr>
            </w:pPr>
          </w:p>
        </w:tc>
        <w:tc>
          <w:tcPr>
            <w:tcW w:w="598" w:type="dxa"/>
            <w:vAlign w:val="center"/>
          </w:tcPr>
          <w:p w14:paraId="0B329F2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119</w:t>
            </w:r>
          </w:p>
        </w:tc>
        <w:tc>
          <w:tcPr>
            <w:tcW w:w="1176" w:type="dxa"/>
            <w:vAlign w:val="center"/>
          </w:tcPr>
          <w:p w14:paraId="30103A57">
            <w:pPr>
              <w:adjustRightInd w:val="0"/>
              <w:snapToGrid w:val="0"/>
              <w:jc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799AE4A8">
            <w:pPr>
              <w:adjustRightInd w:val="0"/>
              <w:snapToGrid w:val="0"/>
              <w:jc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*网络设备功能</w:t>
            </w:r>
          </w:p>
        </w:tc>
        <w:tc>
          <w:tcPr>
            <w:tcW w:w="1508" w:type="dxa"/>
            <w:vAlign w:val="center"/>
          </w:tcPr>
          <w:p w14:paraId="4643050E">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无线网卡频段</w:t>
            </w:r>
          </w:p>
        </w:tc>
        <w:tc>
          <w:tcPr>
            <w:tcW w:w="3852" w:type="dxa"/>
            <w:vAlign w:val="center"/>
          </w:tcPr>
          <w:p w14:paraId="1425C607">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082AA92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2705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30AAFCE8">
            <w:pPr>
              <w:adjustRightInd w:val="0"/>
              <w:snapToGrid w:val="0"/>
              <w:jc w:val="center"/>
              <w:rPr>
                <w:rFonts w:ascii="仿宋_GB2312" w:eastAsia="仿宋_GB2312" w:hAnsiTheme="minorEastAsia" w:cstheme="minorEastAsia"/>
                <w:color w:val="auto"/>
                <w:sz w:val="28"/>
                <w:szCs w:val="28"/>
              </w:rPr>
            </w:pPr>
          </w:p>
        </w:tc>
        <w:tc>
          <w:tcPr>
            <w:tcW w:w="598" w:type="dxa"/>
            <w:vAlign w:val="center"/>
          </w:tcPr>
          <w:p w14:paraId="2AB52C85">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120</w:t>
            </w:r>
          </w:p>
        </w:tc>
        <w:tc>
          <w:tcPr>
            <w:tcW w:w="1176" w:type="dxa"/>
            <w:vAlign w:val="center"/>
          </w:tcPr>
          <w:p w14:paraId="0379B4C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6F19BEB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*网络设备功能</w:t>
            </w:r>
          </w:p>
        </w:tc>
        <w:tc>
          <w:tcPr>
            <w:tcW w:w="1508" w:type="dxa"/>
            <w:vAlign w:val="center"/>
          </w:tcPr>
          <w:p w14:paraId="49B64CB2">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物理开关</w:t>
            </w:r>
          </w:p>
        </w:tc>
        <w:tc>
          <w:tcPr>
            <w:tcW w:w="3852" w:type="dxa"/>
            <w:vAlign w:val="center"/>
          </w:tcPr>
          <w:p w14:paraId="71A916D0">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7EDD14B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2093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2B47904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7377D71A">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121</w:t>
            </w:r>
          </w:p>
        </w:tc>
        <w:tc>
          <w:tcPr>
            <w:tcW w:w="1176" w:type="dxa"/>
            <w:vAlign w:val="center"/>
          </w:tcPr>
          <w:p w14:paraId="5783FE5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7DC095FB">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*网络设备功能</w:t>
            </w:r>
          </w:p>
        </w:tc>
        <w:tc>
          <w:tcPr>
            <w:tcW w:w="1508" w:type="dxa"/>
            <w:vAlign w:val="center"/>
          </w:tcPr>
          <w:p w14:paraId="6046CA99">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*数据传输</w:t>
            </w:r>
          </w:p>
        </w:tc>
        <w:tc>
          <w:tcPr>
            <w:tcW w:w="3852" w:type="dxa"/>
            <w:vAlign w:val="center"/>
          </w:tcPr>
          <w:p w14:paraId="16D738B6">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支持数据传输能力，并提供数据流量和异常日志记录功能</w:t>
            </w:r>
          </w:p>
        </w:tc>
        <w:tc>
          <w:tcPr>
            <w:tcW w:w="607" w:type="dxa"/>
            <w:vAlign w:val="center"/>
          </w:tcPr>
          <w:p w14:paraId="59A74B8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2E1F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35915413">
            <w:pPr>
              <w:adjustRightInd w:val="0"/>
              <w:snapToGrid w:val="0"/>
              <w:jc w:val="center"/>
              <w:rPr>
                <w:rFonts w:ascii="仿宋_GB2312" w:eastAsia="仿宋_GB2312" w:hAnsiTheme="minorEastAsia" w:cstheme="minorEastAsia"/>
                <w:color w:val="auto"/>
                <w:sz w:val="28"/>
                <w:szCs w:val="28"/>
              </w:rPr>
            </w:pPr>
          </w:p>
        </w:tc>
        <w:tc>
          <w:tcPr>
            <w:tcW w:w="598" w:type="dxa"/>
            <w:vAlign w:val="center"/>
          </w:tcPr>
          <w:p w14:paraId="2353332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122</w:t>
            </w:r>
          </w:p>
        </w:tc>
        <w:tc>
          <w:tcPr>
            <w:tcW w:w="1176" w:type="dxa"/>
            <w:vAlign w:val="center"/>
          </w:tcPr>
          <w:p w14:paraId="49DE05E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65956B9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*网络设备功能</w:t>
            </w:r>
          </w:p>
        </w:tc>
        <w:tc>
          <w:tcPr>
            <w:tcW w:w="1508" w:type="dxa"/>
            <w:vAlign w:val="center"/>
          </w:tcPr>
          <w:p w14:paraId="304DB003">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蓝牙协议</w:t>
            </w:r>
          </w:p>
        </w:tc>
        <w:tc>
          <w:tcPr>
            <w:tcW w:w="3852" w:type="dxa"/>
            <w:vAlign w:val="center"/>
          </w:tcPr>
          <w:p w14:paraId="2F663E5B">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0072E5A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0EEA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419A501A">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57FFD67A">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123</w:t>
            </w:r>
          </w:p>
        </w:tc>
        <w:tc>
          <w:tcPr>
            <w:tcW w:w="1176" w:type="dxa"/>
            <w:vAlign w:val="center"/>
          </w:tcPr>
          <w:p w14:paraId="0CD3E8C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3895E7B2">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*网络设备功能</w:t>
            </w:r>
          </w:p>
        </w:tc>
        <w:tc>
          <w:tcPr>
            <w:tcW w:w="1508" w:type="dxa"/>
            <w:vAlign w:val="center"/>
          </w:tcPr>
          <w:p w14:paraId="69E6637D">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*有线网卡接口类型</w:t>
            </w:r>
          </w:p>
        </w:tc>
        <w:tc>
          <w:tcPr>
            <w:tcW w:w="3852" w:type="dxa"/>
            <w:vAlign w:val="center"/>
          </w:tcPr>
          <w:p w14:paraId="4683ABB8">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支持RJ45接口</w:t>
            </w:r>
          </w:p>
        </w:tc>
        <w:tc>
          <w:tcPr>
            <w:tcW w:w="607" w:type="dxa"/>
            <w:vAlign w:val="center"/>
          </w:tcPr>
          <w:p w14:paraId="445F8E9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55CD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7E448E02">
            <w:pPr>
              <w:adjustRightInd w:val="0"/>
              <w:snapToGrid w:val="0"/>
              <w:jc w:val="center"/>
              <w:rPr>
                <w:rFonts w:ascii="仿宋_GB2312" w:eastAsia="仿宋_GB2312" w:hAnsiTheme="minorEastAsia" w:cstheme="minorEastAsia"/>
                <w:color w:val="auto"/>
                <w:sz w:val="28"/>
                <w:szCs w:val="28"/>
              </w:rPr>
            </w:pPr>
          </w:p>
        </w:tc>
        <w:tc>
          <w:tcPr>
            <w:tcW w:w="598" w:type="dxa"/>
            <w:vAlign w:val="center"/>
          </w:tcPr>
          <w:p w14:paraId="2708E5E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124</w:t>
            </w:r>
          </w:p>
        </w:tc>
        <w:tc>
          <w:tcPr>
            <w:tcW w:w="1176" w:type="dxa"/>
            <w:vAlign w:val="center"/>
          </w:tcPr>
          <w:p w14:paraId="1B69910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3BEDDB3D">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*网络设备功能</w:t>
            </w:r>
          </w:p>
        </w:tc>
        <w:tc>
          <w:tcPr>
            <w:tcW w:w="1508" w:type="dxa"/>
            <w:vAlign w:val="center"/>
          </w:tcPr>
          <w:p w14:paraId="2F008C40">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无线网卡标准</w:t>
            </w:r>
          </w:p>
        </w:tc>
        <w:tc>
          <w:tcPr>
            <w:tcW w:w="3852" w:type="dxa"/>
            <w:vAlign w:val="center"/>
          </w:tcPr>
          <w:p w14:paraId="43114BF7">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099C1EF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3D4F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163A020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4A6BE0F1">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125</w:t>
            </w:r>
          </w:p>
        </w:tc>
        <w:tc>
          <w:tcPr>
            <w:tcW w:w="1176" w:type="dxa"/>
            <w:vAlign w:val="center"/>
          </w:tcPr>
          <w:p w14:paraId="27A14BB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71E1FD2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*网络设备功能</w:t>
            </w:r>
          </w:p>
        </w:tc>
        <w:tc>
          <w:tcPr>
            <w:tcW w:w="1508" w:type="dxa"/>
            <w:vAlign w:val="center"/>
          </w:tcPr>
          <w:p w14:paraId="05BA7773">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*网络设备拆装</w:t>
            </w:r>
          </w:p>
        </w:tc>
        <w:tc>
          <w:tcPr>
            <w:tcW w:w="3852" w:type="dxa"/>
            <w:vAlign w:val="center"/>
          </w:tcPr>
          <w:p w14:paraId="5D8530FF">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网络设备支持物理拆装，包括无线网卡和蓝牙模块等</w:t>
            </w:r>
          </w:p>
        </w:tc>
        <w:tc>
          <w:tcPr>
            <w:tcW w:w="607" w:type="dxa"/>
            <w:vAlign w:val="center"/>
          </w:tcPr>
          <w:p w14:paraId="59B585A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5029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3B31091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6337ABF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126</w:t>
            </w:r>
          </w:p>
        </w:tc>
        <w:tc>
          <w:tcPr>
            <w:tcW w:w="1176" w:type="dxa"/>
            <w:vAlign w:val="center"/>
          </w:tcPr>
          <w:p w14:paraId="69CD54C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05398680">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*外部接口功能</w:t>
            </w:r>
          </w:p>
        </w:tc>
        <w:tc>
          <w:tcPr>
            <w:tcW w:w="1508" w:type="dxa"/>
            <w:vAlign w:val="center"/>
          </w:tcPr>
          <w:p w14:paraId="0AE97ED2">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*音频接口类型</w:t>
            </w:r>
          </w:p>
        </w:tc>
        <w:tc>
          <w:tcPr>
            <w:tcW w:w="3852" w:type="dxa"/>
            <w:vAlign w:val="center"/>
          </w:tcPr>
          <w:p w14:paraId="3AB2F91C">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支持3.5mm孔径3段式或4段式接口</w:t>
            </w:r>
          </w:p>
        </w:tc>
        <w:tc>
          <w:tcPr>
            <w:tcW w:w="607" w:type="dxa"/>
            <w:vAlign w:val="center"/>
          </w:tcPr>
          <w:p w14:paraId="7F0B713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37E6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004FC861">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0FC6DDD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127</w:t>
            </w:r>
          </w:p>
        </w:tc>
        <w:tc>
          <w:tcPr>
            <w:tcW w:w="1176" w:type="dxa"/>
            <w:vAlign w:val="center"/>
          </w:tcPr>
          <w:p w14:paraId="5B389E0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26143BF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*外部接口功能</w:t>
            </w:r>
          </w:p>
        </w:tc>
        <w:tc>
          <w:tcPr>
            <w:tcW w:w="1508" w:type="dxa"/>
            <w:vAlign w:val="center"/>
          </w:tcPr>
          <w:p w14:paraId="714E07BD">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*视频接口类型</w:t>
            </w:r>
          </w:p>
        </w:tc>
        <w:tc>
          <w:tcPr>
            <w:tcW w:w="3852" w:type="dxa"/>
            <w:vAlign w:val="center"/>
          </w:tcPr>
          <w:p w14:paraId="598BCBA7">
            <w:pPr>
              <w:adjustRightInd w:val="0"/>
              <w:snapToGrid w:val="0"/>
              <w:jc w:val="left"/>
              <w:textAlignment w:val="center"/>
              <w:rPr>
                <w:rStyle w:val="288"/>
                <w:rFonts w:hint="default" w:ascii="仿宋_GB2312" w:hAnsi="Arial" w:eastAsia="仿宋_GB2312" w:cs="Arial"/>
                <w:sz w:val="28"/>
                <w:szCs w:val="28"/>
              </w:rPr>
            </w:pPr>
            <w:r>
              <w:rPr>
                <w:rFonts w:ascii="仿宋_GB2312" w:hAnsi="Arial" w:eastAsia="仿宋_GB2312" w:cs="Arial"/>
                <w:sz w:val="28"/>
                <w:szCs w:val="28"/>
                <w:lang w:val="en-US"/>
              </w:rPr>
              <w:t>至少支持 VGA、HDMI、DVI、DP、Type-C 中 2 种显示接口</w:t>
            </w:r>
          </w:p>
        </w:tc>
        <w:tc>
          <w:tcPr>
            <w:tcW w:w="607" w:type="dxa"/>
            <w:vAlign w:val="center"/>
          </w:tcPr>
          <w:p w14:paraId="6310B86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B149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72F417A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193BEC7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128</w:t>
            </w:r>
          </w:p>
        </w:tc>
        <w:tc>
          <w:tcPr>
            <w:tcW w:w="1176" w:type="dxa"/>
            <w:vAlign w:val="center"/>
          </w:tcPr>
          <w:p w14:paraId="2AEB245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19DDDD4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*外部接口功能</w:t>
            </w:r>
          </w:p>
        </w:tc>
        <w:tc>
          <w:tcPr>
            <w:tcW w:w="1508" w:type="dxa"/>
            <w:vAlign w:val="center"/>
          </w:tcPr>
          <w:p w14:paraId="6F7F6F3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*HDMI、DP、Type-C显示接口要求</w:t>
            </w:r>
          </w:p>
        </w:tc>
        <w:tc>
          <w:tcPr>
            <w:tcW w:w="3852" w:type="dxa"/>
            <w:vAlign w:val="center"/>
          </w:tcPr>
          <w:p w14:paraId="06DAA38B">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若提供HDMI或DP或Type-C作为显示接口，应支持音频和视频同步输出</w:t>
            </w:r>
          </w:p>
        </w:tc>
        <w:tc>
          <w:tcPr>
            <w:tcW w:w="607" w:type="dxa"/>
            <w:vAlign w:val="center"/>
          </w:tcPr>
          <w:p w14:paraId="0CC0CA1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524A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3FA48B32">
            <w:pPr>
              <w:adjustRightInd w:val="0"/>
              <w:snapToGrid w:val="0"/>
              <w:jc w:val="center"/>
              <w:rPr>
                <w:rFonts w:ascii="仿宋_GB2312" w:eastAsia="仿宋_GB2312" w:hAnsiTheme="minorEastAsia" w:cstheme="minorEastAsia"/>
                <w:color w:val="auto"/>
                <w:sz w:val="28"/>
                <w:szCs w:val="28"/>
              </w:rPr>
            </w:pPr>
          </w:p>
        </w:tc>
        <w:tc>
          <w:tcPr>
            <w:tcW w:w="598" w:type="dxa"/>
            <w:vAlign w:val="center"/>
          </w:tcPr>
          <w:p w14:paraId="267CDC7A">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129</w:t>
            </w:r>
          </w:p>
        </w:tc>
        <w:tc>
          <w:tcPr>
            <w:tcW w:w="1176" w:type="dxa"/>
            <w:vAlign w:val="center"/>
          </w:tcPr>
          <w:p w14:paraId="1F22E99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19684BA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*外部接口功能</w:t>
            </w:r>
          </w:p>
        </w:tc>
        <w:tc>
          <w:tcPr>
            <w:tcW w:w="1508" w:type="dxa"/>
            <w:vAlign w:val="center"/>
          </w:tcPr>
          <w:p w14:paraId="512C156C">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其他接口</w:t>
            </w:r>
          </w:p>
        </w:tc>
        <w:tc>
          <w:tcPr>
            <w:tcW w:w="3852" w:type="dxa"/>
            <w:vAlign w:val="center"/>
          </w:tcPr>
          <w:p w14:paraId="233EA774">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35AAD11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C1EA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197F6EE1">
            <w:pPr>
              <w:adjustRightInd w:val="0"/>
              <w:snapToGrid w:val="0"/>
              <w:jc w:val="center"/>
              <w:rPr>
                <w:rFonts w:ascii="仿宋_GB2312" w:eastAsia="仿宋_GB2312" w:hAnsiTheme="minorEastAsia" w:cstheme="minorEastAsia"/>
                <w:color w:val="auto"/>
                <w:sz w:val="28"/>
                <w:szCs w:val="28"/>
              </w:rPr>
            </w:pPr>
          </w:p>
        </w:tc>
        <w:tc>
          <w:tcPr>
            <w:tcW w:w="598" w:type="dxa"/>
            <w:vAlign w:val="center"/>
          </w:tcPr>
          <w:p w14:paraId="48CD5B5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130</w:t>
            </w:r>
          </w:p>
        </w:tc>
        <w:tc>
          <w:tcPr>
            <w:tcW w:w="1176" w:type="dxa"/>
            <w:vAlign w:val="center"/>
          </w:tcPr>
          <w:p w14:paraId="093716B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2170389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*外部接口功能</w:t>
            </w:r>
          </w:p>
        </w:tc>
        <w:tc>
          <w:tcPr>
            <w:tcW w:w="1508" w:type="dxa"/>
            <w:vAlign w:val="center"/>
          </w:tcPr>
          <w:p w14:paraId="6937A9DB">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存储卡接口类型</w:t>
            </w:r>
          </w:p>
        </w:tc>
        <w:tc>
          <w:tcPr>
            <w:tcW w:w="3852" w:type="dxa"/>
            <w:vAlign w:val="center"/>
          </w:tcPr>
          <w:p w14:paraId="177C2ED2">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121CF63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A3F7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F826FEA">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0A0C4BF0">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131</w:t>
            </w:r>
          </w:p>
        </w:tc>
        <w:tc>
          <w:tcPr>
            <w:tcW w:w="1176" w:type="dxa"/>
            <w:vAlign w:val="center"/>
          </w:tcPr>
          <w:p w14:paraId="14C9E73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20B714B3">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*电源功能</w:t>
            </w:r>
          </w:p>
        </w:tc>
        <w:tc>
          <w:tcPr>
            <w:tcW w:w="1508" w:type="dxa"/>
            <w:vAlign w:val="center"/>
          </w:tcPr>
          <w:p w14:paraId="2AA1DEF6">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*电源线适配能力</w:t>
            </w:r>
          </w:p>
        </w:tc>
        <w:tc>
          <w:tcPr>
            <w:tcW w:w="3852" w:type="dxa"/>
            <w:vAlign w:val="center"/>
          </w:tcPr>
          <w:p w14:paraId="1EF3453B">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≥500W电源，电源适配器电线组件应符合GB/T 15934的要求，有可拆线的插头和连接器</w:t>
            </w:r>
          </w:p>
        </w:tc>
        <w:tc>
          <w:tcPr>
            <w:tcW w:w="607" w:type="dxa"/>
            <w:vAlign w:val="center"/>
          </w:tcPr>
          <w:p w14:paraId="75B3B54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BDED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410A34D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3F9963C2">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132</w:t>
            </w:r>
          </w:p>
        </w:tc>
        <w:tc>
          <w:tcPr>
            <w:tcW w:w="1176" w:type="dxa"/>
            <w:vAlign w:val="center"/>
          </w:tcPr>
          <w:p w14:paraId="7A94F2E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3F37513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*操作系统及软件功能</w:t>
            </w:r>
          </w:p>
        </w:tc>
        <w:tc>
          <w:tcPr>
            <w:tcW w:w="1508" w:type="dxa"/>
            <w:vAlign w:val="center"/>
          </w:tcPr>
          <w:p w14:paraId="4832DDE1">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*中文信息处理要求</w:t>
            </w:r>
          </w:p>
        </w:tc>
        <w:tc>
          <w:tcPr>
            <w:tcW w:w="3852" w:type="dxa"/>
            <w:vAlign w:val="center"/>
          </w:tcPr>
          <w:p w14:paraId="6276DE19">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符合GB18030的相关规定</w:t>
            </w:r>
          </w:p>
        </w:tc>
        <w:tc>
          <w:tcPr>
            <w:tcW w:w="607" w:type="dxa"/>
            <w:vAlign w:val="center"/>
          </w:tcPr>
          <w:p w14:paraId="05334B5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5712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5041DA05">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0955D7D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133</w:t>
            </w:r>
          </w:p>
        </w:tc>
        <w:tc>
          <w:tcPr>
            <w:tcW w:w="1176" w:type="dxa"/>
            <w:vAlign w:val="center"/>
          </w:tcPr>
          <w:p w14:paraId="3D4748A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72B9E7F5">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*操作系统及软件功能</w:t>
            </w:r>
          </w:p>
        </w:tc>
        <w:tc>
          <w:tcPr>
            <w:tcW w:w="1508" w:type="dxa"/>
            <w:vAlign w:val="center"/>
          </w:tcPr>
          <w:p w14:paraId="610486EE">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*操作系统备份及还原功能</w:t>
            </w:r>
          </w:p>
        </w:tc>
        <w:tc>
          <w:tcPr>
            <w:tcW w:w="3852" w:type="dxa"/>
            <w:vAlign w:val="center"/>
          </w:tcPr>
          <w:p w14:paraId="05B94C14">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支持操作系统备份及还原功能</w:t>
            </w:r>
          </w:p>
        </w:tc>
        <w:tc>
          <w:tcPr>
            <w:tcW w:w="607" w:type="dxa"/>
            <w:vAlign w:val="center"/>
          </w:tcPr>
          <w:p w14:paraId="30A8592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60F9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620" w:type="dxa"/>
            <w:vAlign w:val="center"/>
          </w:tcPr>
          <w:p w14:paraId="221A24D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6004C17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134</w:t>
            </w:r>
          </w:p>
        </w:tc>
        <w:tc>
          <w:tcPr>
            <w:tcW w:w="1176" w:type="dxa"/>
            <w:vAlign w:val="center"/>
          </w:tcPr>
          <w:p w14:paraId="317FFA1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15AAB6E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*操作系统及软件功能</w:t>
            </w:r>
          </w:p>
        </w:tc>
        <w:tc>
          <w:tcPr>
            <w:tcW w:w="1508" w:type="dxa"/>
            <w:vAlign w:val="center"/>
          </w:tcPr>
          <w:p w14:paraId="51376E45">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*固件备份还原能力</w:t>
            </w:r>
          </w:p>
        </w:tc>
        <w:tc>
          <w:tcPr>
            <w:tcW w:w="3852" w:type="dxa"/>
            <w:vAlign w:val="center"/>
          </w:tcPr>
          <w:p w14:paraId="568E294D">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支持备份及还原固件的功能</w:t>
            </w:r>
          </w:p>
        </w:tc>
        <w:tc>
          <w:tcPr>
            <w:tcW w:w="607" w:type="dxa"/>
            <w:vAlign w:val="center"/>
          </w:tcPr>
          <w:p w14:paraId="26D35FD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6C70D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701B449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612455E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135</w:t>
            </w:r>
          </w:p>
        </w:tc>
        <w:tc>
          <w:tcPr>
            <w:tcW w:w="1176" w:type="dxa"/>
            <w:vAlign w:val="center"/>
          </w:tcPr>
          <w:p w14:paraId="4A00B6D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187439B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*操作系统及软件功能</w:t>
            </w:r>
          </w:p>
        </w:tc>
        <w:tc>
          <w:tcPr>
            <w:tcW w:w="1508" w:type="dxa"/>
            <w:vAlign w:val="center"/>
          </w:tcPr>
          <w:p w14:paraId="3DD6FDDE">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*操作系统及驱动</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升级</w:t>
            </w:r>
          </w:p>
        </w:tc>
        <w:tc>
          <w:tcPr>
            <w:tcW w:w="3852" w:type="dxa"/>
            <w:vAlign w:val="center"/>
          </w:tcPr>
          <w:p w14:paraId="7BD6060F">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支持通过网络、闪存盘等方式对操作系统、驱动进行升级</w:t>
            </w:r>
          </w:p>
        </w:tc>
        <w:tc>
          <w:tcPr>
            <w:tcW w:w="607" w:type="dxa"/>
            <w:vAlign w:val="center"/>
          </w:tcPr>
          <w:p w14:paraId="5CB37A8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376C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4094F50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2D8A24C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136</w:t>
            </w:r>
          </w:p>
        </w:tc>
        <w:tc>
          <w:tcPr>
            <w:tcW w:w="1176" w:type="dxa"/>
            <w:vAlign w:val="center"/>
          </w:tcPr>
          <w:p w14:paraId="27B1C87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6A63BBAA">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*操作系统及软件功能</w:t>
            </w:r>
          </w:p>
        </w:tc>
        <w:tc>
          <w:tcPr>
            <w:tcW w:w="1508" w:type="dxa"/>
            <w:vAlign w:val="center"/>
          </w:tcPr>
          <w:p w14:paraId="0F236B70">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*固件升级</w:t>
            </w:r>
          </w:p>
        </w:tc>
        <w:tc>
          <w:tcPr>
            <w:tcW w:w="3852" w:type="dxa"/>
            <w:vAlign w:val="center"/>
          </w:tcPr>
          <w:p w14:paraId="5CDD52C5">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支持通过网络、闪存盘等方式对固件进行升级</w:t>
            </w:r>
          </w:p>
        </w:tc>
        <w:tc>
          <w:tcPr>
            <w:tcW w:w="607" w:type="dxa"/>
            <w:vAlign w:val="center"/>
          </w:tcPr>
          <w:p w14:paraId="31BD3A6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16F9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FF3BCB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049B68AA">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137</w:t>
            </w:r>
          </w:p>
        </w:tc>
        <w:tc>
          <w:tcPr>
            <w:tcW w:w="1176" w:type="dxa"/>
            <w:vAlign w:val="center"/>
          </w:tcPr>
          <w:p w14:paraId="590AED5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1340FE0D">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*操作系统及软件功能</w:t>
            </w:r>
          </w:p>
        </w:tc>
        <w:tc>
          <w:tcPr>
            <w:tcW w:w="1508" w:type="dxa"/>
            <w:vAlign w:val="center"/>
          </w:tcPr>
          <w:p w14:paraId="3F5EF677">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*BIOS 支持关闭通讯接口</w:t>
            </w:r>
          </w:p>
        </w:tc>
        <w:tc>
          <w:tcPr>
            <w:tcW w:w="3852" w:type="dxa"/>
            <w:vAlign w:val="center"/>
          </w:tcPr>
          <w:p w14:paraId="3922007B">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支持BIOS关闭以太网及USB接口</w:t>
            </w:r>
          </w:p>
        </w:tc>
        <w:tc>
          <w:tcPr>
            <w:tcW w:w="607" w:type="dxa"/>
            <w:vAlign w:val="center"/>
          </w:tcPr>
          <w:p w14:paraId="687952E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E837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01CEEAE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7A15E26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138</w:t>
            </w:r>
          </w:p>
        </w:tc>
        <w:tc>
          <w:tcPr>
            <w:tcW w:w="1176" w:type="dxa"/>
            <w:vAlign w:val="center"/>
          </w:tcPr>
          <w:p w14:paraId="349B5E6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4780EC22">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*操作系统及软件功能</w:t>
            </w:r>
          </w:p>
        </w:tc>
        <w:tc>
          <w:tcPr>
            <w:tcW w:w="1508" w:type="dxa"/>
            <w:vAlign w:val="center"/>
          </w:tcPr>
          <w:p w14:paraId="37EFAAF8">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*固件查看信息</w:t>
            </w:r>
          </w:p>
        </w:tc>
        <w:tc>
          <w:tcPr>
            <w:tcW w:w="3852" w:type="dxa"/>
            <w:vAlign w:val="center"/>
          </w:tcPr>
          <w:p w14:paraId="007EC50A">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支持查看固件版本、内存信息、主板信息、处理器信息和系统时间信息等功能</w:t>
            </w:r>
          </w:p>
        </w:tc>
        <w:tc>
          <w:tcPr>
            <w:tcW w:w="607" w:type="dxa"/>
            <w:vAlign w:val="center"/>
          </w:tcPr>
          <w:p w14:paraId="1A59B50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6E779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13B31A5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5906339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139</w:t>
            </w:r>
          </w:p>
        </w:tc>
        <w:tc>
          <w:tcPr>
            <w:tcW w:w="1176" w:type="dxa"/>
            <w:vAlign w:val="center"/>
          </w:tcPr>
          <w:p w14:paraId="5DF5828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2E9DD6C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*操作系统及软件功能</w:t>
            </w:r>
          </w:p>
        </w:tc>
        <w:tc>
          <w:tcPr>
            <w:tcW w:w="1508" w:type="dxa"/>
            <w:vAlign w:val="center"/>
          </w:tcPr>
          <w:p w14:paraId="78465B2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*固件设置启动顺序</w:t>
            </w:r>
          </w:p>
        </w:tc>
        <w:tc>
          <w:tcPr>
            <w:tcW w:w="3852" w:type="dxa"/>
            <w:vAlign w:val="center"/>
          </w:tcPr>
          <w:p w14:paraId="3E24ABFC">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支持设置启动顺序功能，并按照设置的启动顺序启动</w:t>
            </w:r>
          </w:p>
        </w:tc>
        <w:tc>
          <w:tcPr>
            <w:tcW w:w="607" w:type="dxa"/>
            <w:vAlign w:val="center"/>
          </w:tcPr>
          <w:p w14:paraId="1FE6A5E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6D0B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7D6C766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450744C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140</w:t>
            </w:r>
          </w:p>
        </w:tc>
        <w:tc>
          <w:tcPr>
            <w:tcW w:w="1176" w:type="dxa"/>
            <w:vAlign w:val="center"/>
          </w:tcPr>
          <w:p w14:paraId="42E66DC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1D0DF27D">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*操作系统及软件功能</w:t>
            </w:r>
          </w:p>
        </w:tc>
        <w:tc>
          <w:tcPr>
            <w:tcW w:w="1508" w:type="dxa"/>
            <w:vAlign w:val="center"/>
          </w:tcPr>
          <w:p w14:paraId="3B1C69AC">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*固件设置口令</w:t>
            </w:r>
          </w:p>
        </w:tc>
        <w:tc>
          <w:tcPr>
            <w:tcW w:w="3852" w:type="dxa"/>
            <w:vAlign w:val="center"/>
          </w:tcPr>
          <w:p w14:paraId="4C0EB12B">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支持设置口令、修改口令、验证口令功能</w:t>
            </w:r>
          </w:p>
        </w:tc>
        <w:tc>
          <w:tcPr>
            <w:tcW w:w="607" w:type="dxa"/>
            <w:vAlign w:val="center"/>
          </w:tcPr>
          <w:p w14:paraId="6AAF959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4CE7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6CD8A7AD">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4EA57E4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141</w:t>
            </w:r>
          </w:p>
        </w:tc>
        <w:tc>
          <w:tcPr>
            <w:tcW w:w="1176" w:type="dxa"/>
            <w:vAlign w:val="center"/>
          </w:tcPr>
          <w:p w14:paraId="3DEA28F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5B321D90">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*操作系统及软件功能</w:t>
            </w:r>
          </w:p>
        </w:tc>
        <w:tc>
          <w:tcPr>
            <w:tcW w:w="1508" w:type="dxa"/>
            <w:vAlign w:val="center"/>
          </w:tcPr>
          <w:p w14:paraId="2CA4FFF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*固件设置网络引导</w:t>
            </w:r>
          </w:p>
        </w:tc>
        <w:tc>
          <w:tcPr>
            <w:tcW w:w="3852" w:type="dxa"/>
            <w:vAlign w:val="center"/>
          </w:tcPr>
          <w:p w14:paraId="50FD9594">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支持网络引导启动和关闭功能</w:t>
            </w:r>
          </w:p>
        </w:tc>
        <w:tc>
          <w:tcPr>
            <w:tcW w:w="607" w:type="dxa"/>
            <w:vAlign w:val="center"/>
          </w:tcPr>
          <w:p w14:paraId="2B60349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376F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20F60C15">
            <w:pPr>
              <w:adjustRightInd w:val="0"/>
              <w:snapToGrid w:val="0"/>
              <w:jc w:val="center"/>
              <w:rPr>
                <w:rFonts w:ascii="仿宋_GB2312" w:eastAsia="仿宋_GB2312" w:hAnsiTheme="minorEastAsia" w:cstheme="minorEastAsia"/>
                <w:color w:val="auto"/>
                <w:sz w:val="28"/>
                <w:szCs w:val="28"/>
              </w:rPr>
            </w:pPr>
          </w:p>
        </w:tc>
        <w:tc>
          <w:tcPr>
            <w:tcW w:w="598" w:type="dxa"/>
            <w:vAlign w:val="center"/>
          </w:tcPr>
          <w:p w14:paraId="1A3A3F1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142</w:t>
            </w:r>
          </w:p>
        </w:tc>
        <w:tc>
          <w:tcPr>
            <w:tcW w:w="1176" w:type="dxa"/>
            <w:vAlign w:val="center"/>
          </w:tcPr>
          <w:p w14:paraId="47926D4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5777318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生物识别功能</w:t>
            </w:r>
          </w:p>
        </w:tc>
        <w:tc>
          <w:tcPr>
            <w:tcW w:w="1508" w:type="dxa"/>
            <w:vAlign w:val="center"/>
          </w:tcPr>
          <w:p w14:paraId="12B40819">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指纹识别</w:t>
            </w:r>
          </w:p>
        </w:tc>
        <w:tc>
          <w:tcPr>
            <w:tcW w:w="3852" w:type="dxa"/>
            <w:vAlign w:val="center"/>
          </w:tcPr>
          <w:p w14:paraId="1FA76AD2">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74B9B58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86EA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56BEB48B">
            <w:pPr>
              <w:adjustRightInd w:val="0"/>
              <w:snapToGrid w:val="0"/>
              <w:jc w:val="center"/>
              <w:rPr>
                <w:rFonts w:ascii="仿宋_GB2312" w:eastAsia="仿宋_GB2312" w:hAnsiTheme="minorEastAsia" w:cstheme="minorEastAsia"/>
                <w:color w:val="auto"/>
                <w:sz w:val="28"/>
                <w:szCs w:val="28"/>
              </w:rPr>
            </w:pPr>
          </w:p>
        </w:tc>
        <w:tc>
          <w:tcPr>
            <w:tcW w:w="598" w:type="dxa"/>
            <w:vAlign w:val="center"/>
          </w:tcPr>
          <w:p w14:paraId="6D211541">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143</w:t>
            </w:r>
          </w:p>
        </w:tc>
        <w:tc>
          <w:tcPr>
            <w:tcW w:w="1176" w:type="dxa"/>
            <w:vAlign w:val="center"/>
          </w:tcPr>
          <w:p w14:paraId="293959D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1839923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生物识别功能</w:t>
            </w:r>
          </w:p>
        </w:tc>
        <w:tc>
          <w:tcPr>
            <w:tcW w:w="1508" w:type="dxa"/>
            <w:vAlign w:val="center"/>
          </w:tcPr>
          <w:p w14:paraId="73AADF0E">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人脸识别</w:t>
            </w:r>
          </w:p>
        </w:tc>
        <w:tc>
          <w:tcPr>
            <w:tcW w:w="3852" w:type="dxa"/>
            <w:vAlign w:val="center"/>
          </w:tcPr>
          <w:p w14:paraId="7D3C1A30">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05C5984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6DB01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19621D22">
            <w:pPr>
              <w:adjustRightInd w:val="0"/>
              <w:snapToGrid w:val="0"/>
              <w:jc w:val="center"/>
              <w:rPr>
                <w:rFonts w:ascii="仿宋_GB2312" w:eastAsia="仿宋_GB2312" w:hAnsiTheme="minorEastAsia" w:cstheme="minorEastAsia"/>
                <w:color w:val="auto"/>
                <w:sz w:val="28"/>
                <w:szCs w:val="28"/>
              </w:rPr>
            </w:pPr>
          </w:p>
        </w:tc>
        <w:tc>
          <w:tcPr>
            <w:tcW w:w="598" w:type="dxa"/>
            <w:vAlign w:val="center"/>
          </w:tcPr>
          <w:p w14:paraId="640458D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144</w:t>
            </w:r>
          </w:p>
        </w:tc>
        <w:tc>
          <w:tcPr>
            <w:tcW w:w="1176" w:type="dxa"/>
            <w:vAlign w:val="center"/>
          </w:tcPr>
          <w:p w14:paraId="15D253B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40E2016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生物识别功能</w:t>
            </w:r>
          </w:p>
        </w:tc>
        <w:tc>
          <w:tcPr>
            <w:tcW w:w="1508" w:type="dxa"/>
            <w:vAlign w:val="center"/>
          </w:tcPr>
          <w:p w14:paraId="395D6EB1">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静脉识别</w:t>
            </w:r>
          </w:p>
        </w:tc>
        <w:tc>
          <w:tcPr>
            <w:tcW w:w="3852" w:type="dxa"/>
            <w:vAlign w:val="center"/>
          </w:tcPr>
          <w:p w14:paraId="506C49B3">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65544A3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B149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17C708A6">
            <w:pPr>
              <w:adjustRightInd w:val="0"/>
              <w:snapToGrid w:val="0"/>
              <w:jc w:val="center"/>
              <w:rPr>
                <w:rFonts w:ascii="仿宋_GB2312" w:eastAsia="仿宋_GB2312" w:hAnsiTheme="minorEastAsia" w:cstheme="minorEastAsia"/>
                <w:color w:val="auto"/>
                <w:sz w:val="28"/>
                <w:szCs w:val="28"/>
                <w:lang w:eastAsia="zh-CN"/>
              </w:rPr>
            </w:pPr>
          </w:p>
        </w:tc>
        <w:tc>
          <w:tcPr>
            <w:tcW w:w="598" w:type="dxa"/>
            <w:vAlign w:val="center"/>
          </w:tcPr>
          <w:p w14:paraId="49A376F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145</w:t>
            </w:r>
          </w:p>
        </w:tc>
        <w:tc>
          <w:tcPr>
            <w:tcW w:w="1176" w:type="dxa"/>
            <w:vAlign w:val="center"/>
          </w:tcPr>
          <w:p w14:paraId="1F18819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0A30EBE8">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硬件加速功能</w:t>
            </w:r>
          </w:p>
        </w:tc>
        <w:tc>
          <w:tcPr>
            <w:tcW w:w="1508" w:type="dxa"/>
            <w:vAlign w:val="center"/>
          </w:tcPr>
          <w:p w14:paraId="11D6D988">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NPU/GPU等A I加速模块</w:t>
            </w:r>
          </w:p>
        </w:tc>
        <w:tc>
          <w:tcPr>
            <w:tcW w:w="3852" w:type="dxa"/>
            <w:vAlign w:val="center"/>
          </w:tcPr>
          <w:p w14:paraId="7A63FD5C">
            <w:pPr>
              <w:adjustRightInd w:val="0"/>
              <w:snapToGrid w:val="0"/>
              <w:jc w:val="left"/>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c>
          <w:tcPr>
            <w:tcW w:w="607" w:type="dxa"/>
            <w:vAlign w:val="center"/>
          </w:tcPr>
          <w:p w14:paraId="68FBB32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A5C9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7FA69179">
            <w:pPr>
              <w:adjustRightInd w:val="0"/>
              <w:snapToGrid w:val="0"/>
              <w:jc w:val="center"/>
              <w:rPr>
                <w:rFonts w:ascii="仿宋_GB2312" w:eastAsia="仿宋_GB2312" w:hAnsiTheme="minorEastAsia" w:cstheme="minorEastAsia"/>
                <w:color w:val="auto"/>
                <w:sz w:val="28"/>
                <w:szCs w:val="28"/>
                <w:lang w:eastAsia="zh-CN"/>
              </w:rPr>
            </w:pPr>
          </w:p>
        </w:tc>
        <w:tc>
          <w:tcPr>
            <w:tcW w:w="598" w:type="dxa"/>
            <w:vAlign w:val="center"/>
          </w:tcPr>
          <w:p w14:paraId="3427BDED">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146</w:t>
            </w:r>
          </w:p>
        </w:tc>
        <w:tc>
          <w:tcPr>
            <w:tcW w:w="1176" w:type="dxa"/>
            <w:vAlign w:val="center"/>
          </w:tcPr>
          <w:p w14:paraId="73AE076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765E3615">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硬件加速功能</w:t>
            </w:r>
          </w:p>
        </w:tc>
        <w:tc>
          <w:tcPr>
            <w:tcW w:w="1508" w:type="dxa"/>
            <w:vAlign w:val="center"/>
          </w:tcPr>
          <w:p w14:paraId="174DAAA8">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视频编解码加速模块</w:t>
            </w:r>
          </w:p>
        </w:tc>
        <w:tc>
          <w:tcPr>
            <w:tcW w:w="3852" w:type="dxa"/>
            <w:vAlign w:val="center"/>
          </w:tcPr>
          <w:p w14:paraId="1998BF95">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c>
          <w:tcPr>
            <w:tcW w:w="607" w:type="dxa"/>
            <w:vAlign w:val="center"/>
          </w:tcPr>
          <w:p w14:paraId="13FA74B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3823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1DED86D1">
            <w:pPr>
              <w:adjustRightInd w:val="0"/>
              <w:snapToGrid w:val="0"/>
              <w:jc w:val="center"/>
              <w:rPr>
                <w:rFonts w:ascii="仿宋_GB2312" w:eastAsia="仿宋_GB2312" w:hAnsiTheme="minorEastAsia" w:cstheme="minorEastAsia"/>
                <w:color w:val="auto"/>
                <w:sz w:val="28"/>
                <w:szCs w:val="28"/>
                <w:lang w:eastAsia="zh-CN"/>
              </w:rPr>
            </w:pPr>
          </w:p>
        </w:tc>
        <w:tc>
          <w:tcPr>
            <w:tcW w:w="598" w:type="dxa"/>
            <w:vAlign w:val="center"/>
          </w:tcPr>
          <w:p w14:paraId="3C59B400">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147</w:t>
            </w:r>
          </w:p>
        </w:tc>
        <w:tc>
          <w:tcPr>
            <w:tcW w:w="1176" w:type="dxa"/>
            <w:vAlign w:val="center"/>
          </w:tcPr>
          <w:p w14:paraId="585B470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功能要求</w:t>
            </w:r>
          </w:p>
        </w:tc>
        <w:tc>
          <w:tcPr>
            <w:tcW w:w="1176" w:type="dxa"/>
            <w:vAlign w:val="center"/>
          </w:tcPr>
          <w:p w14:paraId="40C1C2D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硬件加速功能</w:t>
            </w:r>
          </w:p>
        </w:tc>
        <w:tc>
          <w:tcPr>
            <w:tcW w:w="1508" w:type="dxa"/>
            <w:vAlign w:val="center"/>
          </w:tcPr>
          <w:p w14:paraId="645DB63B">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影像处理加速模块</w:t>
            </w:r>
          </w:p>
        </w:tc>
        <w:tc>
          <w:tcPr>
            <w:tcW w:w="3852" w:type="dxa"/>
            <w:vAlign w:val="center"/>
          </w:tcPr>
          <w:p w14:paraId="7A24F1BD">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c>
          <w:tcPr>
            <w:tcW w:w="607" w:type="dxa"/>
            <w:vAlign w:val="center"/>
          </w:tcPr>
          <w:p w14:paraId="765AC69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6E192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06ABD50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0919623D">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148</w:t>
            </w:r>
          </w:p>
        </w:tc>
        <w:tc>
          <w:tcPr>
            <w:tcW w:w="1176" w:type="dxa"/>
            <w:vAlign w:val="center"/>
          </w:tcPr>
          <w:p w14:paraId="2DDA841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可靠性要求</w:t>
            </w:r>
          </w:p>
        </w:tc>
        <w:tc>
          <w:tcPr>
            <w:tcW w:w="1176" w:type="dxa"/>
            <w:vAlign w:val="center"/>
          </w:tcPr>
          <w:p w14:paraId="33096C1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*存储设备可靠性</w:t>
            </w:r>
          </w:p>
        </w:tc>
        <w:tc>
          <w:tcPr>
            <w:tcW w:w="1508" w:type="dxa"/>
            <w:vAlign w:val="center"/>
          </w:tcPr>
          <w:p w14:paraId="0B83DDF6">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*固态存储寿命</w:t>
            </w:r>
          </w:p>
        </w:tc>
        <w:tc>
          <w:tcPr>
            <w:tcW w:w="3852" w:type="dxa"/>
            <w:vAlign w:val="center"/>
          </w:tcPr>
          <w:p w14:paraId="5CE6DDAA">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TBW≥80TB（条件：240GB硬盘容量）</w:t>
            </w:r>
          </w:p>
        </w:tc>
        <w:tc>
          <w:tcPr>
            <w:tcW w:w="607" w:type="dxa"/>
            <w:vAlign w:val="center"/>
          </w:tcPr>
          <w:p w14:paraId="1FD29E8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2AA2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561C372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137CF7F0">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149</w:t>
            </w:r>
          </w:p>
        </w:tc>
        <w:tc>
          <w:tcPr>
            <w:tcW w:w="1176" w:type="dxa"/>
            <w:vAlign w:val="center"/>
          </w:tcPr>
          <w:p w14:paraId="3C40761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可靠性要求</w:t>
            </w:r>
          </w:p>
        </w:tc>
        <w:tc>
          <w:tcPr>
            <w:tcW w:w="1176" w:type="dxa"/>
            <w:vAlign w:val="center"/>
          </w:tcPr>
          <w:p w14:paraId="0FFE801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*存储设备可靠性</w:t>
            </w:r>
          </w:p>
        </w:tc>
        <w:tc>
          <w:tcPr>
            <w:tcW w:w="1508" w:type="dxa"/>
            <w:vAlign w:val="center"/>
          </w:tcPr>
          <w:p w14:paraId="31857768">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*机械硬盘寿命</w:t>
            </w:r>
          </w:p>
        </w:tc>
        <w:tc>
          <w:tcPr>
            <w:tcW w:w="3852" w:type="dxa"/>
            <w:vAlign w:val="center"/>
          </w:tcPr>
          <w:p w14:paraId="6842A453">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通电时间≥5万小时</w:t>
            </w:r>
          </w:p>
        </w:tc>
        <w:tc>
          <w:tcPr>
            <w:tcW w:w="607" w:type="dxa"/>
            <w:vAlign w:val="center"/>
          </w:tcPr>
          <w:p w14:paraId="5FA6F24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318D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74C977A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7000E882">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150</w:t>
            </w:r>
          </w:p>
        </w:tc>
        <w:tc>
          <w:tcPr>
            <w:tcW w:w="1176" w:type="dxa"/>
            <w:vAlign w:val="center"/>
          </w:tcPr>
          <w:p w14:paraId="6DE4BA2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可靠性要</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求</w:t>
            </w:r>
          </w:p>
        </w:tc>
        <w:tc>
          <w:tcPr>
            <w:tcW w:w="1176" w:type="dxa"/>
            <w:vAlign w:val="center"/>
          </w:tcPr>
          <w:p w14:paraId="7AC5B4B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*显示设备可靠性</w:t>
            </w:r>
          </w:p>
        </w:tc>
        <w:tc>
          <w:tcPr>
            <w:tcW w:w="1508" w:type="dxa"/>
            <w:vAlign w:val="center"/>
          </w:tcPr>
          <w:p w14:paraId="0DB3C9BF">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*显示屏屏幕失效点</w:t>
            </w:r>
          </w:p>
        </w:tc>
        <w:tc>
          <w:tcPr>
            <w:tcW w:w="3852" w:type="dxa"/>
            <w:vAlign w:val="center"/>
          </w:tcPr>
          <w:p w14:paraId="454F6D71">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符合GB/T9813.2的要求</w:t>
            </w:r>
          </w:p>
        </w:tc>
        <w:tc>
          <w:tcPr>
            <w:tcW w:w="607" w:type="dxa"/>
            <w:vAlign w:val="center"/>
          </w:tcPr>
          <w:p w14:paraId="132665B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A913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2A5FD551">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39873F65">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151</w:t>
            </w:r>
          </w:p>
        </w:tc>
        <w:tc>
          <w:tcPr>
            <w:tcW w:w="1176" w:type="dxa"/>
            <w:vAlign w:val="center"/>
          </w:tcPr>
          <w:p w14:paraId="1497DDA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可靠性要</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求</w:t>
            </w:r>
          </w:p>
        </w:tc>
        <w:tc>
          <w:tcPr>
            <w:tcW w:w="1176" w:type="dxa"/>
            <w:vAlign w:val="center"/>
          </w:tcPr>
          <w:p w14:paraId="211F5950">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*外设可靠性</w:t>
            </w:r>
          </w:p>
        </w:tc>
        <w:tc>
          <w:tcPr>
            <w:tcW w:w="1508" w:type="dxa"/>
            <w:vAlign w:val="center"/>
          </w:tcPr>
          <w:p w14:paraId="4AB21F63">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*键盘按键寿命</w:t>
            </w:r>
          </w:p>
        </w:tc>
        <w:tc>
          <w:tcPr>
            <w:tcW w:w="3852" w:type="dxa"/>
            <w:vAlign w:val="center"/>
          </w:tcPr>
          <w:p w14:paraId="2E6B0430">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≥1000万次</w:t>
            </w:r>
          </w:p>
        </w:tc>
        <w:tc>
          <w:tcPr>
            <w:tcW w:w="607" w:type="dxa"/>
            <w:vAlign w:val="center"/>
          </w:tcPr>
          <w:p w14:paraId="5A8C7C8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DD31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10E798AB">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1FD8987D">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152</w:t>
            </w:r>
          </w:p>
        </w:tc>
        <w:tc>
          <w:tcPr>
            <w:tcW w:w="1176" w:type="dxa"/>
            <w:vAlign w:val="center"/>
          </w:tcPr>
          <w:p w14:paraId="535EA80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可靠性要</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求</w:t>
            </w:r>
          </w:p>
        </w:tc>
        <w:tc>
          <w:tcPr>
            <w:tcW w:w="1176" w:type="dxa"/>
            <w:vAlign w:val="center"/>
          </w:tcPr>
          <w:p w14:paraId="71604232">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*外设可靠性</w:t>
            </w:r>
          </w:p>
        </w:tc>
        <w:tc>
          <w:tcPr>
            <w:tcW w:w="1508" w:type="dxa"/>
            <w:vAlign w:val="center"/>
          </w:tcPr>
          <w:p w14:paraId="14D86078">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*鼠标按键寿命</w:t>
            </w:r>
          </w:p>
        </w:tc>
        <w:tc>
          <w:tcPr>
            <w:tcW w:w="3852" w:type="dxa"/>
            <w:vAlign w:val="center"/>
          </w:tcPr>
          <w:p w14:paraId="4BF98913">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≥500万次</w:t>
            </w:r>
          </w:p>
        </w:tc>
        <w:tc>
          <w:tcPr>
            <w:tcW w:w="607" w:type="dxa"/>
            <w:vAlign w:val="center"/>
          </w:tcPr>
          <w:p w14:paraId="3F0C818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9713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05D006B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189F0CE0">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153</w:t>
            </w:r>
          </w:p>
        </w:tc>
        <w:tc>
          <w:tcPr>
            <w:tcW w:w="1176" w:type="dxa"/>
            <w:vAlign w:val="center"/>
          </w:tcPr>
          <w:p w14:paraId="28BDB82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可靠</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性要</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求</w:t>
            </w:r>
          </w:p>
        </w:tc>
        <w:tc>
          <w:tcPr>
            <w:tcW w:w="1176" w:type="dxa"/>
            <w:vAlign w:val="center"/>
          </w:tcPr>
          <w:p w14:paraId="114E94A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*外设可靠性</w:t>
            </w:r>
          </w:p>
        </w:tc>
        <w:tc>
          <w:tcPr>
            <w:tcW w:w="1508" w:type="dxa"/>
            <w:vAlign w:val="center"/>
          </w:tcPr>
          <w:p w14:paraId="0EA96E0A">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*键盘鼠</w:t>
            </w:r>
            <w:r>
              <w:rPr>
                <w:rFonts w:ascii="仿宋_GB2312" w:eastAsia="仿宋_GB2312" w:hAnsiTheme="minorEastAsia" w:cstheme="minorEastAsia"/>
                <w:color w:val="auto"/>
                <w:kern w:val="0"/>
                <w:sz w:val="28"/>
                <w:szCs w:val="28"/>
                <w:lang w:bidi="ar"/>
              </w:rPr>
              <w:br w:type="textWrapping"/>
            </w:r>
            <w:r>
              <w:rPr>
                <w:rFonts w:ascii="仿宋_GB2312" w:eastAsia="仿宋_GB2312" w:hAnsiTheme="minorEastAsia" w:cstheme="minorEastAsia"/>
                <w:color w:val="auto"/>
                <w:kern w:val="0"/>
                <w:sz w:val="28"/>
                <w:szCs w:val="28"/>
                <w:lang w:bidi="ar"/>
              </w:rPr>
              <w:t>标线材寿命</w:t>
            </w:r>
          </w:p>
        </w:tc>
        <w:tc>
          <w:tcPr>
            <w:tcW w:w="3852" w:type="dxa"/>
            <w:vAlign w:val="center"/>
          </w:tcPr>
          <w:p w14:paraId="14EF1EEC">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键盘鼠标所用线材经±60°弯折不低于3000次，功能、外观完好</w:t>
            </w:r>
          </w:p>
        </w:tc>
        <w:tc>
          <w:tcPr>
            <w:tcW w:w="607" w:type="dxa"/>
            <w:vAlign w:val="center"/>
          </w:tcPr>
          <w:p w14:paraId="3481FA6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365C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08804D9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3D2CB860">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154</w:t>
            </w:r>
          </w:p>
        </w:tc>
        <w:tc>
          <w:tcPr>
            <w:tcW w:w="1176" w:type="dxa"/>
            <w:vAlign w:val="center"/>
          </w:tcPr>
          <w:p w14:paraId="77AA08A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可靠性要</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求</w:t>
            </w:r>
          </w:p>
        </w:tc>
        <w:tc>
          <w:tcPr>
            <w:tcW w:w="1176" w:type="dxa"/>
            <w:vAlign w:val="center"/>
          </w:tcPr>
          <w:p w14:paraId="511AB6F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*外设可靠性</w:t>
            </w:r>
          </w:p>
        </w:tc>
        <w:tc>
          <w:tcPr>
            <w:tcW w:w="1508" w:type="dxa"/>
            <w:vAlign w:val="center"/>
          </w:tcPr>
          <w:p w14:paraId="08EA533D">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*风扇寿命</w:t>
            </w:r>
          </w:p>
        </w:tc>
        <w:tc>
          <w:tcPr>
            <w:tcW w:w="3852" w:type="dxa"/>
            <w:vAlign w:val="center"/>
          </w:tcPr>
          <w:p w14:paraId="20880A67">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≥4万小时</w:t>
            </w:r>
          </w:p>
        </w:tc>
        <w:tc>
          <w:tcPr>
            <w:tcW w:w="607" w:type="dxa"/>
            <w:vAlign w:val="center"/>
          </w:tcPr>
          <w:p w14:paraId="1E03D09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EDA6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41EABC9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6552DBB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155</w:t>
            </w:r>
          </w:p>
        </w:tc>
        <w:tc>
          <w:tcPr>
            <w:tcW w:w="1176" w:type="dxa"/>
            <w:vAlign w:val="center"/>
          </w:tcPr>
          <w:p w14:paraId="36C36E3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可靠性要</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求</w:t>
            </w:r>
          </w:p>
        </w:tc>
        <w:tc>
          <w:tcPr>
            <w:tcW w:w="1176" w:type="dxa"/>
            <w:vAlign w:val="center"/>
          </w:tcPr>
          <w:p w14:paraId="02682E6B">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*整机可靠性要求</w:t>
            </w:r>
          </w:p>
        </w:tc>
        <w:tc>
          <w:tcPr>
            <w:tcW w:w="1508" w:type="dxa"/>
            <w:vAlign w:val="center"/>
          </w:tcPr>
          <w:p w14:paraId="71C96AB4">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*电磁兼容性要求的抗扰度</w:t>
            </w:r>
          </w:p>
        </w:tc>
        <w:tc>
          <w:tcPr>
            <w:tcW w:w="3852" w:type="dxa"/>
            <w:vAlign w:val="center"/>
          </w:tcPr>
          <w:p w14:paraId="570F5F32">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符合GB/T9254.2的规定</w:t>
            </w:r>
          </w:p>
        </w:tc>
        <w:tc>
          <w:tcPr>
            <w:tcW w:w="607" w:type="dxa"/>
            <w:vAlign w:val="center"/>
          </w:tcPr>
          <w:p w14:paraId="03C3EFF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841E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620" w:type="dxa"/>
            <w:vAlign w:val="center"/>
          </w:tcPr>
          <w:p w14:paraId="6B0E0F0B">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1564036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156</w:t>
            </w:r>
          </w:p>
        </w:tc>
        <w:tc>
          <w:tcPr>
            <w:tcW w:w="1176" w:type="dxa"/>
            <w:vAlign w:val="center"/>
          </w:tcPr>
          <w:p w14:paraId="38E310D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可靠性要</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求</w:t>
            </w:r>
          </w:p>
        </w:tc>
        <w:tc>
          <w:tcPr>
            <w:tcW w:w="1176" w:type="dxa"/>
            <w:vAlign w:val="center"/>
          </w:tcPr>
          <w:p w14:paraId="7A099EBB">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*整机可靠性要求</w:t>
            </w:r>
          </w:p>
        </w:tc>
        <w:tc>
          <w:tcPr>
            <w:tcW w:w="1508" w:type="dxa"/>
            <w:vAlign w:val="center"/>
          </w:tcPr>
          <w:p w14:paraId="5E1B6697">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*环境条件要求的气候环境适应性</w:t>
            </w:r>
          </w:p>
        </w:tc>
        <w:tc>
          <w:tcPr>
            <w:tcW w:w="3852" w:type="dxa"/>
            <w:vAlign w:val="center"/>
          </w:tcPr>
          <w:p w14:paraId="5C3B9608">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符合GB/T9813.1中规定</w:t>
            </w:r>
          </w:p>
        </w:tc>
        <w:tc>
          <w:tcPr>
            <w:tcW w:w="607" w:type="dxa"/>
            <w:vAlign w:val="center"/>
          </w:tcPr>
          <w:p w14:paraId="74F78F5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3AC73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620" w:type="dxa"/>
            <w:vAlign w:val="center"/>
          </w:tcPr>
          <w:p w14:paraId="73E7BB3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1C07259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157</w:t>
            </w:r>
          </w:p>
        </w:tc>
        <w:tc>
          <w:tcPr>
            <w:tcW w:w="1176" w:type="dxa"/>
            <w:vAlign w:val="center"/>
          </w:tcPr>
          <w:p w14:paraId="5939292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可靠性要</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求</w:t>
            </w:r>
          </w:p>
        </w:tc>
        <w:tc>
          <w:tcPr>
            <w:tcW w:w="1176" w:type="dxa"/>
            <w:vAlign w:val="center"/>
          </w:tcPr>
          <w:p w14:paraId="00EDAD12">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*整机可靠性要求</w:t>
            </w:r>
          </w:p>
        </w:tc>
        <w:tc>
          <w:tcPr>
            <w:tcW w:w="1508" w:type="dxa"/>
            <w:vAlign w:val="center"/>
          </w:tcPr>
          <w:p w14:paraId="39153979">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*环境条件要求的振动适应性</w:t>
            </w:r>
          </w:p>
        </w:tc>
        <w:tc>
          <w:tcPr>
            <w:tcW w:w="3852" w:type="dxa"/>
            <w:vAlign w:val="center"/>
          </w:tcPr>
          <w:p w14:paraId="7E4A97B1">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符合GB/T9813.1中规定</w:t>
            </w:r>
          </w:p>
        </w:tc>
        <w:tc>
          <w:tcPr>
            <w:tcW w:w="607" w:type="dxa"/>
            <w:vAlign w:val="center"/>
          </w:tcPr>
          <w:p w14:paraId="0EAA6A9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E632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620" w:type="dxa"/>
            <w:vAlign w:val="center"/>
          </w:tcPr>
          <w:p w14:paraId="071E64E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3412D3A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158</w:t>
            </w:r>
          </w:p>
        </w:tc>
        <w:tc>
          <w:tcPr>
            <w:tcW w:w="1176" w:type="dxa"/>
            <w:vAlign w:val="center"/>
          </w:tcPr>
          <w:p w14:paraId="514E9BA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可靠性要</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求</w:t>
            </w:r>
          </w:p>
        </w:tc>
        <w:tc>
          <w:tcPr>
            <w:tcW w:w="1176" w:type="dxa"/>
            <w:vAlign w:val="center"/>
          </w:tcPr>
          <w:p w14:paraId="4FB6951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*整机可靠性要求</w:t>
            </w:r>
          </w:p>
        </w:tc>
        <w:tc>
          <w:tcPr>
            <w:tcW w:w="1508" w:type="dxa"/>
            <w:vAlign w:val="center"/>
          </w:tcPr>
          <w:p w14:paraId="2A833089">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*环境条件要求的</w:t>
            </w:r>
            <w:r>
              <w:rPr>
                <w:rStyle w:val="288"/>
                <w:rFonts w:ascii="仿宋_GB2312" w:eastAsia="仿宋_GB2312" w:hAnsiTheme="minorEastAsia" w:cstheme="minorEastAsia"/>
                <w:color w:val="auto"/>
                <w:sz w:val="28"/>
                <w:szCs w:val="28"/>
                <w:lang w:eastAsia="zh-CN" w:bidi="ar"/>
              </w:rPr>
              <w:br w:type="textWrapping"/>
            </w:r>
            <w:r>
              <w:rPr>
                <w:rStyle w:val="288"/>
                <w:rFonts w:ascii="仿宋_GB2312" w:eastAsia="仿宋_GB2312" w:hAnsiTheme="minorEastAsia" w:cstheme="minorEastAsia"/>
                <w:color w:val="auto"/>
                <w:sz w:val="28"/>
                <w:szCs w:val="28"/>
                <w:lang w:eastAsia="zh-CN" w:bidi="ar"/>
              </w:rPr>
              <w:t>冲击适应性</w:t>
            </w:r>
          </w:p>
        </w:tc>
        <w:tc>
          <w:tcPr>
            <w:tcW w:w="3852" w:type="dxa"/>
            <w:vAlign w:val="center"/>
          </w:tcPr>
          <w:p w14:paraId="05E9B7B0">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符合GB/T9813.1中规定</w:t>
            </w:r>
          </w:p>
        </w:tc>
        <w:tc>
          <w:tcPr>
            <w:tcW w:w="607" w:type="dxa"/>
            <w:vAlign w:val="center"/>
          </w:tcPr>
          <w:p w14:paraId="72388C1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EDF7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620" w:type="dxa"/>
            <w:vAlign w:val="center"/>
          </w:tcPr>
          <w:p w14:paraId="3DEFCD91">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33ADFD55">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159</w:t>
            </w:r>
          </w:p>
        </w:tc>
        <w:tc>
          <w:tcPr>
            <w:tcW w:w="1176" w:type="dxa"/>
            <w:vAlign w:val="center"/>
          </w:tcPr>
          <w:p w14:paraId="34DC6E8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可靠性要</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求</w:t>
            </w:r>
          </w:p>
        </w:tc>
        <w:tc>
          <w:tcPr>
            <w:tcW w:w="1176" w:type="dxa"/>
            <w:vAlign w:val="center"/>
          </w:tcPr>
          <w:p w14:paraId="078A452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*整机可靠性要求</w:t>
            </w:r>
          </w:p>
        </w:tc>
        <w:tc>
          <w:tcPr>
            <w:tcW w:w="1508" w:type="dxa"/>
            <w:vAlign w:val="center"/>
          </w:tcPr>
          <w:p w14:paraId="5E8AF361">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*环境条件要求的</w:t>
            </w:r>
            <w:r>
              <w:rPr>
                <w:rStyle w:val="288"/>
                <w:rFonts w:ascii="仿宋_GB2312" w:eastAsia="仿宋_GB2312" w:hAnsiTheme="minorEastAsia" w:cstheme="minorEastAsia"/>
                <w:color w:val="auto"/>
                <w:sz w:val="28"/>
                <w:szCs w:val="28"/>
                <w:lang w:eastAsia="zh-CN" w:bidi="ar"/>
              </w:rPr>
              <w:br w:type="textWrapping"/>
            </w:r>
            <w:r>
              <w:rPr>
                <w:rStyle w:val="288"/>
                <w:rFonts w:ascii="仿宋_GB2312" w:eastAsia="仿宋_GB2312" w:hAnsiTheme="minorEastAsia" w:cstheme="minorEastAsia"/>
                <w:color w:val="auto"/>
                <w:sz w:val="28"/>
                <w:szCs w:val="28"/>
                <w:lang w:eastAsia="zh-CN" w:bidi="ar"/>
              </w:rPr>
              <w:t>碰撞适应性</w:t>
            </w:r>
          </w:p>
        </w:tc>
        <w:tc>
          <w:tcPr>
            <w:tcW w:w="3852" w:type="dxa"/>
            <w:vAlign w:val="center"/>
          </w:tcPr>
          <w:p w14:paraId="13A7BBC3">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符合GB/T9813.1中规定</w:t>
            </w:r>
          </w:p>
        </w:tc>
        <w:tc>
          <w:tcPr>
            <w:tcW w:w="607" w:type="dxa"/>
            <w:vAlign w:val="center"/>
          </w:tcPr>
          <w:p w14:paraId="24DAF46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E0F1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620" w:type="dxa"/>
            <w:vAlign w:val="center"/>
          </w:tcPr>
          <w:p w14:paraId="5E291DD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6A6AC01B">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160</w:t>
            </w:r>
          </w:p>
        </w:tc>
        <w:tc>
          <w:tcPr>
            <w:tcW w:w="1176" w:type="dxa"/>
            <w:vAlign w:val="center"/>
          </w:tcPr>
          <w:p w14:paraId="1C58C77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可靠性要</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求</w:t>
            </w:r>
          </w:p>
        </w:tc>
        <w:tc>
          <w:tcPr>
            <w:tcW w:w="1176" w:type="dxa"/>
            <w:vAlign w:val="center"/>
          </w:tcPr>
          <w:p w14:paraId="14E808A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*整机可靠性要求</w:t>
            </w:r>
          </w:p>
        </w:tc>
        <w:tc>
          <w:tcPr>
            <w:tcW w:w="1508" w:type="dxa"/>
            <w:vAlign w:val="center"/>
          </w:tcPr>
          <w:p w14:paraId="24A0B6E7">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*环境条件要求的</w:t>
            </w:r>
            <w:r>
              <w:rPr>
                <w:rStyle w:val="288"/>
                <w:rFonts w:ascii="仿宋_GB2312" w:eastAsia="仿宋_GB2312" w:hAnsiTheme="minorEastAsia" w:cstheme="minorEastAsia"/>
                <w:color w:val="auto"/>
                <w:sz w:val="28"/>
                <w:szCs w:val="28"/>
                <w:lang w:eastAsia="zh-CN" w:bidi="ar"/>
              </w:rPr>
              <w:br w:type="textWrapping"/>
            </w:r>
            <w:r>
              <w:rPr>
                <w:rStyle w:val="288"/>
                <w:rFonts w:ascii="仿宋_GB2312" w:eastAsia="仿宋_GB2312" w:hAnsiTheme="minorEastAsia" w:cstheme="minorEastAsia"/>
                <w:color w:val="auto"/>
                <w:sz w:val="28"/>
                <w:szCs w:val="28"/>
                <w:lang w:eastAsia="zh-CN" w:bidi="ar"/>
              </w:rPr>
              <w:t>运输包装件跌落适应性</w:t>
            </w:r>
          </w:p>
        </w:tc>
        <w:tc>
          <w:tcPr>
            <w:tcW w:w="3852" w:type="dxa"/>
            <w:vAlign w:val="center"/>
          </w:tcPr>
          <w:p w14:paraId="4495734A">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符合GB/T9813.1中规定</w:t>
            </w:r>
          </w:p>
        </w:tc>
        <w:tc>
          <w:tcPr>
            <w:tcW w:w="607" w:type="dxa"/>
            <w:vAlign w:val="center"/>
          </w:tcPr>
          <w:p w14:paraId="3474C0A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410E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23DE9B1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2DF1A25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161</w:t>
            </w:r>
          </w:p>
        </w:tc>
        <w:tc>
          <w:tcPr>
            <w:tcW w:w="1176" w:type="dxa"/>
            <w:vAlign w:val="center"/>
          </w:tcPr>
          <w:p w14:paraId="29EDD8A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可靠性要</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求</w:t>
            </w:r>
          </w:p>
        </w:tc>
        <w:tc>
          <w:tcPr>
            <w:tcW w:w="1176" w:type="dxa"/>
            <w:vAlign w:val="center"/>
          </w:tcPr>
          <w:p w14:paraId="249D0125">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*整机可靠性要求</w:t>
            </w:r>
          </w:p>
        </w:tc>
        <w:tc>
          <w:tcPr>
            <w:tcW w:w="1508" w:type="dxa"/>
            <w:vAlign w:val="center"/>
          </w:tcPr>
          <w:p w14:paraId="36419BB1">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*MTBF 测试</w:t>
            </w:r>
          </w:p>
        </w:tc>
        <w:tc>
          <w:tcPr>
            <w:tcW w:w="3852" w:type="dxa"/>
            <w:vAlign w:val="center"/>
          </w:tcPr>
          <w:p w14:paraId="0DFEB86F">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MTBF(m1)≥</w:t>
            </w:r>
            <w:r>
              <w:rPr>
                <w:rFonts w:ascii="仿宋_GB2312" w:hAnsi="Arial" w:eastAsia="仿宋_GB2312" w:cs="Arial"/>
                <w:sz w:val="28"/>
                <w:szCs w:val="28"/>
                <w:lang w:val="en-US" w:eastAsia="zh-CN"/>
              </w:rPr>
              <w:t>3</w:t>
            </w:r>
            <w:r>
              <w:rPr>
                <w:rFonts w:ascii="仿宋_GB2312" w:hAnsi="Arial" w:eastAsia="仿宋_GB2312" w:cs="Arial"/>
                <w:sz w:val="28"/>
                <w:szCs w:val="28"/>
              </w:rPr>
              <w:t>万小时</w:t>
            </w:r>
          </w:p>
        </w:tc>
        <w:tc>
          <w:tcPr>
            <w:tcW w:w="607" w:type="dxa"/>
            <w:vAlign w:val="center"/>
          </w:tcPr>
          <w:p w14:paraId="7FF639B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BA71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89DA08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1223F8B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162</w:t>
            </w:r>
          </w:p>
        </w:tc>
        <w:tc>
          <w:tcPr>
            <w:tcW w:w="1176" w:type="dxa"/>
            <w:vAlign w:val="center"/>
          </w:tcPr>
          <w:p w14:paraId="09095BA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兼容要求</w:t>
            </w:r>
          </w:p>
        </w:tc>
        <w:tc>
          <w:tcPr>
            <w:tcW w:w="1176" w:type="dxa"/>
            <w:vAlign w:val="center"/>
          </w:tcPr>
          <w:p w14:paraId="470CC61E">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*兼容</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要求</w:t>
            </w:r>
          </w:p>
        </w:tc>
        <w:tc>
          <w:tcPr>
            <w:tcW w:w="1508" w:type="dxa"/>
            <w:vAlign w:val="center"/>
          </w:tcPr>
          <w:p w14:paraId="50194131">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*常用软件兼容</w:t>
            </w:r>
          </w:p>
        </w:tc>
        <w:tc>
          <w:tcPr>
            <w:tcW w:w="3852" w:type="dxa"/>
            <w:vAlign w:val="center"/>
          </w:tcPr>
          <w:p w14:paraId="73E6DBE6">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支持流式软件、版式软件、浏览器、邮件采购人端、解压软件、多媒体、图形图像处理等常用软件</w:t>
            </w:r>
          </w:p>
        </w:tc>
        <w:tc>
          <w:tcPr>
            <w:tcW w:w="607" w:type="dxa"/>
            <w:vAlign w:val="center"/>
          </w:tcPr>
          <w:p w14:paraId="7A8F045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67C0D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3411B8A4">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26E530AA">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163</w:t>
            </w:r>
          </w:p>
        </w:tc>
        <w:tc>
          <w:tcPr>
            <w:tcW w:w="1176" w:type="dxa"/>
            <w:vAlign w:val="center"/>
          </w:tcPr>
          <w:p w14:paraId="4188AF5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兼容要求</w:t>
            </w:r>
          </w:p>
        </w:tc>
        <w:tc>
          <w:tcPr>
            <w:tcW w:w="1176" w:type="dxa"/>
            <w:vAlign w:val="center"/>
          </w:tcPr>
          <w:p w14:paraId="33BC792C">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*兼容要求</w:t>
            </w:r>
          </w:p>
        </w:tc>
        <w:tc>
          <w:tcPr>
            <w:tcW w:w="1508" w:type="dxa"/>
            <w:vAlign w:val="center"/>
          </w:tcPr>
          <w:p w14:paraId="60816686">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*数据库兼容</w:t>
            </w:r>
          </w:p>
        </w:tc>
        <w:tc>
          <w:tcPr>
            <w:tcW w:w="3852" w:type="dxa"/>
            <w:vAlign w:val="center"/>
          </w:tcPr>
          <w:p w14:paraId="5F46FED7">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兼容3个及以上厂商的数据库产品</w:t>
            </w:r>
          </w:p>
        </w:tc>
        <w:tc>
          <w:tcPr>
            <w:tcW w:w="607" w:type="dxa"/>
            <w:vAlign w:val="center"/>
          </w:tcPr>
          <w:p w14:paraId="41AB67F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46F6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6BB4C87B">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117C0EB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164</w:t>
            </w:r>
          </w:p>
        </w:tc>
        <w:tc>
          <w:tcPr>
            <w:tcW w:w="1176" w:type="dxa"/>
            <w:vAlign w:val="center"/>
          </w:tcPr>
          <w:p w14:paraId="5F4D8262">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兼容要求</w:t>
            </w:r>
          </w:p>
        </w:tc>
        <w:tc>
          <w:tcPr>
            <w:tcW w:w="1176" w:type="dxa"/>
            <w:vAlign w:val="center"/>
          </w:tcPr>
          <w:p w14:paraId="3B8FC5C4">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*兼容要求</w:t>
            </w:r>
          </w:p>
        </w:tc>
        <w:tc>
          <w:tcPr>
            <w:tcW w:w="1508" w:type="dxa"/>
            <w:vAlign w:val="center"/>
          </w:tcPr>
          <w:p w14:paraId="15A2B3B7">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*中间件兼容</w:t>
            </w:r>
          </w:p>
        </w:tc>
        <w:tc>
          <w:tcPr>
            <w:tcW w:w="3852" w:type="dxa"/>
            <w:vAlign w:val="center"/>
          </w:tcPr>
          <w:p w14:paraId="1DD54036">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兼容3个及以上厂商中间件产品</w:t>
            </w:r>
          </w:p>
        </w:tc>
        <w:tc>
          <w:tcPr>
            <w:tcW w:w="607" w:type="dxa"/>
            <w:vAlign w:val="center"/>
          </w:tcPr>
          <w:p w14:paraId="190D0B1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A8BF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612AFAB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48E13312">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165</w:t>
            </w:r>
          </w:p>
        </w:tc>
        <w:tc>
          <w:tcPr>
            <w:tcW w:w="1176" w:type="dxa"/>
            <w:vAlign w:val="center"/>
          </w:tcPr>
          <w:p w14:paraId="0271054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兼容要求</w:t>
            </w:r>
          </w:p>
        </w:tc>
        <w:tc>
          <w:tcPr>
            <w:tcW w:w="1176" w:type="dxa"/>
            <w:vAlign w:val="center"/>
          </w:tcPr>
          <w:p w14:paraId="44E4DA39">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*兼容要求</w:t>
            </w:r>
          </w:p>
        </w:tc>
        <w:tc>
          <w:tcPr>
            <w:tcW w:w="1508" w:type="dxa"/>
            <w:vAlign w:val="center"/>
          </w:tcPr>
          <w:p w14:paraId="1A949D98">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*平台软件兼容</w:t>
            </w:r>
          </w:p>
        </w:tc>
        <w:tc>
          <w:tcPr>
            <w:tcW w:w="3852" w:type="dxa"/>
            <w:vAlign w:val="center"/>
          </w:tcPr>
          <w:p w14:paraId="526E9560">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兼容3个及以上厂商云计算及大数据平台</w:t>
            </w:r>
          </w:p>
        </w:tc>
        <w:tc>
          <w:tcPr>
            <w:tcW w:w="607" w:type="dxa"/>
            <w:vAlign w:val="center"/>
          </w:tcPr>
          <w:p w14:paraId="776576D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7AFD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620" w:type="dxa"/>
            <w:vAlign w:val="center"/>
          </w:tcPr>
          <w:p w14:paraId="3748CE01">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7F13DBF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166</w:t>
            </w:r>
          </w:p>
        </w:tc>
        <w:tc>
          <w:tcPr>
            <w:tcW w:w="1176" w:type="dxa"/>
            <w:vAlign w:val="center"/>
          </w:tcPr>
          <w:p w14:paraId="37EAB09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包装及运输要求</w:t>
            </w:r>
          </w:p>
        </w:tc>
        <w:tc>
          <w:tcPr>
            <w:tcW w:w="1176" w:type="dxa"/>
            <w:vAlign w:val="center"/>
          </w:tcPr>
          <w:p w14:paraId="4185F95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*包装及运输要求</w:t>
            </w:r>
          </w:p>
        </w:tc>
        <w:tc>
          <w:tcPr>
            <w:tcW w:w="1508" w:type="dxa"/>
            <w:vAlign w:val="center"/>
          </w:tcPr>
          <w:p w14:paraId="4BBC0A19">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*标志、包装、运输和贮存</w:t>
            </w:r>
          </w:p>
        </w:tc>
        <w:tc>
          <w:tcPr>
            <w:tcW w:w="3852" w:type="dxa"/>
            <w:vAlign w:val="center"/>
          </w:tcPr>
          <w:p w14:paraId="07DC4C75">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符合GB/T9813.1和商品包装政府采购需求标准的相关规定</w:t>
            </w:r>
          </w:p>
        </w:tc>
        <w:tc>
          <w:tcPr>
            <w:tcW w:w="607" w:type="dxa"/>
            <w:vAlign w:val="center"/>
          </w:tcPr>
          <w:p w14:paraId="296DE325">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D1E5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2FC811A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295A39D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167</w:t>
            </w:r>
          </w:p>
        </w:tc>
        <w:tc>
          <w:tcPr>
            <w:tcW w:w="1176" w:type="dxa"/>
            <w:vAlign w:val="center"/>
          </w:tcPr>
          <w:p w14:paraId="056AB95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服务要求</w:t>
            </w:r>
          </w:p>
        </w:tc>
        <w:tc>
          <w:tcPr>
            <w:tcW w:w="1176" w:type="dxa"/>
            <w:vAlign w:val="center"/>
          </w:tcPr>
          <w:p w14:paraId="6A550137">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*服务要求</w:t>
            </w:r>
          </w:p>
        </w:tc>
        <w:tc>
          <w:tcPr>
            <w:tcW w:w="1508" w:type="dxa"/>
            <w:vAlign w:val="center"/>
          </w:tcPr>
          <w:p w14:paraId="5A1C872D">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*配置检查工具</w:t>
            </w:r>
          </w:p>
        </w:tc>
        <w:tc>
          <w:tcPr>
            <w:tcW w:w="3852" w:type="dxa"/>
            <w:vAlign w:val="center"/>
          </w:tcPr>
          <w:p w14:paraId="137AAE47">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供应商提供自检测试工具</w:t>
            </w:r>
          </w:p>
        </w:tc>
        <w:tc>
          <w:tcPr>
            <w:tcW w:w="607" w:type="dxa"/>
            <w:vAlign w:val="center"/>
          </w:tcPr>
          <w:p w14:paraId="647CA6F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34ED0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9" w:hRule="atLeast"/>
          <w:jc w:val="center"/>
        </w:trPr>
        <w:tc>
          <w:tcPr>
            <w:tcW w:w="620" w:type="dxa"/>
            <w:vAlign w:val="center"/>
          </w:tcPr>
          <w:p w14:paraId="2FBE498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32185B7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168</w:t>
            </w:r>
          </w:p>
        </w:tc>
        <w:tc>
          <w:tcPr>
            <w:tcW w:w="1176" w:type="dxa"/>
            <w:vAlign w:val="center"/>
          </w:tcPr>
          <w:p w14:paraId="6B7AF69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服务要求</w:t>
            </w:r>
          </w:p>
        </w:tc>
        <w:tc>
          <w:tcPr>
            <w:tcW w:w="1176" w:type="dxa"/>
            <w:vAlign w:val="center"/>
          </w:tcPr>
          <w:p w14:paraId="67530ECA">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*服务要求</w:t>
            </w:r>
          </w:p>
        </w:tc>
        <w:tc>
          <w:tcPr>
            <w:tcW w:w="1508" w:type="dxa"/>
            <w:vAlign w:val="center"/>
          </w:tcPr>
          <w:p w14:paraId="786B590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*服务响应</w:t>
            </w:r>
          </w:p>
        </w:tc>
        <w:tc>
          <w:tcPr>
            <w:tcW w:w="3852" w:type="dxa"/>
            <w:vAlign w:val="center"/>
          </w:tcPr>
          <w:p w14:paraId="6861040D">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a)供应商提供电话、电子邮件、远程连接等多种形式服务；</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b)供应商提供同城4h、异地12h技术响应服务，2个工作日解决问题，对于未能解决的问题和故障应提供可行的升级方案，并提供周转设备或更换设备；</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c)建立全国技术服务体系和服务团体，符合专业服务体系标准要求，提供原厂中文服务；</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d)服务周期内提供产品的维修、换件和升级服务</w:t>
            </w:r>
          </w:p>
        </w:tc>
        <w:tc>
          <w:tcPr>
            <w:tcW w:w="607" w:type="dxa"/>
            <w:vAlign w:val="center"/>
          </w:tcPr>
          <w:p w14:paraId="6CE554A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64BAE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620" w:type="dxa"/>
            <w:vAlign w:val="center"/>
          </w:tcPr>
          <w:p w14:paraId="03A568CA">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7BB1B47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169</w:t>
            </w:r>
          </w:p>
        </w:tc>
        <w:tc>
          <w:tcPr>
            <w:tcW w:w="1176" w:type="dxa"/>
            <w:vAlign w:val="center"/>
          </w:tcPr>
          <w:p w14:paraId="6B663EE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服务要求</w:t>
            </w:r>
          </w:p>
        </w:tc>
        <w:tc>
          <w:tcPr>
            <w:tcW w:w="1176" w:type="dxa"/>
            <w:vAlign w:val="center"/>
          </w:tcPr>
          <w:p w14:paraId="4C8925B9">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*服务要求</w:t>
            </w:r>
          </w:p>
        </w:tc>
        <w:tc>
          <w:tcPr>
            <w:tcW w:w="1508" w:type="dxa"/>
            <w:vAlign w:val="center"/>
          </w:tcPr>
          <w:p w14:paraId="44790E63">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*服务周期</w:t>
            </w:r>
          </w:p>
        </w:tc>
        <w:tc>
          <w:tcPr>
            <w:tcW w:w="3852" w:type="dxa"/>
            <w:vAlign w:val="center"/>
          </w:tcPr>
          <w:p w14:paraId="7329C02E">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a)设备停产后应继续提供质量保障服务（含备品备件），服务终止时间与最后一批设备交付时间间隔不低于6年；</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b)产品停止服务时间应提前1年告知；</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c)应明确产品发布日期</w:t>
            </w:r>
          </w:p>
        </w:tc>
        <w:tc>
          <w:tcPr>
            <w:tcW w:w="607" w:type="dxa"/>
            <w:vAlign w:val="center"/>
          </w:tcPr>
          <w:p w14:paraId="23BEAB3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8900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71F8694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61EBFF1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170</w:t>
            </w:r>
          </w:p>
        </w:tc>
        <w:tc>
          <w:tcPr>
            <w:tcW w:w="1176" w:type="dxa"/>
            <w:vAlign w:val="center"/>
          </w:tcPr>
          <w:p w14:paraId="35A6130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服务要求</w:t>
            </w:r>
          </w:p>
        </w:tc>
        <w:tc>
          <w:tcPr>
            <w:tcW w:w="1176" w:type="dxa"/>
            <w:vAlign w:val="center"/>
          </w:tcPr>
          <w:p w14:paraId="3F342505">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*服务要求</w:t>
            </w:r>
          </w:p>
        </w:tc>
        <w:tc>
          <w:tcPr>
            <w:tcW w:w="1508" w:type="dxa"/>
            <w:vAlign w:val="center"/>
          </w:tcPr>
          <w:p w14:paraId="4E7CFCDE">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*预装操作系统</w:t>
            </w:r>
          </w:p>
        </w:tc>
        <w:tc>
          <w:tcPr>
            <w:tcW w:w="3852" w:type="dxa"/>
            <w:vAlign w:val="center"/>
          </w:tcPr>
          <w:p w14:paraId="2BFDB880">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预装符合桌面操作系统政府采购需求标准的正版操作系统</w:t>
            </w:r>
          </w:p>
        </w:tc>
        <w:tc>
          <w:tcPr>
            <w:tcW w:w="607" w:type="dxa"/>
            <w:vAlign w:val="center"/>
          </w:tcPr>
          <w:p w14:paraId="3F9BD6E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683CE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2918CDF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37A21BC0">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171</w:t>
            </w:r>
          </w:p>
        </w:tc>
        <w:tc>
          <w:tcPr>
            <w:tcW w:w="1176" w:type="dxa"/>
            <w:vAlign w:val="center"/>
          </w:tcPr>
          <w:p w14:paraId="610F763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服务要求</w:t>
            </w:r>
          </w:p>
        </w:tc>
        <w:tc>
          <w:tcPr>
            <w:tcW w:w="1176" w:type="dxa"/>
            <w:vAlign w:val="center"/>
          </w:tcPr>
          <w:p w14:paraId="29379B56">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*服务要求</w:t>
            </w:r>
          </w:p>
        </w:tc>
        <w:tc>
          <w:tcPr>
            <w:tcW w:w="1508" w:type="dxa"/>
            <w:vAlign w:val="center"/>
          </w:tcPr>
          <w:p w14:paraId="554F0D4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*培训服务</w:t>
            </w:r>
          </w:p>
        </w:tc>
        <w:tc>
          <w:tcPr>
            <w:tcW w:w="3852" w:type="dxa"/>
            <w:vAlign w:val="center"/>
          </w:tcPr>
          <w:p w14:paraId="54BD513B">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供应商提供培训材料、产品手册、培训视频等培训相关内容</w:t>
            </w:r>
          </w:p>
        </w:tc>
        <w:tc>
          <w:tcPr>
            <w:tcW w:w="607" w:type="dxa"/>
            <w:vAlign w:val="center"/>
          </w:tcPr>
          <w:p w14:paraId="7DE2289C">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9AD7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02E714C0">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7613BEF2">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172</w:t>
            </w:r>
          </w:p>
        </w:tc>
        <w:tc>
          <w:tcPr>
            <w:tcW w:w="1176" w:type="dxa"/>
            <w:vAlign w:val="center"/>
          </w:tcPr>
          <w:p w14:paraId="6E9148C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服务要求</w:t>
            </w:r>
          </w:p>
        </w:tc>
        <w:tc>
          <w:tcPr>
            <w:tcW w:w="1176" w:type="dxa"/>
            <w:vAlign w:val="center"/>
          </w:tcPr>
          <w:p w14:paraId="56A18BE6">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*服务要求</w:t>
            </w:r>
          </w:p>
        </w:tc>
        <w:tc>
          <w:tcPr>
            <w:tcW w:w="1508" w:type="dxa"/>
            <w:vAlign w:val="center"/>
          </w:tcPr>
          <w:p w14:paraId="0E80EAC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*典型问题解决手册</w:t>
            </w:r>
          </w:p>
        </w:tc>
        <w:tc>
          <w:tcPr>
            <w:tcW w:w="3852" w:type="dxa"/>
            <w:vAlign w:val="center"/>
          </w:tcPr>
          <w:p w14:paraId="02BB56D8">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供应商提供典型问题解决说明文档或视频</w:t>
            </w:r>
          </w:p>
        </w:tc>
        <w:tc>
          <w:tcPr>
            <w:tcW w:w="607" w:type="dxa"/>
            <w:vAlign w:val="center"/>
          </w:tcPr>
          <w:p w14:paraId="67FF56B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684A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1F9F4D0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3D5B85E0">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173</w:t>
            </w:r>
          </w:p>
        </w:tc>
        <w:tc>
          <w:tcPr>
            <w:tcW w:w="1176" w:type="dxa"/>
            <w:vAlign w:val="center"/>
          </w:tcPr>
          <w:p w14:paraId="7B2BA4E8">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服务要求</w:t>
            </w:r>
          </w:p>
        </w:tc>
        <w:tc>
          <w:tcPr>
            <w:tcW w:w="1176" w:type="dxa"/>
            <w:vAlign w:val="center"/>
          </w:tcPr>
          <w:p w14:paraId="546263DF">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*服务要求</w:t>
            </w:r>
          </w:p>
        </w:tc>
        <w:tc>
          <w:tcPr>
            <w:tcW w:w="1508" w:type="dxa"/>
            <w:vAlign w:val="center"/>
          </w:tcPr>
          <w:p w14:paraId="5D9E4B22">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*厂家升级软件与</w:t>
            </w:r>
            <w:r>
              <w:rPr>
                <w:rStyle w:val="288"/>
                <w:rFonts w:ascii="仿宋_GB2312" w:eastAsia="仿宋_GB2312" w:hAnsiTheme="minorEastAsia" w:cstheme="minorEastAsia"/>
                <w:color w:val="auto"/>
                <w:sz w:val="28"/>
                <w:szCs w:val="28"/>
                <w:lang w:eastAsia="zh-CN" w:bidi="ar"/>
              </w:rPr>
              <w:br w:type="textWrapping"/>
            </w:r>
            <w:r>
              <w:rPr>
                <w:rStyle w:val="288"/>
                <w:rFonts w:ascii="仿宋_GB2312" w:eastAsia="仿宋_GB2312" w:hAnsiTheme="minorEastAsia" w:cstheme="minorEastAsia"/>
                <w:color w:val="auto"/>
                <w:sz w:val="28"/>
                <w:szCs w:val="28"/>
                <w:lang w:eastAsia="zh-CN" w:bidi="ar"/>
              </w:rPr>
              <w:t>扩容服务</w:t>
            </w:r>
          </w:p>
        </w:tc>
        <w:tc>
          <w:tcPr>
            <w:tcW w:w="3852" w:type="dxa"/>
            <w:vAlign w:val="center"/>
          </w:tcPr>
          <w:p w14:paraId="1CB5517D">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供应商提供上门升级部件/软件与扩容的增值服务</w:t>
            </w:r>
          </w:p>
        </w:tc>
        <w:tc>
          <w:tcPr>
            <w:tcW w:w="607" w:type="dxa"/>
            <w:vAlign w:val="center"/>
          </w:tcPr>
          <w:p w14:paraId="7303DEB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116F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590380F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7676C6D0">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174</w:t>
            </w:r>
          </w:p>
        </w:tc>
        <w:tc>
          <w:tcPr>
            <w:tcW w:w="1176" w:type="dxa"/>
            <w:vAlign w:val="center"/>
          </w:tcPr>
          <w:p w14:paraId="45B5FFE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服务要求</w:t>
            </w:r>
          </w:p>
        </w:tc>
        <w:tc>
          <w:tcPr>
            <w:tcW w:w="1176" w:type="dxa"/>
            <w:vAlign w:val="center"/>
          </w:tcPr>
          <w:p w14:paraId="722792A4">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*服务要求</w:t>
            </w:r>
          </w:p>
        </w:tc>
        <w:tc>
          <w:tcPr>
            <w:tcW w:w="1508" w:type="dxa"/>
            <w:vAlign w:val="center"/>
          </w:tcPr>
          <w:p w14:paraId="7331873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*整机质量服务要求</w:t>
            </w:r>
          </w:p>
        </w:tc>
        <w:tc>
          <w:tcPr>
            <w:tcW w:w="3852" w:type="dxa"/>
            <w:vAlign w:val="center"/>
          </w:tcPr>
          <w:p w14:paraId="4E1D9A68">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免费服务周期（含换件和维修）应不小于5年</w:t>
            </w:r>
          </w:p>
        </w:tc>
        <w:tc>
          <w:tcPr>
            <w:tcW w:w="607" w:type="dxa"/>
            <w:vAlign w:val="center"/>
          </w:tcPr>
          <w:p w14:paraId="60B955A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67E73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2913673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686B3B4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175</w:t>
            </w:r>
          </w:p>
        </w:tc>
        <w:tc>
          <w:tcPr>
            <w:tcW w:w="1176" w:type="dxa"/>
            <w:vAlign w:val="center"/>
          </w:tcPr>
          <w:p w14:paraId="74CD5F7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服务要求</w:t>
            </w:r>
          </w:p>
        </w:tc>
        <w:tc>
          <w:tcPr>
            <w:tcW w:w="1176" w:type="dxa"/>
            <w:vAlign w:val="center"/>
          </w:tcPr>
          <w:p w14:paraId="05D4482D">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*服务要求</w:t>
            </w:r>
          </w:p>
        </w:tc>
        <w:tc>
          <w:tcPr>
            <w:tcW w:w="1508" w:type="dxa"/>
            <w:vAlign w:val="center"/>
          </w:tcPr>
          <w:p w14:paraId="3BE1A836">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*合格证书要求</w:t>
            </w:r>
          </w:p>
        </w:tc>
        <w:tc>
          <w:tcPr>
            <w:tcW w:w="3852" w:type="dxa"/>
            <w:vAlign w:val="center"/>
          </w:tcPr>
          <w:p w14:paraId="5AFEEC7E">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供应商提供产品合格证</w:t>
            </w:r>
          </w:p>
        </w:tc>
        <w:tc>
          <w:tcPr>
            <w:tcW w:w="607" w:type="dxa"/>
            <w:vAlign w:val="center"/>
          </w:tcPr>
          <w:p w14:paraId="00C3858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082D5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2CE84FCF">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674A8AD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176</w:t>
            </w:r>
          </w:p>
        </w:tc>
        <w:tc>
          <w:tcPr>
            <w:tcW w:w="1176" w:type="dxa"/>
            <w:vAlign w:val="center"/>
          </w:tcPr>
          <w:p w14:paraId="31BD67B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服务要求</w:t>
            </w:r>
          </w:p>
        </w:tc>
        <w:tc>
          <w:tcPr>
            <w:tcW w:w="1176" w:type="dxa"/>
            <w:vAlign w:val="center"/>
          </w:tcPr>
          <w:p w14:paraId="4A40E339">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*服务要求</w:t>
            </w:r>
          </w:p>
        </w:tc>
        <w:tc>
          <w:tcPr>
            <w:tcW w:w="1508" w:type="dxa"/>
            <w:vAlign w:val="center"/>
          </w:tcPr>
          <w:p w14:paraId="3659D255">
            <w:pPr>
              <w:adjustRightInd w:val="0"/>
              <w:snapToGrid w:val="0"/>
              <w:jc w:val="center"/>
              <w:textAlignment w:val="center"/>
              <w:rPr>
                <w:rFonts w:ascii="仿宋_GB2312" w:eastAsia="仿宋_GB2312" w:hAnsiTheme="minorEastAsia" w:cstheme="minorEastAsia"/>
                <w:color w:val="auto"/>
                <w:sz w:val="28"/>
                <w:szCs w:val="28"/>
                <w:lang w:eastAsia="zh-CN"/>
              </w:rPr>
            </w:pPr>
            <w:r>
              <w:rPr>
                <w:rStyle w:val="288"/>
                <w:rFonts w:ascii="仿宋_GB2312" w:eastAsia="仿宋_GB2312" w:hAnsiTheme="minorEastAsia" w:cstheme="minorEastAsia"/>
                <w:color w:val="auto"/>
                <w:sz w:val="28"/>
                <w:szCs w:val="28"/>
                <w:lang w:eastAsia="zh-CN" w:bidi="ar"/>
              </w:rPr>
              <w:t>*开箱组装/使用</w:t>
            </w:r>
            <w:r>
              <w:rPr>
                <w:rStyle w:val="288"/>
                <w:rFonts w:ascii="仿宋_GB2312" w:eastAsia="仿宋_GB2312" w:hAnsiTheme="minorEastAsia" w:cstheme="minorEastAsia"/>
                <w:color w:val="auto"/>
                <w:sz w:val="28"/>
                <w:szCs w:val="28"/>
                <w:lang w:eastAsia="zh-CN" w:bidi="ar"/>
              </w:rPr>
              <w:br w:type="textWrapping"/>
            </w:r>
            <w:r>
              <w:rPr>
                <w:rStyle w:val="288"/>
                <w:rFonts w:ascii="仿宋_GB2312" w:eastAsia="仿宋_GB2312" w:hAnsiTheme="minorEastAsia" w:cstheme="minorEastAsia"/>
                <w:color w:val="auto"/>
                <w:sz w:val="28"/>
                <w:szCs w:val="28"/>
                <w:lang w:eastAsia="zh-CN" w:bidi="ar"/>
              </w:rPr>
              <w:t>指导要求</w:t>
            </w:r>
          </w:p>
        </w:tc>
        <w:tc>
          <w:tcPr>
            <w:tcW w:w="3852" w:type="dxa"/>
            <w:vAlign w:val="center"/>
          </w:tcPr>
          <w:p w14:paraId="2EE6CB71">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供应商提供开箱组装/使用指导</w:t>
            </w:r>
          </w:p>
        </w:tc>
        <w:tc>
          <w:tcPr>
            <w:tcW w:w="607" w:type="dxa"/>
            <w:vAlign w:val="center"/>
          </w:tcPr>
          <w:p w14:paraId="6717693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3C39B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20" w:type="dxa"/>
            <w:vAlign w:val="center"/>
          </w:tcPr>
          <w:p w14:paraId="4F3E659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27CCE020">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177</w:t>
            </w:r>
          </w:p>
        </w:tc>
        <w:tc>
          <w:tcPr>
            <w:tcW w:w="1176" w:type="dxa"/>
            <w:vAlign w:val="center"/>
          </w:tcPr>
          <w:p w14:paraId="79BEE5E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服务要求</w:t>
            </w:r>
          </w:p>
        </w:tc>
        <w:tc>
          <w:tcPr>
            <w:tcW w:w="1176" w:type="dxa"/>
            <w:vAlign w:val="center"/>
          </w:tcPr>
          <w:p w14:paraId="2B874E5A">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*服务要求</w:t>
            </w:r>
          </w:p>
        </w:tc>
        <w:tc>
          <w:tcPr>
            <w:tcW w:w="1508" w:type="dxa"/>
            <w:vAlign w:val="center"/>
          </w:tcPr>
          <w:p w14:paraId="00D58E6B">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*驱动下载服务要求</w:t>
            </w:r>
          </w:p>
        </w:tc>
        <w:tc>
          <w:tcPr>
            <w:tcW w:w="3852" w:type="dxa"/>
            <w:vAlign w:val="center"/>
          </w:tcPr>
          <w:p w14:paraId="1BC5496F">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供应商提供驱动光盘或下载方式</w:t>
            </w:r>
          </w:p>
        </w:tc>
        <w:tc>
          <w:tcPr>
            <w:tcW w:w="607" w:type="dxa"/>
            <w:vAlign w:val="center"/>
          </w:tcPr>
          <w:p w14:paraId="7A9EE16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83B1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0DF8536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0AA4299A">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178</w:t>
            </w:r>
          </w:p>
        </w:tc>
        <w:tc>
          <w:tcPr>
            <w:tcW w:w="1176" w:type="dxa"/>
            <w:vAlign w:val="center"/>
          </w:tcPr>
          <w:p w14:paraId="56DCBF9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服务要求</w:t>
            </w:r>
          </w:p>
        </w:tc>
        <w:tc>
          <w:tcPr>
            <w:tcW w:w="1176" w:type="dxa"/>
            <w:vAlign w:val="center"/>
          </w:tcPr>
          <w:p w14:paraId="6DAF5BCC">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*服务要求</w:t>
            </w:r>
          </w:p>
        </w:tc>
        <w:tc>
          <w:tcPr>
            <w:tcW w:w="1508" w:type="dxa"/>
            <w:vAlign w:val="center"/>
          </w:tcPr>
          <w:p w14:paraId="7B618DAD">
            <w:pPr>
              <w:adjustRightInd w:val="0"/>
              <w:snapToGrid w:val="0"/>
              <w:jc w:val="center"/>
              <w:textAlignment w:val="center"/>
              <w:rPr>
                <w:rFonts w:ascii="仿宋_GB2312" w:eastAsia="仿宋_GB2312" w:hAnsiTheme="minorEastAsia" w:cstheme="minorEastAsia"/>
                <w:color w:val="auto"/>
                <w:sz w:val="28"/>
                <w:szCs w:val="28"/>
                <w:lang w:eastAsia="zh-CN"/>
              </w:rPr>
            </w:pPr>
            <w:r>
              <w:rPr>
                <w:rFonts w:ascii="仿宋_GB2312" w:eastAsia="仿宋_GB2312" w:hAnsiTheme="minorEastAsia" w:cstheme="minorEastAsia"/>
                <w:color w:val="auto"/>
                <w:kern w:val="0"/>
                <w:sz w:val="28"/>
                <w:szCs w:val="28"/>
                <w:lang w:eastAsia="zh-CN" w:bidi="ar"/>
              </w:rPr>
              <w:t>*兼容适配软件下</w:t>
            </w:r>
            <w:r>
              <w:rPr>
                <w:rFonts w:ascii="仿宋_GB2312" w:eastAsia="仿宋_GB2312" w:hAnsiTheme="minorEastAsia" w:cstheme="minorEastAsia"/>
                <w:color w:val="auto"/>
                <w:kern w:val="0"/>
                <w:sz w:val="28"/>
                <w:szCs w:val="28"/>
                <w:lang w:eastAsia="zh-CN" w:bidi="ar"/>
              </w:rPr>
              <w:br w:type="textWrapping"/>
            </w:r>
            <w:r>
              <w:rPr>
                <w:rFonts w:ascii="仿宋_GB2312" w:eastAsia="仿宋_GB2312" w:hAnsiTheme="minorEastAsia" w:cstheme="minorEastAsia"/>
                <w:color w:val="auto"/>
                <w:kern w:val="0"/>
                <w:sz w:val="28"/>
                <w:szCs w:val="28"/>
                <w:lang w:eastAsia="zh-CN" w:bidi="ar"/>
              </w:rPr>
              <w:t>载服务要求</w:t>
            </w:r>
          </w:p>
        </w:tc>
        <w:tc>
          <w:tcPr>
            <w:tcW w:w="3852" w:type="dxa"/>
            <w:vAlign w:val="center"/>
          </w:tcPr>
          <w:p w14:paraId="68852DB1">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供应商提供兼容适配软件下载渠道（光盘、网站）</w:t>
            </w:r>
          </w:p>
        </w:tc>
        <w:tc>
          <w:tcPr>
            <w:tcW w:w="607" w:type="dxa"/>
            <w:vAlign w:val="center"/>
          </w:tcPr>
          <w:p w14:paraId="5836C54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6D9C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1DE6806E">
            <w:pPr>
              <w:adjustRightInd w:val="0"/>
              <w:snapToGrid w:val="0"/>
              <w:jc w:val="center"/>
              <w:textAlignment w:val="center"/>
              <w:rPr>
                <w:rFonts w:ascii="仿宋_GB2312" w:eastAsia="仿宋_GB2312" w:hAnsiTheme="minorEastAsia" w:cstheme="minorEastAsia"/>
                <w:color w:val="auto"/>
                <w:sz w:val="28"/>
                <w:szCs w:val="28"/>
              </w:rPr>
            </w:pPr>
          </w:p>
        </w:tc>
        <w:tc>
          <w:tcPr>
            <w:tcW w:w="598" w:type="dxa"/>
            <w:vAlign w:val="center"/>
          </w:tcPr>
          <w:p w14:paraId="2ED9BA2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179</w:t>
            </w:r>
          </w:p>
        </w:tc>
        <w:tc>
          <w:tcPr>
            <w:tcW w:w="1176" w:type="dxa"/>
            <w:vAlign w:val="center"/>
          </w:tcPr>
          <w:p w14:paraId="71C73AD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服务要求</w:t>
            </w:r>
          </w:p>
        </w:tc>
        <w:tc>
          <w:tcPr>
            <w:tcW w:w="1176" w:type="dxa"/>
            <w:vAlign w:val="center"/>
          </w:tcPr>
          <w:p w14:paraId="032A222E">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*服务要求</w:t>
            </w:r>
          </w:p>
        </w:tc>
        <w:tc>
          <w:tcPr>
            <w:tcW w:w="1508" w:type="dxa"/>
            <w:vAlign w:val="center"/>
          </w:tcPr>
          <w:p w14:paraId="026DF5CA">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跨架构平台应用兼容</w:t>
            </w:r>
          </w:p>
        </w:tc>
        <w:tc>
          <w:tcPr>
            <w:tcW w:w="3852" w:type="dxa"/>
            <w:vAlign w:val="center"/>
          </w:tcPr>
          <w:p w14:paraId="4F7AE6E7">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38F9165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7340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2C3CC570">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326F2C5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180</w:t>
            </w:r>
          </w:p>
        </w:tc>
        <w:tc>
          <w:tcPr>
            <w:tcW w:w="1176" w:type="dxa"/>
            <w:vAlign w:val="center"/>
          </w:tcPr>
          <w:p w14:paraId="6E04A021">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供应保障要求</w:t>
            </w:r>
          </w:p>
        </w:tc>
        <w:tc>
          <w:tcPr>
            <w:tcW w:w="1176" w:type="dxa"/>
            <w:vAlign w:val="center"/>
          </w:tcPr>
          <w:p w14:paraId="427FF75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*供应链合规性</w:t>
            </w:r>
          </w:p>
        </w:tc>
        <w:tc>
          <w:tcPr>
            <w:tcW w:w="1508" w:type="dxa"/>
            <w:vAlign w:val="center"/>
          </w:tcPr>
          <w:p w14:paraId="4241A1D9">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*产品部件保障</w:t>
            </w:r>
          </w:p>
        </w:tc>
        <w:tc>
          <w:tcPr>
            <w:tcW w:w="3852" w:type="dxa"/>
            <w:vAlign w:val="center"/>
          </w:tcPr>
          <w:p w14:paraId="6AEACD5C">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供应商保障产品主要部件，提供6年的备件服务能力（自购买之日起），或提供可兼容原设备的升级换代产品</w:t>
            </w:r>
          </w:p>
        </w:tc>
        <w:tc>
          <w:tcPr>
            <w:tcW w:w="607" w:type="dxa"/>
            <w:vAlign w:val="center"/>
          </w:tcPr>
          <w:p w14:paraId="4CD51FD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60A92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1138EF1B">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5039948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181</w:t>
            </w:r>
          </w:p>
        </w:tc>
        <w:tc>
          <w:tcPr>
            <w:tcW w:w="1176" w:type="dxa"/>
            <w:vAlign w:val="center"/>
          </w:tcPr>
          <w:p w14:paraId="4C040850">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供应保障</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要求</w:t>
            </w:r>
          </w:p>
        </w:tc>
        <w:tc>
          <w:tcPr>
            <w:tcW w:w="1176" w:type="dxa"/>
            <w:vAlign w:val="center"/>
          </w:tcPr>
          <w:p w14:paraId="51BFB5E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*供应链质量</w:t>
            </w:r>
          </w:p>
        </w:tc>
        <w:tc>
          <w:tcPr>
            <w:tcW w:w="1508" w:type="dxa"/>
            <w:vAlign w:val="center"/>
          </w:tcPr>
          <w:p w14:paraId="42B2851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*抗干扰性</w:t>
            </w:r>
          </w:p>
        </w:tc>
        <w:tc>
          <w:tcPr>
            <w:tcW w:w="3852" w:type="dxa"/>
            <w:vAlign w:val="center"/>
          </w:tcPr>
          <w:p w14:paraId="55A9585D">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当产品部件出现供应风险时，供应商应通知采购人并提供风险应对方案确保产品的服务保障</w:t>
            </w:r>
          </w:p>
        </w:tc>
        <w:tc>
          <w:tcPr>
            <w:tcW w:w="607" w:type="dxa"/>
            <w:vAlign w:val="center"/>
          </w:tcPr>
          <w:p w14:paraId="5CAFD5C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1740E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5423F81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02F14A4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182</w:t>
            </w:r>
          </w:p>
        </w:tc>
        <w:tc>
          <w:tcPr>
            <w:tcW w:w="1176" w:type="dxa"/>
            <w:vAlign w:val="center"/>
          </w:tcPr>
          <w:p w14:paraId="7DBB109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供应保障</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要求</w:t>
            </w:r>
          </w:p>
        </w:tc>
        <w:tc>
          <w:tcPr>
            <w:tcW w:w="1176" w:type="dxa"/>
            <w:vAlign w:val="center"/>
          </w:tcPr>
          <w:p w14:paraId="0C7803F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*供应链质量</w:t>
            </w:r>
          </w:p>
        </w:tc>
        <w:tc>
          <w:tcPr>
            <w:tcW w:w="1508" w:type="dxa"/>
            <w:vAlign w:val="center"/>
          </w:tcPr>
          <w:p w14:paraId="733CF16B">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*供应能力证明</w:t>
            </w:r>
          </w:p>
        </w:tc>
        <w:tc>
          <w:tcPr>
            <w:tcW w:w="3852" w:type="dxa"/>
            <w:vAlign w:val="center"/>
          </w:tcPr>
          <w:p w14:paraId="04069C26">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供应商提供供应链稳定承诺书，确保产品的部件在产品服务周期内稳定供货</w:t>
            </w:r>
          </w:p>
        </w:tc>
        <w:tc>
          <w:tcPr>
            <w:tcW w:w="607" w:type="dxa"/>
            <w:vAlign w:val="center"/>
          </w:tcPr>
          <w:p w14:paraId="0CA0FE1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49987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05B6266">
            <w:pPr>
              <w:adjustRightInd w:val="0"/>
              <w:snapToGrid w:val="0"/>
              <w:jc w:val="center"/>
              <w:rPr>
                <w:rFonts w:ascii="仿宋_GB2312" w:eastAsia="仿宋_GB2312" w:hAnsiTheme="minorEastAsia" w:cstheme="minorEastAsia"/>
                <w:color w:val="auto"/>
                <w:sz w:val="28"/>
                <w:szCs w:val="28"/>
              </w:rPr>
            </w:pPr>
          </w:p>
        </w:tc>
        <w:tc>
          <w:tcPr>
            <w:tcW w:w="598" w:type="dxa"/>
            <w:vAlign w:val="center"/>
          </w:tcPr>
          <w:p w14:paraId="3CDA9E1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183</w:t>
            </w:r>
          </w:p>
        </w:tc>
        <w:tc>
          <w:tcPr>
            <w:tcW w:w="1176" w:type="dxa"/>
            <w:vAlign w:val="center"/>
          </w:tcPr>
          <w:p w14:paraId="29F0040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安全要求</w:t>
            </w:r>
          </w:p>
        </w:tc>
        <w:tc>
          <w:tcPr>
            <w:tcW w:w="1176" w:type="dxa"/>
            <w:vAlign w:val="center"/>
          </w:tcPr>
          <w:p w14:paraId="77D6EC9C">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*关键部件安全要求</w:t>
            </w:r>
          </w:p>
        </w:tc>
        <w:tc>
          <w:tcPr>
            <w:tcW w:w="1508" w:type="dxa"/>
            <w:vAlign w:val="center"/>
          </w:tcPr>
          <w:p w14:paraId="0B4010BD">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*关键部件安全要求</w:t>
            </w:r>
          </w:p>
        </w:tc>
        <w:tc>
          <w:tcPr>
            <w:tcW w:w="3852" w:type="dxa"/>
            <w:vAlign w:val="center"/>
          </w:tcPr>
          <w:p w14:paraId="33CEE413">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2310765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F394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78CE07FF">
            <w:pPr>
              <w:adjustRightInd w:val="0"/>
              <w:snapToGrid w:val="0"/>
              <w:jc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1315B0E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184</w:t>
            </w:r>
          </w:p>
        </w:tc>
        <w:tc>
          <w:tcPr>
            <w:tcW w:w="1176" w:type="dxa"/>
            <w:vAlign w:val="center"/>
          </w:tcPr>
          <w:p w14:paraId="4230841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安全要求</w:t>
            </w:r>
          </w:p>
        </w:tc>
        <w:tc>
          <w:tcPr>
            <w:tcW w:w="1176" w:type="dxa"/>
            <w:vAlign w:val="center"/>
          </w:tcPr>
          <w:p w14:paraId="5A47DE4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*关键部件安全要求</w:t>
            </w:r>
          </w:p>
        </w:tc>
        <w:tc>
          <w:tcPr>
            <w:tcW w:w="1508" w:type="dxa"/>
            <w:vAlign w:val="center"/>
          </w:tcPr>
          <w:p w14:paraId="122698D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*密码算法实现</w:t>
            </w:r>
          </w:p>
        </w:tc>
        <w:tc>
          <w:tcPr>
            <w:tcW w:w="3852" w:type="dxa"/>
            <w:vAlign w:val="center"/>
          </w:tcPr>
          <w:p w14:paraId="6DC33F08">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CPU芯片应符合GM/T0008的相关规定，或芯片密码模块应符合GB/T37092或GM/T0028的相关规定</w:t>
            </w:r>
          </w:p>
        </w:tc>
        <w:tc>
          <w:tcPr>
            <w:tcW w:w="607" w:type="dxa"/>
            <w:vAlign w:val="center"/>
          </w:tcPr>
          <w:p w14:paraId="7656138F">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7E5AE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334B6486">
            <w:pPr>
              <w:adjustRightInd w:val="0"/>
              <w:snapToGrid w:val="0"/>
              <w:jc w:val="center"/>
              <w:textAlignment w:val="center"/>
              <w:rPr>
                <w:rFonts w:ascii="仿宋_GB2312" w:eastAsia="仿宋_GB2312" w:hAnsiTheme="minorEastAsia" w:cstheme="minorEastAsia"/>
                <w:color w:val="auto"/>
                <w:sz w:val="28"/>
                <w:szCs w:val="28"/>
              </w:rPr>
            </w:pPr>
          </w:p>
        </w:tc>
        <w:tc>
          <w:tcPr>
            <w:tcW w:w="598" w:type="dxa"/>
            <w:vAlign w:val="center"/>
          </w:tcPr>
          <w:p w14:paraId="6E5C2D03">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185</w:t>
            </w:r>
          </w:p>
        </w:tc>
        <w:tc>
          <w:tcPr>
            <w:tcW w:w="1176" w:type="dxa"/>
            <w:vAlign w:val="center"/>
          </w:tcPr>
          <w:p w14:paraId="6137BF1A">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安全要求</w:t>
            </w:r>
          </w:p>
        </w:tc>
        <w:tc>
          <w:tcPr>
            <w:tcW w:w="1176" w:type="dxa"/>
            <w:vAlign w:val="center"/>
          </w:tcPr>
          <w:p w14:paraId="32AB41C1">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*关键部件安全要求</w:t>
            </w:r>
          </w:p>
        </w:tc>
        <w:tc>
          <w:tcPr>
            <w:tcW w:w="1508" w:type="dxa"/>
            <w:vAlign w:val="center"/>
          </w:tcPr>
          <w:p w14:paraId="6F0665DF">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USB 端口管控</w:t>
            </w:r>
          </w:p>
        </w:tc>
        <w:tc>
          <w:tcPr>
            <w:tcW w:w="3852" w:type="dxa"/>
            <w:vAlign w:val="center"/>
          </w:tcPr>
          <w:p w14:paraId="637F1744">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1DAC8444">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314FE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7FA27D2E">
            <w:pPr>
              <w:adjustRightInd w:val="0"/>
              <w:snapToGrid w:val="0"/>
              <w:jc w:val="center"/>
              <w:textAlignment w:val="center"/>
              <w:rPr>
                <w:rFonts w:ascii="仿宋_GB2312" w:eastAsia="仿宋_GB2312" w:hAnsiTheme="minorEastAsia" w:cstheme="minorEastAsia"/>
                <w:color w:val="auto"/>
                <w:sz w:val="28"/>
                <w:szCs w:val="28"/>
              </w:rPr>
            </w:pPr>
          </w:p>
        </w:tc>
        <w:tc>
          <w:tcPr>
            <w:tcW w:w="598" w:type="dxa"/>
            <w:vAlign w:val="center"/>
          </w:tcPr>
          <w:p w14:paraId="17A9428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186</w:t>
            </w:r>
          </w:p>
        </w:tc>
        <w:tc>
          <w:tcPr>
            <w:tcW w:w="1176" w:type="dxa"/>
            <w:vAlign w:val="center"/>
          </w:tcPr>
          <w:p w14:paraId="5369EF69">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安全要求</w:t>
            </w:r>
          </w:p>
        </w:tc>
        <w:tc>
          <w:tcPr>
            <w:tcW w:w="1176" w:type="dxa"/>
            <w:vAlign w:val="center"/>
          </w:tcPr>
          <w:p w14:paraId="22127C1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*关键部件安全要求</w:t>
            </w:r>
          </w:p>
        </w:tc>
        <w:tc>
          <w:tcPr>
            <w:tcW w:w="1508" w:type="dxa"/>
            <w:vAlign w:val="center"/>
          </w:tcPr>
          <w:p w14:paraId="3A2F5C3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安全物理锁</w:t>
            </w:r>
          </w:p>
        </w:tc>
        <w:tc>
          <w:tcPr>
            <w:tcW w:w="3852" w:type="dxa"/>
            <w:vAlign w:val="center"/>
          </w:tcPr>
          <w:p w14:paraId="45F280DA">
            <w:pPr>
              <w:adjustRightInd w:val="0"/>
              <w:snapToGrid w:val="0"/>
              <w:jc w:val="left"/>
              <w:textAlignment w:val="center"/>
              <w:rPr>
                <w:rStyle w:val="288"/>
                <w:rFonts w:ascii="仿宋_GB2312" w:eastAsia="仿宋_GB2312" w:hAnsiTheme="minorEastAsia" w:cstheme="minorEastAsia"/>
                <w:color w:val="auto"/>
                <w:sz w:val="28"/>
                <w:szCs w:val="28"/>
                <w:lang w:bidi="ar"/>
              </w:rPr>
            </w:pPr>
            <w:r>
              <w:rPr>
                <w:rFonts w:ascii="仿宋_GB2312" w:hAnsi="Arial" w:eastAsia="仿宋_GB2312" w:cs="Arial"/>
                <w:sz w:val="28"/>
                <w:szCs w:val="28"/>
              </w:rPr>
              <w:t>/</w:t>
            </w:r>
          </w:p>
        </w:tc>
        <w:tc>
          <w:tcPr>
            <w:tcW w:w="607" w:type="dxa"/>
            <w:vAlign w:val="center"/>
          </w:tcPr>
          <w:p w14:paraId="03460C3B">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750F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620" w:type="dxa"/>
            <w:vAlign w:val="center"/>
          </w:tcPr>
          <w:p w14:paraId="62A4DB72">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6983873E">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187</w:t>
            </w:r>
          </w:p>
        </w:tc>
        <w:tc>
          <w:tcPr>
            <w:tcW w:w="1176" w:type="dxa"/>
            <w:vAlign w:val="center"/>
          </w:tcPr>
          <w:p w14:paraId="75E845C3">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安全要求</w:t>
            </w:r>
          </w:p>
        </w:tc>
        <w:tc>
          <w:tcPr>
            <w:tcW w:w="1176" w:type="dxa"/>
            <w:vAlign w:val="center"/>
          </w:tcPr>
          <w:p w14:paraId="6AC94DC9">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*关键部件安全要求</w:t>
            </w:r>
          </w:p>
        </w:tc>
        <w:tc>
          <w:tcPr>
            <w:tcW w:w="1508" w:type="dxa"/>
            <w:vAlign w:val="center"/>
          </w:tcPr>
          <w:p w14:paraId="47BA134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*信息安全基本要求</w:t>
            </w:r>
          </w:p>
        </w:tc>
        <w:tc>
          <w:tcPr>
            <w:tcW w:w="3852" w:type="dxa"/>
            <w:vAlign w:val="center"/>
          </w:tcPr>
          <w:p w14:paraId="48825CFD">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a)产品应符合GB/T39276的5.2的规定；</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b)生产厂商应建立漏洞跟踪表，保证产品版本涉及到的漏洞(如驱动程序等)可查看；</w:t>
            </w:r>
            <w:r>
              <w:rPr>
                <w:rFonts w:ascii="仿宋_GB2312" w:hAnsi="Arial" w:eastAsia="仿宋_GB2312" w:cs="Arial"/>
                <w:sz w:val="28"/>
                <w:szCs w:val="28"/>
                <w:lang w:eastAsia="zh-CN"/>
              </w:rPr>
              <w:br w:type="textWrapping"/>
            </w:r>
            <w:r>
              <w:rPr>
                <w:rFonts w:ascii="仿宋_GB2312" w:hAnsi="Arial" w:eastAsia="仿宋_GB2312" w:cs="Arial"/>
                <w:sz w:val="28"/>
                <w:szCs w:val="28"/>
                <w:lang w:eastAsia="zh-CN"/>
              </w:rPr>
              <w:t>c)产品不得包含已知的恶意代码或漏洞，不存在未声明的指令、功能、接口</w:t>
            </w:r>
          </w:p>
        </w:tc>
        <w:tc>
          <w:tcPr>
            <w:tcW w:w="607" w:type="dxa"/>
            <w:vAlign w:val="center"/>
          </w:tcPr>
          <w:p w14:paraId="4C3639B7">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52AB3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5875CE15">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3A6FD552">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188</w:t>
            </w:r>
          </w:p>
        </w:tc>
        <w:tc>
          <w:tcPr>
            <w:tcW w:w="1176" w:type="dxa"/>
            <w:vAlign w:val="center"/>
          </w:tcPr>
          <w:p w14:paraId="6F576E86">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安全要求</w:t>
            </w:r>
          </w:p>
        </w:tc>
        <w:tc>
          <w:tcPr>
            <w:tcW w:w="1176" w:type="dxa"/>
            <w:vAlign w:val="center"/>
          </w:tcPr>
          <w:p w14:paraId="0837EC51">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*关键部件安全要求</w:t>
            </w:r>
          </w:p>
        </w:tc>
        <w:tc>
          <w:tcPr>
            <w:tcW w:w="1508" w:type="dxa"/>
            <w:vAlign w:val="center"/>
          </w:tcPr>
          <w:p w14:paraId="6471869D">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*固件安全启动</w:t>
            </w:r>
          </w:p>
        </w:tc>
        <w:tc>
          <w:tcPr>
            <w:tcW w:w="3852" w:type="dxa"/>
            <w:vAlign w:val="center"/>
          </w:tcPr>
          <w:p w14:paraId="72460ECC">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lang w:eastAsia="zh-CN"/>
              </w:rPr>
              <w:t>支持固件安全启动功能，固件启动过程中只有通过启动校验才能正常启动</w:t>
            </w:r>
          </w:p>
        </w:tc>
        <w:tc>
          <w:tcPr>
            <w:tcW w:w="607" w:type="dxa"/>
            <w:vAlign w:val="center"/>
          </w:tcPr>
          <w:p w14:paraId="04B2992E">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eastAsia="zh-CN" w:bidi="ar"/>
              </w:rPr>
              <w:t>/</w:t>
            </w:r>
          </w:p>
        </w:tc>
      </w:tr>
      <w:tr w14:paraId="21A79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20" w:type="dxa"/>
            <w:vAlign w:val="center"/>
          </w:tcPr>
          <w:p w14:paraId="0C8115A6">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w:t>
            </w:r>
          </w:p>
        </w:tc>
        <w:tc>
          <w:tcPr>
            <w:tcW w:w="598" w:type="dxa"/>
            <w:vAlign w:val="center"/>
          </w:tcPr>
          <w:p w14:paraId="4F282618">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189</w:t>
            </w:r>
          </w:p>
        </w:tc>
        <w:tc>
          <w:tcPr>
            <w:tcW w:w="1176" w:type="dxa"/>
            <w:vAlign w:val="center"/>
          </w:tcPr>
          <w:p w14:paraId="524A47AD">
            <w:pPr>
              <w:adjustRightInd w:val="0"/>
              <w:snapToGrid w:val="0"/>
              <w:jc w:val="center"/>
              <w:textAlignment w:val="center"/>
              <w:rPr>
                <w:rStyle w:val="288"/>
                <w:rFonts w:ascii="仿宋_GB2312" w:eastAsia="仿宋_GB2312" w:hAnsiTheme="minorEastAsia" w:cstheme="minorEastAsia"/>
                <w:color w:val="auto"/>
                <w:sz w:val="28"/>
                <w:szCs w:val="28"/>
                <w:lang w:bidi="ar"/>
              </w:rPr>
            </w:pPr>
            <w:r>
              <w:rPr>
                <w:rStyle w:val="288"/>
                <w:rFonts w:ascii="仿宋_GB2312" w:eastAsia="仿宋_GB2312" w:hAnsiTheme="minorEastAsia" w:cstheme="minorEastAsia"/>
                <w:color w:val="auto"/>
                <w:sz w:val="28"/>
                <w:szCs w:val="28"/>
                <w:lang w:bidi="ar"/>
              </w:rPr>
              <w:t>安全要求</w:t>
            </w:r>
          </w:p>
        </w:tc>
        <w:tc>
          <w:tcPr>
            <w:tcW w:w="1176" w:type="dxa"/>
            <w:vAlign w:val="center"/>
          </w:tcPr>
          <w:p w14:paraId="06AC9357">
            <w:pPr>
              <w:adjustRightInd w:val="0"/>
              <w:snapToGrid w:val="0"/>
              <w:jc w:val="center"/>
              <w:textAlignment w:val="center"/>
              <w:rPr>
                <w:rFonts w:ascii="仿宋_GB2312" w:eastAsia="仿宋_GB2312" w:hAnsiTheme="minorEastAsia" w:cstheme="minorEastAsia"/>
                <w:color w:val="auto"/>
                <w:sz w:val="28"/>
                <w:szCs w:val="28"/>
              </w:rPr>
            </w:pPr>
            <w:r>
              <w:rPr>
                <w:rFonts w:ascii="仿宋_GB2312" w:eastAsia="仿宋_GB2312" w:hAnsiTheme="minorEastAsia" w:cstheme="minorEastAsia"/>
                <w:color w:val="auto"/>
                <w:kern w:val="0"/>
                <w:sz w:val="28"/>
                <w:szCs w:val="28"/>
                <w:lang w:bidi="ar"/>
              </w:rPr>
              <w:t>*关键部件安全要求</w:t>
            </w:r>
          </w:p>
        </w:tc>
        <w:tc>
          <w:tcPr>
            <w:tcW w:w="1508" w:type="dxa"/>
            <w:vAlign w:val="center"/>
          </w:tcPr>
          <w:p w14:paraId="259D1BC4">
            <w:pPr>
              <w:adjustRightInd w:val="0"/>
              <w:snapToGrid w:val="0"/>
              <w:jc w:val="center"/>
              <w:textAlignment w:val="center"/>
              <w:rPr>
                <w:rFonts w:ascii="仿宋_GB2312" w:eastAsia="仿宋_GB2312" w:hAnsiTheme="minorEastAsia" w:cstheme="minorEastAsia"/>
                <w:color w:val="auto"/>
                <w:sz w:val="28"/>
                <w:szCs w:val="28"/>
              </w:rPr>
            </w:pPr>
            <w:r>
              <w:rPr>
                <w:rStyle w:val="288"/>
                <w:rFonts w:ascii="仿宋_GB2312" w:eastAsia="仿宋_GB2312" w:hAnsiTheme="minorEastAsia" w:cstheme="minorEastAsia"/>
                <w:color w:val="auto"/>
                <w:sz w:val="28"/>
                <w:szCs w:val="28"/>
                <w:lang w:bidi="ar"/>
              </w:rPr>
              <w:t>*限用物质的限量</w:t>
            </w:r>
            <w:r>
              <w:rPr>
                <w:rStyle w:val="288"/>
                <w:rFonts w:ascii="仿宋_GB2312" w:eastAsia="仿宋_GB2312" w:hAnsiTheme="minorEastAsia" w:cstheme="minorEastAsia"/>
                <w:color w:val="auto"/>
                <w:sz w:val="28"/>
                <w:szCs w:val="28"/>
                <w:lang w:bidi="ar"/>
              </w:rPr>
              <w:br w:type="textWrapping"/>
            </w:r>
            <w:r>
              <w:rPr>
                <w:rStyle w:val="288"/>
                <w:rFonts w:ascii="仿宋_GB2312" w:eastAsia="仿宋_GB2312" w:hAnsiTheme="minorEastAsia" w:cstheme="minorEastAsia"/>
                <w:color w:val="auto"/>
                <w:sz w:val="28"/>
                <w:szCs w:val="28"/>
                <w:lang w:bidi="ar"/>
              </w:rPr>
              <w:t>要求</w:t>
            </w:r>
          </w:p>
        </w:tc>
        <w:tc>
          <w:tcPr>
            <w:tcW w:w="3852" w:type="dxa"/>
            <w:vAlign w:val="center"/>
          </w:tcPr>
          <w:p w14:paraId="173EF9A9">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Arial" w:eastAsia="仿宋_GB2312" w:cs="Arial"/>
                <w:sz w:val="28"/>
                <w:szCs w:val="28"/>
              </w:rPr>
              <w:t>符合GB/T26572中规定</w:t>
            </w:r>
          </w:p>
        </w:tc>
        <w:tc>
          <w:tcPr>
            <w:tcW w:w="607" w:type="dxa"/>
            <w:vAlign w:val="center"/>
          </w:tcPr>
          <w:p w14:paraId="65FC787F">
            <w:pPr>
              <w:adjustRightInd w:val="0"/>
              <w:snapToGrid w:val="0"/>
              <w:jc w:val="center"/>
              <w:textAlignment w:val="center"/>
              <w:rPr>
                <w:rStyle w:val="288"/>
                <w:rFonts w:ascii="仿宋_GB2312" w:eastAsia="仿宋_GB2312" w:hAnsiTheme="minorEastAsia" w:cstheme="minorEastAsia"/>
                <w:color w:val="auto"/>
                <w:sz w:val="28"/>
                <w:szCs w:val="28"/>
                <w:lang w:eastAsia="zh-CN" w:bidi="ar"/>
              </w:rPr>
            </w:pPr>
            <w:r>
              <w:rPr>
                <w:rStyle w:val="288"/>
                <w:rFonts w:ascii="仿宋_GB2312" w:eastAsia="仿宋_GB2312" w:hAnsiTheme="minorEastAsia" w:cstheme="minorEastAsia"/>
                <w:color w:val="auto"/>
                <w:sz w:val="28"/>
                <w:szCs w:val="28"/>
                <w:lang w:eastAsia="zh-CN" w:bidi="ar"/>
              </w:rPr>
              <w:t>/</w:t>
            </w:r>
          </w:p>
        </w:tc>
      </w:tr>
    </w:tbl>
    <w:p w14:paraId="3485D4E3">
      <w:pPr>
        <w:pStyle w:val="70"/>
        <w:sectPr>
          <w:pgSz w:w="11906" w:h="16838"/>
          <w:pgMar w:top="1440" w:right="1080" w:bottom="1440" w:left="1080" w:header="851" w:footer="992" w:gutter="0"/>
          <w:cols w:space="720" w:num="1"/>
          <w:docGrid w:type="lines" w:linePitch="312" w:charSpace="0"/>
        </w:sectPr>
      </w:pPr>
    </w:p>
    <w:p w14:paraId="0D44C5D6">
      <w:pPr>
        <w:pStyle w:val="70"/>
        <w:jc w:val="center"/>
        <w:outlineLvl w:val="2"/>
        <w:rPr>
          <w:rFonts w:hint="eastAsia" w:ascii="宋体" w:hAnsi="宋体" w:cs="宋体"/>
          <w:b/>
          <w:bCs/>
          <w:color w:val="auto"/>
          <w:sz w:val="28"/>
          <w:szCs w:val="28"/>
        </w:rPr>
      </w:pPr>
      <w:r>
        <w:rPr>
          <w:rFonts w:hint="eastAsia" w:ascii="Times New Roman" w:hAnsi="Times New Roman" w:eastAsia="仿宋" w:cs="Times New Roman"/>
          <w:b/>
          <w:bCs/>
          <w:color w:val="auto"/>
          <w:sz w:val="32"/>
          <w:szCs w:val="32"/>
        </w:rPr>
        <w:t>附表3 管理服务器技术参数</w:t>
      </w:r>
    </w:p>
    <w:tbl>
      <w:tblPr>
        <w:tblStyle w:val="52"/>
        <w:tblW w:w="95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5"/>
        <w:gridCol w:w="623"/>
        <w:gridCol w:w="1170"/>
        <w:gridCol w:w="1186"/>
        <w:gridCol w:w="1199"/>
        <w:gridCol w:w="3807"/>
        <w:gridCol w:w="861"/>
      </w:tblGrid>
      <w:tr w14:paraId="5A87C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22664D27">
            <w:pPr>
              <w:adjustRightInd w:val="0"/>
              <w:snapToGrid w:val="0"/>
              <w:jc w:val="center"/>
              <w:textAlignment w:val="center"/>
              <w:rPr>
                <w:rFonts w:ascii="黑体" w:hAnsi="黑体" w:eastAsia="黑体" w:cstheme="minorEastAsia"/>
                <w:color w:val="auto"/>
                <w:kern w:val="0"/>
                <w:sz w:val="28"/>
                <w:szCs w:val="28"/>
                <w:lang w:bidi="ar"/>
              </w:rPr>
            </w:pPr>
            <w:r>
              <w:rPr>
                <w:rFonts w:ascii="黑体" w:hAnsi="黑体" w:eastAsia="黑体" w:cs="微软雅黑"/>
                <w:color w:val="auto"/>
                <w:kern w:val="0"/>
                <w:sz w:val="28"/>
                <w:szCs w:val="28"/>
                <w:lang w:bidi="ar"/>
              </w:rPr>
              <w:t>重要程度</w:t>
            </w:r>
          </w:p>
        </w:tc>
        <w:tc>
          <w:tcPr>
            <w:tcW w:w="623" w:type="dxa"/>
            <w:vAlign w:val="center"/>
          </w:tcPr>
          <w:p w14:paraId="49AAA3AA">
            <w:pPr>
              <w:adjustRightInd w:val="0"/>
              <w:snapToGrid w:val="0"/>
              <w:jc w:val="center"/>
              <w:textAlignment w:val="center"/>
              <w:rPr>
                <w:rFonts w:ascii="黑体" w:hAnsi="黑体" w:eastAsia="黑体" w:cstheme="minorEastAsia"/>
                <w:color w:val="auto"/>
                <w:kern w:val="0"/>
                <w:sz w:val="28"/>
                <w:szCs w:val="28"/>
                <w:lang w:bidi="ar"/>
              </w:rPr>
            </w:pPr>
            <w:r>
              <w:rPr>
                <w:rFonts w:ascii="黑体" w:hAnsi="黑体" w:eastAsia="黑体" w:cs="微软雅黑"/>
                <w:color w:val="auto"/>
                <w:kern w:val="0"/>
                <w:sz w:val="28"/>
                <w:szCs w:val="28"/>
                <w:lang w:bidi="ar"/>
              </w:rPr>
              <w:t>序号</w:t>
            </w:r>
          </w:p>
        </w:tc>
        <w:tc>
          <w:tcPr>
            <w:tcW w:w="1170" w:type="dxa"/>
            <w:vAlign w:val="center"/>
          </w:tcPr>
          <w:p w14:paraId="32558A13">
            <w:pPr>
              <w:adjustRightInd w:val="0"/>
              <w:snapToGrid w:val="0"/>
              <w:jc w:val="center"/>
              <w:textAlignment w:val="center"/>
              <w:rPr>
                <w:rFonts w:ascii="黑体" w:hAnsi="黑体" w:eastAsia="黑体" w:cstheme="minorEastAsia"/>
                <w:color w:val="auto"/>
                <w:kern w:val="0"/>
                <w:sz w:val="28"/>
                <w:szCs w:val="28"/>
                <w:lang w:bidi="ar"/>
              </w:rPr>
            </w:pPr>
            <w:r>
              <w:rPr>
                <w:rFonts w:ascii="黑体" w:hAnsi="黑体" w:eastAsia="黑体" w:cs="微软雅黑"/>
                <w:color w:val="auto"/>
                <w:kern w:val="0"/>
                <w:sz w:val="28"/>
                <w:szCs w:val="28"/>
                <w:lang w:bidi="ar"/>
              </w:rPr>
              <w:t>指标分类</w:t>
            </w:r>
          </w:p>
        </w:tc>
        <w:tc>
          <w:tcPr>
            <w:tcW w:w="1186" w:type="dxa"/>
            <w:vAlign w:val="center"/>
          </w:tcPr>
          <w:p w14:paraId="169EC229">
            <w:pPr>
              <w:adjustRightInd w:val="0"/>
              <w:snapToGrid w:val="0"/>
              <w:jc w:val="center"/>
              <w:textAlignment w:val="center"/>
              <w:rPr>
                <w:rFonts w:ascii="黑体" w:hAnsi="黑体" w:eastAsia="黑体" w:cstheme="minorEastAsia"/>
                <w:color w:val="auto"/>
                <w:kern w:val="0"/>
                <w:sz w:val="28"/>
                <w:szCs w:val="28"/>
                <w:lang w:bidi="ar"/>
              </w:rPr>
            </w:pPr>
            <w:r>
              <w:rPr>
                <w:rFonts w:ascii="黑体" w:hAnsi="黑体" w:eastAsia="黑体" w:cs="微软雅黑"/>
                <w:color w:val="auto"/>
                <w:kern w:val="0"/>
                <w:sz w:val="28"/>
                <w:szCs w:val="28"/>
                <w:lang w:bidi="ar"/>
              </w:rPr>
              <w:t>一级指标</w:t>
            </w:r>
          </w:p>
        </w:tc>
        <w:tc>
          <w:tcPr>
            <w:tcW w:w="1199" w:type="dxa"/>
            <w:vAlign w:val="center"/>
          </w:tcPr>
          <w:p w14:paraId="638B6EC4">
            <w:pPr>
              <w:adjustRightInd w:val="0"/>
              <w:snapToGrid w:val="0"/>
              <w:jc w:val="center"/>
              <w:textAlignment w:val="center"/>
              <w:rPr>
                <w:rFonts w:ascii="黑体" w:hAnsi="黑体" w:eastAsia="黑体" w:cstheme="minorEastAsia"/>
                <w:color w:val="auto"/>
                <w:kern w:val="0"/>
                <w:sz w:val="28"/>
                <w:szCs w:val="28"/>
                <w:lang w:bidi="ar"/>
              </w:rPr>
            </w:pPr>
            <w:r>
              <w:rPr>
                <w:rFonts w:ascii="黑体" w:hAnsi="黑体" w:eastAsia="黑体" w:cs="微软雅黑"/>
                <w:color w:val="auto"/>
                <w:kern w:val="0"/>
                <w:sz w:val="28"/>
                <w:szCs w:val="28"/>
                <w:lang w:bidi="ar"/>
              </w:rPr>
              <w:t>二级指标</w:t>
            </w:r>
          </w:p>
        </w:tc>
        <w:tc>
          <w:tcPr>
            <w:tcW w:w="3807" w:type="dxa"/>
            <w:vAlign w:val="center"/>
          </w:tcPr>
          <w:p w14:paraId="7725472A">
            <w:pPr>
              <w:adjustRightInd w:val="0"/>
              <w:snapToGrid w:val="0"/>
              <w:jc w:val="center"/>
              <w:textAlignment w:val="center"/>
              <w:rPr>
                <w:rFonts w:ascii="黑体" w:hAnsi="黑体" w:eastAsia="黑体" w:cstheme="minorEastAsia"/>
                <w:color w:val="auto"/>
                <w:kern w:val="0"/>
                <w:sz w:val="28"/>
                <w:szCs w:val="28"/>
                <w:lang w:bidi="ar"/>
              </w:rPr>
            </w:pPr>
            <w:r>
              <w:rPr>
                <w:rFonts w:ascii="黑体" w:hAnsi="黑体" w:eastAsia="黑体" w:cs="微软雅黑"/>
                <w:color w:val="auto"/>
                <w:kern w:val="0"/>
                <w:sz w:val="28"/>
                <w:szCs w:val="28"/>
                <w:lang w:bidi="ar"/>
              </w:rPr>
              <w:t>指标要求</w:t>
            </w:r>
          </w:p>
        </w:tc>
        <w:tc>
          <w:tcPr>
            <w:tcW w:w="861" w:type="dxa"/>
            <w:vAlign w:val="center"/>
          </w:tcPr>
          <w:p w14:paraId="6C282106">
            <w:pPr>
              <w:adjustRightInd w:val="0"/>
              <w:snapToGrid w:val="0"/>
              <w:jc w:val="center"/>
              <w:textAlignment w:val="center"/>
              <w:rPr>
                <w:rFonts w:ascii="黑体" w:hAnsi="黑体" w:eastAsia="黑体" w:cstheme="minorEastAsia"/>
                <w:color w:val="auto"/>
                <w:kern w:val="0"/>
                <w:sz w:val="28"/>
                <w:szCs w:val="28"/>
                <w:lang w:bidi="ar"/>
              </w:rPr>
            </w:pPr>
            <w:r>
              <w:rPr>
                <w:rFonts w:ascii="黑体" w:hAnsi="黑体" w:eastAsia="黑体" w:cs="微软雅黑"/>
                <w:color w:val="auto"/>
                <w:kern w:val="0"/>
                <w:sz w:val="28"/>
                <w:szCs w:val="28"/>
                <w:lang w:bidi="ar"/>
              </w:rPr>
              <w:t>证明材料要求</w:t>
            </w:r>
          </w:p>
        </w:tc>
      </w:tr>
      <w:tr w14:paraId="6BB8A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685" w:type="dxa"/>
            <w:vAlign w:val="center"/>
          </w:tcPr>
          <w:p w14:paraId="26B5A02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20CEE85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w:t>
            </w:r>
          </w:p>
        </w:tc>
        <w:tc>
          <w:tcPr>
            <w:tcW w:w="1170" w:type="dxa"/>
            <w:vAlign w:val="center"/>
          </w:tcPr>
          <w:p w14:paraId="3CB527F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0CCA924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*CPU</w:t>
            </w:r>
            <w:r>
              <w:rPr>
                <w:rFonts w:ascii="仿宋_GB2312" w:hAnsi="微软雅黑" w:eastAsia="仿宋_GB2312" w:cs="微软雅黑"/>
                <w:color w:val="auto"/>
                <w:kern w:val="0"/>
                <w:sz w:val="28"/>
                <w:szCs w:val="28"/>
                <w:lang w:bidi="ar"/>
              </w:rPr>
              <w:t>规格</w:t>
            </w:r>
          </w:p>
        </w:tc>
        <w:tc>
          <w:tcPr>
            <w:tcW w:w="1199" w:type="dxa"/>
            <w:vAlign w:val="center"/>
          </w:tcPr>
          <w:p w14:paraId="5259C6E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 xml:space="preserve">*CPU </w:t>
            </w:r>
            <w:r>
              <w:rPr>
                <w:rFonts w:ascii="仿宋_GB2312" w:hAnsi="微软雅黑" w:eastAsia="仿宋_GB2312" w:cs="微软雅黑"/>
                <w:color w:val="auto"/>
                <w:kern w:val="0"/>
                <w:sz w:val="28"/>
                <w:szCs w:val="28"/>
                <w:lang w:bidi="ar"/>
              </w:rPr>
              <w:t>信息</w:t>
            </w:r>
          </w:p>
        </w:tc>
        <w:tc>
          <w:tcPr>
            <w:tcW w:w="3807" w:type="dxa"/>
            <w:vAlign w:val="center"/>
          </w:tcPr>
          <w:p w14:paraId="5930F026">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黑体" w:eastAsia="仿宋_GB2312" w:cs="Arial"/>
                <w:sz w:val="28"/>
                <w:szCs w:val="28"/>
                <w:lang w:eastAsia="zh-CN"/>
              </w:rPr>
              <w:t>供应商给出CPU 信息，包含 CPU 型号、物理核心数、主频、末级缓存容量、线程数、热设计功耗及支持内存的最高速率、通道数和位宽</w:t>
            </w:r>
          </w:p>
        </w:tc>
        <w:tc>
          <w:tcPr>
            <w:tcW w:w="861" w:type="dxa"/>
            <w:vAlign w:val="center"/>
          </w:tcPr>
          <w:p w14:paraId="4579C649">
            <w:pPr>
              <w:adjustRightInd w:val="0"/>
              <w:snapToGrid w:val="0"/>
              <w:jc w:val="center"/>
              <w:textAlignment w:val="center"/>
              <w:rPr>
                <w:rFonts w:ascii="仿宋_GB2312" w:eastAsia="仿宋_GB2312" w:hAnsiTheme="minorEastAsia" w:cstheme="minorEastAsia"/>
                <w:color w:val="auto"/>
                <w:kern w:val="0"/>
                <w:sz w:val="28"/>
                <w:szCs w:val="28"/>
                <w:lang w:val="en-US" w:eastAsia="zh-CN" w:bidi="ar"/>
              </w:rPr>
            </w:pPr>
            <w:r>
              <w:rPr>
                <w:rFonts w:ascii="仿宋_GB2312" w:hAnsi="微软雅黑" w:eastAsia="仿宋_GB2312" w:cs="微软雅黑"/>
                <w:color w:val="auto"/>
                <w:kern w:val="0"/>
                <w:sz w:val="28"/>
                <w:szCs w:val="28"/>
                <w:lang w:val="en-US" w:eastAsia="zh-CN" w:bidi="ar"/>
              </w:rPr>
              <w:t>/</w:t>
            </w:r>
          </w:p>
        </w:tc>
      </w:tr>
      <w:tr w14:paraId="49D01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261B6EE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057A4AB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2</w:t>
            </w:r>
          </w:p>
        </w:tc>
        <w:tc>
          <w:tcPr>
            <w:tcW w:w="1170" w:type="dxa"/>
            <w:vAlign w:val="center"/>
          </w:tcPr>
          <w:p w14:paraId="3F9039A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1B015F5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主板规格</w:t>
            </w:r>
          </w:p>
        </w:tc>
        <w:tc>
          <w:tcPr>
            <w:tcW w:w="1199" w:type="dxa"/>
            <w:vAlign w:val="center"/>
          </w:tcPr>
          <w:p w14:paraId="1EB4517F">
            <w:pPr>
              <w:adjustRightInd w:val="0"/>
              <w:snapToGrid w:val="0"/>
              <w:jc w:val="center"/>
              <w:textAlignment w:val="center"/>
              <w:rPr>
                <w:rFonts w:ascii="仿宋_GB2312" w:eastAsia="仿宋_GB2312" w:hAnsiTheme="minorEastAsia" w:cstheme="minorEastAsia"/>
                <w:color w:val="auto"/>
                <w:kern w:val="0"/>
                <w:sz w:val="28"/>
                <w:szCs w:val="28"/>
                <w:lang w:eastAsia="zh-CN" w:bidi="ar"/>
              </w:rPr>
            </w:pPr>
            <w:r>
              <w:rPr>
                <w:rFonts w:ascii="仿宋_GB2312" w:eastAsia="仿宋_GB2312" w:hAnsiTheme="minorEastAsia" w:cstheme="minorEastAsia"/>
                <w:color w:val="auto"/>
                <w:kern w:val="0"/>
                <w:sz w:val="28"/>
                <w:szCs w:val="28"/>
                <w:lang w:eastAsia="zh-CN" w:bidi="ar"/>
              </w:rPr>
              <w:t>*</w:t>
            </w:r>
            <w:r>
              <w:rPr>
                <w:rFonts w:ascii="仿宋_GB2312" w:hAnsi="微软雅黑" w:eastAsia="仿宋_GB2312" w:cs="微软雅黑"/>
                <w:color w:val="auto"/>
                <w:kern w:val="0"/>
                <w:sz w:val="28"/>
                <w:szCs w:val="28"/>
                <w:lang w:eastAsia="zh-CN" w:bidi="ar"/>
              </w:rPr>
              <w:t>主板支持的</w:t>
            </w:r>
            <w:r>
              <w:rPr>
                <w:rFonts w:ascii="仿宋_GB2312" w:eastAsia="仿宋_GB2312" w:hAnsiTheme="minorEastAsia" w:cstheme="minorEastAsia"/>
                <w:color w:val="auto"/>
                <w:kern w:val="0"/>
                <w:sz w:val="28"/>
                <w:szCs w:val="28"/>
                <w:lang w:eastAsia="zh-CN" w:bidi="ar"/>
              </w:rPr>
              <w:t xml:space="preserve"> CPU </w:t>
            </w:r>
            <w:r>
              <w:rPr>
                <w:rFonts w:ascii="仿宋_GB2312" w:hAnsi="微软雅黑" w:eastAsia="仿宋_GB2312" w:cs="微软雅黑"/>
                <w:color w:val="auto"/>
                <w:kern w:val="0"/>
                <w:sz w:val="28"/>
                <w:szCs w:val="28"/>
                <w:lang w:eastAsia="zh-CN" w:bidi="ar"/>
              </w:rPr>
              <w:t>和内存情况</w:t>
            </w:r>
          </w:p>
        </w:tc>
        <w:tc>
          <w:tcPr>
            <w:tcW w:w="3807" w:type="dxa"/>
            <w:vAlign w:val="center"/>
          </w:tcPr>
          <w:p w14:paraId="06A73F65">
            <w:pPr>
              <w:adjustRightInd w:val="0"/>
              <w:snapToGrid w:val="0"/>
              <w:jc w:val="left"/>
              <w:textAlignment w:val="center"/>
              <w:rPr>
                <w:rStyle w:val="288"/>
                <w:rFonts w:ascii="仿宋_GB2312" w:eastAsia="仿宋_GB2312" w:hAnsiTheme="minorEastAsia" w:cstheme="minorEastAsia"/>
                <w:color w:val="auto"/>
                <w:sz w:val="28"/>
                <w:szCs w:val="28"/>
                <w:lang w:eastAsia="zh-CN" w:bidi="ar"/>
              </w:rPr>
            </w:pPr>
            <w:r>
              <w:rPr>
                <w:rFonts w:ascii="仿宋_GB2312" w:hAnsi="黑体" w:eastAsia="仿宋_GB2312" w:cs="Arial"/>
                <w:sz w:val="28"/>
                <w:szCs w:val="28"/>
                <w:lang w:eastAsia="zh-CN"/>
              </w:rPr>
              <w:t>供应商给出主板支持的CPU 和内存的型号数量</w:t>
            </w:r>
          </w:p>
        </w:tc>
        <w:tc>
          <w:tcPr>
            <w:tcW w:w="861" w:type="dxa"/>
            <w:vAlign w:val="center"/>
          </w:tcPr>
          <w:p w14:paraId="5937B96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29AAE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4F31EC4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4943620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3</w:t>
            </w:r>
          </w:p>
        </w:tc>
        <w:tc>
          <w:tcPr>
            <w:tcW w:w="1170" w:type="dxa"/>
            <w:vAlign w:val="center"/>
          </w:tcPr>
          <w:p w14:paraId="39154DE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015ABE8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主板规格</w:t>
            </w:r>
          </w:p>
        </w:tc>
        <w:tc>
          <w:tcPr>
            <w:tcW w:w="1199" w:type="dxa"/>
            <w:vAlign w:val="center"/>
          </w:tcPr>
          <w:p w14:paraId="114C4DE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主板内存槽数量</w:t>
            </w:r>
          </w:p>
        </w:tc>
        <w:tc>
          <w:tcPr>
            <w:tcW w:w="3807" w:type="dxa"/>
            <w:vAlign w:val="center"/>
          </w:tcPr>
          <w:p w14:paraId="3755A9B4">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非板载内存的可扩展插槽数量应不少于10个</w:t>
            </w:r>
          </w:p>
        </w:tc>
        <w:tc>
          <w:tcPr>
            <w:tcW w:w="861" w:type="dxa"/>
            <w:vAlign w:val="center"/>
          </w:tcPr>
          <w:p w14:paraId="6C5C3D5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4CB9F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1C9B27C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0751ADB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4</w:t>
            </w:r>
          </w:p>
        </w:tc>
        <w:tc>
          <w:tcPr>
            <w:tcW w:w="1170" w:type="dxa"/>
            <w:vAlign w:val="center"/>
          </w:tcPr>
          <w:p w14:paraId="63816C8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772DD30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主板规格</w:t>
            </w:r>
          </w:p>
        </w:tc>
        <w:tc>
          <w:tcPr>
            <w:tcW w:w="1199" w:type="dxa"/>
            <w:vAlign w:val="center"/>
          </w:tcPr>
          <w:p w14:paraId="3405BF2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主板存储接口</w:t>
            </w:r>
          </w:p>
        </w:tc>
        <w:tc>
          <w:tcPr>
            <w:tcW w:w="3807" w:type="dxa"/>
            <w:vAlign w:val="center"/>
          </w:tcPr>
          <w:p w14:paraId="5B826479">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至少支持 SATA、SAS、M.2、U.2 等存储接口中的 1 种</w:t>
            </w:r>
          </w:p>
        </w:tc>
        <w:tc>
          <w:tcPr>
            <w:tcW w:w="861" w:type="dxa"/>
            <w:vAlign w:val="center"/>
          </w:tcPr>
          <w:p w14:paraId="3455701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74F8A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167A16E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64CE31F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5</w:t>
            </w:r>
          </w:p>
        </w:tc>
        <w:tc>
          <w:tcPr>
            <w:tcW w:w="1170" w:type="dxa"/>
            <w:vAlign w:val="center"/>
          </w:tcPr>
          <w:p w14:paraId="5560204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63C3498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主板规格</w:t>
            </w:r>
          </w:p>
        </w:tc>
        <w:tc>
          <w:tcPr>
            <w:tcW w:w="1199" w:type="dxa"/>
            <w:vAlign w:val="center"/>
          </w:tcPr>
          <w:p w14:paraId="55E915B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 xml:space="preserve">*PCIe </w:t>
            </w:r>
            <w:r>
              <w:rPr>
                <w:rFonts w:ascii="仿宋_GB2312" w:hAnsi="微软雅黑" w:eastAsia="仿宋_GB2312" w:cs="微软雅黑"/>
                <w:color w:val="auto"/>
                <w:kern w:val="0"/>
                <w:sz w:val="28"/>
                <w:szCs w:val="28"/>
                <w:lang w:bidi="ar"/>
              </w:rPr>
              <w:t>插槽接口</w:t>
            </w:r>
          </w:p>
        </w:tc>
        <w:tc>
          <w:tcPr>
            <w:tcW w:w="3807" w:type="dxa"/>
            <w:vAlign w:val="center"/>
          </w:tcPr>
          <w:p w14:paraId="69F3CEFF">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符合 PCIe3.0 或以上的高速串行计算机扩展总线标准，PCIe 的接口速率与位宽需保证向下兼容</w:t>
            </w:r>
          </w:p>
        </w:tc>
        <w:tc>
          <w:tcPr>
            <w:tcW w:w="861" w:type="dxa"/>
            <w:vAlign w:val="center"/>
          </w:tcPr>
          <w:p w14:paraId="4958F69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32DEB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02F2832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2C9E679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6</w:t>
            </w:r>
          </w:p>
        </w:tc>
        <w:tc>
          <w:tcPr>
            <w:tcW w:w="1170" w:type="dxa"/>
            <w:vAlign w:val="center"/>
          </w:tcPr>
          <w:p w14:paraId="53F86EA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7CB933D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主板规格</w:t>
            </w:r>
          </w:p>
        </w:tc>
        <w:tc>
          <w:tcPr>
            <w:tcW w:w="1199" w:type="dxa"/>
            <w:vAlign w:val="center"/>
          </w:tcPr>
          <w:p w14:paraId="680683AA">
            <w:pPr>
              <w:adjustRightInd w:val="0"/>
              <w:snapToGrid w:val="0"/>
              <w:jc w:val="center"/>
              <w:textAlignment w:val="center"/>
              <w:rPr>
                <w:rFonts w:ascii="仿宋_GB2312" w:eastAsia="仿宋_GB2312" w:hAnsiTheme="minorEastAsia" w:cstheme="minorEastAsia"/>
                <w:color w:val="auto"/>
                <w:kern w:val="0"/>
                <w:sz w:val="28"/>
                <w:szCs w:val="28"/>
                <w:lang w:eastAsia="zh-CN" w:bidi="ar"/>
              </w:rPr>
            </w:pPr>
            <w:r>
              <w:rPr>
                <w:rFonts w:ascii="仿宋_GB2312" w:eastAsia="仿宋_GB2312" w:hAnsiTheme="minorEastAsia" w:cstheme="minorEastAsia"/>
                <w:color w:val="auto"/>
                <w:kern w:val="0"/>
                <w:sz w:val="28"/>
                <w:szCs w:val="28"/>
                <w:lang w:eastAsia="zh-CN" w:bidi="ar"/>
              </w:rPr>
              <w:t>*</w:t>
            </w:r>
            <w:r>
              <w:rPr>
                <w:rFonts w:ascii="仿宋_GB2312" w:hAnsi="微软雅黑" w:eastAsia="仿宋_GB2312" w:cs="微软雅黑"/>
                <w:color w:val="auto"/>
                <w:kern w:val="0"/>
                <w:sz w:val="28"/>
                <w:szCs w:val="28"/>
                <w:lang w:eastAsia="zh-CN" w:bidi="ar"/>
              </w:rPr>
              <w:t>主板</w:t>
            </w:r>
            <w:r>
              <w:rPr>
                <w:rFonts w:ascii="仿宋_GB2312" w:eastAsia="仿宋_GB2312" w:hAnsiTheme="minorEastAsia" w:cstheme="minorEastAsia"/>
                <w:color w:val="auto"/>
                <w:kern w:val="0"/>
                <w:sz w:val="28"/>
                <w:szCs w:val="28"/>
                <w:lang w:eastAsia="zh-CN" w:bidi="ar"/>
              </w:rPr>
              <w:t xml:space="preserve"> PCIe</w:t>
            </w:r>
            <w:r>
              <w:rPr>
                <w:rFonts w:ascii="仿宋_GB2312" w:hAnsi="微软雅黑" w:eastAsia="仿宋_GB2312" w:cs="微软雅黑"/>
                <w:color w:val="auto"/>
                <w:kern w:val="0"/>
                <w:sz w:val="28"/>
                <w:szCs w:val="28"/>
                <w:lang w:eastAsia="zh-CN" w:bidi="ar"/>
              </w:rPr>
              <w:t>插槽数量及规格</w:t>
            </w:r>
          </w:p>
        </w:tc>
        <w:tc>
          <w:tcPr>
            <w:tcW w:w="3807" w:type="dxa"/>
            <w:vAlign w:val="center"/>
          </w:tcPr>
          <w:p w14:paraId="5CF5F263">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高度大于44.45mm双路或以上服务器PCIe插槽或接口应不少于6个</w:t>
            </w:r>
          </w:p>
        </w:tc>
        <w:tc>
          <w:tcPr>
            <w:tcW w:w="861" w:type="dxa"/>
            <w:vAlign w:val="center"/>
          </w:tcPr>
          <w:p w14:paraId="6260B3C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01E3E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685" w:type="dxa"/>
            <w:vAlign w:val="center"/>
          </w:tcPr>
          <w:p w14:paraId="255DEDA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1F73E2F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7</w:t>
            </w:r>
          </w:p>
        </w:tc>
        <w:tc>
          <w:tcPr>
            <w:tcW w:w="1170" w:type="dxa"/>
            <w:vAlign w:val="center"/>
          </w:tcPr>
          <w:p w14:paraId="3BD7AEE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5C5E514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主板规格</w:t>
            </w:r>
          </w:p>
        </w:tc>
        <w:tc>
          <w:tcPr>
            <w:tcW w:w="1199" w:type="dxa"/>
            <w:vAlign w:val="center"/>
          </w:tcPr>
          <w:p w14:paraId="295FE2F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特殊孔位及接口</w:t>
            </w:r>
          </w:p>
        </w:tc>
        <w:tc>
          <w:tcPr>
            <w:tcW w:w="3807" w:type="dxa"/>
            <w:vAlign w:val="center"/>
          </w:tcPr>
          <w:p w14:paraId="5E92C19F">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3F1ACAD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16D25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1F2A8F7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3ECE713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8</w:t>
            </w:r>
          </w:p>
        </w:tc>
        <w:tc>
          <w:tcPr>
            <w:tcW w:w="1170" w:type="dxa"/>
            <w:vAlign w:val="center"/>
          </w:tcPr>
          <w:p w14:paraId="10DA498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2143DE9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主板规格</w:t>
            </w:r>
          </w:p>
        </w:tc>
        <w:tc>
          <w:tcPr>
            <w:tcW w:w="1199" w:type="dxa"/>
            <w:vAlign w:val="center"/>
          </w:tcPr>
          <w:p w14:paraId="43BF2E2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板载网络接口</w:t>
            </w:r>
          </w:p>
        </w:tc>
        <w:tc>
          <w:tcPr>
            <w:tcW w:w="3807" w:type="dxa"/>
            <w:vAlign w:val="center"/>
          </w:tcPr>
          <w:p w14:paraId="185B870F">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0A5916F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7B0AD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1DDD0C7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4432FCF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9</w:t>
            </w:r>
          </w:p>
        </w:tc>
        <w:tc>
          <w:tcPr>
            <w:tcW w:w="1170" w:type="dxa"/>
            <w:vAlign w:val="center"/>
          </w:tcPr>
          <w:p w14:paraId="731EF56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05BA602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主板规格</w:t>
            </w:r>
          </w:p>
        </w:tc>
        <w:tc>
          <w:tcPr>
            <w:tcW w:w="1199" w:type="dxa"/>
            <w:vAlign w:val="center"/>
          </w:tcPr>
          <w:p w14:paraId="5A0817F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主板</w:t>
            </w:r>
            <w:r>
              <w:rPr>
                <w:rFonts w:ascii="仿宋_GB2312" w:eastAsia="仿宋_GB2312" w:hAnsiTheme="minorEastAsia" w:cstheme="minorEastAsia"/>
                <w:color w:val="auto"/>
                <w:kern w:val="0"/>
                <w:sz w:val="28"/>
                <w:szCs w:val="28"/>
                <w:lang w:bidi="ar"/>
              </w:rPr>
              <w:t xml:space="preserve"> OCP </w:t>
            </w:r>
            <w:r>
              <w:rPr>
                <w:rFonts w:ascii="仿宋_GB2312" w:hAnsi="微软雅黑" w:eastAsia="仿宋_GB2312" w:cs="微软雅黑"/>
                <w:color w:val="auto"/>
                <w:kern w:val="0"/>
                <w:sz w:val="28"/>
                <w:szCs w:val="28"/>
                <w:lang w:bidi="ar"/>
              </w:rPr>
              <w:t>插槽数量</w:t>
            </w:r>
          </w:p>
        </w:tc>
        <w:tc>
          <w:tcPr>
            <w:tcW w:w="3807" w:type="dxa"/>
            <w:vAlign w:val="center"/>
          </w:tcPr>
          <w:p w14:paraId="038CC12B">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49DB3EF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0144A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68E1881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2F2EE5A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10</w:t>
            </w:r>
          </w:p>
        </w:tc>
        <w:tc>
          <w:tcPr>
            <w:tcW w:w="1170" w:type="dxa"/>
            <w:vAlign w:val="center"/>
          </w:tcPr>
          <w:p w14:paraId="352CDE7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155FF1F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内存规格</w:t>
            </w:r>
          </w:p>
        </w:tc>
        <w:tc>
          <w:tcPr>
            <w:tcW w:w="1199" w:type="dxa"/>
            <w:vAlign w:val="center"/>
          </w:tcPr>
          <w:p w14:paraId="1CD2966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内存数量</w:t>
            </w:r>
          </w:p>
        </w:tc>
        <w:tc>
          <w:tcPr>
            <w:tcW w:w="3807" w:type="dxa"/>
            <w:vAlign w:val="center"/>
          </w:tcPr>
          <w:p w14:paraId="55E0C90E">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≥4</w:t>
            </w:r>
          </w:p>
        </w:tc>
        <w:tc>
          <w:tcPr>
            <w:tcW w:w="861" w:type="dxa"/>
            <w:vAlign w:val="center"/>
          </w:tcPr>
          <w:p w14:paraId="2B8DFD8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68AFA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41CA34C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0556BA7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11</w:t>
            </w:r>
          </w:p>
        </w:tc>
        <w:tc>
          <w:tcPr>
            <w:tcW w:w="1170" w:type="dxa"/>
            <w:vAlign w:val="center"/>
          </w:tcPr>
          <w:p w14:paraId="6B3B365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599FED9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内存规格</w:t>
            </w:r>
          </w:p>
        </w:tc>
        <w:tc>
          <w:tcPr>
            <w:tcW w:w="1199" w:type="dxa"/>
            <w:vAlign w:val="center"/>
          </w:tcPr>
          <w:p w14:paraId="676B636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内存规格</w:t>
            </w:r>
          </w:p>
        </w:tc>
        <w:tc>
          <w:tcPr>
            <w:tcW w:w="3807" w:type="dxa"/>
            <w:vAlign w:val="center"/>
          </w:tcPr>
          <w:p w14:paraId="1DD0FED9">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≥DDR4</w:t>
            </w:r>
          </w:p>
        </w:tc>
        <w:tc>
          <w:tcPr>
            <w:tcW w:w="861" w:type="dxa"/>
            <w:vAlign w:val="center"/>
          </w:tcPr>
          <w:p w14:paraId="75CD868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5E8AC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685" w:type="dxa"/>
            <w:vAlign w:val="center"/>
          </w:tcPr>
          <w:p w14:paraId="349F8BE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67C5E17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12</w:t>
            </w:r>
          </w:p>
        </w:tc>
        <w:tc>
          <w:tcPr>
            <w:tcW w:w="1170" w:type="dxa"/>
            <w:vAlign w:val="center"/>
          </w:tcPr>
          <w:p w14:paraId="2D66C0C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59FEA7D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内存规格</w:t>
            </w:r>
          </w:p>
        </w:tc>
        <w:tc>
          <w:tcPr>
            <w:tcW w:w="1199" w:type="dxa"/>
            <w:vAlign w:val="center"/>
          </w:tcPr>
          <w:p w14:paraId="197A1EF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内存通道</w:t>
            </w:r>
          </w:p>
        </w:tc>
        <w:tc>
          <w:tcPr>
            <w:tcW w:w="3807" w:type="dxa"/>
            <w:vAlign w:val="center"/>
          </w:tcPr>
          <w:p w14:paraId="7D02386D">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支持多个内存接口通道，每个通道可支持 1DPC 或 2DPC，当支持 2DPC时，印制电路板上应具备插槽的序号标识，具体通道数应在随机文件中明确</w:t>
            </w:r>
          </w:p>
        </w:tc>
        <w:tc>
          <w:tcPr>
            <w:tcW w:w="861" w:type="dxa"/>
            <w:vAlign w:val="center"/>
          </w:tcPr>
          <w:p w14:paraId="593B99D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7F49A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0CCC34CA">
            <w:pPr>
              <w:adjustRightInd w:val="0"/>
              <w:snapToGrid w:val="0"/>
              <w:jc w:val="center"/>
              <w:textAlignment w:val="center"/>
              <w:rPr>
                <w:rFonts w:ascii="仿宋_GB2312" w:eastAsia="仿宋_GB2312" w:hAnsiTheme="minorEastAsia" w:cstheme="minorEastAsia"/>
                <w:color w:val="auto"/>
                <w:kern w:val="0"/>
                <w:sz w:val="28"/>
                <w:szCs w:val="28"/>
                <w:lang w:eastAsia="zh-CN" w:bidi="ar"/>
              </w:rPr>
            </w:pPr>
          </w:p>
        </w:tc>
        <w:tc>
          <w:tcPr>
            <w:tcW w:w="623" w:type="dxa"/>
            <w:vAlign w:val="center"/>
          </w:tcPr>
          <w:p w14:paraId="1111DC9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13</w:t>
            </w:r>
          </w:p>
        </w:tc>
        <w:tc>
          <w:tcPr>
            <w:tcW w:w="1170" w:type="dxa"/>
            <w:vAlign w:val="center"/>
          </w:tcPr>
          <w:p w14:paraId="7547361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47F3BA0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存储规格</w:t>
            </w:r>
          </w:p>
        </w:tc>
        <w:tc>
          <w:tcPr>
            <w:tcW w:w="1199" w:type="dxa"/>
            <w:vAlign w:val="center"/>
          </w:tcPr>
          <w:p w14:paraId="6C352B2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硬盘类型</w:t>
            </w:r>
          </w:p>
        </w:tc>
        <w:tc>
          <w:tcPr>
            <w:tcW w:w="3807" w:type="dxa"/>
            <w:vAlign w:val="center"/>
          </w:tcPr>
          <w:p w14:paraId="4EC5A4B4">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微软雅黑" w:eastAsia="仿宋_GB2312" w:cs="微软雅黑"/>
                <w:color w:val="auto"/>
                <w:kern w:val="0"/>
                <w:sz w:val="28"/>
                <w:szCs w:val="28"/>
                <w:lang w:val="en-US" w:eastAsia="zh-CN" w:bidi="ar"/>
              </w:rPr>
              <w:t>/</w:t>
            </w:r>
          </w:p>
        </w:tc>
        <w:tc>
          <w:tcPr>
            <w:tcW w:w="861" w:type="dxa"/>
            <w:vAlign w:val="center"/>
          </w:tcPr>
          <w:p w14:paraId="0F4C5AF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04C68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47F1532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100EF69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14</w:t>
            </w:r>
          </w:p>
        </w:tc>
        <w:tc>
          <w:tcPr>
            <w:tcW w:w="1170" w:type="dxa"/>
            <w:vAlign w:val="center"/>
          </w:tcPr>
          <w:p w14:paraId="29163A3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54C467D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存储规格</w:t>
            </w:r>
          </w:p>
        </w:tc>
        <w:tc>
          <w:tcPr>
            <w:tcW w:w="1199" w:type="dxa"/>
            <w:vAlign w:val="center"/>
          </w:tcPr>
          <w:p w14:paraId="0DD143E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硬磁盘实配容量</w:t>
            </w:r>
          </w:p>
        </w:tc>
        <w:tc>
          <w:tcPr>
            <w:tcW w:w="3807" w:type="dxa"/>
            <w:vAlign w:val="center"/>
          </w:tcPr>
          <w:p w14:paraId="3025EA3A">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配备固态盘，实配固态盘单盘可用容量不小于 480GB</w:t>
            </w:r>
          </w:p>
        </w:tc>
        <w:tc>
          <w:tcPr>
            <w:tcW w:w="861" w:type="dxa"/>
            <w:vAlign w:val="center"/>
          </w:tcPr>
          <w:p w14:paraId="3997849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5A40B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4F294AF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7E2D3DA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15</w:t>
            </w:r>
          </w:p>
        </w:tc>
        <w:tc>
          <w:tcPr>
            <w:tcW w:w="1170" w:type="dxa"/>
            <w:vAlign w:val="center"/>
          </w:tcPr>
          <w:p w14:paraId="28A2B5F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052B821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存储规格</w:t>
            </w:r>
          </w:p>
        </w:tc>
        <w:tc>
          <w:tcPr>
            <w:tcW w:w="1199" w:type="dxa"/>
            <w:vAlign w:val="center"/>
          </w:tcPr>
          <w:p w14:paraId="712AC9D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硬盘接口类型</w:t>
            </w:r>
          </w:p>
        </w:tc>
        <w:tc>
          <w:tcPr>
            <w:tcW w:w="3807" w:type="dxa"/>
            <w:vAlign w:val="center"/>
          </w:tcPr>
          <w:p w14:paraId="118EA90F">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28F8577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199E9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685" w:type="dxa"/>
            <w:vAlign w:val="center"/>
          </w:tcPr>
          <w:p w14:paraId="7EE8139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28453A0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16</w:t>
            </w:r>
          </w:p>
        </w:tc>
        <w:tc>
          <w:tcPr>
            <w:tcW w:w="1170" w:type="dxa"/>
            <w:vAlign w:val="center"/>
          </w:tcPr>
          <w:p w14:paraId="02CF662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698D95B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存储规格</w:t>
            </w:r>
          </w:p>
        </w:tc>
        <w:tc>
          <w:tcPr>
            <w:tcW w:w="1199" w:type="dxa"/>
            <w:vAlign w:val="center"/>
          </w:tcPr>
          <w:p w14:paraId="77B5813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硬盘实配数量</w:t>
            </w:r>
          </w:p>
        </w:tc>
        <w:tc>
          <w:tcPr>
            <w:tcW w:w="3807" w:type="dxa"/>
            <w:vAlign w:val="center"/>
          </w:tcPr>
          <w:p w14:paraId="092C30B9">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配备固态盘，实配盘数应不小于 1 块</w:t>
            </w:r>
          </w:p>
        </w:tc>
        <w:tc>
          <w:tcPr>
            <w:tcW w:w="861" w:type="dxa"/>
            <w:vAlign w:val="center"/>
          </w:tcPr>
          <w:p w14:paraId="7F55CCC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0A826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685" w:type="dxa"/>
            <w:vAlign w:val="center"/>
          </w:tcPr>
          <w:p w14:paraId="736D549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445397C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17</w:t>
            </w:r>
          </w:p>
        </w:tc>
        <w:tc>
          <w:tcPr>
            <w:tcW w:w="1170" w:type="dxa"/>
            <w:vAlign w:val="center"/>
          </w:tcPr>
          <w:p w14:paraId="55F25C4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4DCABEF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存储规格</w:t>
            </w:r>
          </w:p>
        </w:tc>
        <w:tc>
          <w:tcPr>
            <w:tcW w:w="1199" w:type="dxa"/>
            <w:vAlign w:val="center"/>
          </w:tcPr>
          <w:p w14:paraId="760E271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硬盘插槽数量及规格</w:t>
            </w:r>
          </w:p>
        </w:tc>
        <w:tc>
          <w:tcPr>
            <w:tcW w:w="3807" w:type="dxa"/>
            <w:vAlign w:val="center"/>
          </w:tcPr>
          <w:p w14:paraId="40BE88FF">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a)供应商应给出配置的硬盘尺寸，如 2.5 英寸、3.5 英寸硬磁盘；</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b)机箱高度为 88.9mm 的服务器可支持的硬盘数量应不少于8块，机箱高度为 44.45mm的服务器可支持的硬盘数量应不少于 4 块。</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c)存储型服务器可支持硬盘数量应不少于 24 块</w:t>
            </w:r>
          </w:p>
        </w:tc>
        <w:tc>
          <w:tcPr>
            <w:tcW w:w="861" w:type="dxa"/>
            <w:vAlign w:val="center"/>
          </w:tcPr>
          <w:p w14:paraId="689A823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616F6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46D6FC7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409FA05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18</w:t>
            </w:r>
          </w:p>
        </w:tc>
        <w:tc>
          <w:tcPr>
            <w:tcW w:w="1170" w:type="dxa"/>
            <w:vAlign w:val="center"/>
          </w:tcPr>
          <w:p w14:paraId="46D71E4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45B10FC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存储规格</w:t>
            </w:r>
          </w:p>
        </w:tc>
        <w:tc>
          <w:tcPr>
            <w:tcW w:w="1199" w:type="dxa"/>
            <w:vAlign w:val="center"/>
          </w:tcPr>
          <w:p w14:paraId="34B7803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硬盘其他参数要求</w:t>
            </w:r>
          </w:p>
        </w:tc>
        <w:tc>
          <w:tcPr>
            <w:tcW w:w="3807" w:type="dxa"/>
            <w:vAlign w:val="center"/>
          </w:tcPr>
          <w:p w14:paraId="7EBF856A">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微软雅黑" w:eastAsia="仿宋_GB2312" w:cs="微软雅黑"/>
                <w:color w:val="auto"/>
                <w:kern w:val="0"/>
                <w:sz w:val="28"/>
                <w:szCs w:val="28"/>
                <w:lang w:val="en-US" w:eastAsia="zh-CN" w:bidi="ar"/>
              </w:rPr>
              <w:t>/</w:t>
            </w:r>
          </w:p>
        </w:tc>
        <w:tc>
          <w:tcPr>
            <w:tcW w:w="861" w:type="dxa"/>
            <w:vAlign w:val="center"/>
          </w:tcPr>
          <w:p w14:paraId="146E2AD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324C9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685" w:type="dxa"/>
            <w:vAlign w:val="center"/>
          </w:tcPr>
          <w:p w14:paraId="0AE0958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64D5E01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19</w:t>
            </w:r>
          </w:p>
        </w:tc>
        <w:tc>
          <w:tcPr>
            <w:tcW w:w="1170" w:type="dxa"/>
            <w:vAlign w:val="center"/>
          </w:tcPr>
          <w:p w14:paraId="7C03CAF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388D7CE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RAID</w:t>
            </w:r>
            <w:r>
              <w:rPr>
                <w:rFonts w:ascii="仿宋_GB2312" w:hAnsi="微软雅黑" w:eastAsia="仿宋_GB2312" w:cs="微软雅黑"/>
                <w:color w:val="auto"/>
                <w:kern w:val="0"/>
                <w:sz w:val="28"/>
                <w:szCs w:val="28"/>
                <w:lang w:bidi="ar"/>
              </w:rPr>
              <w:t>卡规格</w:t>
            </w:r>
            <w:r>
              <w:rPr>
                <w:rFonts w:ascii="仿宋_GB2312" w:hAnsi="Malgun Gothic Semilight" w:eastAsia="仿宋_GB2312" w:cs="Malgun Gothic Semilight"/>
                <w:color w:val="auto"/>
                <w:kern w:val="0"/>
                <w:sz w:val="28"/>
                <w:szCs w:val="28"/>
                <w:lang w:bidi="ar"/>
              </w:rPr>
              <w:t>（</w:t>
            </w:r>
            <w:r>
              <w:rPr>
                <w:rFonts w:ascii="仿宋_GB2312" w:hAnsi="微软雅黑" w:eastAsia="仿宋_GB2312" w:cs="微软雅黑"/>
                <w:color w:val="auto"/>
                <w:kern w:val="0"/>
                <w:sz w:val="28"/>
                <w:szCs w:val="28"/>
                <w:lang w:bidi="ar"/>
              </w:rPr>
              <w:t>若支持</w:t>
            </w:r>
            <w:r>
              <w:rPr>
                <w:rFonts w:ascii="仿宋_GB2312" w:eastAsia="仿宋_GB2312" w:hAnsiTheme="minorEastAsia" w:cstheme="minorEastAsia"/>
                <w:color w:val="auto"/>
                <w:kern w:val="0"/>
                <w:sz w:val="28"/>
                <w:szCs w:val="28"/>
                <w:lang w:bidi="ar"/>
              </w:rPr>
              <w:t>RAID</w:t>
            </w:r>
            <w:r>
              <w:rPr>
                <w:rFonts w:ascii="仿宋_GB2312" w:hAnsi="微软雅黑" w:eastAsia="仿宋_GB2312" w:cs="微软雅黑"/>
                <w:color w:val="auto"/>
                <w:kern w:val="0"/>
                <w:sz w:val="28"/>
                <w:szCs w:val="28"/>
                <w:lang w:bidi="ar"/>
              </w:rPr>
              <w:t>卡</w:t>
            </w:r>
            <w:r>
              <w:rPr>
                <w:rFonts w:ascii="仿宋_GB2312" w:hAnsi="Malgun Gothic Semilight" w:eastAsia="仿宋_GB2312" w:cs="Malgun Gothic Semilight"/>
                <w:color w:val="auto"/>
                <w:kern w:val="0"/>
                <w:sz w:val="28"/>
                <w:szCs w:val="28"/>
                <w:lang w:bidi="ar"/>
              </w:rPr>
              <w:t>）</w:t>
            </w:r>
          </w:p>
        </w:tc>
        <w:tc>
          <w:tcPr>
            <w:tcW w:w="1199" w:type="dxa"/>
            <w:vAlign w:val="center"/>
          </w:tcPr>
          <w:p w14:paraId="26FDA5C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 xml:space="preserve">RAID </w:t>
            </w:r>
            <w:r>
              <w:rPr>
                <w:rFonts w:ascii="仿宋_GB2312" w:hAnsi="微软雅黑" w:eastAsia="仿宋_GB2312" w:cs="微软雅黑"/>
                <w:color w:val="auto"/>
                <w:kern w:val="0"/>
                <w:sz w:val="28"/>
                <w:szCs w:val="28"/>
                <w:lang w:bidi="ar"/>
              </w:rPr>
              <w:t>卡支持的</w:t>
            </w:r>
            <w:r>
              <w:rPr>
                <w:rFonts w:ascii="仿宋_GB2312" w:eastAsia="仿宋_GB2312" w:hAnsiTheme="minorEastAsia" w:cstheme="minorEastAsia"/>
                <w:color w:val="auto"/>
                <w:kern w:val="0"/>
                <w:sz w:val="28"/>
                <w:szCs w:val="28"/>
                <w:lang w:bidi="ar"/>
              </w:rPr>
              <w:t xml:space="preserve"> SAS</w:t>
            </w:r>
            <w:r>
              <w:rPr>
                <w:rFonts w:ascii="仿宋_GB2312" w:hAnsi="微软雅黑" w:eastAsia="仿宋_GB2312" w:cs="微软雅黑"/>
                <w:color w:val="auto"/>
                <w:kern w:val="0"/>
                <w:sz w:val="28"/>
                <w:szCs w:val="28"/>
                <w:lang w:bidi="ar"/>
              </w:rPr>
              <w:t>接口数</w:t>
            </w:r>
          </w:p>
        </w:tc>
        <w:tc>
          <w:tcPr>
            <w:tcW w:w="3807" w:type="dxa"/>
            <w:vAlign w:val="center"/>
          </w:tcPr>
          <w:p w14:paraId="6BCD806F">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≥8，支持RAID 0、RAID 1</w:t>
            </w:r>
          </w:p>
        </w:tc>
        <w:tc>
          <w:tcPr>
            <w:tcW w:w="861" w:type="dxa"/>
            <w:vAlign w:val="center"/>
          </w:tcPr>
          <w:p w14:paraId="45C5048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4CDAC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685" w:type="dxa"/>
            <w:vAlign w:val="center"/>
          </w:tcPr>
          <w:p w14:paraId="3FD0BF7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464E790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20</w:t>
            </w:r>
          </w:p>
        </w:tc>
        <w:tc>
          <w:tcPr>
            <w:tcW w:w="1170" w:type="dxa"/>
            <w:vAlign w:val="center"/>
          </w:tcPr>
          <w:p w14:paraId="4B859C8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5FD25CC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 xml:space="preserve">SAS </w:t>
            </w:r>
            <w:r>
              <w:rPr>
                <w:rFonts w:ascii="仿宋_GB2312" w:hAnsi="微软雅黑" w:eastAsia="仿宋_GB2312" w:cs="微软雅黑"/>
                <w:color w:val="auto"/>
                <w:kern w:val="0"/>
                <w:sz w:val="28"/>
                <w:szCs w:val="28"/>
                <w:lang w:bidi="ar"/>
              </w:rPr>
              <w:t>直通卡规格</w:t>
            </w: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若支持</w:t>
            </w:r>
            <w:r>
              <w:rPr>
                <w:rFonts w:ascii="仿宋_GB2312" w:eastAsia="仿宋_GB2312" w:hAnsiTheme="minorEastAsia" w:cstheme="minorEastAsia"/>
                <w:color w:val="auto"/>
                <w:kern w:val="0"/>
                <w:sz w:val="28"/>
                <w:szCs w:val="28"/>
                <w:lang w:bidi="ar"/>
              </w:rPr>
              <w:t xml:space="preserve"> SAS</w:t>
            </w:r>
            <w:r>
              <w:rPr>
                <w:rFonts w:ascii="仿宋_GB2312" w:hAnsi="微软雅黑" w:eastAsia="仿宋_GB2312" w:cs="微软雅黑"/>
                <w:color w:val="auto"/>
                <w:kern w:val="0"/>
                <w:sz w:val="28"/>
                <w:szCs w:val="28"/>
                <w:lang w:bidi="ar"/>
              </w:rPr>
              <w:t>直通卡</w:t>
            </w:r>
            <w:r>
              <w:rPr>
                <w:rFonts w:ascii="仿宋_GB2312" w:eastAsia="仿宋_GB2312" w:hAnsiTheme="minorEastAsia" w:cstheme="minorEastAsia"/>
                <w:color w:val="auto"/>
                <w:kern w:val="0"/>
                <w:sz w:val="28"/>
                <w:szCs w:val="28"/>
                <w:lang w:bidi="ar"/>
              </w:rPr>
              <w:t>)</w:t>
            </w:r>
          </w:p>
        </w:tc>
        <w:tc>
          <w:tcPr>
            <w:tcW w:w="1199" w:type="dxa"/>
            <w:vAlign w:val="center"/>
          </w:tcPr>
          <w:p w14:paraId="243E1C8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 xml:space="preserve">SAS </w:t>
            </w:r>
            <w:r>
              <w:rPr>
                <w:rFonts w:ascii="仿宋_GB2312" w:hAnsi="微软雅黑" w:eastAsia="仿宋_GB2312" w:cs="微软雅黑"/>
                <w:color w:val="auto"/>
                <w:kern w:val="0"/>
                <w:sz w:val="28"/>
                <w:szCs w:val="28"/>
                <w:lang w:bidi="ar"/>
              </w:rPr>
              <w:t>直通卡</w:t>
            </w:r>
            <w:r>
              <w:rPr>
                <w:rFonts w:ascii="仿宋_GB2312" w:eastAsia="仿宋_GB2312" w:hAnsiTheme="minorEastAsia" w:cstheme="minorEastAsia"/>
                <w:color w:val="auto"/>
                <w:kern w:val="0"/>
                <w:sz w:val="28"/>
                <w:szCs w:val="28"/>
                <w:lang w:bidi="ar"/>
              </w:rPr>
              <w:t xml:space="preserve"> SAS </w:t>
            </w:r>
            <w:r>
              <w:rPr>
                <w:rFonts w:ascii="仿宋_GB2312" w:hAnsi="微软雅黑" w:eastAsia="仿宋_GB2312" w:cs="微软雅黑"/>
                <w:color w:val="auto"/>
                <w:kern w:val="0"/>
                <w:sz w:val="28"/>
                <w:szCs w:val="28"/>
                <w:lang w:bidi="ar"/>
              </w:rPr>
              <w:t>接口数量</w:t>
            </w:r>
          </w:p>
        </w:tc>
        <w:tc>
          <w:tcPr>
            <w:tcW w:w="3807" w:type="dxa"/>
            <w:vAlign w:val="center"/>
          </w:tcPr>
          <w:p w14:paraId="7DDA3A64">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37FF011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79D77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685" w:type="dxa"/>
            <w:vAlign w:val="center"/>
          </w:tcPr>
          <w:p w14:paraId="7F0D533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3D3EAFF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21</w:t>
            </w:r>
          </w:p>
        </w:tc>
        <w:tc>
          <w:tcPr>
            <w:tcW w:w="1170" w:type="dxa"/>
            <w:vAlign w:val="center"/>
          </w:tcPr>
          <w:p w14:paraId="28F14CC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4C1A608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 xml:space="preserve">HBA </w:t>
            </w:r>
            <w:r>
              <w:rPr>
                <w:rFonts w:ascii="仿宋_GB2312" w:hAnsi="微软雅黑" w:eastAsia="仿宋_GB2312" w:cs="微软雅黑"/>
                <w:color w:val="auto"/>
                <w:kern w:val="0"/>
                <w:sz w:val="28"/>
                <w:szCs w:val="28"/>
                <w:lang w:bidi="ar"/>
              </w:rPr>
              <w:t>卡规格</w:t>
            </w: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若支持</w:t>
            </w:r>
            <w:r>
              <w:rPr>
                <w:rFonts w:ascii="仿宋_GB2312" w:eastAsia="仿宋_GB2312" w:hAnsiTheme="minorEastAsia" w:cstheme="minorEastAsia"/>
                <w:color w:val="auto"/>
                <w:kern w:val="0"/>
                <w:sz w:val="28"/>
                <w:szCs w:val="28"/>
                <w:lang w:bidi="ar"/>
              </w:rPr>
              <w:t xml:space="preserve"> HBA</w:t>
            </w:r>
            <w:r>
              <w:rPr>
                <w:rFonts w:ascii="仿宋_GB2312" w:hAnsi="微软雅黑" w:eastAsia="仿宋_GB2312" w:cs="微软雅黑"/>
                <w:color w:val="auto"/>
                <w:kern w:val="0"/>
                <w:sz w:val="28"/>
                <w:szCs w:val="28"/>
                <w:lang w:bidi="ar"/>
              </w:rPr>
              <w:t>直通卡</w:t>
            </w:r>
            <w:r>
              <w:rPr>
                <w:rFonts w:ascii="仿宋_GB2312" w:eastAsia="仿宋_GB2312" w:hAnsiTheme="minorEastAsia" w:cstheme="minorEastAsia"/>
                <w:color w:val="auto"/>
                <w:kern w:val="0"/>
                <w:sz w:val="28"/>
                <w:szCs w:val="28"/>
                <w:lang w:bidi="ar"/>
              </w:rPr>
              <w:t>)</w:t>
            </w:r>
          </w:p>
        </w:tc>
        <w:tc>
          <w:tcPr>
            <w:tcW w:w="1199" w:type="dxa"/>
            <w:vAlign w:val="center"/>
          </w:tcPr>
          <w:p w14:paraId="2AF601C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 xml:space="preserve">HBA </w:t>
            </w:r>
            <w:r>
              <w:rPr>
                <w:rFonts w:ascii="仿宋_GB2312" w:hAnsi="微软雅黑" w:eastAsia="仿宋_GB2312" w:cs="微软雅黑"/>
                <w:color w:val="auto"/>
                <w:kern w:val="0"/>
                <w:sz w:val="28"/>
                <w:szCs w:val="28"/>
                <w:lang w:bidi="ar"/>
              </w:rPr>
              <w:t>卡端口数量</w:t>
            </w:r>
          </w:p>
        </w:tc>
        <w:tc>
          <w:tcPr>
            <w:tcW w:w="3807" w:type="dxa"/>
            <w:vAlign w:val="center"/>
          </w:tcPr>
          <w:p w14:paraId="3AAEBD88">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5CA9D18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47FC4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59F8DCA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3B36963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22</w:t>
            </w:r>
          </w:p>
        </w:tc>
        <w:tc>
          <w:tcPr>
            <w:tcW w:w="1170" w:type="dxa"/>
            <w:vAlign w:val="center"/>
          </w:tcPr>
          <w:p w14:paraId="382D8CC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467D9A9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网络规格</w:t>
            </w:r>
          </w:p>
        </w:tc>
        <w:tc>
          <w:tcPr>
            <w:tcW w:w="1199" w:type="dxa"/>
            <w:vAlign w:val="center"/>
          </w:tcPr>
          <w:p w14:paraId="5BA12BF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网口速率和数量</w:t>
            </w:r>
          </w:p>
        </w:tc>
        <w:tc>
          <w:tcPr>
            <w:tcW w:w="3807" w:type="dxa"/>
            <w:vAlign w:val="center"/>
          </w:tcPr>
          <w:p w14:paraId="5121502B">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配备网口数量不少于 2个，且网口速率不少于 1GE</w:t>
            </w:r>
          </w:p>
        </w:tc>
        <w:tc>
          <w:tcPr>
            <w:tcW w:w="861" w:type="dxa"/>
            <w:vAlign w:val="center"/>
          </w:tcPr>
          <w:p w14:paraId="060D518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3C52D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334C771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178089F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23</w:t>
            </w:r>
          </w:p>
        </w:tc>
        <w:tc>
          <w:tcPr>
            <w:tcW w:w="1170" w:type="dxa"/>
            <w:vAlign w:val="center"/>
          </w:tcPr>
          <w:p w14:paraId="39388FF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49F786B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网络规格</w:t>
            </w:r>
          </w:p>
        </w:tc>
        <w:tc>
          <w:tcPr>
            <w:tcW w:w="1199" w:type="dxa"/>
            <w:vAlign w:val="center"/>
          </w:tcPr>
          <w:p w14:paraId="37F7023A">
            <w:pPr>
              <w:adjustRightInd w:val="0"/>
              <w:snapToGrid w:val="0"/>
              <w:jc w:val="center"/>
              <w:textAlignment w:val="center"/>
              <w:rPr>
                <w:rFonts w:ascii="仿宋_GB2312" w:eastAsia="仿宋_GB2312" w:hAnsiTheme="minorEastAsia" w:cstheme="minorEastAsia"/>
                <w:color w:val="auto"/>
                <w:kern w:val="0"/>
                <w:sz w:val="28"/>
                <w:szCs w:val="28"/>
                <w:lang w:eastAsia="zh-CN" w:bidi="ar"/>
              </w:rPr>
            </w:pPr>
            <w:r>
              <w:rPr>
                <w:rFonts w:ascii="仿宋_GB2312" w:hAnsi="微软雅黑" w:eastAsia="仿宋_GB2312" w:cs="微软雅黑"/>
                <w:color w:val="auto"/>
                <w:kern w:val="0"/>
                <w:sz w:val="28"/>
                <w:szCs w:val="28"/>
                <w:lang w:eastAsia="zh-CN" w:bidi="ar"/>
              </w:rPr>
              <w:t>存储型服务器网口速率和数量</w:t>
            </w:r>
          </w:p>
        </w:tc>
        <w:tc>
          <w:tcPr>
            <w:tcW w:w="3807" w:type="dxa"/>
            <w:vAlign w:val="center"/>
          </w:tcPr>
          <w:p w14:paraId="1A1D4151">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6F5F768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45D4B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5051927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646DCE1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24</w:t>
            </w:r>
          </w:p>
        </w:tc>
        <w:tc>
          <w:tcPr>
            <w:tcW w:w="1170" w:type="dxa"/>
            <w:vAlign w:val="center"/>
          </w:tcPr>
          <w:p w14:paraId="6387BB1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69215BC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网络规格</w:t>
            </w:r>
          </w:p>
        </w:tc>
        <w:tc>
          <w:tcPr>
            <w:tcW w:w="1199" w:type="dxa"/>
            <w:vAlign w:val="center"/>
          </w:tcPr>
          <w:p w14:paraId="3FCB269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独立网卡网口数量</w:t>
            </w:r>
          </w:p>
        </w:tc>
        <w:tc>
          <w:tcPr>
            <w:tcW w:w="3807" w:type="dxa"/>
            <w:vAlign w:val="center"/>
          </w:tcPr>
          <w:p w14:paraId="6F93DF91">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16F4BBC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0B1A2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0C5B0A7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1BAD5D3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25</w:t>
            </w:r>
          </w:p>
        </w:tc>
        <w:tc>
          <w:tcPr>
            <w:tcW w:w="1170" w:type="dxa"/>
            <w:vAlign w:val="center"/>
          </w:tcPr>
          <w:p w14:paraId="64DD9C4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24C0804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网络规格</w:t>
            </w:r>
          </w:p>
        </w:tc>
        <w:tc>
          <w:tcPr>
            <w:tcW w:w="1199" w:type="dxa"/>
            <w:vAlign w:val="center"/>
          </w:tcPr>
          <w:p w14:paraId="0806A1C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独立网卡接口类型</w:t>
            </w:r>
          </w:p>
        </w:tc>
        <w:tc>
          <w:tcPr>
            <w:tcW w:w="3807" w:type="dxa"/>
            <w:vAlign w:val="center"/>
          </w:tcPr>
          <w:p w14:paraId="017A062D">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414B918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4D14E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0617DAE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5C35283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26</w:t>
            </w:r>
          </w:p>
        </w:tc>
        <w:tc>
          <w:tcPr>
            <w:tcW w:w="1170" w:type="dxa"/>
            <w:vAlign w:val="center"/>
          </w:tcPr>
          <w:p w14:paraId="7E5448C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0277E33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网络规格</w:t>
            </w:r>
          </w:p>
        </w:tc>
        <w:tc>
          <w:tcPr>
            <w:tcW w:w="1199" w:type="dxa"/>
            <w:vAlign w:val="center"/>
          </w:tcPr>
          <w:p w14:paraId="4C556DC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板载网卡接口类型</w:t>
            </w:r>
          </w:p>
        </w:tc>
        <w:tc>
          <w:tcPr>
            <w:tcW w:w="3807" w:type="dxa"/>
            <w:vAlign w:val="center"/>
          </w:tcPr>
          <w:p w14:paraId="04625F18">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4CE6CB5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0FB37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364C0CB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1E905D3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27</w:t>
            </w:r>
          </w:p>
        </w:tc>
        <w:tc>
          <w:tcPr>
            <w:tcW w:w="1170" w:type="dxa"/>
            <w:vAlign w:val="center"/>
          </w:tcPr>
          <w:p w14:paraId="2355ACB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28CF2A1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网络规格</w:t>
            </w:r>
          </w:p>
        </w:tc>
        <w:tc>
          <w:tcPr>
            <w:tcW w:w="1199" w:type="dxa"/>
            <w:vAlign w:val="center"/>
          </w:tcPr>
          <w:p w14:paraId="2E8D9C4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显示接口</w:t>
            </w:r>
          </w:p>
        </w:tc>
        <w:tc>
          <w:tcPr>
            <w:tcW w:w="3807" w:type="dxa"/>
            <w:vAlign w:val="center"/>
          </w:tcPr>
          <w:p w14:paraId="09B0276F">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≥1个VGA接口</w:t>
            </w:r>
          </w:p>
        </w:tc>
        <w:tc>
          <w:tcPr>
            <w:tcW w:w="861" w:type="dxa"/>
            <w:vAlign w:val="center"/>
          </w:tcPr>
          <w:p w14:paraId="45E57B2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107EB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7270010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4DE4686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28</w:t>
            </w:r>
          </w:p>
        </w:tc>
        <w:tc>
          <w:tcPr>
            <w:tcW w:w="1170" w:type="dxa"/>
            <w:vAlign w:val="center"/>
          </w:tcPr>
          <w:p w14:paraId="4E85D87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7FCE04A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网络规格</w:t>
            </w:r>
          </w:p>
        </w:tc>
        <w:tc>
          <w:tcPr>
            <w:tcW w:w="1199" w:type="dxa"/>
            <w:vAlign w:val="center"/>
          </w:tcPr>
          <w:p w14:paraId="1D964A9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 xml:space="preserve">*USB </w:t>
            </w:r>
            <w:r>
              <w:rPr>
                <w:rFonts w:ascii="仿宋_GB2312" w:hAnsi="微软雅黑" w:eastAsia="仿宋_GB2312" w:cs="微软雅黑"/>
                <w:color w:val="auto"/>
                <w:kern w:val="0"/>
                <w:sz w:val="28"/>
                <w:szCs w:val="28"/>
                <w:lang w:bidi="ar"/>
              </w:rPr>
              <w:t>接口</w:t>
            </w:r>
          </w:p>
        </w:tc>
        <w:tc>
          <w:tcPr>
            <w:tcW w:w="3807" w:type="dxa"/>
            <w:vAlign w:val="center"/>
          </w:tcPr>
          <w:p w14:paraId="29B7A845">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rPr>
              <w:t>≥2个USB 3.0接口</w:t>
            </w:r>
          </w:p>
        </w:tc>
        <w:tc>
          <w:tcPr>
            <w:tcW w:w="861" w:type="dxa"/>
            <w:vAlign w:val="center"/>
          </w:tcPr>
          <w:p w14:paraId="05BF21C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05F3E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6815B2D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2379C97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29</w:t>
            </w:r>
          </w:p>
        </w:tc>
        <w:tc>
          <w:tcPr>
            <w:tcW w:w="1170" w:type="dxa"/>
            <w:vAlign w:val="center"/>
          </w:tcPr>
          <w:p w14:paraId="1233271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4F6F41B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网络规格</w:t>
            </w:r>
          </w:p>
        </w:tc>
        <w:tc>
          <w:tcPr>
            <w:tcW w:w="1199" w:type="dxa"/>
            <w:vAlign w:val="center"/>
          </w:tcPr>
          <w:p w14:paraId="7A38272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特殊接口及孔位</w:t>
            </w:r>
          </w:p>
        </w:tc>
        <w:tc>
          <w:tcPr>
            <w:tcW w:w="3807" w:type="dxa"/>
            <w:vAlign w:val="center"/>
          </w:tcPr>
          <w:p w14:paraId="5743B732">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5BD7EEE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5899E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7A21D4FC">
            <w:pPr>
              <w:adjustRightInd w:val="0"/>
              <w:snapToGrid w:val="0"/>
              <w:jc w:val="center"/>
              <w:textAlignment w:val="center"/>
              <w:rPr>
                <w:rFonts w:ascii="仿宋_GB2312" w:eastAsia="仿宋_GB2312" w:hAnsiTheme="minorEastAsia" w:cstheme="minorEastAsia"/>
                <w:color w:val="auto"/>
                <w:kern w:val="0"/>
                <w:sz w:val="28"/>
                <w:szCs w:val="28"/>
                <w:lang w:bidi="ar"/>
              </w:rPr>
            </w:pPr>
          </w:p>
        </w:tc>
        <w:tc>
          <w:tcPr>
            <w:tcW w:w="623" w:type="dxa"/>
            <w:vAlign w:val="center"/>
          </w:tcPr>
          <w:p w14:paraId="7EF4AE0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30</w:t>
            </w:r>
          </w:p>
        </w:tc>
        <w:tc>
          <w:tcPr>
            <w:tcW w:w="1170" w:type="dxa"/>
            <w:vAlign w:val="center"/>
          </w:tcPr>
          <w:p w14:paraId="0BC5EEC9">
            <w:pPr>
              <w:adjustRightInd w:val="0"/>
              <w:snapToGrid w:val="0"/>
              <w:jc w:val="center"/>
              <w:textAlignment w:val="center"/>
              <w:rPr>
                <w:rFonts w:ascii="仿宋_GB2312" w:eastAsia="仿宋_GB2312" w:hAnsiTheme="minorEastAsia" w:cstheme="minorEastAsia"/>
                <w:color w:val="auto"/>
                <w:kern w:val="0"/>
                <w:sz w:val="28"/>
                <w:szCs w:val="28"/>
                <w:lang w:bidi="ar"/>
              </w:rPr>
            </w:pPr>
          </w:p>
        </w:tc>
        <w:tc>
          <w:tcPr>
            <w:tcW w:w="1186" w:type="dxa"/>
            <w:vAlign w:val="center"/>
          </w:tcPr>
          <w:p w14:paraId="4366423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网络规格</w:t>
            </w:r>
          </w:p>
        </w:tc>
        <w:tc>
          <w:tcPr>
            <w:tcW w:w="1199" w:type="dxa"/>
            <w:vAlign w:val="center"/>
          </w:tcPr>
          <w:p w14:paraId="45068CA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其他接口</w:t>
            </w:r>
          </w:p>
        </w:tc>
        <w:tc>
          <w:tcPr>
            <w:tcW w:w="3807" w:type="dxa"/>
            <w:vAlign w:val="center"/>
          </w:tcPr>
          <w:p w14:paraId="274F7CC6">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微软雅黑" w:eastAsia="仿宋_GB2312" w:cs="微软雅黑"/>
                <w:color w:val="auto"/>
                <w:kern w:val="0"/>
                <w:sz w:val="28"/>
                <w:szCs w:val="28"/>
                <w:lang w:val="en-US" w:eastAsia="zh-CN" w:bidi="ar"/>
              </w:rPr>
              <w:t>/</w:t>
            </w:r>
          </w:p>
        </w:tc>
        <w:tc>
          <w:tcPr>
            <w:tcW w:w="861" w:type="dxa"/>
            <w:vAlign w:val="center"/>
          </w:tcPr>
          <w:p w14:paraId="2F728D0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00BC2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240E627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56E33FA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31</w:t>
            </w:r>
          </w:p>
        </w:tc>
        <w:tc>
          <w:tcPr>
            <w:tcW w:w="1170" w:type="dxa"/>
            <w:vAlign w:val="center"/>
          </w:tcPr>
          <w:p w14:paraId="670E934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35351D4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电源规格</w:t>
            </w:r>
          </w:p>
        </w:tc>
        <w:tc>
          <w:tcPr>
            <w:tcW w:w="1199" w:type="dxa"/>
            <w:vAlign w:val="center"/>
          </w:tcPr>
          <w:p w14:paraId="51B10AC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电源冗余模式</w:t>
            </w:r>
          </w:p>
        </w:tc>
        <w:tc>
          <w:tcPr>
            <w:tcW w:w="3807" w:type="dxa"/>
            <w:vAlign w:val="center"/>
          </w:tcPr>
          <w:p w14:paraId="0FF65F6A">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整机电源模块按 1+1 冗余或N+1 冗余配置</w:t>
            </w:r>
          </w:p>
        </w:tc>
        <w:tc>
          <w:tcPr>
            <w:tcW w:w="861" w:type="dxa"/>
            <w:vAlign w:val="center"/>
          </w:tcPr>
          <w:p w14:paraId="79B71C0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0D909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4D542C5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313550B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32</w:t>
            </w:r>
          </w:p>
        </w:tc>
        <w:tc>
          <w:tcPr>
            <w:tcW w:w="1170" w:type="dxa"/>
            <w:vAlign w:val="center"/>
          </w:tcPr>
          <w:p w14:paraId="65660BE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16E3F9E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电源规格</w:t>
            </w:r>
          </w:p>
        </w:tc>
        <w:tc>
          <w:tcPr>
            <w:tcW w:w="1199" w:type="dxa"/>
            <w:vAlign w:val="center"/>
          </w:tcPr>
          <w:p w14:paraId="42F61FD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电源模块数量</w:t>
            </w:r>
          </w:p>
        </w:tc>
        <w:tc>
          <w:tcPr>
            <w:tcW w:w="3807" w:type="dxa"/>
            <w:vAlign w:val="center"/>
          </w:tcPr>
          <w:p w14:paraId="772FE1DA">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≥2</w:t>
            </w:r>
          </w:p>
        </w:tc>
        <w:tc>
          <w:tcPr>
            <w:tcW w:w="861" w:type="dxa"/>
            <w:vAlign w:val="center"/>
          </w:tcPr>
          <w:p w14:paraId="02F8603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244E0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7E167C9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3FB7BA4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33</w:t>
            </w:r>
          </w:p>
        </w:tc>
        <w:tc>
          <w:tcPr>
            <w:tcW w:w="1170" w:type="dxa"/>
            <w:vAlign w:val="center"/>
          </w:tcPr>
          <w:p w14:paraId="0671F97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5D7BB1C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电源规格</w:t>
            </w:r>
          </w:p>
        </w:tc>
        <w:tc>
          <w:tcPr>
            <w:tcW w:w="1199" w:type="dxa"/>
            <w:vAlign w:val="center"/>
          </w:tcPr>
          <w:p w14:paraId="6D60FD6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电源功率</w:t>
            </w:r>
          </w:p>
        </w:tc>
        <w:tc>
          <w:tcPr>
            <w:tcW w:w="3807" w:type="dxa"/>
            <w:vAlign w:val="center"/>
          </w:tcPr>
          <w:p w14:paraId="3CE75DBF">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电源模块功率应有一定冗余，满足处理器满载时的需求</w:t>
            </w:r>
          </w:p>
        </w:tc>
        <w:tc>
          <w:tcPr>
            <w:tcW w:w="861" w:type="dxa"/>
            <w:vAlign w:val="center"/>
          </w:tcPr>
          <w:p w14:paraId="13043AB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6AA73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685" w:type="dxa"/>
            <w:vAlign w:val="center"/>
          </w:tcPr>
          <w:p w14:paraId="60D6015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0CFE827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34</w:t>
            </w:r>
          </w:p>
        </w:tc>
        <w:tc>
          <w:tcPr>
            <w:tcW w:w="1170" w:type="dxa"/>
            <w:vAlign w:val="center"/>
          </w:tcPr>
          <w:p w14:paraId="1ADF952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0E69BA0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电源规格</w:t>
            </w:r>
          </w:p>
        </w:tc>
        <w:tc>
          <w:tcPr>
            <w:tcW w:w="1199" w:type="dxa"/>
            <w:vAlign w:val="center"/>
          </w:tcPr>
          <w:p w14:paraId="0913907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电源指示灯</w:t>
            </w:r>
          </w:p>
        </w:tc>
        <w:tc>
          <w:tcPr>
            <w:tcW w:w="3807" w:type="dxa"/>
            <w:vAlign w:val="center"/>
          </w:tcPr>
          <w:p w14:paraId="4E99F5DA">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0379971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41EF3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685" w:type="dxa"/>
            <w:vAlign w:val="center"/>
          </w:tcPr>
          <w:p w14:paraId="2CA0BE0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2DA6500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35</w:t>
            </w:r>
          </w:p>
        </w:tc>
        <w:tc>
          <w:tcPr>
            <w:tcW w:w="1170" w:type="dxa"/>
            <w:vAlign w:val="center"/>
          </w:tcPr>
          <w:p w14:paraId="60582B2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317D3E0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整机规格</w:t>
            </w:r>
          </w:p>
        </w:tc>
        <w:tc>
          <w:tcPr>
            <w:tcW w:w="1199" w:type="dxa"/>
            <w:vAlign w:val="center"/>
          </w:tcPr>
          <w:p w14:paraId="2CC0925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外观和结构</w:t>
            </w:r>
          </w:p>
        </w:tc>
        <w:tc>
          <w:tcPr>
            <w:tcW w:w="3807" w:type="dxa"/>
            <w:vAlign w:val="center"/>
          </w:tcPr>
          <w:p w14:paraId="72BAF59C">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a)服务器的零部件应紧固无松动，可插拔部件应可靠连接，开关、按钮和其它控制部件应灵活可靠，布局应方便使用；</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b) 产品表面不应有明显的凹痕、划伤、裂缝、变形和污染等。表面涂层均匀，不应起泡、龟裂、脱落和磨损，金属零部件无锈蚀及其它机械损伤；</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c) 产品表面说明功能的文字、符号和标志应清晰、端正且牢固；</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d) 应在服务器的显著位置提供运行状态的指示功能，并在随机文件中明确具体含义；</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e) 机架、机箱的尺寸应符合通用机柜的安装要求，插入总线插座的电路板接口外形尺寸应符合有关总线标准的规定，将机箱固定在机柜上，机箱底面最大下垂变形不得干涉相邻机体；</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f) 高密度服务器应给出 CPU 个数与机柜高度；</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g) 服务器尺寸具体要求在随机文件中明确</w:t>
            </w:r>
          </w:p>
        </w:tc>
        <w:tc>
          <w:tcPr>
            <w:tcW w:w="861" w:type="dxa"/>
            <w:vAlign w:val="center"/>
          </w:tcPr>
          <w:p w14:paraId="096D51F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1D9BB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11CBF4C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587B23E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36</w:t>
            </w:r>
          </w:p>
        </w:tc>
        <w:tc>
          <w:tcPr>
            <w:tcW w:w="1170" w:type="dxa"/>
            <w:vAlign w:val="center"/>
          </w:tcPr>
          <w:p w14:paraId="071C4C8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63B1809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整机规格</w:t>
            </w:r>
          </w:p>
        </w:tc>
        <w:tc>
          <w:tcPr>
            <w:tcW w:w="1199" w:type="dxa"/>
            <w:vAlign w:val="center"/>
          </w:tcPr>
          <w:p w14:paraId="2B9EB94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尺寸</w:t>
            </w:r>
            <w:r>
              <w:rPr>
                <w:rFonts w:ascii="仿宋_GB2312" w:hAnsi="Malgun Gothic Semilight" w:eastAsia="仿宋_GB2312" w:cs="Malgun Gothic Semilight"/>
                <w:color w:val="auto"/>
                <w:kern w:val="0"/>
                <w:sz w:val="28"/>
                <w:szCs w:val="28"/>
                <w:lang w:bidi="ar"/>
              </w:rPr>
              <w:t>（</w:t>
            </w:r>
            <w:r>
              <w:rPr>
                <w:rFonts w:ascii="仿宋_GB2312" w:hAnsi="微软雅黑" w:eastAsia="仿宋_GB2312" w:cs="微软雅黑"/>
                <w:color w:val="auto"/>
                <w:kern w:val="0"/>
                <w:sz w:val="28"/>
                <w:szCs w:val="28"/>
                <w:lang w:bidi="ar"/>
              </w:rPr>
              <w:t>高</w:t>
            </w:r>
            <w:r>
              <w:rPr>
                <w:rFonts w:ascii="仿宋_GB2312" w:hAnsi="Malgun Gothic Semilight" w:eastAsia="仿宋_GB2312" w:cs="Malgun Gothic Semilight"/>
                <w:color w:val="auto"/>
                <w:kern w:val="0"/>
                <w:sz w:val="28"/>
                <w:szCs w:val="28"/>
                <w:lang w:bidi="ar"/>
              </w:rPr>
              <w:t>×</w:t>
            </w:r>
            <w:r>
              <w:rPr>
                <w:rFonts w:ascii="仿宋_GB2312" w:hAnsi="微软雅黑" w:eastAsia="仿宋_GB2312" w:cs="微软雅黑"/>
                <w:color w:val="auto"/>
                <w:kern w:val="0"/>
                <w:sz w:val="28"/>
                <w:szCs w:val="28"/>
                <w:lang w:bidi="ar"/>
              </w:rPr>
              <w:t>宽</w:t>
            </w:r>
            <w:r>
              <w:rPr>
                <w:rFonts w:ascii="仿宋_GB2312" w:hAnsi="Malgun Gothic Semilight" w:eastAsia="仿宋_GB2312" w:cs="Malgun Gothic Semilight"/>
                <w:color w:val="auto"/>
                <w:kern w:val="0"/>
                <w:sz w:val="28"/>
                <w:szCs w:val="28"/>
                <w:lang w:bidi="ar"/>
              </w:rPr>
              <w:t>×</w:t>
            </w:r>
            <w:r>
              <w:rPr>
                <w:rFonts w:ascii="仿宋_GB2312" w:hAnsi="微软雅黑" w:eastAsia="仿宋_GB2312" w:cs="微软雅黑"/>
                <w:color w:val="auto"/>
                <w:kern w:val="0"/>
                <w:sz w:val="28"/>
                <w:szCs w:val="28"/>
                <w:lang w:bidi="ar"/>
              </w:rPr>
              <w:t>深</w:t>
            </w:r>
            <w:r>
              <w:rPr>
                <w:rFonts w:ascii="仿宋_GB2312" w:hAnsi="Malgun Gothic Semilight" w:eastAsia="仿宋_GB2312" w:cs="Malgun Gothic Semilight"/>
                <w:color w:val="auto"/>
                <w:kern w:val="0"/>
                <w:sz w:val="28"/>
                <w:szCs w:val="28"/>
                <w:lang w:bidi="ar"/>
              </w:rPr>
              <w:t>）</w:t>
            </w:r>
          </w:p>
        </w:tc>
        <w:tc>
          <w:tcPr>
            <w:tcW w:w="3807" w:type="dxa"/>
            <w:vAlign w:val="center"/>
          </w:tcPr>
          <w:p w14:paraId="0336E13E">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2U机架式高密度服务器，含导轨</w:t>
            </w:r>
          </w:p>
        </w:tc>
        <w:tc>
          <w:tcPr>
            <w:tcW w:w="861" w:type="dxa"/>
            <w:vAlign w:val="center"/>
          </w:tcPr>
          <w:p w14:paraId="6B6BB21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3A60F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78BE3DE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355912C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37</w:t>
            </w:r>
          </w:p>
        </w:tc>
        <w:tc>
          <w:tcPr>
            <w:tcW w:w="1170" w:type="dxa"/>
            <w:vAlign w:val="center"/>
          </w:tcPr>
          <w:p w14:paraId="3531D93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5467286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整机规格</w:t>
            </w:r>
          </w:p>
        </w:tc>
        <w:tc>
          <w:tcPr>
            <w:tcW w:w="1199" w:type="dxa"/>
            <w:vAlign w:val="center"/>
          </w:tcPr>
          <w:p w14:paraId="14853F2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服务器导轨</w:t>
            </w:r>
          </w:p>
        </w:tc>
        <w:tc>
          <w:tcPr>
            <w:tcW w:w="3807" w:type="dxa"/>
            <w:vAlign w:val="center"/>
          </w:tcPr>
          <w:p w14:paraId="56D45ED5">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2C46FCE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7470E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34DD320A">
            <w:pPr>
              <w:adjustRightInd w:val="0"/>
              <w:snapToGrid w:val="0"/>
              <w:jc w:val="center"/>
              <w:textAlignment w:val="center"/>
              <w:rPr>
                <w:rFonts w:ascii="仿宋_GB2312" w:eastAsia="仿宋_GB2312" w:hAnsiTheme="minorEastAsia" w:cstheme="minorEastAsia"/>
                <w:color w:val="auto"/>
                <w:kern w:val="0"/>
                <w:sz w:val="28"/>
                <w:szCs w:val="28"/>
                <w:lang w:eastAsia="zh-CN" w:bidi="ar"/>
              </w:rPr>
            </w:pPr>
          </w:p>
        </w:tc>
        <w:tc>
          <w:tcPr>
            <w:tcW w:w="623" w:type="dxa"/>
            <w:vAlign w:val="center"/>
          </w:tcPr>
          <w:p w14:paraId="24D5838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38</w:t>
            </w:r>
          </w:p>
        </w:tc>
        <w:tc>
          <w:tcPr>
            <w:tcW w:w="1170" w:type="dxa"/>
            <w:vAlign w:val="center"/>
          </w:tcPr>
          <w:p w14:paraId="2E246A8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461685C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整机规格</w:t>
            </w:r>
          </w:p>
        </w:tc>
        <w:tc>
          <w:tcPr>
            <w:tcW w:w="1199" w:type="dxa"/>
            <w:vAlign w:val="center"/>
          </w:tcPr>
          <w:p w14:paraId="6916A52A">
            <w:pPr>
              <w:adjustRightInd w:val="0"/>
              <w:snapToGrid w:val="0"/>
              <w:jc w:val="center"/>
              <w:textAlignment w:val="center"/>
              <w:rPr>
                <w:rFonts w:ascii="仿宋_GB2312" w:eastAsia="仿宋_GB2312" w:hAnsiTheme="minorEastAsia" w:cstheme="minorEastAsia"/>
                <w:color w:val="auto"/>
                <w:kern w:val="0"/>
                <w:sz w:val="28"/>
                <w:szCs w:val="28"/>
                <w:lang w:eastAsia="zh-CN" w:bidi="ar"/>
              </w:rPr>
            </w:pPr>
            <w:r>
              <w:rPr>
                <w:rFonts w:ascii="仿宋_GB2312" w:eastAsia="仿宋_GB2312" w:hAnsiTheme="minorEastAsia" w:cstheme="minorEastAsia"/>
                <w:color w:val="auto"/>
                <w:kern w:val="0"/>
                <w:sz w:val="28"/>
                <w:szCs w:val="28"/>
                <w:lang w:eastAsia="zh-CN" w:bidi="ar"/>
              </w:rPr>
              <w:t xml:space="preserve">CPU </w:t>
            </w:r>
            <w:r>
              <w:rPr>
                <w:rFonts w:ascii="仿宋_GB2312" w:hAnsi="微软雅黑" w:eastAsia="仿宋_GB2312" w:cs="微软雅黑"/>
                <w:color w:val="auto"/>
                <w:kern w:val="0"/>
                <w:sz w:val="28"/>
                <w:szCs w:val="28"/>
                <w:lang w:eastAsia="zh-CN" w:bidi="ar"/>
              </w:rPr>
              <w:t>个数与机柜高度单位</w:t>
            </w:r>
            <w:r>
              <w:rPr>
                <w:rFonts w:ascii="仿宋_GB2312" w:eastAsia="仿宋_GB2312" w:hAnsiTheme="minorEastAsia" w:cstheme="minorEastAsia"/>
                <w:color w:val="auto"/>
                <w:kern w:val="0"/>
                <w:sz w:val="28"/>
                <w:szCs w:val="28"/>
                <w:lang w:eastAsia="zh-CN" w:bidi="ar"/>
              </w:rPr>
              <w:t>(U)</w:t>
            </w:r>
            <w:r>
              <w:rPr>
                <w:rFonts w:ascii="仿宋_GB2312" w:hAnsi="微软雅黑" w:eastAsia="仿宋_GB2312" w:cs="微软雅黑"/>
                <w:color w:val="auto"/>
                <w:kern w:val="0"/>
                <w:sz w:val="28"/>
                <w:szCs w:val="28"/>
                <w:lang w:eastAsia="zh-CN" w:bidi="ar"/>
              </w:rPr>
              <w:t>比</w:t>
            </w:r>
          </w:p>
        </w:tc>
        <w:tc>
          <w:tcPr>
            <w:tcW w:w="3807" w:type="dxa"/>
            <w:vAlign w:val="center"/>
          </w:tcPr>
          <w:p w14:paraId="24CB2ADB">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2137CAE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1D652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685" w:type="dxa"/>
            <w:vAlign w:val="center"/>
          </w:tcPr>
          <w:p w14:paraId="2B95FA4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33AE716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39</w:t>
            </w:r>
          </w:p>
        </w:tc>
        <w:tc>
          <w:tcPr>
            <w:tcW w:w="1170" w:type="dxa"/>
            <w:vAlign w:val="center"/>
          </w:tcPr>
          <w:p w14:paraId="46410B1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4853D55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整机规格</w:t>
            </w:r>
          </w:p>
        </w:tc>
        <w:tc>
          <w:tcPr>
            <w:tcW w:w="1199" w:type="dxa"/>
            <w:vAlign w:val="center"/>
          </w:tcPr>
          <w:p w14:paraId="532D205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环境适应性</w:t>
            </w:r>
          </w:p>
        </w:tc>
        <w:tc>
          <w:tcPr>
            <w:tcW w:w="3807" w:type="dxa"/>
            <w:vAlign w:val="center"/>
          </w:tcPr>
          <w:p w14:paraId="053F3F85">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气候环境适应性应符合GB/T9813.3 的有关规定，工作温度 10~35℃ , 贮存运输温度-40～55℃ ; 工作相对湿度35%～80%，贮存运输相对湿度 20％～93%（40℃) ; 大气压86～106kPa</w:t>
            </w:r>
          </w:p>
        </w:tc>
        <w:tc>
          <w:tcPr>
            <w:tcW w:w="861" w:type="dxa"/>
            <w:vAlign w:val="center"/>
          </w:tcPr>
          <w:p w14:paraId="6674797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3D2F2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4C4739C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63801CF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40</w:t>
            </w:r>
          </w:p>
        </w:tc>
        <w:tc>
          <w:tcPr>
            <w:tcW w:w="1170" w:type="dxa"/>
            <w:vAlign w:val="center"/>
          </w:tcPr>
          <w:p w14:paraId="44E35CB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6168821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整机规格</w:t>
            </w:r>
          </w:p>
        </w:tc>
        <w:tc>
          <w:tcPr>
            <w:tcW w:w="1199" w:type="dxa"/>
            <w:vAlign w:val="center"/>
          </w:tcPr>
          <w:p w14:paraId="015298C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特殊机型环境适应性</w:t>
            </w:r>
          </w:p>
        </w:tc>
        <w:tc>
          <w:tcPr>
            <w:tcW w:w="3807" w:type="dxa"/>
            <w:vAlign w:val="center"/>
          </w:tcPr>
          <w:p w14:paraId="58BAB7AB">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0E2504A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62A54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5470BF6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046AF80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41</w:t>
            </w:r>
          </w:p>
        </w:tc>
        <w:tc>
          <w:tcPr>
            <w:tcW w:w="1170" w:type="dxa"/>
            <w:vAlign w:val="center"/>
          </w:tcPr>
          <w:p w14:paraId="16BB08A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2048BBA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整机规格</w:t>
            </w:r>
          </w:p>
        </w:tc>
        <w:tc>
          <w:tcPr>
            <w:tcW w:w="1199" w:type="dxa"/>
            <w:vAlign w:val="center"/>
          </w:tcPr>
          <w:p w14:paraId="2153B13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机械环境适应性</w:t>
            </w:r>
          </w:p>
        </w:tc>
        <w:tc>
          <w:tcPr>
            <w:tcW w:w="3807" w:type="dxa"/>
            <w:vAlign w:val="center"/>
          </w:tcPr>
          <w:p w14:paraId="22C33426">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机械环境适应性应符合GB/T9813.3 的有关规定</w:t>
            </w:r>
          </w:p>
        </w:tc>
        <w:tc>
          <w:tcPr>
            <w:tcW w:w="861" w:type="dxa"/>
            <w:vAlign w:val="center"/>
          </w:tcPr>
          <w:p w14:paraId="35B4581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638D8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79AA24C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0F50F22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42</w:t>
            </w:r>
          </w:p>
        </w:tc>
        <w:tc>
          <w:tcPr>
            <w:tcW w:w="1170" w:type="dxa"/>
            <w:vAlign w:val="center"/>
          </w:tcPr>
          <w:p w14:paraId="2F66ADB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11222BE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整机规格</w:t>
            </w:r>
          </w:p>
        </w:tc>
        <w:tc>
          <w:tcPr>
            <w:tcW w:w="1199" w:type="dxa"/>
            <w:vAlign w:val="center"/>
          </w:tcPr>
          <w:p w14:paraId="66FA22A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噪声</w:t>
            </w:r>
          </w:p>
        </w:tc>
        <w:tc>
          <w:tcPr>
            <w:tcW w:w="3807" w:type="dxa"/>
            <w:vAlign w:val="center"/>
          </w:tcPr>
          <w:p w14:paraId="250FC77E">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符合 GB/T 9813.3 的有关规定，在产品说明中给出具体测试值塔式服务器噪声在空闲状态下不大于 50dB</w:t>
            </w:r>
          </w:p>
        </w:tc>
        <w:tc>
          <w:tcPr>
            <w:tcW w:w="861" w:type="dxa"/>
            <w:vAlign w:val="center"/>
          </w:tcPr>
          <w:p w14:paraId="6965056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794FA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47C508E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6CF3016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43</w:t>
            </w:r>
          </w:p>
        </w:tc>
        <w:tc>
          <w:tcPr>
            <w:tcW w:w="1170" w:type="dxa"/>
            <w:vAlign w:val="center"/>
          </w:tcPr>
          <w:p w14:paraId="418A69F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761031E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A I</w:t>
            </w:r>
            <w:r>
              <w:rPr>
                <w:rFonts w:ascii="仿宋_GB2312" w:hAnsi="微软雅黑" w:eastAsia="仿宋_GB2312" w:cs="微软雅黑"/>
                <w:color w:val="auto"/>
                <w:kern w:val="0"/>
                <w:sz w:val="28"/>
                <w:szCs w:val="28"/>
                <w:lang w:bidi="ar"/>
              </w:rPr>
              <w:t>计算单元规格</w:t>
            </w:r>
          </w:p>
        </w:tc>
        <w:tc>
          <w:tcPr>
            <w:tcW w:w="1199" w:type="dxa"/>
            <w:vAlign w:val="center"/>
          </w:tcPr>
          <w:p w14:paraId="66581AF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A I</w:t>
            </w:r>
            <w:r>
              <w:rPr>
                <w:rFonts w:ascii="仿宋_GB2312" w:hAnsi="微软雅黑" w:eastAsia="仿宋_GB2312" w:cs="微软雅黑"/>
                <w:color w:val="auto"/>
                <w:kern w:val="0"/>
                <w:sz w:val="28"/>
                <w:szCs w:val="28"/>
                <w:lang w:bidi="ar"/>
              </w:rPr>
              <w:t>计算单元</w:t>
            </w:r>
          </w:p>
        </w:tc>
        <w:tc>
          <w:tcPr>
            <w:tcW w:w="3807" w:type="dxa"/>
            <w:vAlign w:val="center"/>
          </w:tcPr>
          <w:p w14:paraId="5D0FC68E">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4141185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50483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005B5B7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4BCFF8D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44</w:t>
            </w:r>
          </w:p>
        </w:tc>
        <w:tc>
          <w:tcPr>
            <w:tcW w:w="1170" w:type="dxa"/>
            <w:vAlign w:val="center"/>
          </w:tcPr>
          <w:p w14:paraId="048ADE9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5E8A712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 xml:space="preserve">A I </w:t>
            </w:r>
            <w:r>
              <w:rPr>
                <w:rFonts w:ascii="仿宋_GB2312" w:hAnsi="微软雅黑" w:eastAsia="仿宋_GB2312" w:cs="微软雅黑"/>
                <w:color w:val="auto"/>
                <w:kern w:val="0"/>
                <w:sz w:val="28"/>
                <w:szCs w:val="28"/>
                <w:lang w:bidi="ar"/>
              </w:rPr>
              <w:t>计算单元规格</w:t>
            </w:r>
          </w:p>
        </w:tc>
        <w:tc>
          <w:tcPr>
            <w:tcW w:w="1199" w:type="dxa"/>
            <w:vAlign w:val="center"/>
          </w:tcPr>
          <w:p w14:paraId="0024537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一键式迁移</w:t>
            </w:r>
          </w:p>
        </w:tc>
        <w:tc>
          <w:tcPr>
            <w:tcW w:w="3807" w:type="dxa"/>
            <w:vAlign w:val="center"/>
          </w:tcPr>
          <w:p w14:paraId="0CA1E135">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394968D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32A23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7D672E77">
            <w:pPr>
              <w:adjustRightInd w:val="0"/>
              <w:snapToGrid w:val="0"/>
              <w:jc w:val="center"/>
              <w:textAlignment w:val="center"/>
              <w:rPr>
                <w:rFonts w:ascii="仿宋_GB2312" w:eastAsia="仿宋_GB2312" w:hAnsiTheme="minorEastAsia" w:cstheme="minorEastAsia"/>
                <w:color w:val="auto"/>
                <w:kern w:val="0"/>
                <w:sz w:val="28"/>
                <w:szCs w:val="28"/>
                <w:lang w:eastAsia="zh-CN" w:bidi="ar"/>
              </w:rPr>
            </w:pPr>
            <w:r>
              <w:rPr>
                <w:rFonts w:ascii="仿宋_GB2312" w:hAnsi="Arial" w:eastAsia="仿宋_GB2312" w:cs="Arial"/>
                <w:sz w:val="28"/>
                <w:szCs w:val="28"/>
              </w:rPr>
              <w:t>★</w:t>
            </w:r>
          </w:p>
        </w:tc>
        <w:tc>
          <w:tcPr>
            <w:tcW w:w="623" w:type="dxa"/>
            <w:vAlign w:val="center"/>
          </w:tcPr>
          <w:p w14:paraId="7A6E895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45</w:t>
            </w:r>
          </w:p>
        </w:tc>
        <w:tc>
          <w:tcPr>
            <w:tcW w:w="1170" w:type="dxa"/>
            <w:vAlign w:val="center"/>
          </w:tcPr>
          <w:p w14:paraId="7D9776B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36B1450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机柜规格</w:t>
            </w:r>
          </w:p>
        </w:tc>
        <w:tc>
          <w:tcPr>
            <w:tcW w:w="1199" w:type="dxa"/>
            <w:vAlign w:val="center"/>
          </w:tcPr>
          <w:p w14:paraId="49B230E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机柜尺寸</w:t>
            </w:r>
          </w:p>
        </w:tc>
        <w:tc>
          <w:tcPr>
            <w:tcW w:w="3807" w:type="dxa"/>
            <w:vAlign w:val="center"/>
          </w:tcPr>
          <w:p w14:paraId="540BD8F3">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微软雅黑" w:eastAsia="仿宋_GB2312" w:cs="微软雅黑"/>
                <w:color w:val="auto"/>
                <w:kern w:val="0"/>
                <w:sz w:val="28"/>
                <w:szCs w:val="28"/>
                <w:lang w:val="en-US" w:eastAsia="zh-CN" w:bidi="ar"/>
              </w:rPr>
              <w:t>宽≥800mm×深≥800mm×高≥600mm</w:t>
            </w:r>
          </w:p>
        </w:tc>
        <w:tc>
          <w:tcPr>
            <w:tcW w:w="861" w:type="dxa"/>
            <w:vAlign w:val="center"/>
          </w:tcPr>
          <w:p w14:paraId="658ECED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5775D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14EDCF1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022EAAE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46</w:t>
            </w:r>
          </w:p>
        </w:tc>
        <w:tc>
          <w:tcPr>
            <w:tcW w:w="1170" w:type="dxa"/>
            <w:vAlign w:val="center"/>
          </w:tcPr>
          <w:p w14:paraId="535E477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62E77B6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机柜规格</w:t>
            </w:r>
          </w:p>
        </w:tc>
        <w:tc>
          <w:tcPr>
            <w:tcW w:w="1199" w:type="dxa"/>
            <w:vAlign w:val="center"/>
          </w:tcPr>
          <w:p w14:paraId="657584C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机柜管理板</w:t>
            </w:r>
          </w:p>
        </w:tc>
        <w:tc>
          <w:tcPr>
            <w:tcW w:w="3807" w:type="dxa"/>
            <w:vAlign w:val="center"/>
          </w:tcPr>
          <w:p w14:paraId="687434F0">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4D1FC92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50287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5F961EF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1D2E834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47</w:t>
            </w:r>
          </w:p>
        </w:tc>
        <w:tc>
          <w:tcPr>
            <w:tcW w:w="1170" w:type="dxa"/>
            <w:vAlign w:val="center"/>
          </w:tcPr>
          <w:p w14:paraId="1C6F38A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产品规格</w:t>
            </w:r>
          </w:p>
        </w:tc>
        <w:tc>
          <w:tcPr>
            <w:tcW w:w="1186" w:type="dxa"/>
            <w:vAlign w:val="center"/>
          </w:tcPr>
          <w:p w14:paraId="71DDFE5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机柜规格</w:t>
            </w:r>
          </w:p>
        </w:tc>
        <w:tc>
          <w:tcPr>
            <w:tcW w:w="1199" w:type="dxa"/>
            <w:vAlign w:val="center"/>
          </w:tcPr>
          <w:p w14:paraId="6C724F7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机柜电源规格</w:t>
            </w:r>
          </w:p>
        </w:tc>
        <w:tc>
          <w:tcPr>
            <w:tcW w:w="3807" w:type="dxa"/>
            <w:vAlign w:val="center"/>
          </w:tcPr>
          <w:p w14:paraId="785FE471">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11CBBD4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0BC34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3A78A08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40B32D8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48</w:t>
            </w:r>
          </w:p>
        </w:tc>
        <w:tc>
          <w:tcPr>
            <w:tcW w:w="1170" w:type="dxa"/>
            <w:vAlign w:val="center"/>
          </w:tcPr>
          <w:p w14:paraId="34E6E07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功能要求</w:t>
            </w:r>
          </w:p>
        </w:tc>
        <w:tc>
          <w:tcPr>
            <w:tcW w:w="1186" w:type="dxa"/>
            <w:vAlign w:val="center"/>
          </w:tcPr>
          <w:p w14:paraId="183D630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主板功能</w:t>
            </w:r>
          </w:p>
        </w:tc>
        <w:tc>
          <w:tcPr>
            <w:tcW w:w="1199" w:type="dxa"/>
            <w:vAlign w:val="center"/>
          </w:tcPr>
          <w:p w14:paraId="060D202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主板外部接口种类</w:t>
            </w:r>
          </w:p>
        </w:tc>
        <w:tc>
          <w:tcPr>
            <w:tcW w:w="3807" w:type="dxa"/>
            <w:vAlign w:val="center"/>
          </w:tcPr>
          <w:p w14:paraId="4096F70B">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支持 USB、显示、管理等接口，如：VGA、DP、HDMI、USB3.0、PS/2 接口、BMC 管理端口</w:t>
            </w:r>
          </w:p>
        </w:tc>
        <w:tc>
          <w:tcPr>
            <w:tcW w:w="861" w:type="dxa"/>
            <w:vAlign w:val="center"/>
          </w:tcPr>
          <w:p w14:paraId="7A90456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7091D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5CF50F8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40629E3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49</w:t>
            </w:r>
          </w:p>
        </w:tc>
        <w:tc>
          <w:tcPr>
            <w:tcW w:w="1170" w:type="dxa"/>
            <w:vAlign w:val="center"/>
          </w:tcPr>
          <w:p w14:paraId="225D7A5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功能要求</w:t>
            </w:r>
          </w:p>
        </w:tc>
        <w:tc>
          <w:tcPr>
            <w:tcW w:w="1186" w:type="dxa"/>
            <w:vAlign w:val="center"/>
          </w:tcPr>
          <w:p w14:paraId="772ABF2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主板功能</w:t>
            </w:r>
          </w:p>
        </w:tc>
        <w:tc>
          <w:tcPr>
            <w:tcW w:w="1199" w:type="dxa"/>
            <w:vAlign w:val="center"/>
          </w:tcPr>
          <w:p w14:paraId="3DF3544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主板防烧板设计</w:t>
            </w:r>
          </w:p>
        </w:tc>
        <w:tc>
          <w:tcPr>
            <w:tcW w:w="3807" w:type="dxa"/>
            <w:vAlign w:val="center"/>
          </w:tcPr>
          <w:p w14:paraId="3AF58C1A">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790C868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22AF8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25A5CA8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645863C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50</w:t>
            </w:r>
          </w:p>
        </w:tc>
        <w:tc>
          <w:tcPr>
            <w:tcW w:w="1170" w:type="dxa"/>
            <w:vAlign w:val="center"/>
          </w:tcPr>
          <w:p w14:paraId="2DF9B4D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功能要求</w:t>
            </w:r>
          </w:p>
        </w:tc>
        <w:tc>
          <w:tcPr>
            <w:tcW w:w="1186" w:type="dxa"/>
            <w:vAlign w:val="center"/>
          </w:tcPr>
          <w:p w14:paraId="5F9BA89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主板功能</w:t>
            </w:r>
          </w:p>
        </w:tc>
        <w:tc>
          <w:tcPr>
            <w:tcW w:w="1199" w:type="dxa"/>
            <w:vAlign w:val="center"/>
          </w:tcPr>
          <w:p w14:paraId="719FBF2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扩展功能</w:t>
            </w:r>
          </w:p>
        </w:tc>
        <w:tc>
          <w:tcPr>
            <w:tcW w:w="3807" w:type="dxa"/>
            <w:vAlign w:val="center"/>
          </w:tcPr>
          <w:p w14:paraId="18756FF9">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6C55627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7EC68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43B0F4B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76A7E57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51</w:t>
            </w:r>
          </w:p>
        </w:tc>
        <w:tc>
          <w:tcPr>
            <w:tcW w:w="1170" w:type="dxa"/>
            <w:vAlign w:val="center"/>
          </w:tcPr>
          <w:p w14:paraId="221BFFA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功能要求</w:t>
            </w:r>
          </w:p>
        </w:tc>
        <w:tc>
          <w:tcPr>
            <w:tcW w:w="1186" w:type="dxa"/>
            <w:vAlign w:val="center"/>
          </w:tcPr>
          <w:p w14:paraId="272B33E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网络功能</w:t>
            </w:r>
          </w:p>
        </w:tc>
        <w:tc>
          <w:tcPr>
            <w:tcW w:w="1199" w:type="dxa"/>
            <w:vAlign w:val="center"/>
          </w:tcPr>
          <w:p w14:paraId="3F742D3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网络功能</w:t>
            </w:r>
          </w:p>
        </w:tc>
        <w:tc>
          <w:tcPr>
            <w:tcW w:w="3807" w:type="dxa"/>
            <w:vAlign w:val="center"/>
          </w:tcPr>
          <w:p w14:paraId="66F8800F">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支持网络连接、网络访问、数据交换和网络管控功能</w:t>
            </w:r>
          </w:p>
        </w:tc>
        <w:tc>
          <w:tcPr>
            <w:tcW w:w="861" w:type="dxa"/>
            <w:vAlign w:val="center"/>
          </w:tcPr>
          <w:p w14:paraId="6655A5C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64FE8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685" w:type="dxa"/>
            <w:vAlign w:val="center"/>
          </w:tcPr>
          <w:p w14:paraId="215A9DB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2C615BE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52</w:t>
            </w:r>
          </w:p>
        </w:tc>
        <w:tc>
          <w:tcPr>
            <w:tcW w:w="1170" w:type="dxa"/>
            <w:vAlign w:val="center"/>
          </w:tcPr>
          <w:p w14:paraId="2E0FB8B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功能要求</w:t>
            </w:r>
          </w:p>
        </w:tc>
        <w:tc>
          <w:tcPr>
            <w:tcW w:w="1186" w:type="dxa"/>
            <w:vAlign w:val="center"/>
          </w:tcPr>
          <w:p w14:paraId="2C2EDBE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*CPU</w:t>
            </w:r>
            <w:r>
              <w:rPr>
                <w:rFonts w:ascii="仿宋_GB2312" w:hAnsi="微软雅黑" w:eastAsia="仿宋_GB2312" w:cs="微软雅黑"/>
                <w:color w:val="auto"/>
                <w:kern w:val="0"/>
                <w:sz w:val="28"/>
                <w:szCs w:val="28"/>
                <w:lang w:bidi="ar"/>
              </w:rPr>
              <w:t>功能</w:t>
            </w:r>
          </w:p>
        </w:tc>
        <w:tc>
          <w:tcPr>
            <w:tcW w:w="1199" w:type="dxa"/>
            <w:vAlign w:val="center"/>
          </w:tcPr>
          <w:p w14:paraId="1CB67A4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计算处理</w:t>
            </w:r>
          </w:p>
        </w:tc>
        <w:tc>
          <w:tcPr>
            <w:tcW w:w="3807" w:type="dxa"/>
            <w:vAlign w:val="center"/>
          </w:tcPr>
          <w:p w14:paraId="1F7D64A3">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支持通用计算及虚拟化功能。处理器需集成整型计算单元、浮点计算单元、内存控制器、I/O 模块等，处理器与存储部件、网络部件、I/O部件等组成计算系统，提供数据处理、网络接入等计算相关功能</w:t>
            </w:r>
          </w:p>
        </w:tc>
        <w:tc>
          <w:tcPr>
            <w:tcW w:w="861" w:type="dxa"/>
            <w:vAlign w:val="center"/>
          </w:tcPr>
          <w:p w14:paraId="288A843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2C596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12AF783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70A3A50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53</w:t>
            </w:r>
          </w:p>
        </w:tc>
        <w:tc>
          <w:tcPr>
            <w:tcW w:w="1170" w:type="dxa"/>
            <w:vAlign w:val="center"/>
          </w:tcPr>
          <w:p w14:paraId="50FEEF9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功能要求</w:t>
            </w:r>
          </w:p>
        </w:tc>
        <w:tc>
          <w:tcPr>
            <w:tcW w:w="1186" w:type="dxa"/>
            <w:vAlign w:val="center"/>
          </w:tcPr>
          <w:p w14:paraId="5F3A12A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*CPU</w:t>
            </w:r>
            <w:r>
              <w:rPr>
                <w:rFonts w:ascii="仿宋_GB2312" w:hAnsi="微软雅黑" w:eastAsia="仿宋_GB2312" w:cs="微软雅黑"/>
                <w:color w:val="auto"/>
                <w:kern w:val="0"/>
                <w:sz w:val="28"/>
                <w:szCs w:val="28"/>
                <w:lang w:bidi="ar"/>
              </w:rPr>
              <w:t>功能</w:t>
            </w:r>
          </w:p>
        </w:tc>
        <w:tc>
          <w:tcPr>
            <w:tcW w:w="1199" w:type="dxa"/>
            <w:vAlign w:val="center"/>
          </w:tcPr>
          <w:p w14:paraId="51EA5D3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密码算法</w:t>
            </w:r>
            <w:r>
              <w:rPr>
                <w:rFonts w:ascii="仿宋_GB2312" w:eastAsia="仿宋_GB2312" w:hAnsiTheme="minorEastAsia" w:cstheme="minorEastAsia"/>
                <w:color w:val="auto"/>
                <w:kern w:val="0"/>
                <w:sz w:val="28"/>
                <w:szCs w:val="28"/>
                <w:lang w:bidi="ar"/>
              </w:rPr>
              <w:t xml:space="preserve">   </w:t>
            </w:r>
            <w:r>
              <w:rPr>
                <w:rFonts w:ascii="仿宋_GB2312" w:hAnsi="微软雅黑" w:eastAsia="仿宋_GB2312" w:cs="微软雅黑"/>
                <w:color w:val="auto"/>
                <w:kern w:val="0"/>
                <w:sz w:val="28"/>
                <w:szCs w:val="28"/>
                <w:lang w:bidi="ar"/>
              </w:rPr>
              <w:t>实现</w:t>
            </w:r>
          </w:p>
        </w:tc>
        <w:tc>
          <w:tcPr>
            <w:tcW w:w="3807" w:type="dxa"/>
            <w:vAlign w:val="center"/>
          </w:tcPr>
          <w:p w14:paraId="270805CA">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CPU 芯片应符合 GM/T 0008 的相关规定，或芯片密码模块应符合GB/T37092 或 GM/T 0028 的相关规定</w:t>
            </w:r>
          </w:p>
        </w:tc>
        <w:tc>
          <w:tcPr>
            <w:tcW w:w="861" w:type="dxa"/>
            <w:vAlign w:val="center"/>
          </w:tcPr>
          <w:p w14:paraId="79D2F04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16AA7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7D9AA89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3142A4C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54</w:t>
            </w:r>
          </w:p>
        </w:tc>
        <w:tc>
          <w:tcPr>
            <w:tcW w:w="1170" w:type="dxa"/>
            <w:vAlign w:val="center"/>
          </w:tcPr>
          <w:p w14:paraId="64B89DA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功能要求</w:t>
            </w:r>
          </w:p>
        </w:tc>
        <w:tc>
          <w:tcPr>
            <w:tcW w:w="1186" w:type="dxa"/>
            <w:vAlign w:val="center"/>
          </w:tcPr>
          <w:p w14:paraId="198488A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存储功能</w:t>
            </w:r>
          </w:p>
        </w:tc>
        <w:tc>
          <w:tcPr>
            <w:tcW w:w="1199" w:type="dxa"/>
            <w:vAlign w:val="center"/>
          </w:tcPr>
          <w:p w14:paraId="0C7A391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内存校验</w:t>
            </w:r>
          </w:p>
        </w:tc>
        <w:tc>
          <w:tcPr>
            <w:tcW w:w="3807" w:type="dxa"/>
            <w:vAlign w:val="center"/>
          </w:tcPr>
          <w:p w14:paraId="47EE0951">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11E844F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7CFA3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24BFAC5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6842EE3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55</w:t>
            </w:r>
          </w:p>
        </w:tc>
        <w:tc>
          <w:tcPr>
            <w:tcW w:w="1170" w:type="dxa"/>
            <w:vAlign w:val="center"/>
          </w:tcPr>
          <w:p w14:paraId="6ABA0D7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功能要求</w:t>
            </w:r>
          </w:p>
        </w:tc>
        <w:tc>
          <w:tcPr>
            <w:tcW w:w="1186" w:type="dxa"/>
            <w:vAlign w:val="center"/>
          </w:tcPr>
          <w:p w14:paraId="7EA4A69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存储功能</w:t>
            </w:r>
          </w:p>
        </w:tc>
        <w:tc>
          <w:tcPr>
            <w:tcW w:w="1199" w:type="dxa"/>
            <w:vAlign w:val="center"/>
          </w:tcPr>
          <w:p w14:paraId="0D97C67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 xml:space="preserve">SATA SSDNAND </w:t>
            </w:r>
            <w:r>
              <w:rPr>
                <w:rFonts w:ascii="仿宋_GB2312" w:hAnsi="微软雅黑" w:eastAsia="仿宋_GB2312" w:cs="微软雅黑"/>
                <w:color w:val="auto"/>
                <w:kern w:val="0"/>
                <w:sz w:val="28"/>
                <w:szCs w:val="28"/>
                <w:lang w:bidi="ar"/>
              </w:rPr>
              <w:t>健康状态上报</w:t>
            </w:r>
          </w:p>
        </w:tc>
        <w:tc>
          <w:tcPr>
            <w:tcW w:w="3807" w:type="dxa"/>
            <w:vAlign w:val="center"/>
          </w:tcPr>
          <w:p w14:paraId="12A4EA4B">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5BBD01C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70EEB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26B1D92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0FE47A1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56</w:t>
            </w:r>
          </w:p>
        </w:tc>
        <w:tc>
          <w:tcPr>
            <w:tcW w:w="1170" w:type="dxa"/>
            <w:vAlign w:val="center"/>
          </w:tcPr>
          <w:p w14:paraId="4B2DBFA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功能要求</w:t>
            </w:r>
          </w:p>
        </w:tc>
        <w:tc>
          <w:tcPr>
            <w:tcW w:w="1186" w:type="dxa"/>
            <w:vAlign w:val="center"/>
          </w:tcPr>
          <w:p w14:paraId="351DE24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存储功能</w:t>
            </w:r>
          </w:p>
        </w:tc>
        <w:tc>
          <w:tcPr>
            <w:tcW w:w="1199" w:type="dxa"/>
            <w:vAlign w:val="center"/>
          </w:tcPr>
          <w:p w14:paraId="567D8BC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SATA SSD</w:t>
            </w:r>
            <w:r>
              <w:rPr>
                <w:rFonts w:ascii="仿宋_GB2312" w:hAnsi="微软雅黑" w:eastAsia="仿宋_GB2312" w:cs="微软雅黑"/>
                <w:color w:val="auto"/>
                <w:kern w:val="0"/>
                <w:sz w:val="28"/>
                <w:szCs w:val="28"/>
                <w:lang w:bidi="ar"/>
              </w:rPr>
              <w:t>单</w:t>
            </w:r>
            <w:r>
              <w:rPr>
                <w:rFonts w:ascii="仿宋_GB2312" w:eastAsia="仿宋_GB2312" w:hAnsiTheme="minorEastAsia" w:cstheme="minorEastAsia"/>
                <w:color w:val="auto"/>
                <w:kern w:val="0"/>
                <w:sz w:val="28"/>
                <w:szCs w:val="28"/>
                <w:lang w:bidi="ar"/>
              </w:rPr>
              <w:t xml:space="preserve"> die </w:t>
            </w:r>
            <w:r>
              <w:rPr>
                <w:rFonts w:ascii="仿宋_GB2312" w:hAnsi="微软雅黑" w:eastAsia="仿宋_GB2312" w:cs="微软雅黑"/>
                <w:color w:val="auto"/>
                <w:kern w:val="0"/>
                <w:sz w:val="28"/>
                <w:szCs w:val="28"/>
                <w:lang w:bidi="ar"/>
              </w:rPr>
              <w:t>故障隔离</w:t>
            </w:r>
          </w:p>
        </w:tc>
        <w:tc>
          <w:tcPr>
            <w:tcW w:w="3807" w:type="dxa"/>
            <w:vAlign w:val="center"/>
          </w:tcPr>
          <w:p w14:paraId="2967A1DD">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07B975F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1C094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685" w:type="dxa"/>
            <w:vAlign w:val="center"/>
          </w:tcPr>
          <w:p w14:paraId="11D0AFC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0DF4F77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57</w:t>
            </w:r>
          </w:p>
        </w:tc>
        <w:tc>
          <w:tcPr>
            <w:tcW w:w="1170" w:type="dxa"/>
            <w:vAlign w:val="center"/>
          </w:tcPr>
          <w:p w14:paraId="09C60EE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功能要求</w:t>
            </w:r>
          </w:p>
        </w:tc>
        <w:tc>
          <w:tcPr>
            <w:tcW w:w="1186" w:type="dxa"/>
            <w:vAlign w:val="center"/>
          </w:tcPr>
          <w:p w14:paraId="0E35C39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RAID</w:t>
            </w:r>
            <w:r>
              <w:rPr>
                <w:rFonts w:ascii="仿宋_GB2312" w:hAnsi="微软雅黑" w:eastAsia="仿宋_GB2312" w:cs="微软雅黑"/>
                <w:color w:val="auto"/>
                <w:kern w:val="0"/>
                <w:sz w:val="28"/>
                <w:szCs w:val="28"/>
                <w:lang w:bidi="ar"/>
              </w:rPr>
              <w:t>卡功能</w:t>
            </w:r>
            <w:r>
              <w:rPr>
                <w:rFonts w:ascii="仿宋_GB2312" w:hAnsi="Malgun Gothic Semilight" w:eastAsia="仿宋_GB2312" w:cs="Malgun Gothic Semilight"/>
                <w:color w:val="auto"/>
                <w:kern w:val="0"/>
                <w:sz w:val="28"/>
                <w:szCs w:val="28"/>
                <w:lang w:bidi="ar"/>
              </w:rPr>
              <w:t>（</w:t>
            </w:r>
            <w:r>
              <w:rPr>
                <w:rFonts w:ascii="仿宋_GB2312" w:hAnsi="微软雅黑" w:eastAsia="仿宋_GB2312" w:cs="微软雅黑"/>
                <w:color w:val="auto"/>
                <w:kern w:val="0"/>
                <w:sz w:val="28"/>
                <w:szCs w:val="28"/>
                <w:lang w:bidi="ar"/>
              </w:rPr>
              <w:t>若支持</w:t>
            </w:r>
            <w:r>
              <w:rPr>
                <w:rFonts w:ascii="仿宋_GB2312" w:eastAsia="仿宋_GB2312" w:hAnsiTheme="minorEastAsia" w:cstheme="minorEastAsia"/>
                <w:color w:val="auto"/>
                <w:kern w:val="0"/>
                <w:sz w:val="28"/>
                <w:szCs w:val="28"/>
                <w:lang w:bidi="ar"/>
              </w:rPr>
              <w:t>RAID</w:t>
            </w:r>
            <w:r>
              <w:rPr>
                <w:rFonts w:ascii="仿宋_GB2312" w:hAnsi="微软雅黑" w:eastAsia="仿宋_GB2312" w:cs="微软雅黑"/>
                <w:color w:val="auto"/>
                <w:kern w:val="0"/>
                <w:sz w:val="28"/>
                <w:szCs w:val="28"/>
                <w:lang w:bidi="ar"/>
              </w:rPr>
              <w:t>卡</w:t>
            </w:r>
            <w:r>
              <w:rPr>
                <w:rFonts w:ascii="仿宋_GB2312" w:hAnsi="Malgun Gothic Semilight" w:eastAsia="仿宋_GB2312" w:cs="Malgun Gothic Semilight"/>
                <w:color w:val="auto"/>
                <w:kern w:val="0"/>
                <w:sz w:val="28"/>
                <w:szCs w:val="28"/>
                <w:lang w:bidi="ar"/>
              </w:rPr>
              <w:t>）</w:t>
            </w:r>
          </w:p>
        </w:tc>
        <w:tc>
          <w:tcPr>
            <w:tcW w:w="1199" w:type="dxa"/>
            <w:vAlign w:val="center"/>
          </w:tcPr>
          <w:p w14:paraId="3F9DBA1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 xml:space="preserve">RAID </w:t>
            </w:r>
            <w:r>
              <w:rPr>
                <w:rFonts w:ascii="仿宋_GB2312" w:hAnsi="微软雅黑" w:eastAsia="仿宋_GB2312" w:cs="微软雅黑"/>
                <w:color w:val="auto"/>
                <w:kern w:val="0"/>
                <w:sz w:val="28"/>
                <w:szCs w:val="28"/>
                <w:lang w:bidi="ar"/>
              </w:rPr>
              <w:t>卡</w:t>
            </w:r>
            <w:r>
              <w:rPr>
                <w:rFonts w:ascii="仿宋_GB2312" w:eastAsia="仿宋_GB2312" w:hAnsiTheme="minorEastAsia" w:cstheme="minorEastAsia"/>
                <w:color w:val="auto"/>
                <w:kern w:val="0"/>
                <w:sz w:val="28"/>
                <w:szCs w:val="28"/>
                <w:lang w:bidi="ar"/>
              </w:rPr>
              <w:t xml:space="preserve">RAID </w:t>
            </w:r>
            <w:r>
              <w:rPr>
                <w:rFonts w:ascii="仿宋_GB2312" w:hAnsi="微软雅黑" w:eastAsia="仿宋_GB2312" w:cs="微软雅黑"/>
                <w:color w:val="auto"/>
                <w:kern w:val="0"/>
                <w:sz w:val="28"/>
                <w:szCs w:val="28"/>
                <w:lang w:bidi="ar"/>
              </w:rPr>
              <w:t>级别支持</w:t>
            </w:r>
          </w:p>
        </w:tc>
        <w:tc>
          <w:tcPr>
            <w:tcW w:w="3807" w:type="dxa"/>
            <w:vAlign w:val="center"/>
          </w:tcPr>
          <w:p w14:paraId="20F81730">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689E4D5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21D62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685" w:type="dxa"/>
            <w:vAlign w:val="center"/>
          </w:tcPr>
          <w:p w14:paraId="2C16880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776D5F7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58</w:t>
            </w:r>
          </w:p>
        </w:tc>
        <w:tc>
          <w:tcPr>
            <w:tcW w:w="1170" w:type="dxa"/>
            <w:vAlign w:val="center"/>
          </w:tcPr>
          <w:p w14:paraId="39F439C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功能要求</w:t>
            </w:r>
          </w:p>
        </w:tc>
        <w:tc>
          <w:tcPr>
            <w:tcW w:w="1186" w:type="dxa"/>
            <w:vAlign w:val="center"/>
          </w:tcPr>
          <w:p w14:paraId="6959C10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RAID</w:t>
            </w:r>
            <w:r>
              <w:rPr>
                <w:rFonts w:ascii="仿宋_GB2312" w:hAnsi="微软雅黑" w:eastAsia="仿宋_GB2312" w:cs="微软雅黑"/>
                <w:color w:val="auto"/>
                <w:kern w:val="0"/>
                <w:sz w:val="28"/>
                <w:szCs w:val="28"/>
                <w:lang w:bidi="ar"/>
              </w:rPr>
              <w:t>卡功能</w:t>
            </w:r>
            <w:r>
              <w:rPr>
                <w:rFonts w:ascii="仿宋_GB2312" w:hAnsi="Malgun Gothic Semilight" w:eastAsia="仿宋_GB2312" w:cs="Malgun Gothic Semilight"/>
                <w:color w:val="auto"/>
                <w:kern w:val="0"/>
                <w:sz w:val="28"/>
                <w:szCs w:val="28"/>
                <w:lang w:bidi="ar"/>
              </w:rPr>
              <w:t>（</w:t>
            </w:r>
            <w:r>
              <w:rPr>
                <w:rFonts w:ascii="仿宋_GB2312" w:hAnsi="微软雅黑" w:eastAsia="仿宋_GB2312" w:cs="微软雅黑"/>
                <w:color w:val="auto"/>
                <w:kern w:val="0"/>
                <w:sz w:val="28"/>
                <w:szCs w:val="28"/>
                <w:lang w:bidi="ar"/>
              </w:rPr>
              <w:t>若支持</w:t>
            </w:r>
            <w:r>
              <w:rPr>
                <w:rFonts w:ascii="仿宋_GB2312" w:eastAsia="仿宋_GB2312" w:hAnsiTheme="minorEastAsia" w:cstheme="minorEastAsia"/>
                <w:color w:val="auto"/>
                <w:kern w:val="0"/>
                <w:sz w:val="28"/>
                <w:szCs w:val="28"/>
                <w:lang w:bidi="ar"/>
              </w:rPr>
              <w:t>RAID</w:t>
            </w:r>
            <w:r>
              <w:rPr>
                <w:rFonts w:ascii="仿宋_GB2312" w:hAnsi="微软雅黑" w:eastAsia="仿宋_GB2312" w:cs="微软雅黑"/>
                <w:color w:val="auto"/>
                <w:kern w:val="0"/>
                <w:sz w:val="28"/>
                <w:szCs w:val="28"/>
                <w:lang w:bidi="ar"/>
              </w:rPr>
              <w:t>卡</w:t>
            </w:r>
            <w:r>
              <w:rPr>
                <w:rFonts w:ascii="仿宋_GB2312" w:hAnsi="Malgun Gothic Semilight" w:eastAsia="仿宋_GB2312" w:cs="Malgun Gothic Semilight"/>
                <w:color w:val="auto"/>
                <w:kern w:val="0"/>
                <w:sz w:val="28"/>
                <w:szCs w:val="28"/>
                <w:lang w:bidi="ar"/>
              </w:rPr>
              <w:t>）</w:t>
            </w:r>
          </w:p>
        </w:tc>
        <w:tc>
          <w:tcPr>
            <w:tcW w:w="1199" w:type="dxa"/>
            <w:vAlign w:val="center"/>
          </w:tcPr>
          <w:p w14:paraId="334F817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 xml:space="preserve">RAID </w:t>
            </w:r>
            <w:r>
              <w:rPr>
                <w:rFonts w:ascii="仿宋_GB2312" w:hAnsi="微软雅黑" w:eastAsia="仿宋_GB2312" w:cs="微软雅黑"/>
                <w:color w:val="auto"/>
                <w:kern w:val="0"/>
                <w:sz w:val="28"/>
                <w:szCs w:val="28"/>
                <w:lang w:bidi="ar"/>
              </w:rPr>
              <w:t>卡</w:t>
            </w:r>
            <w:r>
              <w:rPr>
                <w:rFonts w:ascii="仿宋_GB2312" w:eastAsia="仿宋_GB2312" w:hAnsiTheme="minorEastAsia" w:cstheme="minorEastAsia"/>
                <w:color w:val="auto"/>
                <w:kern w:val="0"/>
                <w:sz w:val="28"/>
                <w:szCs w:val="28"/>
                <w:lang w:bidi="ar"/>
              </w:rPr>
              <w:t xml:space="preserve">BBU </w:t>
            </w:r>
            <w:r>
              <w:rPr>
                <w:rFonts w:ascii="仿宋_GB2312" w:hAnsi="微软雅黑" w:eastAsia="仿宋_GB2312" w:cs="微软雅黑"/>
                <w:color w:val="auto"/>
                <w:kern w:val="0"/>
                <w:sz w:val="28"/>
                <w:szCs w:val="28"/>
                <w:lang w:bidi="ar"/>
              </w:rPr>
              <w:t>单元</w:t>
            </w:r>
          </w:p>
        </w:tc>
        <w:tc>
          <w:tcPr>
            <w:tcW w:w="3807" w:type="dxa"/>
            <w:vAlign w:val="center"/>
          </w:tcPr>
          <w:p w14:paraId="0C275E9F">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5D65B4C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41B6C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2EDA61B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0AE3EA4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59</w:t>
            </w:r>
          </w:p>
        </w:tc>
        <w:tc>
          <w:tcPr>
            <w:tcW w:w="1170" w:type="dxa"/>
            <w:vAlign w:val="center"/>
          </w:tcPr>
          <w:p w14:paraId="649F40C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功能要求</w:t>
            </w:r>
          </w:p>
        </w:tc>
        <w:tc>
          <w:tcPr>
            <w:tcW w:w="1186" w:type="dxa"/>
            <w:vAlign w:val="center"/>
          </w:tcPr>
          <w:p w14:paraId="4C84880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光驱功能</w:t>
            </w:r>
          </w:p>
        </w:tc>
        <w:tc>
          <w:tcPr>
            <w:tcW w:w="1199" w:type="dxa"/>
            <w:vAlign w:val="center"/>
          </w:tcPr>
          <w:p w14:paraId="136352CE">
            <w:pPr>
              <w:adjustRightInd w:val="0"/>
              <w:snapToGrid w:val="0"/>
              <w:jc w:val="center"/>
              <w:textAlignment w:val="center"/>
              <w:rPr>
                <w:rFonts w:ascii="仿宋_GB2312" w:eastAsia="仿宋_GB2312" w:hAnsiTheme="minorEastAsia" w:cstheme="minorEastAsia"/>
                <w:color w:val="auto"/>
                <w:kern w:val="0"/>
                <w:sz w:val="28"/>
                <w:szCs w:val="28"/>
                <w:lang w:eastAsia="zh-CN" w:bidi="ar"/>
              </w:rPr>
            </w:pPr>
            <w:r>
              <w:rPr>
                <w:rFonts w:ascii="仿宋_GB2312" w:hAnsi="微软雅黑" w:eastAsia="仿宋_GB2312" w:cs="微软雅黑"/>
                <w:color w:val="auto"/>
                <w:kern w:val="0"/>
                <w:sz w:val="28"/>
                <w:szCs w:val="28"/>
                <w:lang w:eastAsia="zh-CN" w:bidi="ar"/>
              </w:rPr>
              <w:t>光驱类型</w:t>
            </w:r>
            <w:r>
              <w:rPr>
                <w:rFonts w:ascii="仿宋_GB2312" w:hAnsi="Malgun Gothic Semilight" w:eastAsia="仿宋_GB2312" w:cs="Malgun Gothic Semilight"/>
                <w:color w:val="auto"/>
                <w:kern w:val="0"/>
                <w:sz w:val="28"/>
                <w:szCs w:val="28"/>
                <w:lang w:eastAsia="zh-CN" w:bidi="ar"/>
              </w:rPr>
              <w:t>（</w:t>
            </w:r>
            <w:r>
              <w:rPr>
                <w:rFonts w:ascii="仿宋_GB2312" w:hAnsi="微软雅黑" w:eastAsia="仿宋_GB2312" w:cs="微软雅黑"/>
                <w:color w:val="auto"/>
                <w:kern w:val="0"/>
                <w:sz w:val="28"/>
                <w:szCs w:val="28"/>
                <w:lang w:eastAsia="zh-CN" w:bidi="ar"/>
              </w:rPr>
              <w:t>是否支持</w:t>
            </w:r>
            <w:r>
              <w:rPr>
                <w:rFonts w:ascii="仿宋_GB2312" w:eastAsia="仿宋_GB2312" w:hAnsiTheme="minorEastAsia" w:cstheme="minorEastAsia"/>
                <w:color w:val="auto"/>
                <w:kern w:val="0"/>
                <w:sz w:val="28"/>
                <w:szCs w:val="28"/>
                <w:lang w:eastAsia="zh-CN" w:bidi="ar"/>
              </w:rPr>
              <w:t xml:space="preserve"> RW，</w:t>
            </w:r>
            <w:r>
              <w:rPr>
                <w:rFonts w:ascii="仿宋_GB2312" w:hAnsi="微软雅黑" w:eastAsia="仿宋_GB2312" w:cs="微软雅黑"/>
                <w:color w:val="auto"/>
                <w:kern w:val="0"/>
                <w:sz w:val="28"/>
                <w:szCs w:val="28"/>
                <w:lang w:eastAsia="zh-CN" w:bidi="ar"/>
              </w:rPr>
              <w:t>以及光盘类型</w:t>
            </w:r>
            <w:r>
              <w:rPr>
                <w:rFonts w:ascii="仿宋_GB2312" w:eastAsia="仿宋_GB2312" w:hAnsiTheme="minorEastAsia" w:cstheme="minorEastAsia"/>
                <w:color w:val="auto"/>
                <w:kern w:val="0"/>
                <w:sz w:val="28"/>
                <w:szCs w:val="28"/>
                <w:lang w:eastAsia="zh-CN" w:bidi="ar"/>
              </w:rPr>
              <w:t>CD/DVD）</w:t>
            </w:r>
          </w:p>
        </w:tc>
        <w:tc>
          <w:tcPr>
            <w:tcW w:w="3807" w:type="dxa"/>
            <w:vAlign w:val="center"/>
          </w:tcPr>
          <w:p w14:paraId="646C6FA4">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2F03D95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6D411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1D425D7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1608E93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60</w:t>
            </w:r>
          </w:p>
        </w:tc>
        <w:tc>
          <w:tcPr>
            <w:tcW w:w="1170" w:type="dxa"/>
            <w:vAlign w:val="center"/>
          </w:tcPr>
          <w:p w14:paraId="6EE798E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功能要求</w:t>
            </w:r>
          </w:p>
        </w:tc>
        <w:tc>
          <w:tcPr>
            <w:tcW w:w="1186" w:type="dxa"/>
            <w:vAlign w:val="center"/>
          </w:tcPr>
          <w:p w14:paraId="45E2B3E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电源功能</w:t>
            </w:r>
          </w:p>
        </w:tc>
        <w:tc>
          <w:tcPr>
            <w:tcW w:w="1199" w:type="dxa"/>
            <w:vAlign w:val="center"/>
          </w:tcPr>
          <w:p w14:paraId="251CB63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电源热插拔</w:t>
            </w:r>
          </w:p>
        </w:tc>
        <w:tc>
          <w:tcPr>
            <w:tcW w:w="3807" w:type="dxa"/>
            <w:vAlign w:val="center"/>
          </w:tcPr>
          <w:p w14:paraId="5986CA72">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整机电源模块应具备热插拔功能</w:t>
            </w:r>
          </w:p>
        </w:tc>
        <w:tc>
          <w:tcPr>
            <w:tcW w:w="861" w:type="dxa"/>
            <w:vAlign w:val="center"/>
          </w:tcPr>
          <w:p w14:paraId="2311644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54EC7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75C6662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57492D7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61</w:t>
            </w:r>
          </w:p>
        </w:tc>
        <w:tc>
          <w:tcPr>
            <w:tcW w:w="1170" w:type="dxa"/>
            <w:vAlign w:val="center"/>
          </w:tcPr>
          <w:p w14:paraId="2D615B7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功能要求</w:t>
            </w:r>
          </w:p>
        </w:tc>
        <w:tc>
          <w:tcPr>
            <w:tcW w:w="1186" w:type="dxa"/>
            <w:vAlign w:val="center"/>
          </w:tcPr>
          <w:p w14:paraId="0AFD962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电源功能</w:t>
            </w:r>
          </w:p>
        </w:tc>
        <w:tc>
          <w:tcPr>
            <w:tcW w:w="1199" w:type="dxa"/>
            <w:vAlign w:val="center"/>
          </w:tcPr>
          <w:p w14:paraId="3D7728E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电源过流保护</w:t>
            </w:r>
          </w:p>
        </w:tc>
        <w:tc>
          <w:tcPr>
            <w:tcW w:w="3807" w:type="dxa"/>
            <w:vAlign w:val="center"/>
          </w:tcPr>
          <w:p w14:paraId="1F69A0C8">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支持过流及短路保护的功能</w:t>
            </w:r>
          </w:p>
        </w:tc>
        <w:tc>
          <w:tcPr>
            <w:tcW w:w="861" w:type="dxa"/>
            <w:vAlign w:val="center"/>
          </w:tcPr>
          <w:p w14:paraId="3249D13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04B38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0F8D0E2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3164160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62</w:t>
            </w:r>
          </w:p>
        </w:tc>
        <w:tc>
          <w:tcPr>
            <w:tcW w:w="1170" w:type="dxa"/>
            <w:vAlign w:val="center"/>
          </w:tcPr>
          <w:p w14:paraId="67AED98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功能要求</w:t>
            </w:r>
          </w:p>
        </w:tc>
        <w:tc>
          <w:tcPr>
            <w:tcW w:w="1186" w:type="dxa"/>
            <w:vAlign w:val="center"/>
          </w:tcPr>
          <w:p w14:paraId="39DCAE1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整机功能</w:t>
            </w:r>
          </w:p>
        </w:tc>
        <w:tc>
          <w:tcPr>
            <w:tcW w:w="1199" w:type="dxa"/>
            <w:vAlign w:val="center"/>
          </w:tcPr>
          <w:p w14:paraId="6210A21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散热方式</w:t>
            </w:r>
          </w:p>
        </w:tc>
        <w:tc>
          <w:tcPr>
            <w:tcW w:w="3807" w:type="dxa"/>
            <w:vAlign w:val="center"/>
          </w:tcPr>
          <w:p w14:paraId="332658F8">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支持风冷或液冷等散热方式</w:t>
            </w:r>
          </w:p>
        </w:tc>
        <w:tc>
          <w:tcPr>
            <w:tcW w:w="861" w:type="dxa"/>
            <w:vAlign w:val="center"/>
          </w:tcPr>
          <w:p w14:paraId="612FE00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40B31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685" w:type="dxa"/>
            <w:vAlign w:val="center"/>
          </w:tcPr>
          <w:p w14:paraId="757FEF3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480853D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63</w:t>
            </w:r>
          </w:p>
        </w:tc>
        <w:tc>
          <w:tcPr>
            <w:tcW w:w="1170" w:type="dxa"/>
            <w:vAlign w:val="center"/>
          </w:tcPr>
          <w:p w14:paraId="0285308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功能要求</w:t>
            </w:r>
          </w:p>
        </w:tc>
        <w:tc>
          <w:tcPr>
            <w:tcW w:w="1186" w:type="dxa"/>
            <w:vAlign w:val="center"/>
          </w:tcPr>
          <w:p w14:paraId="4AA47C1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整机功能</w:t>
            </w:r>
          </w:p>
        </w:tc>
        <w:tc>
          <w:tcPr>
            <w:tcW w:w="1199" w:type="dxa"/>
            <w:vAlign w:val="center"/>
          </w:tcPr>
          <w:p w14:paraId="2338992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其他功能</w:t>
            </w:r>
          </w:p>
        </w:tc>
        <w:tc>
          <w:tcPr>
            <w:tcW w:w="3807" w:type="dxa"/>
            <w:vAlign w:val="center"/>
          </w:tcPr>
          <w:p w14:paraId="4D57689F">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rPr>
              <w:t>/</w:t>
            </w:r>
          </w:p>
        </w:tc>
        <w:tc>
          <w:tcPr>
            <w:tcW w:w="861" w:type="dxa"/>
            <w:vAlign w:val="center"/>
          </w:tcPr>
          <w:p w14:paraId="2D55693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5FE9F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jc w:val="center"/>
        </w:trPr>
        <w:tc>
          <w:tcPr>
            <w:tcW w:w="685" w:type="dxa"/>
            <w:vAlign w:val="center"/>
          </w:tcPr>
          <w:p w14:paraId="324454D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0277262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64</w:t>
            </w:r>
          </w:p>
        </w:tc>
        <w:tc>
          <w:tcPr>
            <w:tcW w:w="1170" w:type="dxa"/>
            <w:vAlign w:val="center"/>
          </w:tcPr>
          <w:p w14:paraId="2FFF778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功能要求</w:t>
            </w:r>
          </w:p>
        </w:tc>
        <w:tc>
          <w:tcPr>
            <w:tcW w:w="1186" w:type="dxa"/>
            <w:vAlign w:val="center"/>
          </w:tcPr>
          <w:p w14:paraId="7699CD0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管理系统功能</w:t>
            </w:r>
          </w:p>
        </w:tc>
        <w:tc>
          <w:tcPr>
            <w:tcW w:w="1199" w:type="dxa"/>
            <w:vAlign w:val="center"/>
          </w:tcPr>
          <w:p w14:paraId="055AE1C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 xml:space="preserve">*BMC </w:t>
            </w:r>
            <w:r>
              <w:rPr>
                <w:rFonts w:ascii="仿宋_GB2312" w:hAnsi="微软雅黑" w:eastAsia="仿宋_GB2312" w:cs="微软雅黑"/>
                <w:color w:val="auto"/>
                <w:kern w:val="0"/>
                <w:sz w:val="28"/>
                <w:szCs w:val="28"/>
                <w:lang w:bidi="ar"/>
              </w:rPr>
              <w:t>固件基础功能</w:t>
            </w:r>
          </w:p>
        </w:tc>
        <w:tc>
          <w:tcPr>
            <w:tcW w:w="3807" w:type="dxa"/>
            <w:vAlign w:val="center"/>
          </w:tcPr>
          <w:p w14:paraId="0A955D1A">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1) 支持 DHCP 设置网络功能；</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2)支持静态 IP 设置网络功能；</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3)支持设备日志记录，包括但不限于登录日志、操作日志和报警日志等功能；</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4)支持日志信息导出和记录删除功能；</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5)支持通过管理接口向外输出准确的报警信息功能；</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6)设备的BMC 管理软件应能够按报警的严重程度进行区分；</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7)支持 IPMI2.0、SNMP 或 Redfish等接口功能；</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8)支持键盘、鼠标和视频的重定向、文本控制台的重定向、远程虚拟媒体、高可靠的硬件监控和管理功能；</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9)支持基于网络开启、关闭和重启设备的功能，并查询当前设备开机运行状态；</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10)支持故障提示功能，并可通过接口读取服务器故障信息；</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11)支持基于网络的固件更新功能，包括 BMC 和 BIOS 等；</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12)支持基于网络安装操作系统的功能，并可通过网络控制台访问设备；</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13)支持通过本地的硬盘或光驱等存储设备，基于网络完成设备的操作系统安装功能；</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14)支持通过浏览器打开管理界面并登录功能；</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15)支持设置口令策略功能；</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16)支持访问权限设置功能，并通过日志记录访问事件；</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17)支持对出厂默认的用户名及口令进行安全保护功能，并提供默认口令修改提示；</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18)支持读取设备主板的工作环境温度功能；</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19)支持读取服务器 CPU 等核心器件的温度功能；</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20)支持通过外部管理工具进行 BMC参数设置的功能，并可基于网络通过外部管理工具对 BMC 进行管理；</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21)应支持固件版本查询、固件升级</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22)支持基于网络实现开关机和复位控制的功能；</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23)BMC 启动时间应不超过 180s，实现功能包括网络、IPMI、散热、传感器服务可用；</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24)支持 BMC 固件设置的恢复出厂功能</w:t>
            </w:r>
          </w:p>
        </w:tc>
        <w:tc>
          <w:tcPr>
            <w:tcW w:w="861" w:type="dxa"/>
            <w:vAlign w:val="center"/>
          </w:tcPr>
          <w:p w14:paraId="1F2169F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6291B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85" w:type="dxa"/>
            <w:vAlign w:val="center"/>
          </w:tcPr>
          <w:p w14:paraId="2ED7ED7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　</w:t>
            </w:r>
          </w:p>
        </w:tc>
        <w:tc>
          <w:tcPr>
            <w:tcW w:w="623" w:type="dxa"/>
            <w:vAlign w:val="center"/>
          </w:tcPr>
          <w:p w14:paraId="2CBE0AE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65</w:t>
            </w:r>
          </w:p>
        </w:tc>
        <w:tc>
          <w:tcPr>
            <w:tcW w:w="1170" w:type="dxa"/>
            <w:vAlign w:val="center"/>
          </w:tcPr>
          <w:p w14:paraId="11B538D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功能要求</w:t>
            </w:r>
          </w:p>
        </w:tc>
        <w:tc>
          <w:tcPr>
            <w:tcW w:w="1186" w:type="dxa"/>
            <w:vAlign w:val="center"/>
          </w:tcPr>
          <w:p w14:paraId="7052E37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管理系统功能</w:t>
            </w:r>
          </w:p>
        </w:tc>
        <w:tc>
          <w:tcPr>
            <w:tcW w:w="1199" w:type="dxa"/>
            <w:vAlign w:val="center"/>
          </w:tcPr>
          <w:p w14:paraId="36EDA8D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 xml:space="preserve">BMC </w:t>
            </w:r>
            <w:r>
              <w:rPr>
                <w:rFonts w:ascii="仿宋_GB2312" w:hAnsi="微软雅黑" w:eastAsia="仿宋_GB2312" w:cs="微软雅黑"/>
                <w:color w:val="auto"/>
                <w:kern w:val="0"/>
                <w:sz w:val="28"/>
                <w:szCs w:val="28"/>
                <w:lang w:bidi="ar"/>
              </w:rPr>
              <w:t>固件增强功能</w:t>
            </w:r>
          </w:p>
        </w:tc>
        <w:tc>
          <w:tcPr>
            <w:tcW w:w="3807" w:type="dxa"/>
            <w:vAlign w:val="center"/>
          </w:tcPr>
          <w:p w14:paraId="56725089">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7A88863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2912C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2" w:hRule="atLeast"/>
          <w:jc w:val="center"/>
        </w:trPr>
        <w:tc>
          <w:tcPr>
            <w:tcW w:w="685" w:type="dxa"/>
            <w:vAlign w:val="center"/>
          </w:tcPr>
          <w:p w14:paraId="0BDDAC5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522A5B4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66</w:t>
            </w:r>
          </w:p>
        </w:tc>
        <w:tc>
          <w:tcPr>
            <w:tcW w:w="1170" w:type="dxa"/>
            <w:vAlign w:val="center"/>
          </w:tcPr>
          <w:p w14:paraId="3DFC976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功能要求</w:t>
            </w:r>
          </w:p>
        </w:tc>
        <w:tc>
          <w:tcPr>
            <w:tcW w:w="1186" w:type="dxa"/>
            <w:vAlign w:val="center"/>
          </w:tcPr>
          <w:p w14:paraId="1E49E1E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管理系统功能</w:t>
            </w:r>
          </w:p>
        </w:tc>
        <w:tc>
          <w:tcPr>
            <w:tcW w:w="1199" w:type="dxa"/>
            <w:vAlign w:val="center"/>
          </w:tcPr>
          <w:p w14:paraId="136C225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 xml:space="preserve">*BIOS </w:t>
            </w:r>
            <w:r>
              <w:rPr>
                <w:rFonts w:ascii="仿宋_GB2312" w:hAnsi="微软雅黑" w:eastAsia="仿宋_GB2312" w:cs="微软雅黑"/>
                <w:color w:val="auto"/>
                <w:kern w:val="0"/>
                <w:sz w:val="28"/>
                <w:szCs w:val="28"/>
                <w:lang w:bidi="ar"/>
              </w:rPr>
              <w:t>固件基础功能</w:t>
            </w:r>
          </w:p>
        </w:tc>
        <w:tc>
          <w:tcPr>
            <w:tcW w:w="3807" w:type="dxa"/>
            <w:vAlign w:val="center"/>
          </w:tcPr>
          <w:p w14:paraId="366DA7F7">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a）支持查看固件版本、内存信息、主板信息、处理器信息和系统时间信息功能；</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b）支持上电初始化界面显示 CPU 信息、内存信息、固件版本和部分快捷键信息功能；</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c）支持设置界面中英文显示切换功能；</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d）支持查看 PCIe 设备信息，SATA设备信息功能；</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e）支持操作系统安装和引导功能，应并向操作系统提供计算机主板信息和服务接口；</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f）支持设置启动顺序，并按照设置的启动顺序启动功能；</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g）支持安全启动功能；</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h）支持设置口令、修改口令、验证口令功能；</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i）支持板载显示控制或独立显卡的显示控制功能；</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j）支持 RAID 识别和启动功能；k）支持串口重定向功能；</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l）支持固件更新功能；</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m）支持BIOS 固件设置的恢复出厂功能；</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n）支持网络引导启用和关闭功能</w:t>
            </w:r>
          </w:p>
        </w:tc>
        <w:tc>
          <w:tcPr>
            <w:tcW w:w="861" w:type="dxa"/>
            <w:vAlign w:val="center"/>
          </w:tcPr>
          <w:p w14:paraId="27D1721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50B71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4F967A4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5ADEF99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67</w:t>
            </w:r>
          </w:p>
        </w:tc>
        <w:tc>
          <w:tcPr>
            <w:tcW w:w="1170" w:type="dxa"/>
            <w:vAlign w:val="center"/>
          </w:tcPr>
          <w:p w14:paraId="371B293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功能要求</w:t>
            </w:r>
          </w:p>
        </w:tc>
        <w:tc>
          <w:tcPr>
            <w:tcW w:w="1186" w:type="dxa"/>
            <w:vAlign w:val="center"/>
          </w:tcPr>
          <w:p w14:paraId="2808343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管理系统功能</w:t>
            </w:r>
          </w:p>
        </w:tc>
        <w:tc>
          <w:tcPr>
            <w:tcW w:w="1199" w:type="dxa"/>
            <w:vAlign w:val="center"/>
          </w:tcPr>
          <w:p w14:paraId="5DC8D02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远程控制</w:t>
            </w:r>
          </w:p>
        </w:tc>
        <w:tc>
          <w:tcPr>
            <w:tcW w:w="3807" w:type="dxa"/>
            <w:vAlign w:val="center"/>
          </w:tcPr>
          <w:p w14:paraId="7BE6CA73">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支持远程关机和重新启动功能</w:t>
            </w:r>
          </w:p>
        </w:tc>
        <w:tc>
          <w:tcPr>
            <w:tcW w:w="861" w:type="dxa"/>
            <w:vAlign w:val="center"/>
          </w:tcPr>
          <w:p w14:paraId="5FF18CE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4E894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1ABD76C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7181652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68</w:t>
            </w:r>
          </w:p>
        </w:tc>
        <w:tc>
          <w:tcPr>
            <w:tcW w:w="1170" w:type="dxa"/>
            <w:vAlign w:val="center"/>
          </w:tcPr>
          <w:p w14:paraId="0C12C5B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功能要求</w:t>
            </w:r>
          </w:p>
        </w:tc>
        <w:tc>
          <w:tcPr>
            <w:tcW w:w="1186" w:type="dxa"/>
            <w:vAlign w:val="center"/>
          </w:tcPr>
          <w:p w14:paraId="4736CB1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操作系统及驱动功能</w:t>
            </w:r>
          </w:p>
        </w:tc>
        <w:tc>
          <w:tcPr>
            <w:tcW w:w="1199" w:type="dxa"/>
            <w:vAlign w:val="center"/>
          </w:tcPr>
          <w:p w14:paraId="1C198573">
            <w:pPr>
              <w:adjustRightInd w:val="0"/>
              <w:snapToGrid w:val="0"/>
              <w:jc w:val="center"/>
              <w:textAlignment w:val="center"/>
              <w:rPr>
                <w:rFonts w:ascii="仿宋_GB2312" w:eastAsia="仿宋_GB2312" w:hAnsiTheme="minorEastAsia" w:cstheme="minorEastAsia"/>
                <w:color w:val="auto"/>
                <w:kern w:val="0"/>
                <w:sz w:val="28"/>
                <w:szCs w:val="28"/>
                <w:lang w:eastAsia="zh-CN" w:bidi="ar"/>
              </w:rPr>
            </w:pPr>
            <w:r>
              <w:rPr>
                <w:rFonts w:ascii="仿宋_GB2312" w:eastAsia="仿宋_GB2312" w:hAnsiTheme="minorEastAsia" w:cstheme="minorEastAsia"/>
                <w:color w:val="auto"/>
                <w:kern w:val="0"/>
                <w:sz w:val="28"/>
                <w:szCs w:val="28"/>
                <w:lang w:eastAsia="zh-CN" w:bidi="ar"/>
              </w:rPr>
              <w:t>*</w:t>
            </w:r>
            <w:r>
              <w:rPr>
                <w:rFonts w:ascii="仿宋_GB2312" w:hAnsi="微软雅黑" w:eastAsia="仿宋_GB2312" w:cs="微软雅黑"/>
                <w:color w:val="auto"/>
                <w:kern w:val="0"/>
                <w:sz w:val="28"/>
                <w:szCs w:val="28"/>
                <w:lang w:eastAsia="zh-CN" w:bidi="ar"/>
              </w:rPr>
              <w:t>操作系统及驱动的升级</w:t>
            </w:r>
          </w:p>
        </w:tc>
        <w:tc>
          <w:tcPr>
            <w:tcW w:w="3807" w:type="dxa"/>
            <w:vAlign w:val="center"/>
          </w:tcPr>
          <w:p w14:paraId="1A2155AF">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支持通过网络、闪存盘对操作系统、驱动进行升级</w:t>
            </w:r>
          </w:p>
        </w:tc>
        <w:tc>
          <w:tcPr>
            <w:tcW w:w="861" w:type="dxa"/>
            <w:vAlign w:val="center"/>
          </w:tcPr>
          <w:p w14:paraId="0BE0EA4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69C69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685" w:type="dxa"/>
            <w:vAlign w:val="center"/>
          </w:tcPr>
          <w:p w14:paraId="03DADED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7EA4864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69</w:t>
            </w:r>
          </w:p>
        </w:tc>
        <w:tc>
          <w:tcPr>
            <w:tcW w:w="1170" w:type="dxa"/>
            <w:vAlign w:val="center"/>
          </w:tcPr>
          <w:p w14:paraId="08C0EC6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功能要求</w:t>
            </w:r>
          </w:p>
        </w:tc>
        <w:tc>
          <w:tcPr>
            <w:tcW w:w="1186" w:type="dxa"/>
            <w:vAlign w:val="center"/>
          </w:tcPr>
          <w:p w14:paraId="6C3ACAC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操作系统及驱动功能</w:t>
            </w:r>
          </w:p>
        </w:tc>
        <w:tc>
          <w:tcPr>
            <w:tcW w:w="1199" w:type="dxa"/>
            <w:vAlign w:val="center"/>
          </w:tcPr>
          <w:p w14:paraId="2681B1BF">
            <w:pPr>
              <w:adjustRightInd w:val="0"/>
              <w:snapToGrid w:val="0"/>
              <w:jc w:val="center"/>
              <w:textAlignment w:val="center"/>
              <w:rPr>
                <w:rFonts w:ascii="仿宋_GB2312" w:eastAsia="仿宋_GB2312" w:hAnsiTheme="minorEastAsia" w:cstheme="minorEastAsia"/>
                <w:color w:val="auto"/>
                <w:kern w:val="0"/>
                <w:sz w:val="28"/>
                <w:szCs w:val="28"/>
                <w:lang w:eastAsia="zh-CN" w:bidi="ar"/>
              </w:rPr>
            </w:pPr>
            <w:r>
              <w:rPr>
                <w:rFonts w:ascii="仿宋_GB2312" w:hAnsi="微软雅黑" w:eastAsia="仿宋_GB2312" w:cs="微软雅黑"/>
                <w:color w:val="auto"/>
                <w:kern w:val="0"/>
                <w:sz w:val="28"/>
                <w:szCs w:val="28"/>
                <w:lang w:eastAsia="zh-CN" w:bidi="ar"/>
              </w:rPr>
              <w:t>操作系统及驱动的备份还原</w:t>
            </w:r>
          </w:p>
        </w:tc>
        <w:tc>
          <w:tcPr>
            <w:tcW w:w="3807" w:type="dxa"/>
            <w:vAlign w:val="center"/>
          </w:tcPr>
          <w:p w14:paraId="588CBFA2">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2AA07C2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7D530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685" w:type="dxa"/>
            <w:vAlign w:val="center"/>
          </w:tcPr>
          <w:p w14:paraId="035CD8E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1BF9719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70</w:t>
            </w:r>
          </w:p>
        </w:tc>
        <w:tc>
          <w:tcPr>
            <w:tcW w:w="1170" w:type="dxa"/>
            <w:vAlign w:val="center"/>
          </w:tcPr>
          <w:p w14:paraId="4B8710E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功能要求</w:t>
            </w:r>
          </w:p>
        </w:tc>
        <w:tc>
          <w:tcPr>
            <w:tcW w:w="1186" w:type="dxa"/>
            <w:vAlign w:val="center"/>
          </w:tcPr>
          <w:p w14:paraId="17A1765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操作系统及驱动功能</w:t>
            </w:r>
          </w:p>
        </w:tc>
        <w:tc>
          <w:tcPr>
            <w:tcW w:w="1199" w:type="dxa"/>
            <w:vAlign w:val="center"/>
          </w:tcPr>
          <w:p w14:paraId="2844E4E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操作系统功能</w:t>
            </w:r>
          </w:p>
        </w:tc>
        <w:tc>
          <w:tcPr>
            <w:tcW w:w="3807" w:type="dxa"/>
            <w:vAlign w:val="center"/>
          </w:tcPr>
          <w:p w14:paraId="760F60B0">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a) 支持访问控制、安全审计、网络接入鉴别等功能；</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b) 操作系统其他功能应满足操作系统政府采购需求标准中加*的指标要求</w:t>
            </w:r>
          </w:p>
        </w:tc>
        <w:tc>
          <w:tcPr>
            <w:tcW w:w="861" w:type="dxa"/>
            <w:vAlign w:val="center"/>
          </w:tcPr>
          <w:p w14:paraId="46FD452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68381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7655F38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5A6D6DD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71</w:t>
            </w:r>
          </w:p>
        </w:tc>
        <w:tc>
          <w:tcPr>
            <w:tcW w:w="1170" w:type="dxa"/>
            <w:vAlign w:val="center"/>
          </w:tcPr>
          <w:p w14:paraId="331AE60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功能要求</w:t>
            </w:r>
          </w:p>
        </w:tc>
        <w:tc>
          <w:tcPr>
            <w:tcW w:w="1186" w:type="dxa"/>
            <w:vAlign w:val="center"/>
          </w:tcPr>
          <w:p w14:paraId="29F7AB7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中文信息处理功能</w:t>
            </w:r>
          </w:p>
        </w:tc>
        <w:tc>
          <w:tcPr>
            <w:tcW w:w="1199" w:type="dxa"/>
            <w:vAlign w:val="center"/>
          </w:tcPr>
          <w:p w14:paraId="1D79663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中文信息处理</w:t>
            </w:r>
          </w:p>
        </w:tc>
        <w:tc>
          <w:tcPr>
            <w:tcW w:w="3807" w:type="dxa"/>
            <w:vAlign w:val="center"/>
          </w:tcPr>
          <w:p w14:paraId="55534D75">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符合 GB 18030 的有关规定</w:t>
            </w:r>
          </w:p>
        </w:tc>
        <w:tc>
          <w:tcPr>
            <w:tcW w:w="861" w:type="dxa"/>
            <w:vAlign w:val="center"/>
          </w:tcPr>
          <w:p w14:paraId="77CF568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728E6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4B20C41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4310771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72</w:t>
            </w:r>
          </w:p>
        </w:tc>
        <w:tc>
          <w:tcPr>
            <w:tcW w:w="1170" w:type="dxa"/>
            <w:vAlign w:val="center"/>
          </w:tcPr>
          <w:p w14:paraId="69B545B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功能要求</w:t>
            </w:r>
          </w:p>
        </w:tc>
        <w:tc>
          <w:tcPr>
            <w:tcW w:w="1186" w:type="dxa"/>
            <w:vAlign w:val="center"/>
          </w:tcPr>
          <w:p w14:paraId="6A400BD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机柜功能</w:t>
            </w:r>
          </w:p>
        </w:tc>
        <w:tc>
          <w:tcPr>
            <w:tcW w:w="1199" w:type="dxa"/>
            <w:vAlign w:val="center"/>
          </w:tcPr>
          <w:p w14:paraId="361418B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机柜管理功能</w:t>
            </w:r>
          </w:p>
        </w:tc>
        <w:tc>
          <w:tcPr>
            <w:tcW w:w="3807" w:type="dxa"/>
            <w:vAlign w:val="center"/>
          </w:tcPr>
          <w:p w14:paraId="3C041E5C">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050D840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10E8B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5C87D52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620853C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73</w:t>
            </w:r>
          </w:p>
        </w:tc>
        <w:tc>
          <w:tcPr>
            <w:tcW w:w="1170" w:type="dxa"/>
            <w:vAlign w:val="center"/>
          </w:tcPr>
          <w:p w14:paraId="74834F6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功能要求</w:t>
            </w:r>
          </w:p>
        </w:tc>
        <w:tc>
          <w:tcPr>
            <w:tcW w:w="1186" w:type="dxa"/>
            <w:vAlign w:val="center"/>
          </w:tcPr>
          <w:p w14:paraId="6C8B5A7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机柜功能</w:t>
            </w:r>
          </w:p>
        </w:tc>
        <w:tc>
          <w:tcPr>
            <w:tcW w:w="1199" w:type="dxa"/>
            <w:vAlign w:val="center"/>
          </w:tcPr>
          <w:p w14:paraId="391AA54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机柜通信方式</w:t>
            </w:r>
          </w:p>
        </w:tc>
        <w:tc>
          <w:tcPr>
            <w:tcW w:w="3807" w:type="dxa"/>
            <w:vAlign w:val="center"/>
          </w:tcPr>
          <w:p w14:paraId="4E428B99">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69F2566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7CC2D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4A35AE6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086FB6E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74</w:t>
            </w:r>
          </w:p>
        </w:tc>
        <w:tc>
          <w:tcPr>
            <w:tcW w:w="1170" w:type="dxa"/>
            <w:vAlign w:val="center"/>
          </w:tcPr>
          <w:p w14:paraId="40C8727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功能要求</w:t>
            </w:r>
          </w:p>
        </w:tc>
        <w:tc>
          <w:tcPr>
            <w:tcW w:w="1186" w:type="dxa"/>
            <w:vAlign w:val="center"/>
          </w:tcPr>
          <w:p w14:paraId="64DC220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机柜功能</w:t>
            </w:r>
          </w:p>
        </w:tc>
        <w:tc>
          <w:tcPr>
            <w:tcW w:w="1199" w:type="dxa"/>
            <w:vAlign w:val="center"/>
          </w:tcPr>
          <w:p w14:paraId="6C1389B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多集群作业管理</w:t>
            </w:r>
          </w:p>
        </w:tc>
        <w:tc>
          <w:tcPr>
            <w:tcW w:w="3807" w:type="dxa"/>
            <w:vAlign w:val="center"/>
          </w:tcPr>
          <w:p w14:paraId="449628E3">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4FAB615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21135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59FA295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6D107DD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75</w:t>
            </w:r>
          </w:p>
        </w:tc>
        <w:tc>
          <w:tcPr>
            <w:tcW w:w="1170" w:type="dxa"/>
            <w:vAlign w:val="center"/>
          </w:tcPr>
          <w:p w14:paraId="2CB78FE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安全要求</w:t>
            </w:r>
          </w:p>
        </w:tc>
        <w:tc>
          <w:tcPr>
            <w:tcW w:w="1186" w:type="dxa"/>
            <w:vAlign w:val="center"/>
          </w:tcPr>
          <w:p w14:paraId="19181D6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关键部件安全要求</w:t>
            </w:r>
          </w:p>
        </w:tc>
        <w:tc>
          <w:tcPr>
            <w:tcW w:w="1199" w:type="dxa"/>
            <w:vAlign w:val="center"/>
          </w:tcPr>
          <w:p w14:paraId="4D2DEB9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关键部件安全要求</w:t>
            </w:r>
            <w:r>
              <w:rPr>
                <w:rFonts w:ascii="仿宋_GB2312" w:eastAsia="仿宋_GB2312" w:hAnsiTheme="minorEastAsia" w:cstheme="minorEastAsia"/>
                <w:color w:val="auto"/>
                <w:kern w:val="0"/>
                <w:sz w:val="28"/>
                <w:szCs w:val="28"/>
                <w:lang w:bidi="ar"/>
              </w:rPr>
              <w:t>3</w:t>
            </w:r>
          </w:p>
        </w:tc>
        <w:tc>
          <w:tcPr>
            <w:tcW w:w="3807" w:type="dxa"/>
            <w:vAlign w:val="center"/>
          </w:tcPr>
          <w:p w14:paraId="75B4BA07">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3151902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19A8C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7CFB8B2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591675C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76</w:t>
            </w:r>
          </w:p>
        </w:tc>
        <w:tc>
          <w:tcPr>
            <w:tcW w:w="1170" w:type="dxa"/>
            <w:vAlign w:val="center"/>
          </w:tcPr>
          <w:p w14:paraId="4DB1B4C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安全要求</w:t>
            </w:r>
          </w:p>
        </w:tc>
        <w:tc>
          <w:tcPr>
            <w:tcW w:w="1186" w:type="dxa"/>
            <w:vAlign w:val="center"/>
          </w:tcPr>
          <w:p w14:paraId="357018F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固件安全要求</w:t>
            </w:r>
          </w:p>
        </w:tc>
        <w:tc>
          <w:tcPr>
            <w:tcW w:w="1199" w:type="dxa"/>
            <w:vAlign w:val="center"/>
          </w:tcPr>
          <w:p w14:paraId="2879C4A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故障检测</w:t>
            </w:r>
          </w:p>
        </w:tc>
        <w:tc>
          <w:tcPr>
            <w:tcW w:w="3807" w:type="dxa"/>
            <w:vAlign w:val="center"/>
          </w:tcPr>
          <w:p w14:paraId="627ABC45">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支持故障检测功能，可以检测到具体的 FRU（内存、硬盘等）的故障并发出告警</w:t>
            </w:r>
          </w:p>
        </w:tc>
        <w:tc>
          <w:tcPr>
            <w:tcW w:w="861" w:type="dxa"/>
            <w:vAlign w:val="center"/>
          </w:tcPr>
          <w:p w14:paraId="19958F5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28411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7A2CA82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1E3AFE0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77</w:t>
            </w:r>
          </w:p>
        </w:tc>
        <w:tc>
          <w:tcPr>
            <w:tcW w:w="1170" w:type="dxa"/>
            <w:vAlign w:val="center"/>
          </w:tcPr>
          <w:p w14:paraId="582F950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安全要求</w:t>
            </w:r>
          </w:p>
        </w:tc>
        <w:tc>
          <w:tcPr>
            <w:tcW w:w="1186" w:type="dxa"/>
            <w:vAlign w:val="center"/>
          </w:tcPr>
          <w:p w14:paraId="3475028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固件安全要求</w:t>
            </w:r>
          </w:p>
        </w:tc>
        <w:tc>
          <w:tcPr>
            <w:tcW w:w="1199" w:type="dxa"/>
            <w:vAlign w:val="center"/>
          </w:tcPr>
          <w:p w14:paraId="07EE34AF">
            <w:pPr>
              <w:adjustRightInd w:val="0"/>
              <w:snapToGrid w:val="0"/>
              <w:jc w:val="center"/>
              <w:textAlignment w:val="center"/>
              <w:rPr>
                <w:rFonts w:ascii="仿宋_GB2312" w:eastAsia="仿宋_GB2312" w:hAnsiTheme="minorEastAsia" w:cstheme="minorEastAsia"/>
                <w:color w:val="auto"/>
                <w:kern w:val="0"/>
                <w:sz w:val="28"/>
                <w:szCs w:val="28"/>
                <w:lang w:eastAsia="zh-CN" w:bidi="ar"/>
              </w:rPr>
            </w:pPr>
            <w:r>
              <w:rPr>
                <w:rFonts w:ascii="仿宋_GB2312" w:hAnsi="微软雅黑" w:eastAsia="仿宋_GB2312" w:cs="微软雅黑"/>
                <w:color w:val="auto"/>
                <w:kern w:val="0"/>
                <w:sz w:val="28"/>
                <w:szCs w:val="28"/>
                <w:lang w:eastAsia="zh-CN" w:bidi="ar"/>
              </w:rPr>
              <w:t>内存故障智能预测和自愈修复</w:t>
            </w:r>
          </w:p>
        </w:tc>
        <w:tc>
          <w:tcPr>
            <w:tcW w:w="3807" w:type="dxa"/>
            <w:vAlign w:val="center"/>
          </w:tcPr>
          <w:p w14:paraId="5867CFED">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21A0935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495D2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63C4C5D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0EE596C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78</w:t>
            </w:r>
          </w:p>
        </w:tc>
        <w:tc>
          <w:tcPr>
            <w:tcW w:w="1170" w:type="dxa"/>
            <w:vAlign w:val="center"/>
          </w:tcPr>
          <w:p w14:paraId="18D61E7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安全要求</w:t>
            </w:r>
          </w:p>
        </w:tc>
        <w:tc>
          <w:tcPr>
            <w:tcW w:w="1186" w:type="dxa"/>
            <w:vAlign w:val="center"/>
          </w:tcPr>
          <w:p w14:paraId="695AC03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固件安全要求</w:t>
            </w:r>
          </w:p>
        </w:tc>
        <w:tc>
          <w:tcPr>
            <w:tcW w:w="1199" w:type="dxa"/>
            <w:vAlign w:val="center"/>
          </w:tcPr>
          <w:p w14:paraId="598C34A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硬盘故障智能预测</w:t>
            </w:r>
          </w:p>
        </w:tc>
        <w:tc>
          <w:tcPr>
            <w:tcW w:w="3807" w:type="dxa"/>
            <w:vAlign w:val="center"/>
          </w:tcPr>
          <w:p w14:paraId="72CBBEA1">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0D5D24E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56B00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16008D5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2E3B2A1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79</w:t>
            </w:r>
          </w:p>
        </w:tc>
        <w:tc>
          <w:tcPr>
            <w:tcW w:w="1170" w:type="dxa"/>
            <w:vAlign w:val="center"/>
          </w:tcPr>
          <w:p w14:paraId="2ECA3B8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安全要求</w:t>
            </w:r>
          </w:p>
        </w:tc>
        <w:tc>
          <w:tcPr>
            <w:tcW w:w="1186" w:type="dxa"/>
            <w:vAlign w:val="center"/>
          </w:tcPr>
          <w:p w14:paraId="1F5B547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固件安全要求</w:t>
            </w:r>
          </w:p>
        </w:tc>
        <w:tc>
          <w:tcPr>
            <w:tcW w:w="1199" w:type="dxa"/>
            <w:vAlign w:val="center"/>
          </w:tcPr>
          <w:p w14:paraId="0DC4DEBC">
            <w:pPr>
              <w:adjustRightInd w:val="0"/>
              <w:snapToGrid w:val="0"/>
              <w:jc w:val="center"/>
              <w:textAlignment w:val="center"/>
              <w:rPr>
                <w:rFonts w:ascii="仿宋_GB2312" w:eastAsia="仿宋_GB2312" w:hAnsiTheme="minorEastAsia" w:cstheme="minorEastAsia"/>
                <w:color w:val="auto"/>
                <w:kern w:val="0"/>
                <w:sz w:val="28"/>
                <w:szCs w:val="28"/>
                <w:lang w:eastAsia="zh-CN" w:bidi="ar"/>
              </w:rPr>
            </w:pPr>
            <w:r>
              <w:rPr>
                <w:rFonts w:ascii="仿宋_GB2312" w:eastAsia="仿宋_GB2312" w:hAnsiTheme="minorEastAsia" w:cstheme="minorEastAsia"/>
                <w:color w:val="auto"/>
                <w:kern w:val="0"/>
                <w:sz w:val="28"/>
                <w:szCs w:val="28"/>
                <w:lang w:eastAsia="zh-CN" w:bidi="ar"/>
              </w:rPr>
              <w:t xml:space="preserve">PCIe </w:t>
            </w:r>
            <w:r>
              <w:rPr>
                <w:rFonts w:ascii="仿宋_GB2312" w:hAnsi="微软雅黑" w:eastAsia="仿宋_GB2312" w:cs="微软雅黑"/>
                <w:color w:val="auto"/>
                <w:kern w:val="0"/>
                <w:sz w:val="28"/>
                <w:szCs w:val="28"/>
                <w:lang w:eastAsia="zh-CN" w:bidi="ar"/>
              </w:rPr>
              <w:t>链路故障智能诊断</w:t>
            </w:r>
          </w:p>
        </w:tc>
        <w:tc>
          <w:tcPr>
            <w:tcW w:w="3807" w:type="dxa"/>
            <w:vAlign w:val="center"/>
          </w:tcPr>
          <w:p w14:paraId="54A182ED">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5328938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0ACEE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3AB5A0C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64E5375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80</w:t>
            </w:r>
          </w:p>
        </w:tc>
        <w:tc>
          <w:tcPr>
            <w:tcW w:w="1170" w:type="dxa"/>
            <w:vAlign w:val="center"/>
          </w:tcPr>
          <w:p w14:paraId="488846D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安全要求</w:t>
            </w:r>
          </w:p>
        </w:tc>
        <w:tc>
          <w:tcPr>
            <w:tcW w:w="1186" w:type="dxa"/>
            <w:vAlign w:val="center"/>
          </w:tcPr>
          <w:p w14:paraId="2F1372B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固件安全要求</w:t>
            </w:r>
          </w:p>
        </w:tc>
        <w:tc>
          <w:tcPr>
            <w:tcW w:w="1199" w:type="dxa"/>
            <w:vAlign w:val="center"/>
          </w:tcPr>
          <w:p w14:paraId="1824959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内存故障隔离</w:t>
            </w:r>
          </w:p>
        </w:tc>
        <w:tc>
          <w:tcPr>
            <w:tcW w:w="3807" w:type="dxa"/>
            <w:vAlign w:val="center"/>
          </w:tcPr>
          <w:p w14:paraId="4E8AD9A1">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3FCBDC4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2EE19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3E2CE8E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5BF01B5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81</w:t>
            </w:r>
          </w:p>
        </w:tc>
        <w:tc>
          <w:tcPr>
            <w:tcW w:w="1170" w:type="dxa"/>
            <w:vAlign w:val="center"/>
          </w:tcPr>
          <w:p w14:paraId="2554E91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安全要求</w:t>
            </w:r>
          </w:p>
        </w:tc>
        <w:tc>
          <w:tcPr>
            <w:tcW w:w="1186" w:type="dxa"/>
            <w:vAlign w:val="center"/>
          </w:tcPr>
          <w:p w14:paraId="457FCC9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固件安全要求</w:t>
            </w:r>
          </w:p>
        </w:tc>
        <w:tc>
          <w:tcPr>
            <w:tcW w:w="1199" w:type="dxa"/>
            <w:vAlign w:val="center"/>
          </w:tcPr>
          <w:p w14:paraId="52D8622B">
            <w:pPr>
              <w:adjustRightInd w:val="0"/>
              <w:snapToGrid w:val="0"/>
              <w:jc w:val="center"/>
              <w:textAlignment w:val="center"/>
              <w:rPr>
                <w:rFonts w:ascii="仿宋_GB2312" w:eastAsia="仿宋_GB2312" w:hAnsiTheme="minorEastAsia" w:cstheme="minorEastAsia"/>
                <w:color w:val="auto"/>
                <w:kern w:val="0"/>
                <w:sz w:val="28"/>
                <w:szCs w:val="28"/>
                <w:lang w:eastAsia="zh-CN" w:bidi="ar"/>
              </w:rPr>
            </w:pPr>
            <w:r>
              <w:rPr>
                <w:rFonts w:ascii="仿宋_GB2312" w:hAnsi="微软雅黑" w:eastAsia="仿宋_GB2312" w:cs="微软雅黑"/>
                <w:color w:val="auto"/>
                <w:kern w:val="0"/>
                <w:sz w:val="28"/>
                <w:szCs w:val="28"/>
                <w:lang w:eastAsia="zh-CN" w:bidi="ar"/>
              </w:rPr>
              <w:t>内存</w:t>
            </w:r>
            <w:r>
              <w:rPr>
                <w:rFonts w:ascii="仿宋_GB2312" w:hAnsi="Malgun Gothic Semilight" w:eastAsia="仿宋_GB2312" w:cs="Malgun Gothic Semilight"/>
                <w:color w:val="auto"/>
                <w:kern w:val="0"/>
                <w:sz w:val="28"/>
                <w:szCs w:val="28"/>
                <w:lang w:eastAsia="zh-CN" w:bidi="ar"/>
              </w:rPr>
              <w:t>、</w:t>
            </w:r>
            <w:r>
              <w:rPr>
                <w:rFonts w:ascii="仿宋_GB2312" w:eastAsia="仿宋_GB2312" w:hAnsiTheme="minorEastAsia" w:cstheme="minorEastAsia"/>
                <w:color w:val="auto"/>
                <w:kern w:val="0"/>
                <w:sz w:val="28"/>
                <w:szCs w:val="28"/>
                <w:lang w:eastAsia="zh-CN" w:bidi="ar"/>
              </w:rPr>
              <w:t>PCIe</w:t>
            </w:r>
            <w:r>
              <w:rPr>
                <w:rFonts w:ascii="仿宋_GB2312" w:hAnsi="微软雅黑" w:eastAsia="仿宋_GB2312" w:cs="微软雅黑"/>
                <w:color w:val="auto"/>
                <w:kern w:val="0"/>
                <w:sz w:val="28"/>
                <w:szCs w:val="28"/>
                <w:lang w:eastAsia="zh-CN" w:bidi="ar"/>
              </w:rPr>
              <w:t>卡的故障精准告警功能</w:t>
            </w:r>
          </w:p>
        </w:tc>
        <w:tc>
          <w:tcPr>
            <w:tcW w:w="3807" w:type="dxa"/>
            <w:vAlign w:val="center"/>
          </w:tcPr>
          <w:p w14:paraId="523AF6FE">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3B22534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6B99D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209B365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7D80FA6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82</w:t>
            </w:r>
          </w:p>
        </w:tc>
        <w:tc>
          <w:tcPr>
            <w:tcW w:w="1170" w:type="dxa"/>
            <w:vAlign w:val="center"/>
          </w:tcPr>
          <w:p w14:paraId="5812335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安全要求</w:t>
            </w:r>
          </w:p>
        </w:tc>
        <w:tc>
          <w:tcPr>
            <w:tcW w:w="1186" w:type="dxa"/>
            <w:vAlign w:val="center"/>
          </w:tcPr>
          <w:p w14:paraId="4D48F4E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固件安全要求</w:t>
            </w:r>
          </w:p>
        </w:tc>
        <w:tc>
          <w:tcPr>
            <w:tcW w:w="1199" w:type="dxa"/>
            <w:vAlign w:val="center"/>
          </w:tcPr>
          <w:p w14:paraId="02E87A19">
            <w:pPr>
              <w:adjustRightInd w:val="0"/>
              <w:snapToGrid w:val="0"/>
              <w:jc w:val="center"/>
              <w:textAlignment w:val="center"/>
              <w:rPr>
                <w:rFonts w:ascii="仿宋_GB2312" w:eastAsia="仿宋_GB2312" w:hAnsiTheme="minorEastAsia" w:cstheme="minorEastAsia"/>
                <w:color w:val="auto"/>
                <w:kern w:val="0"/>
                <w:sz w:val="28"/>
                <w:szCs w:val="28"/>
                <w:lang w:eastAsia="zh-CN" w:bidi="ar"/>
              </w:rPr>
            </w:pPr>
            <w:r>
              <w:rPr>
                <w:rFonts w:ascii="仿宋_GB2312" w:hAnsi="微软雅黑" w:eastAsia="仿宋_GB2312" w:cs="微软雅黑"/>
                <w:color w:val="auto"/>
                <w:kern w:val="0"/>
                <w:sz w:val="28"/>
                <w:szCs w:val="28"/>
                <w:lang w:eastAsia="zh-CN" w:bidi="ar"/>
              </w:rPr>
              <w:t>异常下电关键数据保护</w:t>
            </w:r>
          </w:p>
        </w:tc>
        <w:tc>
          <w:tcPr>
            <w:tcW w:w="3807" w:type="dxa"/>
            <w:vAlign w:val="center"/>
          </w:tcPr>
          <w:p w14:paraId="2BA0B054">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4E99568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24641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08B3ABF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6FD8275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83</w:t>
            </w:r>
          </w:p>
        </w:tc>
        <w:tc>
          <w:tcPr>
            <w:tcW w:w="1170" w:type="dxa"/>
            <w:vAlign w:val="center"/>
          </w:tcPr>
          <w:p w14:paraId="52696EC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安全要求</w:t>
            </w:r>
          </w:p>
        </w:tc>
        <w:tc>
          <w:tcPr>
            <w:tcW w:w="1186" w:type="dxa"/>
            <w:vAlign w:val="center"/>
          </w:tcPr>
          <w:p w14:paraId="31CB70A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固件安全要求</w:t>
            </w:r>
          </w:p>
        </w:tc>
        <w:tc>
          <w:tcPr>
            <w:tcW w:w="1199" w:type="dxa"/>
            <w:vAlign w:val="center"/>
          </w:tcPr>
          <w:p w14:paraId="64AE9960">
            <w:pPr>
              <w:adjustRightInd w:val="0"/>
              <w:snapToGrid w:val="0"/>
              <w:jc w:val="center"/>
              <w:textAlignment w:val="center"/>
              <w:rPr>
                <w:rFonts w:ascii="仿宋_GB2312" w:eastAsia="仿宋_GB2312" w:hAnsiTheme="minorEastAsia" w:cstheme="minorEastAsia"/>
                <w:color w:val="auto"/>
                <w:kern w:val="0"/>
                <w:sz w:val="28"/>
                <w:szCs w:val="28"/>
                <w:lang w:eastAsia="zh-CN" w:bidi="ar"/>
              </w:rPr>
            </w:pPr>
            <w:r>
              <w:rPr>
                <w:rFonts w:ascii="仿宋_GB2312" w:eastAsia="仿宋_GB2312" w:hAnsiTheme="minorEastAsia" w:cstheme="minorEastAsia"/>
                <w:color w:val="auto"/>
                <w:kern w:val="0"/>
                <w:sz w:val="28"/>
                <w:szCs w:val="28"/>
                <w:lang w:eastAsia="zh-CN" w:bidi="ar"/>
              </w:rPr>
              <w:t>BMC/BIOS</w:t>
            </w:r>
            <w:r>
              <w:rPr>
                <w:rFonts w:ascii="仿宋_GB2312" w:hAnsi="微软雅黑" w:eastAsia="仿宋_GB2312" w:cs="微软雅黑"/>
                <w:color w:val="auto"/>
                <w:kern w:val="0"/>
                <w:sz w:val="28"/>
                <w:szCs w:val="28"/>
                <w:lang w:eastAsia="zh-CN" w:bidi="ar"/>
              </w:rPr>
              <w:t>固件双镜像保护</w:t>
            </w:r>
          </w:p>
        </w:tc>
        <w:tc>
          <w:tcPr>
            <w:tcW w:w="3807" w:type="dxa"/>
            <w:vAlign w:val="center"/>
          </w:tcPr>
          <w:p w14:paraId="193EF3BC">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1F19307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332FD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2F69883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7E9C179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84</w:t>
            </w:r>
          </w:p>
        </w:tc>
        <w:tc>
          <w:tcPr>
            <w:tcW w:w="1170" w:type="dxa"/>
            <w:vAlign w:val="center"/>
          </w:tcPr>
          <w:p w14:paraId="454326F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安全要求</w:t>
            </w:r>
          </w:p>
        </w:tc>
        <w:tc>
          <w:tcPr>
            <w:tcW w:w="1186" w:type="dxa"/>
            <w:vAlign w:val="center"/>
          </w:tcPr>
          <w:p w14:paraId="3C39F93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固件安全要求</w:t>
            </w:r>
          </w:p>
        </w:tc>
        <w:tc>
          <w:tcPr>
            <w:tcW w:w="1199" w:type="dxa"/>
            <w:vAlign w:val="center"/>
          </w:tcPr>
          <w:p w14:paraId="171B858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 xml:space="preserve">CPU </w:t>
            </w:r>
            <w:r>
              <w:rPr>
                <w:rFonts w:ascii="仿宋_GB2312" w:hAnsi="微软雅黑" w:eastAsia="仿宋_GB2312" w:cs="微软雅黑"/>
                <w:color w:val="auto"/>
                <w:kern w:val="0"/>
                <w:sz w:val="28"/>
                <w:szCs w:val="28"/>
                <w:lang w:bidi="ar"/>
              </w:rPr>
              <w:t>核重启隔离</w:t>
            </w:r>
          </w:p>
        </w:tc>
        <w:tc>
          <w:tcPr>
            <w:tcW w:w="3807" w:type="dxa"/>
            <w:vAlign w:val="center"/>
          </w:tcPr>
          <w:p w14:paraId="15DD98BB">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713902D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0A432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4E31FDE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6EE6D9C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85</w:t>
            </w:r>
          </w:p>
        </w:tc>
        <w:tc>
          <w:tcPr>
            <w:tcW w:w="1170" w:type="dxa"/>
            <w:vAlign w:val="center"/>
          </w:tcPr>
          <w:p w14:paraId="293D134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安全要求</w:t>
            </w:r>
          </w:p>
        </w:tc>
        <w:tc>
          <w:tcPr>
            <w:tcW w:w="1186" w:type="dxa"/>
            <w:vAlign w:val="center"/>
          </w:tcPr>
          <w:p w14:paraId="2719C4B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固件安全要求</w:t>
            </w:r>
          </w:p>
        </w:tc>
        <w:tc>
          <w:tcPr>
            <w:tcW w:w="1199" w:type="dxa"/>
            <w:vAlign w:val="center"/>
          </w:tcPr>
          <w:p w14:paraId="229B86B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内存地址隔离</w:t>
            </w:r>
          </w:p>
        </w:tc>
        <w:tc>
          <w:tcPr>
            <w:tcW w:w="3807" w:type="dxa"/>
            <w:vAlign w:val="center"/>
          </w:tcPr>
          <w:p w14:paraId="438C71E6">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7DFA66B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0E775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4DFC251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5D28A1F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86</w:t>
            </w:r>
          </w:p>
        </w:tc>
        <w:tc>
          <w:tcPr>
            <w:tcW w:w="1170" w:type="dxa"/>
            <w:vAlign w:val="center"/>
          </w:tcPr>
          <w:p w14:paraId="7AD9CE0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安全要求</w:t>
            </w:r>
          </w:p>
        </w:tc>
        <w:tc>
          <w:tcPr>
            <w:tcW w:w="1186" w:type="dxa"/>
            <w:vAlign w:val="center"/>
          </w:tcPr>
          <w:p w14:paraId="10C0D75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固件安全要求</w:t>
            </w:r>
          </w:p>
        </w:tc>
        <w:tc>
          <w:tcPr>
            <w:tcW w:w="1199" w:type="dxa"/>
            <w:vAlign w:val="center"/>
          </w:tcPr>
          <w:p w14:paraId="511178C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内存存储阵列替换</w:t>
            </w:r>
          </w:p>
        </w:tc>
        <w:tc>
          <w:tcPr>
            <w:tcW w:w="3807" w:type="dxa"/>
            <w:vAlign w:val="center"/>
          </w:tcPr>
          <w:p w14:paraId="265313CE">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5C2B917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22E81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13C80D7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7CB9FB7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87</w:t>
            </w:r>
          </w:p>
        </w:tc>
        <w:tc>
          <w:tcPr>
            <w:tcW w:w="1170" w:type="dxa"/>
            <w:vAlign w:val="center"/>
          </w:tcPr>
          <w:p w14:paraId="05F06DD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安全要求</w:t>
            </w:r>
          </w:p>
        </w:tc>
        <w:tc>
          <w:tcPr>
            <w:tcW w:w="1186" w:type="dxa"/>
            <w:vAlign w:val="center"/>
          </w:tcPr>
          <w:p w14:paraId="73B22C0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固件安全要求</w:t>
            </w:r>
          </w:p>
        </w:tc>
        <w:tc>
          <w:tcPr>
            <w:tcW w:w="1199" w:type="dxa"/>
            <w:vAlign w:val="center"/>
          </w:tcPr>
          <w:p w14:paraId="154F72A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安全启动</w:t>
            </w:r>
          </w:p>
        </w:tc>
        <w:tc>
          <w:tcPr>
            <w:tcW w:w="3807" w:type="dxa"/>
            <w:vAlign w:val="center"/>
          </w:tcPr>
          <w:p w14:paraId="23EEBC1A">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18B2EAD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195C5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3D1B338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5794D43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88</w:t>
            </w:r>
          </w:p>
        </w:tc>
        <w:tc>
          <w:tcPr>
            <w:tcW w:w="1170" w:type="dxa"/>
            <w:vAlign w:val="center"/>
          </w:tcPr>
          <w:p w14:paraId="039E9D8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安全要求</w:t>
            </w:r>
          </w:p>
        </w:tc>
        <w:tc>
          <w:tcPr>
            <w:tcW w:w="1186" w:type="dxa"/>
            <w:vAlign w:val="center"/>
          </w:tcPr>
          <w:p w14:paraId="770DD91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系统安全要求</w:t>
            </w:r>
          </w:p>
        </w:tc>
        <w:tc>
          <w:tcPr>
            <w:tcW w:w="1199" w:type="dxa"/>
            <w:vAlign w:val="center"/>
          </w:tcPr>
          <w:p w14:paraId="694E6F7E">
            <w:pPr>
              <w:adjustRightInd w:val="0"/>
              <w:snapToGrid w:val="0"/>
              <w:jc w:val="center"/>
              <w:textAlignment w:val="center"/>
              <w:rPr>
                <w:rFonts w:ascii="仿宋_GB2312" w:eastAsia="仿宋_GB2312" w:hAnsiTheme="minorEastAsia" w:cstheme="minorEastAsia"/>
                <w:color w:val="auto"/>
                <w:kern w:val="0"/>
                <w:sz w:val="28"/>
                <w:szCs w:val="28"/>
                <w:lang w:eastAsia="zh-CN" w:bidi="ar"/>
              </w:rPr>
            </w:pPr>
            <w:r>
              <w:rPr>
                <w:rFonts w:ascii="仿宋_GB2312" w:eastAsia="仿宋_GB2312" w:hAnsiTheme="minorEastAsia" w:cstheme="minorEastAsia"/>
                <w:color w:val="auto"/>
                <w:kern w:val="0"/>
                <w:sz w:val="28"/>
                <w:szCs w:val="28"/>
                <w:lang w:eastAsia="zh-CN" w:bidi="ar"/>
              </w:rPr>
              <w:t xml:space="preserve">syslog </w:t>
            </w:r>
            <w:r>
              <w:rPr>
                <w:rFonts w:ascii="仿宋_GB2312" w:hAnsi="微软雅黑" w:eastAsia="仿宋_GB2312" w:cs="微软雅黑"/>
                <w:color w:val="auto"/>
                <w:kern w:val="0"/>
                <w:sz w:val="28"/>
                <w:szCs w:val="28"/>
                <w:lang w:eastAsia="zh-CN" w:bidi="ar"/>
              </w:rPr>
              <w:t>双向鉴别</w:t>
            </w:r>
          </w:p>
        </w:tc>
        <w:tc>
          <w:tcPr>
            <w:tcW w:w="3807" w:type="dxa"/>
            <w:vAlign w:val="center"/>
          </w:tcPr>
          <w:p w14:paraId="011825B2">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166AC6E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42226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0647B6A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0835C1A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89</w:t>
            </w:r>
          </w:p>
        </w:tc>
        <w:tc>
          <w:tcPr>
            <w:tcW w:w="1170" w:type="dxa"/>
            <w:vAlign w:val="center"/>
          </w:tcPr>
          <w:p w14:paraId="1153C5C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安全要求</w:t>
            </w:r>
          </w:p>
        </w:tc>
        <w:tc>
          <w:tcPr>
            <w:tcW w:w="1186" w:type="dxa"/>
            <w:vAlign w:val="center"/>
          </w:tcPr>
          <w:p w14:paraId="55D64C4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系统安全要求</w:t>
            </w:r>
          </w:p>
        </w:tc>
        <w:tc>
          <w:tcPr>
            <w:tcW w:w="1199" w:type="dxa"/>
            <w:vAlign w:val="center"/>
          </w:tcPr>
          <w:p w14:paraId="193902B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弱口令字典检查</w:t>
            </w:r>
          </w:p>
        </w:tc>
        <w:tc>
          <w:tcPr>
            <w:tcW w:w="3807" w:type="dxa"/>
            <w:vAlign w:val="center"/>
          </w:tcPr>
          <w:p w14:paraId="3B2B04FF">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支持弱口令字典检查功能，出现在弱口令字典中的字符串不能被设置为用户口令</w:t>
            </w:r>
          </w:p>
        </w:tc>
        <w:tc>
          <w:tcPr>
            <w:tcW w:w="861" w:type="dxa"/>
            <w:vAlign w:val="center"/>
          </w:tcPr>
          <w:p w14:paraId="7C6B798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08A9D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3BEB3EA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4ACE646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90</w:t>
            </w:r>
          </w:p>
        </w:tc>
        <w:tc>
          <w:tcPr>
            <w:tcW w:w="1170" w:type="dxa"/>
            <w:vAlign w:val="center"/>
          </w:tcPr>
          <w:p w14:paraId="6AEDB86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安全要求</w:t>
            </w:r>
          </w:p>
        </w:tc>
        <w:tc>
          <w:tcPr>
            <w:tcW w:w="1186" w:type="dxa"/>
            <w:vAlign w:val="center"/>
          </w:tcPr>
          <w:p w14:paraId="3CC9099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系统安全要求</w:t>
            </w:r>
          </w:p>
        </w:tc>
        <w:tc>
          <w:tcPr>
            <w:tcW w:w="1199" w:type="dxa"/>
            <w:vAlign w:val="center"/>
          </w:tcPr>
          <w:p w14:paraId="0782819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白名单访问控制</w:t>
            </w:r>
          </w:p>
        </w:tc>
        <w:tc>
          <w:tcPr>
            <w:tcW w:w="3807" w:type="dxa"/>
            <w:vAlign w:val="center"/>
          </w:tcPr>
          <w:p w14:paraId="34B312A4">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支持基于时间、IP 或 MAC 白名单访问控制</w:t>
            </w:r>
          </w:p>
        </w:tc>
        <w:tc>
          <w:tcPr>
            <w:tcW w:w="861" w:type="dxa"/>
            <w:vAlign w:val="center"/>
          </w:tcPr>
          <w:p w14:paraId="54DEF6A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0E799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76A3ABF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000986A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91</w:t>
            </w:r>
          </w:p>
        </w:tc>
        <w:tc>
          <w:tcPr>
            <w:tcW w:w="1170" w:type="dxa"/>
            <w:vAlign w:val="center"/>
          </w:tcPr>
          <w:p w14:paraId="087FF08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安全要求</w:t>
            </w:r>
          </w:p>
        </w:tc>
        <w:tc>
          <w:tcPr>
            <w:tcW w:w="1186" w:type="dxa"/>
            <w:vAlign w:val="center"/>
          </w:tcPr>
          <w:p w14:paraId="2F3AB9B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系统安全要求</w:t>
            </w:r>
          </w:p>
        </w:tc>
        <w:tc>
          <w:tcPr>
            <w:tcW w:w="1199" w:type="dxa"/>
            <w:vAlign w:val="center"/>
          </w:tcPr>
          <w:p w14:paraId="7AF4819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双因素鉴别</w:t>
            </w:r>
          </w:p>
        </w:tc>
        <w:tc>
          <w:tcPr>
            <w:tcW w:w="3807" w:type="dxa"/>
            <w:vAlign w:val="center"/>
          </w:tcPr>
          <w:p w14:paraId="111C3DC6">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037A862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40A6B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691605C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0CE9BF8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92</w:t>
            </w:r>
          </w:p>
        </w:tc>
        <w:tc>
          <w:tcPr>
            <w:tcW w:w="1170" w:type="dxa"/>
            <w:vAlign w:val="center"/>
          </w:tcPr>
          <w:p w14:paraId="7E66468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安全要求</w:t>
            </w:r>
          </w:p>
        </w:tc>
        <w:tc>
          <w:tcPr>
            <w:tcW w:w="1186" w:type="dxa"/>
            <w:vAlign w:val="center"/>
          </w:tcPr>
          <w:p w14:paraId="34ACC61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系统安全要求</w:t>
            </w:r>
          </w:p>
        </w:tc>
        <w:tc>
          <w:tcPr>
            <w:tcW w:w="1199" w:type="dxa"/>
            <w:vAlign w:val="center"/>
          </w:tcPr>
          <w:p w14:paraId="633855C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二次鉴别</w:t>
            </w:r>
          </w:p>
        </w:tc>
        <w:tc>
          <w:tcPr>
            <w:tcW w:w="3807" w:type="dxa"/>
            <w:vAlign w:val="center"/>
          </w:tcPr>
          <w:p w14:paraId="033F323F">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支持二次鉴别功能。对于用户配置、权限配置、公钥导入等重要的管理操作，已登录用户应通过二次鉴别后，才能执行操作</w:t>
            </w:r>
          </w:p>
        </w:tc>
        <w:tc>
          <w:tcPr>
            <w:tcW w:w="861" w:type="dxa"/>
            <w:vAlign w:val="center"/>
          </w:tcPr>
          <w:p w14:paraId="2A775FE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645B1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571B9E4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5995332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93</w:t>
            </w:r>
          </w:p>
        </w:tc>
        <w:tc>
          <w:tcPr>
            <w:tcW w:w="1170" w:type="dxa"/>
            <w:vAlign w:val="center"/>
          </w:tcPr>
          <w:p w14:paraId="4BD88C6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安全要求</w:t>
            </w:r>
          </w:p>
        </w:tc>
        <w:tc>
          <w:tcPr>
            <w:tcW w:w="1186" w:type="dxa"/>
            <w:vAlign w:val="center"/>
          </w:tcPr>
          <w:p w14:paraId="4D8F237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系统安全要求</w:t>
            </w:r>
          </w:p>
        </w:tc>
        <w:tc>
          <w:tcPr>
            <w:tcW w:w="1199" w:type="dxa"/>
            <w:vAlign w:val="center"/>
          </w:tcPr>
          <w:p w14:paraId="075029C2">
            <w:pPr>
              <w:adjustRightInd w:val="0"/>
              <w:snapToGrid w:val="0"/>
              <w:jc w:val="center"/>
              <w:textAlignment w:val="center"/>
              <w:rPr>
                <w:rFonts w:ascii="仿宋_GB2312" w:eastAsia="仿宋_GB2312" w:hAnsiTheme="minorEastAsia" w:cstheme="minorEastAsia"/>
                <w:color w:val="auto"/>
                <w:kern w:val="0"/>
                <w:sz w:val="28"/>
                <w:szCs w:val="28"/>
                <w:lang w:eastAsia="zh-CN" w:bidi="ar"/>
              </w:rPr>
            </w:pPr>
            <w:r>
              <w:rPr>
                <w:rFonts w:ascii="仿宋_GB2312" w:hAnsi="微软雅黑" w:eastAsia="仿宋_GB2312" w:cs="微软雅黑"/>
                <w:color w:val="auto"/>
                <w:kern w:val="0"/>
                <w:sz w:val="28"/>
                <w:szCs w:val="28"/>
                <w:lang w:eastAsia="zh-CN" w:bidi="ar"/>
              </w:rPr>
              <w:t>匿名化用户告警接收邮箱</w:t>
            </w:r>
          </w:p>
        </w:tc>
        <w:tc>
          <w:tcPr>
            <w:tcW w:w="3807" w:type="dxa"/>
            <w:vAlign w:val="center"/>
          </w:tcPr>
          <w:p w14:paraId="295E9A52">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2D53010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1F18B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1583A55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766B47F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94</w:t>
            </w:r>
          </w:p>
        </w:tc>
        <w:tc>
          <w:tcPr>
            <w:tcW w:w="1170" w:type="dxa"/>
            <w:vAlign w:val="center"/>
          </w:tcPr>
          <w:p w14:paraId="0CB563A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安全要求</w:t>
            </w:r>
          </w:p>
        </w:tc>
        <w:tc>
          <w:tcPr>
            <w:tcW w:w="1186" w:type="dxa"/>
            <w:vAlign w:val="center"/>
          </w:tcPr>
          <w:p w14:paraId="25BD57C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系统安全要求</w:t>
            </w:r>
          </w:p>
        </w:tc>
        <w:tc>
          <w:tcPr>
            <w:tcW w:w="1199" w:type="dxa"/>
            <w:vAlign w:val="center"/>
          </w:tcPr>
          <w:p w14:paraId="6BDD8A7D">
            <w:pPr>
              <w:adjustRightInd w:val="0"/>
              <w:snapToGrid w:val="0"/>
              <w:jc w:val="center"/>
              <w:textAlignment w:val="center"/>
              <w:rPr>
                <w:rFonts w:ascii="仿宋_GB2312" w:eastAsia="仿宋_GB2312" w:hAnsiTheme="minorEastAsia" w:cstheme="minorEastAsia"/>
                <w:color w:val="auto"/>
                <w:kern w:val="0"/>
                <w:sz w:val="28"/>
                <w:szCs w:val="28"/>
                <w:lang w:eastAsia="zh-CN" w:bidi="ar"/>
              </w:rPr>
            </w:pPr>
            <w:r>
              <w:rPr>
                <w:rFonts w:ascii="仿宋_GB2312" w:eastAsia="仿宋_GB2312" w:hAnsiTheme="minorEastAsia" w:cstheme="minorEastAsia"/>
                <w:color w:val="auto"/>
                <w:kern w:val="0"/>
                <w:sz w:val="28"/>
                <w:szCs w:val="28"/>
                <w:lang w:eastAsia="zh-CN" w:bidi="ar"/>
              </w:rPr>
              <w:t>*</w:t>
            </w:r>
            <w:r>
              <w:rPr>
                <w:rFonts w:ascii="仿宋_GB2312" w:hAnsi="微软雅黑" w:eastAsia="仿宋_GB2312" w:cs="微软雅黑"/>
                <w:color w:val="auto"/>
                <w:kern w:val="0"/>
                <w:sz w:val="28"/>
                <w:szCs w:val="28"/>
                <w:lang w:eastAsia="zh-CN" w:bidi="ar"/>
              </w:rPr>
              <w:t>密码证书安全加密存储</w:t>
            </w:r>
          </w:p>
        </w:tc>
        <w:tc>
          <w:tcPr>
            <w:tcW w:w="3807" w:type="dxa"/>
            <w:vAlign w:val="center"/>
          </w:tcPr>
          <w:p w14:paraId="2D16E0C3">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支持对带外管理系统中的用户口令和证书等敏感信息进行加密存储，禁止使用私有的和业界已知不安全的密码算法</w:t>
            </w:r>
          </w:p>
        </w:tc>
        <w:tc>
          <w:tcPr>
            <w:tcW w:w="861" w:type="dxa"/>
            <w:vAlign w:val="center"/>
          </w:tcPr>
          <w:p w14:paraId="61B95C5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78817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11F4CA1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76F90C9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95</w:t>
            </w:r>
          </w:p>
        </w:tc>
        <w:tc>
          <w:tcPr>
            <w:tcW w:w="1170" w:type="dxa"/>
            <w:vAlign w:val="center"/>
          </w:tcPr>
          <w:p w14:paraId="4B643CC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安全要求</w:t>
            </w:r>
          </w:p>
        </w:tc>
        <w:tc>
          <w:tcPr>
            <w:tcW w:w="1186" w:type="dxa"/>
            <w:vAlign w:val="center"/>
          </w:tcPr>
          <w:p w14:paraId="5F7D060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系统安全要求</w:t>
            </w:r>
          </w:p>
        </w:tc>
        <w:tc>
          <w:tcPr>
            <w:tcW w:w="1199" w:type="dxa"/>
            <w:vAlign w:val="center"/>
          </w:tcPr>
          <w:p w14:paraId="5A5DCD14">
            <w:pPr>
              <w:adjustRightInd w:val="0"/>
              <w:snapToGrid w:val="0"/>
              <w:jc w:val="center"/>
              <w:textAlignment w:val="center"/>
              <w:rPr>
                <w:rFonts w:ascii="仿宋_GB2312" w:eastAsia="仿宋_GB2312" w:hAnsiTheme="minorEastAsia" w:cstheme="minorEastAsia"/>
                <w:color w:val="auto"/>
                <w:kern w:val="0"/>
                <w:sz w:val="28"/>
                <w:szCs w:val="28"/>
                <w:lang w:eastAsia="zh-CN" w:bidi="ar"/>
              </w:rPr>
            </w:pPr>
            <w:r>
              <w:rPr>
                <w:rFonts w:ascii="仿宋_GB2312" w:eastAsia="仿宋_GB2312" w:hAnsiTheme="minorEastAsia" w:cstheme="minorEastAsia"/>
                <w:color w:val="auto"/>
                <w:kern w:val="0"/>
                <w:sz w:val="28"/>
                <w:szCs w:val="28"/>
                <w:lang w:eastAsia="zh-CN" w:bidi="ar"/>
              </w:rPr>
              <w:t>*</w:t>
            </w:r>
            <w:r>
              <w:rPr>
                <w:rFonts w:ascii="仿宋_GB2312" w:hAnsi="微软雅黑" w:eastAsia="仿宋_GB2312" w:cs="微软雅黑"/>
                <w:color w:val="auto"/>
                <w:kern w:val="0"/>
                <w:sz w:val="28"/>
                <w:szCs w:val="28"/>
                <w:lang w:eastAsia="zh-CN" w:bidi="ar"/>
              </w:rPr>
              <w:t>敏感信息安全加密传输</w:t>
            </w:r>
          </w:p>
        </w:tc>
        <w:tc>
          <w:tcPr>
            <w:tcW w:w="3807" w:type="dxa"/>
            <w:vAlign w:val="center"/>
          </w:tcPr>
          <w:p w14:paraId="5B91667C">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支持使用安全的传输加密协议（如SSH 或 HTTPS 等）传输用户的敏感信息</w:t>
            </w:r>
          </w:p>
        </w:tc>
        <w:tc>
          <w:tcPr>
            <w:tcW w:w="861" w:type="dxa"/>
            <w:vAlign w:val="center"/>
          </w:tcPr>
          <w:p w14:paraId="7415844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55E89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685" w:type="dxa"/>
            <w:vAlign w:val="center"/>
          </w:tcPr>
          <w:p w14:paraId="197F255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3DC8E80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96</w:t>
            </w:r>
          </w:p>
        </w:tc>
        <w:tc>
          <w:tcPr>
            <w:tcW w:w="1170" w:type="dxa"/>
            <w:vAlign w:val="center"/>
          </w:tcPr>
          <w:p w14:paraId="5F7B2C5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安全要求</w:t>
            </w:r>
          </w:p>
        </w:tc>
        <w:tc>
          <w:tcPr>
            <w:tcW w:w="1186" w:type="dxa"/>
            <w:vAlign w:val="center"/>
          </w:tcPr>
          <w:p w14:paraId="135FE0F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信息安全要求</w:t>
            </w:r>
          </w:p>
        </w:tc>
        <w:tc>
          <w:tcPr>
            <w:tcW w:w="1199" w:type="dxa"/>
            <w:vAlign w:val="center"/>
          </w:tcPr>
          <w:p w14:paraId="6047214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研发过程安全</w:t>
            </w:r>
          </w:p>
        </w:tc>
        <w:tc>
          <w:tcPr>
            <w:tcW w:w="3807" w:type="dxa"/>
            <w:vAlign w:val="center"/>
          </w:tcPr>
          <w:p w14:paraId="23D472B1">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供应商承诺，生产商已建立从需求、设计、开发、测试、维护端到端的开发流程管理机制，输出和保存开发流程中每个阶段的产品需求清单、设计文档、开发文档、测试记录等材料，保证各个流程可追溯</w:t>
            </w:r>
          </w:p>
        </w:tc>
        <w:tc>
          <w:tcPr>
            <w:tcW w:w="861" w:type="dxa"/>
            <w:vAlign w:val="center"/>
          </w:tcPr>
          <w:p w14:paraId="2840B83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221E8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570EFB4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74CA6DD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97</w:t>
            </w:r>
          </w:p>
        </w:tc>
        <w:tc>
          <w:tcPr>
            <w:tcW w:w="1170" w:type="dxa"/>
            <w:vAlign w:val="center"/>
          </w:tcPr>
          <w:p w14:paraId="14E4C0E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安全要求</w:t>
            </w:r>
          </w:p>
        </w:tc>
        <w:tc>
          <w:tcPr>
            <w:tcW w:w="1186" w:type="dxa"/>
            <w:vAlign w:val="center"/>
          </w:tcPr>
          <w:p w14:paraId="26C911B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信息安全要求</w:t>
            </w:r>
          </w:p>
        </w:tc>
        <w:tc>
          <w:tcPr>
            <w:tcW w:w="1199" w:type="dxa"/>
            <w:vAlign w:val="center"/>
          </w:tcPr>
          <w:p w14:paraId="0AB8A0D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漏洞管理</w:t>
            </w:r>
          </w:p>
        </w:tc>
        <w:tc>
          <w:tcPr>
            <w:tcW w:w="3807" w:type="dxa"/>
            <w:vAlign w:val="center"/>
          </w:tcPr>
          <w:p w14:paraId="67FF6DBC">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4D21BB6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1876F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0786472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4563CBB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98</w:t>
            </w:r>
          </w:p>
        </w:tc>
        <w:tc>
          <w:tcPr>
            <w:tcW w:w="1170" w:type="dxa"/>
            <w:vAlign w:val="center"/>
          </w:tcPr>
          <w:p w14:paraId="208B796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安全要求</w:t>
            </w:r>
          </w:p>
        </w:tc>
        <w:tc>
          <w:tcPr>
            <w:tcW w:w="1186" w:type="dxa"/>
            <w:vAlign w:val="center"/>
          </w:tcPr>
          <w:p w14:paraId="21BC842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信息安全要求</w:t>
            </w:r>
          </w:p>
        </w:tc>
        <w:tc>
          <w:tcPr>
            <w:tcW w:w="1199" w:type="dxa"/>
            <w:vAlign w:val="center"/>
          </w:tcPr>
          <w:p w14:paraId="5825FCE5">
            <w:pPr>
              <w:adjustRightInd w:val="0"/>
              <w:snapToGrid w:val="0"/>
              <w:jc w:val="center"/>
              <w:textAlignment w:val="center"/>
              <w:rPr>
                <w:rFonts w:ascii="仿宋_GB2312" w:eastAsia="仿宋_GB2312" w:hAnsiTheme="minorEastAsia" w:cstheme="minorEastAsia"/>
                <w:color w:val="auto"/>
                <w:kern w:val="0"/>
                <w:sz w:val="28"/>
                <w:szCs w:val="28"/>
                <w:lang w:eastAsia="zh-CN" w:bidi="ar"/>
              </w:rPr>
            </w:pPr>
            <w:r>
              <w:rPr>
                <w:rFonts w:ascii="仿宋_GB2312" w:hAnsi="微软雅黑" w:eastAsia="仿宋_GB2312" w:cs="微软雅黑"/>
                <w:color w:val="auto"/>
                <w:kern w:val="0"/>
                <w:sz w:val="28"/>
                <w:szCs w:val="28"/>
                <w:lang w:eastAsia="zh-CN" w:bidi="ar"/>
              </w:rPr>
              <w:t>网络关键设备服务器要求</w:t>
            </w:r>
          </w:p>
        </w:tc>
        <w:tc>
          <w:tcPr>
            <w:tcW w:w="3807" w:type="dxa"/>
            <w:vAlign w:val="center"/>
          </w:tcPr>
          <w:p w14:paraId="4463B049">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3F6ECB3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2CF8A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25E1DC8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64D53D0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99</w:t>
            </w:r>
          </w:p>
        </w:tc>
        <w:tc>
          <w:tcPr>
            <w:tcW w:w="1170" w:type="dxa"/>
            <w:vAlign w:val="center"/>
          </w:tcPr>
          <w:p w14:paraId="6392C1D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安全要求</w:t>
            </w:r>
          </w:p>
        </w:tc>
        <w:tc>
          <w:tcPr>
            <w:tcW w:w="1186" w:type="dxa"/>
            <w:vAlign w:val="center"/>
          </w:tcPr>
          <w:p w14:paraId="1022DA2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信息安全要求</w:t>
            </w:r>
          </w:p>
        </w:tc>
        <w:tc>
          <w:tcPr>
            <w:tcW w:w="1199" w:type="dxa"/>
            <w:vAlign w:val="center"/>
          </w:tcPr>
          <w:p w14:paraId="2416DDF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增强要求</w:t>
            </w:r>
          </w:p>
        </w:tc>
        <w:tc>
          <w:tcPr>
            <w:tcW w:w="3807" w:type="dxa"/>
            <w:vAlign w:val="center"/>
          </w:tcPr>
          <w:p w14:paraId="1C4ED6A7">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178D90C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455B9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5AB448F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515F8F0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100</w:t>
            </w:r>
          </w:p>
        </w:tc>
        <w:tc>
          <w:tcPr>
            <w:tcW w:w="1170" w:type="dxa"/>
            <w:vAlign w:val="center"/>
          </w:tcPr>
          <w:p w14:paraId="59FF104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安全要求</w:t>
            </w:r>
          </w:p>
        </w:tc>
        <w:tc>
          <w:tcPr>
            <w:tcW w:w="1186" w:type="dxa"/>
            <w:vAlign w:val="center"/>
          </w:tcPr>
          <w:p w14:paraId="2921577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物理安全</w:t>
            </w:r>
          </w:p>
        </w:tc>
        <w:tc>
          <w:tcPr>
            <w:tcW w:w="1199" w:type="dxa"/>
            <w:vAlign w:val="center"/>
          </w:tcPr>
          <w:p w14:paraId="7F25C6A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物理安全</w:t>
            </w:r>
          </w:p>
        </w:tc>
        <w:tc>
          <w:tcPr>
            <w:tcW w:w="3807" w:type="dxa"/>
            <w:vAlign w:val="center"/>
          </w:tcPr>
          <w:p w14:paraId="6743AF24">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安全要求应符合 GB 4943.1 的规定</w:t>
            </w:r>
          </w:p>
        </w:tc>
        <w:tc>
          <w:tcPr>
            <w:tcW w:w="861" w:type="dxa"/>
            <w:vAlign w:val="center"/>
          </w:tcPr>
          <w:p w14:paraId="2AA2DF4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636F8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66F07DE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331BB14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101</w:t>
            </w:r>
          </w:p>
        </w:tc>
        <w:tc>
          <w:tcPr>
            <w:tcW w:w="1170" w:type="dxa"/>
            <w:vAlign w:val="center"/>
          </w:tcPr>
          <w:p w14:paraId="486CFC3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安全要求</w:t>
            </w:r>
          </w:p>
        </w:tc>
        <w:tc>
          <w:tcPr>
            <w:tcW w:w="1186" w:type="dxa"/>
            <w:vAlign w:val="center"/>
          </w:tcPr>
          <w:p w14:paraId="181564E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限用物质的限量要求</w:t>
            </w:r>
          </w:p>
        </w:tc>
        <w:tc>
          <w:tcPr>
            <w:tcW w:w="1199" w:type="dxa"/>
            <w:vAlign w:val="center"/>
          </w:tcPr>
          <w:p w14:paraId="07CD13B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限用物质的限量要求</w:t>
            </w:r>
          </w:p>
        </w:tc>
        <w:tc>
          <w:tcPr>
            <w:tcW w:w="3807" w:type="dxa"/>
            <w:vAlign w:val="center"/>
          </w:tcPr>
          <w:p w14:paraId="617926FE">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限用物质的限量应符合GB/T 26572的要求</w:t>
            </w:r>
          </w:p>
        </w:tc>
        <w:tc>
          <w:tcPr>
            <w:tcW w:w="861" w:type="dxa"/>
            <w:vAlign w:val="center"/>
          </w:tcPr>
          <w:p w14:paraId="7FD9D93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3E3C7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48E9585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3AEDF5C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102</w:t>
            </w:r>
          </w:p>
        </w:tc>
        <w:tc>
          <w:tcPr>
            <w:tcW w:w="1170" w:type="dxa"/>
            <w:vAlign w:val="center"/>
          </w:tcPr>
          <w:p w14:paraId="55FB227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性能要求</w:t>
            </w:r>
          </w:p>
        </w:tc>
        <w:tc>
          <w:tcPr>
            <w:tcW w:w="1186" w:type="dxa"/>
            <w:vAlign w:val="center"/>
          </w:tcPr>
          <w:p w14:paraId="1E66388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*CPU</w:t>
            </w:r>
            <w:r>
              <w:rPr>
                <w:rFonts w:ascii="仿宋_GB2312" w:hAnsi="微软雅黑" w:eastAsia="仿宋_GB2312" w:cs="微软雅黑"/>
                <w:color w:val="auto"/>
                <w:kern w:val="0"/>
                <w:sz w:val="28"/>
                <w:szCs w:val="28"/>
                <w:lang w:bidi="ar"/>
              </w:rPr>
              <w:t>性能</w:t>
            </w:r>
          </w:p>
        </w:tc>
        <w:tc>
          <w:tcPr>
            <w:tcW w:w="1199" w:type="dxa"/>
            <w:vAlign w:val="center"/>
          </w:tcPr>
          <w:p w14:paraId="5292575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 xml:space="preserve">*CPU </w:t>
            </w:r>
            <w:r>
              <w:rPr>
                <w:rFonts w:ascii="仿宋_GB2312" w:hAnsi="微软雅黑" w:eastAsia="仿宋_GB2312" w:cs="微软雅黑"/>
                <w:color w:val="auto"/>
                <w:kern w:val="0"/>
                <w:sz w:val="28"/>
                <w:szCs w:val="28"/>
                <w:lang w:bidi="ar"/>
              </w:rPr>
              <w:t>主频</w:t>
            </w:r>
          </w:p>
        </w:tc>
        <w:tc>
          <w:tcPr>
            <w:tcW w:w="3807" w:type="dxa"/>
            <w:vAlign w:val="center"/>
          </w:tcPr>
          <w:p w14:paraId="532DCACC">
            <w:pPr>
              <w:adjustRightInd w:val="0"/>
              <w:snapToGrid w:val="0"/>
              <w:textAlignment w:val="center"/>
              <w:rPr>
                <w:rFonts w:ascii="仿宋_GB2312" w:eastAsia="仿宋_GB2312" w:hAnsiTheme="minorEastAsia" w:cstheme="minorEastAsia"/>
                <w:color w:val="auto"/>
                <w:kern w:val="0"/>
                <w:sz w:val="28"/>
                <w:szCs w:val="28"/>
                <w:lang w:val="en-US" w:eastAsia="zh-CN" w:bidi="ar"/>
              </w:rPr>
            </w:pPr>
            <w:r>
              <w:rPr>
                <w:rFonts w:ascii="仿宋_GB2312" w:hAnsi="黑体" w:eastAsia="仿宋_GB2312" w:cs="Arial"/>
                <w:sz w:val="28"/>
                <w:szCs w:val="28"/>
              </w:rPr>
              <w:t>≥2.1GHz，2颗</w:t>
            </w:r>
          </w:p>
        </w:tc>
        <w:tc>
          <w:tcPr>
            <w:tcW w:w="861" w:type="dxa"/>
            <w:vAlign w:val="center"/>
          </w:tcPr>
          <w:p w14:paraId="1EC9C94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4B095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3193027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6FD1ACC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103</w:t>
            </w:r>
          </w:p>
        </w:tc>
        <w:tc>
          <w:tcPr>
            <w:tcW w:w="1170" w:type="dxa"/>
            <w:vAlign w:val="center"/>
          </w:tcPr>
          <w:p w14:paraId="59DE0E3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性能要求</w:t>
            </w:r>
          </w:p>
        </w:tc>
        <w:tc>
          <w:tcPr>
            <w:tcW w:w="1186" w:type="dxa"/>
            <w:vAlign w:val="center"/>
          </w:tcPr>
          <w:p w14:paraId="36D3DED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*CPU</w:t>
            </w:r>
            <w:r>
              <w:rPr>
                <w:rFonts w:ascii="仿宋_GB2312" w:hAnsi="微软雅黑" w:eastAsia="仿宋_GB2312" w:cs="微软雅黑"/>
                <w:color w:val="auto"/>
                <w:kern w:val="0"/>
                <w:sz w:val="28"/>
                <w:szCs w:val="28"/>
                <w:lang w:bidi="ar"/>
              </w:rPr>
              <w:t>性能</w:t>
            </w:r>
          </w:p>
        </w:tc>
        <w:tc>
          <w:tcPr>
            <w:tcW w:w="1199" w:type="dxa"/>
            <w:vAlign w:val="center"/>
          </w:tcPr>
          <w:p w14:paraId="7918EB4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单</w:t>
            </w:r>
            <w:r>
              <w:rPr>
                <w:rFonts w:ascii="仿宋_GB2312" w:eastAsia="仿宋_GB2312" w:hAnsiTheme="minorEastAsia" w:cstheme="minorEastAsia"/>
                <w:color w:val="auto"/>
                <w:kern w:val="0"/>
                <w:sz w:val="28"/>
                <w:szCs w:val="28"/>
                <w:lang w:bidi="ar"/>
              </w:rPr>
              <w:t xml:space="preserve">CPU </w:t>
            </w:r>
            <w:r>
              <w:rPr>
                <w:rFonts w:ascii="仿宋_GB2312" w:hAnsi="微软雅黑" w:eastAsia="仿宋_GB2312" w:cs="微软雅黑"/>
                <w:color w:val="auto"/>
                <w:kern w:val="0"/>
                <w:sz w:val="28"/>
                <w:szCs w:val="28"/>
                <w:lang w:bidi="ar"/>
              </w:rPr>
              <w:t>核数</w:t>
            </w:r>
          </w:p>
        </w:tc>
        <w:tc>
          <w:tcPr>
            <w:tcW w:w="3807" w:type="dxa"/>
            <w:vAlign w:val="center"/>
          </w:tcPr>
          <w:p w14:paraId="4C0697FF">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≥12</w:t>
            </w:r>
          </w:p>
        </w:tc>
        <w:tc>
          <w:tcPr>
            <w:tcW w:w="861" w:type="dxa"/>
            <w:vAlign w:val="center"/>
          </w:tcPr>
          <w:p w14:paraId="3401FB1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3D32E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416B8AE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55BD4F2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104</w:t>
            </w:r>
          </w:p>
        </w:tc>
        <w:tc>
          <w:tcPr>
            <w:tcW w:w="1170" w:type="dxa"/>
            <w:vAlign w:val="center"/>
          </w:tcPr>
          <w:p w14:paraId="5A92A00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性能要求</w:t>
            </w:r>
          </w:p>
        </w:tc>
        <w:tc>
          <w:tcPr>
            <w:tcW w:w="1186" w:type="dxa"/>
            <w:vAlign w:val="center"/>
          </w:tcPr>
          <w:p w14:paraId="4612E97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*CPU</w:t>
            </w:r>
            <w:r>
              <w:rPr>
                <w:rFonts w:ascii="仿宋_GB2312" w:hAnsi="微软雅黑" w:eastAsia="仿宋_GB2312" w:cs="微软雅黑"/>
                <w:color w:val="auto"/>
                <w:kern w:val="0"/>
                <w:sz w:val="28"/>
                <w:szCs w:val="28"/>
                <w:lang w:bidi="ar"/>
              </w:rPr>
              <w:t>性能</w:t>
            </w:r>
          </w:p>
        </w:tc>
        <w:tc>
          <w:tcPr>
            <w:tcW w:w="1199" w:type="dxa"/>
            <w:vAlign w:val="center"/>
          </w:tcPr>
          <w:p w14:paraId="5E944749">
            <w:pPr>
              <w:adjustRightInd w:val="0"/>
              <w:snapToGrid w:val="0"/>
              <w:jc w:val="center"/>
              <w:textAlignment w:val="center"/>
              <w:rPr>
                <w:rFonts w:ascii="仿宋_GB2312" w:eastAsia="仿宋_GB2312" w:hAnsiTheme="minorEastAsia" w:cstheme="minorEastAsia"/>
                <w:color w:val="auto"/>
                <w:kern w:val="0"/>
                <w:sz w:val="28"/>
                <w:szCs w:val="28"/>
                <w:lang w:eastAsia="zh-CN" w:bidi="ar"/>
              </w:rPr>
            </w:pPr>
            <w:r>
              <w:rPr>
                <w:rFonts w:ascii="仿宋_GB2312" w:eastAsia="仿宋_GB2312" w:hAnsiTheme="minorEastAsia" w:cstheme="minorEastAsia"/>
                <w:color w:val="auto"/>
                <w:kern w:val="0"/>
                <w:sz w:val="28"/>
                <w:szCs w:val="28"/>
                <w:lang w:eastAsia="zh-CN" w:bidi="ar"/>
              </w:rPr>
              <w:t>*</w:t>
            </w:r>
            <w:r>
              <w:rPr>
                <w:rFonts w:ascii="仿宋_GB2312" w:hAnsi="微软雅黑" w:eastAsia="仿宋_GB2312" w:cs="微软雅黑"/>
                <w:color w:val="auto"/>
                <w:kern w:val="0"/>
                <w:sz w:val="28"/>
                <w:szCs w:val="28"/>
                <w:lang w:eastAsia="zh-CN" w:bidi="ar"/>
              </w:rPr>
              <w:t>单</w:t>
            </w:r>
            <w:r>
              <w:rPr>
                <w:rFonts w:ascii="仿宋_GB2312" w:eastAsia="仿宋_GB2312" w:hAnsiTheme="minorEastAsia" w:cstheme="minorEastAsia"/>
                <w:color w:val="auto"/>
                <w:kern w:val="0"/>
                <w:sz w:val="28"/>
                <w:szCs w:val="28"/>
                <w:lang w:eastAsia="zh-CN" w:bidi="ar"/>
              </w:rPr>
              <w:t xml:space="preserve"> CPU </w:t>
            </w:r>
            <w:r>
              <w:rPr>
                <w:rFonts w:ascii="仿宋_GB2312" w:hAnsi="微软雅黑" w:eastAsia="仿宋_GB2312" w:cs="微软雅黑"/>
                <w:color w:val="auto"/>
                <w:kern w:val="0"/>
                <w:sz w:val="28"/>
                <w:szCs w:val="28"/>
                <w:lang w:eastAsia="zh-CN" w:bidi="ar"/>
              </w:rPr>
              <w:t>末级缓存容量</w:t>
            </w:r>
          </w:p>
        </w:tc>
        <w:tc>
          <w:tcPr>
            <w:tcW w:w="3807" w:type="dxa"/>
            <w:vAlign w:val="center"/>
          </w:tcPr>
          <w:p w14:paraId="797FA46A">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≥19MB</w:t>
            </w:r>
          </w:p>
        </w:tc>
        <w:tc>
          <w:tcPr>
            <w:tcW w:w="861" w:type="dxa"/>
            <w:vAlign w:val="center"/>
          </w:tcPr>
          <w:p w14:paraId="30D3821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1F0BA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641CDF0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42A4C5D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105</w:t>
            </w:r>
          </w:p>
        </w:tc>
        <w:tc>
          <w:tcPr>
            <w:tcW w:w="1170" w:type="dxa"/>
            <w:vAlign w:val="center"/>
          </w:tcPr>
          <w:p w14:paraId="4647A39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性能要求</w:t>
            </w:r>
          </w:p>
        </w:tc>
        <w:tc>
          <w:tcPr>
            <w:tcW w:w="1186" w:type="dxa"/>
            <w:vAlign w:val="center"/>
          </w:tcPr>
          <w:p w14:paraId="455B14A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内存性能</w:t>
            </w:r>
          </w:p>
        </w:tc>
        <w:tc>
          <w:tcPr>
            <w:tcW w:w="1199" w:type="dxa"/>
            <w:vAlign w:val="center"/>
          </w:tcPr>
          <w:p w14:paraId="5233DA6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单内存模块容量</w:t>
            </w:r>
          </w:p>
        </w:tc>
        <w:tc>
          <w:tcPr>
            <w:tcW w:w="3807" w:type="dxa"/>
            <w:vAlign w:val="center"/>
          </w:tcPr>
          <w:p w14:paraId="2A4E80CE">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≥16GB</w:t>
            </w:r>
          </w:p>
        </w:tc>
        <w:tc>
          <w:tcPr>
            <w:tcW w:w="861" w:type="dxa"/>
            <w:vAlign w:val="center"/>
          </w:tcPr>
          <w:p w14:paraId="20B01B1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67DE1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1D7662E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61BCBEE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106</w:t>
            </w:r>
          </w:p>
        </w:tc>
        <w:tc>
          <w:tcPr>
            <w:tcW w:w="1170" w:type="dxa"/>
            <w:vAlign w:val="center"/>
          </w:tcPr>
          <w:p w14:paraId="20F3E02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性能要求</w:t>
            </w:r>
          </w:p>
        </w:tc>
        <w:tc>
          <w:tcPr>
            <w:tcW w:w="1186" w:type="dxa"/>
            <w:vAlign w:val="center"/>
          </w:tcPr>
          <w:p w14:paraId="46EC3D1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内存性能</w:t>
            </w:r>
          </w:p>
        </w:tc>
        <w:tc>
          <w:tcPr>
            <w:tcW w:w="1199" w:type="dxa"/>
            <w:vAlign w:val="center"/>
          </w:tcPr>
          <w:p w14:paraId="6FF1A42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内存速率</w:t>
            </w:r>
          </w:p>
        </w:tc>
        <w:tc>
          <w:tcPr>
            <w:tcW w:w="3807" w:type="dxa"/>
            <w:vAlign w:val="center"/>
          </w:tcPr>
          <w:p w14:paraId="243265F9">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≥2666MT/s</w:t>
            </w:r>
          </w:p>
        </w:tc>
        <w:tc>
          <w:tcPr>
            <w:tcW w:w="861" w:type="dxa"/>
            <w:vAlign w:val="center"/>
          </w:tcPr>
          <w:p w14:paraId="3C7ECF2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2A712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4E7AD54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5954233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107</w:t>
            </w:r>
          </w:p>
        </w:tc>
        <w:tc>
          <w:tcPr>
            <w:tcW w:w="1170" w:type="dxa"/>
            <w:vAlign w:val="center"/>
          </w:tcPr>
          <w:p w14:paraId="0BD8A1F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性能要求</w:t>
            </w:r>
          </w:p>
        </w:tc>
        <w:tc>
          <w:tcPr>
            <w:tcW w:w="1186" w:type="dxa"/>
            <w:vAlign w:val="center"/>
          </w:tcPr>
          <w:p w14:paraId="10CA738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存储性能</w:t>
            </w:r>
          </w:p>
        </w:tc>
        <w:tc>
          <w:tcPr>
            <w:tcW w:w="1199" w:type="dxa"/>
            <w:vAlign w:val="center"/>
          </w:tcPr>
          <w:p w14:paraId="41BE99A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硬盘转速</w:t>
            </w:r>
          </w:p>
        </w:tc>
        <w:tc>
          <w:tcPr>
            <w:tcW w:w="3807" w:type="dxa"/>
            <w:vAlign w:val="center"/>
          </w:tcPr>
          <w:p w14:paraId="48193119">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097D63F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7EB43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51760E0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390473F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108</w:t>
            </w:r>
          </w:p>
        </w:tc>
        <w:tc>
          <w:tcPr>
            <w:tcW w:w="1170" w:type="dxa"/>
            <w:vAlign w:val="center"/>
          </w:tcPr>
          <w:p w14:paraId="7AE098C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性能要求</w:t>
            </w:r>
          </w:p>
        </w:tc>
        <w:tc>
          <w:tcPr>
            <w:tcW w:w="1186" w:type="dxa"/>
            <w:vAlign w:val="center"/>
          </w:tcPr>
          <w:p w14:paraId="1551D4E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RAID</w:t>
            </w:r>
            <w:r>
              <w:rPr>
                <w:rFonts w:ascii="仿宋_GB2312" w:hAnsi="微软雅黑" w:eastAsia="仿宋_GB2312" w:cs="微软雅黑"/>
                <w:color w:val="auto"/>
                <w:kern w:val="0"/>
                <w:sz w:val="28"/>
                <w:szCs w:val="28"/>
                <w:lang w:bidi="ar"/>
              </w:rPr>
              <w:t>卡性能</w:t>
            </w:r>
          </w:p>
        </w:tc>
        <w:tc>
          <w:tcPr>
            <w:tcW w:w="1199" w:type="dxa"/>
            <w:vAlign w:val="center"/>
          </w:tcPr>
          <w:p w14:paraId="7F62384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 xml:space="preserve">RAID </w:t>
            </w:r>
            <w:r>
              <w:rPr>
                <w:rFonts w:ascii="仿宋_GB2312" w:hAnsi="微软雅黑" w:eastAsia="仿宋_GB2312" w:cs="微软雅黑"/>
                <w:color w:val="auto"/>
                <w:kern w:val="0"/>
                <w:sz w:val="28"/>
                <w:szCs w:val="28"/>
                <w:lang w:bidi="ar"/>
              </w:rPr>
              <w:t>卡缓存容量大小</w:t>
            </w:r>
          </w:p>
        </w:tc>
        <w:tc>
          <w:tcPr>
            <w:tcW w:w="3807" w:type="dxa"/>
            <w:vAlign w:val="center"/>
          </w:tcPr>
          <w:p w14:paraId="7615CDC3">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3D83A74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5F51E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6249C62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43429AA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109</w:t>
            </w:r>
          </w:p>
        </w:tc>
        <w:tc>
          <w:tcPr>
            <w:tcW w:w="1170" w:type="dxa"/>
            <w:vAlign w:val="center"/>
          </w:tcPr>
          <w:p w14:paraId="6D34017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性能要求</w:t>
            </w:r>
          </w:p>
        </w:tc>
        <w:tc>
          <w:tcPr>
            <w:tcW w:w="1186" w:type="dxa"/>
            <w:vAlign w:val="center"/>
          </w:tcPr>
          <w:p w14:paraId="7F29E5C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FC HBA</w:t>
            </w:r>
            <w:r>
              <w:rPr>
                <w:rFonts w:ascii="仿宋_GB2312" w:hAnsi="微软雅黑" w:eastAsia="仿宋_GB2312" w:cs="微软雅黑"/>
                <w:color w:val="auto"/>
                <w:kern w:val="0"/>
                <w:sz w:val="28"/>
                <w:szCs w:val="28"/>
                <w:lang w:bidi="ar"/>
              </w:rPr>
              <w:t>卡性能</w:t>
            </w:r>
          </w:p>
        </w:tc>
        <w:tc>
          <w:tcPr>
            <w:tcW w:w="1199" w:type="dxa"/>
            <w:vAlign w:val="center"/>
          </w:tcPr>
          <w:p w14:paraId="0562287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 xml:space="preserve">FC HBA </w:t>
            </w:r>
            <w:r>
              <w:rPr>
                <w:rFonts w:ascii="仿宋_GB2312" w:hAnsi="微软雅黑" w:eastAsia="仿宋_GB2312" w:cs="微软雅黑"/>
                <w:color w:val="auto"/>
                <w:kern w:val="0"/>
                <w:sz w:val="28"/>
                <w:szCs w:val="28"/>
                <w:lang w:bidi="ar"/>
              </w:rPr>
              <w:t>卡速率</w:t>
            </w:r>
          </w:p>
        </w:tc>
        <w:tc>
          <w:tcPr>
            <w:tcW w:w="3807" w:type="dxa"/>
            <w:vAlign w:val="center"/>
          </w:tcPr>
          <w:p w14:paraId="21B73739">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0CCE3EF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7925A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6435FF5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0692312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110</w:t>
            </w:r>
          </w:p>
        </w:tc>
        <w:tc>
          <w:tcPr>
            <w:tcW w:w="1170" w:type="dxa"/>
            <w:vAlign w:val="center"/>
          </w:tcPr>
          <w:p w14:paraId="3173AE7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性能要求</w:t>
            </w:r>
          </w:p>
        </w:tc>
        <w:tc>
          <w:tcPr>
            <w:tcW w:w="1186" w:type="dxa"/>
            <w:vAlign w:val="center"/>
          </w:tcPr>
          <w:p w14:paraId="3DF9895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网络性能</w:t>
            </w:r>
          </w:p>
        </w:tc>
        <w:tc>
          <w:tcPr>
            <w:tcW w:w="1199" w:type="dxa"/>
            <w:vAlign w:val="center"/>
          </w:tcPr>
          <w:p w14:paraId="291599B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独立网卡速率</w:t>
            </w:r>
          </w:p>
        </w:tc>
        <w:tc>
          <w:tcPr>
            <w:tcW w:w="3807" w:type="dxa"/>
            <w:vAlign w:val="center"/>
          </w:tcPr>
          <w:p w14:paraId="3CB76257">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6244816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121EF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34DA219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2F4759B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111</w:t>
            </w:r>
          </w:p>
        </w:tc>
        <w:tc>
          <w:tcPr>
            <w:tcW w:w="1170" w:type="dxa"/>
            <w:vAlign w:val="center"/>
          </w:tcPr>
          <w:p w14:paraId="5F49ED1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性能要求</w:t>
            </w:r>
          </w:p>
        </w:tc>
        <w:tc>
          <w:tcPr>
            <w:tcW w:w="1186" w:type="dxa"/>
            <w:vAlign w:val="center"/>
          </w:tcPr>
          <w:p w14:paraId="32187D5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网络性能</w:t>
            </w:r>
          </w:p>
        </w:tc>
        <w:tc>
          <w:tcPr>
            <w:tcW w:w="1199" w:type="dxa"/>
            <w:vAlign w:val="center"/>
          </w:tcPr>
          <w:p w14:paraId="708E50F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板载网卡速率</w:t>
            </w:r>
          </w:p>
        </w:tc>
        <w:tc>
          <w:tcPr>
            <w:tcW w:w="3807" w:type="dxa"/>
            <w:vAlign w:val="center"/>
          </w:tcPr>
          <w:p w14:paraId="1EC5216C">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0B9FF24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5E892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498525A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14027C7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112</w:t>
            </w:r>
          </w:p>
        </w:tc>
        <w:tc>
          <w:tcPr>
            <w:tcW w:w="1170" w:type="dxa"/>
            <w:vAlign w:val="center"/>
          </w:tcPr>
          <w:p w14:paraId="3E6CCFC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性能要求</w:t>
            </w:r>
          </w:p>
        </w:tc>
        <w:tc>
          <w:tcPr>
            <w:tcW w:w="1186" w:type="dxa"/>
            <w:vAlign w:val="center"/>
          </w:tcPr>
          <w:p w14:paraId="6F6C894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电源能耗</w:t>
            </w:r>
          </w:p>
        </w:tc>
        <w:tc>
          <w:tcPr>
            <w:tcW w:w="1199" w:type="dxa"/>
            <w:vAlign w:val="center"/>
          </w:tcPr>
          <w:p w14:paraId="31DBE75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电源能耗</w:t>
            </w:r>
          </w:p>
        </w:tc>
        <w:tc>
          <w:tcPr>
            <w:tcW w:w="3807" w:type="dxa"/>
            <w:vAlign w:val="center"/>
          </w:tcPr>
          <w:p w14:paraId="5C463657">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符合 GB/T 9813.3 的有关规定</w:t>
            </w:r>
          </w:p>
        </w:tc>
        <w:tc>
          <w:tcPr>
            <w:tcW w:w="861" w:type="dxa"/>
            <w:vAlign w:val="center"/>
          </w:tcPr>
          <w:p w14:paraId="0C9F839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2774B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4DAA583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1B06E8B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113</w:t>
            </w:r>
          </w:p>
        </w:tc>
        <w:tc>
          <w:tcPr>
            <w:tcW w:w="1170" w:type="dxa"/>
            <w:vAlign w:val="center"/>
          </w:tcPr>
          <w:p w14:paraId="731A407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兼容要求</w:t>
            </w:r>
          </w:p>
        </w:tc>
        <w:tc>
          <w:tcPr>
            <w:tcW w:w="1186" w:type="dxa"/>
            <w:vAlign w:val="center"/>
          </w:tcPr>
          <w:p w14:paraId="512817D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部件兼容性要求</w:t>
            </w:r>
          </w:p>
        </w:tc>
        <w:tc>
          <w:tcPr>
            <w:tcW w:w="1199" w:type="dxa"/>
            <w:vAlign w:val="center"/>
          </w:tcPr>
          <w:p w14:paraId="0A2710F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内存兼容性</w:t>
            </w:r>
          </w:p>
        </w:tc>
        <w:tc>
          <w:tcPr>
            <w:tcW w:w="3807" w:type="dxa"/>
            <w:vAlign w:val="center"/>
          </w:tcPr>
          <w:p w14:paraId="17C17067">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适配 3 种及以上厂商的内存产品，且均不低于产品支持的内存规格</w:t>
            </w:r>
          </w:p>
        </w:tc>
        <w:tc>
          <w:tcPr>
            <w:tcW w:w="861" w:type="dxa"/>
            <w:vAlign w:val="center"/>
          </w:tcPr>
          <w:p w14:paraId="7301CF2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29842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4310852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6BD097E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114</w:t>
            </w:r>
          </w:p>
        </w:tc>
        <w:tc>
          <w:tcPr>
            <w:tcW w:w="1170" w:type="dxa"/>
            <w:vAlign w:val="center"/>
          </w:tcPr>
          <w:p w14:paraId="3C618E3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兼容要求</w:t>
            </w:r>
          </w:p>
        </w:tc>
        <w:tc>
          <w:tcPr>
            <w:tcW w:w="1186" w:type="dxa"/>
            <w:vAlign w:val="center"/>
          </w:tcPr>
          <w:p w14:paraId="05994DC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部件兼容性要求</w:t>
            </w:r>
          </w:p>
        </w:tc>
        <w:tc>
          <w:tcPr>
            <w:tcW w:w="1199" w:type="dxa"/>
            <w:vAlign w:val="center"/>
          </w:tcPr>
          <w:p w14:paraId="654908C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固态存储兼容性</w:t>
            </w:r>
          </w:p>
        </w:tc>
        <w:tc>
          <w:tcPr>
            <w:tcW w:w="3807" w:type="dxa"/>
            <w:vAlign w:val="center"/>
          </w:tcPr>
          <w:p w14:paraId="3DE1C8ED">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适配 3 种或以上厂商的固态存储产品，且均不低于产品支持的固态存储设备规格</w:t>
            </w:r>
          </w:p>
        </w:tc>
        <w:tc>
          <w:tcPr>
            <w:tcW w:w="861" w:type="dxa"/>
            <w:vAlign w:val="center"/>
          </w:tcPr>
          <w:p w14:paraId="19E60CC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4B676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4EE90A5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5D3F5BB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115</w:t>
            </w:r>
          </w:p>
        </w:tc>
        <w:tc>
          <w:tcPr>
            <w:tcW w:w="1170" w:type="dxa"/>
            <w:vAlign w:val="center"/>
          </w:tcPr>
          <w:p w14:paraId="62AF463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兼容要求</w:t>
            </w:r>
          </w:p>
        </w:tc>
        <w:tc>
          <w:tcPr>
            <w:tcW w:w="1186" w:type="dxa"/>
            <w:vAlign w:val="center"/>
          </w:tcPr>
          <w:p w14:paraId="79257CA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部件兼容性要求</w:t>
            </w:r>
          </w:p>
        </w:tc>
        <w:tc>
          <w:tcPr>
            <w:tcW w:w="1199" w:type="dxa"/>
            <w:vAlign w:val="center"/>
          </w:tcPr>
          <w:p w14:paraId="2E2CEAB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 xml:space="preserve">FC HBA </w:t>
            </w:r>
            <w:r>
              <w:rPr>
                <w:rFonts w:ascii="仿宋_GB2312" w:hAnsi="微软雅黑" w:eastAsia="仿宋_GB2312" w:cs="微软雅黑"/>
                <w:color w:val="auto"/>
                <w:kern w:val="0"/>
                <w:sz w:val="28"/>
                <w:szCs w:val="28"/>
                <w:lang w:bidi="ar"/>
              </w:rPr>
              <w:t>卡兼容性</w:t>
            </w:r>
          </w:p>
        </w:tc>
        <w:tc>
          <w:tcPr>
            <w:tcW w:w="3807" w:type="dxa"/>
            <w:vAlign w:val="center"/>
          </w:tcPr>
          <w:p w14:paraId="0C363219">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162CAFF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42A08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595F2DD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336E26E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116</w:t>
            </w:r>
          </w:p>
        </w:tc>
        <w:tc>
          <w:tcPr>
            <w:tcW w:w="1170" w:type="dxa"/>
            <w:vAlign w:val="center"/>
          </w:tcPr>
          <w:p w14:paraId="23D78D0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兼容要求</w:t>
            </w:r>
          </w:p>
        </w:tc>
        <w:tc>
          <w:tcPr>
            <w:tcW w:w="1186" w:type="dxa"/>
            <w:vAlign w:val="center"/>
          </w:tcPr>
          <w:p w14:paraId="1F499A2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部件兼容性要求</w:t>
            </w:r>
          </w:p>
        </w:tc>
        <w:tc>
          <w:tcPr>
            <w:tcW w:w="1199" w:type="dxa"/>
            <w:vAlign w:val="center"/>
          </w:tcPr>
          <w:p w14:paraId="65ABEA3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 xml:space="preserve">RAID </w:t>
            </w:r>
            <w:r>
              <w:rPr>
                <w:rFonts w:ascii="仿宋_GB2312" w:hAnsi="微软雅黑" w:eastAsia="仿宋_GB2312" w:cs="微软雅黑"/>
                <w:color w:val="auto"/>
                <w:kern w:val="0"/>
                <w:sz w:val="28"/>
                <w:szCs w:val="28"/>
                <w:lang w:bidi="ar"/>
              </w:rPr>
              <w:t>卡兼容性</w:t>
            </w:r>
          </w:p>
        </w:tc>
        <w:tc>
          <w:tcPr>
            <w:tcW w:w="3807" w:type="dxa"/>
            <w:vAlign w:val="center"/>
          </w:tcPr>
          <w:p w14:paraId="0F451939">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68E55FF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70927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24664B1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035B263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117</w:t>
            </w:r>
          </w:p>
        </w:tc>
        <w:tc>
          <w:tcPr>
            <w:tcW w:w="1170" w:type="dxa"/>
            <w:vAlign w:val="center"/>
          </w:tcPr>
          <w:p w14:paraId="5AD4FD2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兼容要求</w:t>
            </w:r>
          </w:p>
        </w:tc>
        <w:tc>
          <w:tcPr>
            <w:tcW w:w="1186" w:type="dxa"/>
            <w:vAlign w:val="center"/>
          </w:tcPr>
          <w:p w14:paraId="38012C8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部件兼容性要求</w:t>
            </w:r>
          </w:p>
        </w:tc>
        <w:tc>
          <w:tcPr>
            <w:tcW w:w="1199" w:type="dxa"/>
            <w:vAlign w:val="center"/>
          </w:tcPr>
          <w:p w14:paraId="2015B24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网卡兼容性</w:t>
            </w:r>
          </w:p>
        </w:tc>
        <w:tc>
          <w:tcPr>
            <w:tcW w:w="3807" w:type="dxa"/>
            <w:vAlign w:val="center"/>
          </w:tcPr>
          <w:p w14:paraId="7B64031C">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网卡应适配两种或以上厂商产品</w:t>
            </w:r>
          </w:p>
        </w:tc>
        <w:tc>
          <w:tcPr>
            <w:tcW w:w="861" w:type="dxa"/>
            <w:vAlign w:val="center"/>
          </w:tcPr>
          <w:p w14:paraId="46D83C6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2BC54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3CE239E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4DD44B5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118</w:t>
            </w:r>
          </w:p>
        </w:tc>
        <w:tc>
          <w:tcPr>
            <w:tcW w:w="1170" w:type="dxa"/>
            <w:vAlign w:val="center"/>
          </w:tcPr>
          <w:p w14:paraId="645AAB6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兼容要求</w:t>
            </w:r>
          </w:p>
        </w:tc>
        <w:tc>
          <w:tcPr>
            <w:tcW w:w="1186" w:type="dxa"/>
            <w:vAlign w:val="center"/>
          </w:tcPr>
          <w:p w14:paraId="056DAE9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部件兼容性要求</w:t>
            </w:r>
          </w:p>
        </w:tc>
        <w:tc>
          <w:tcPr>
            <w:tcW w:w="1199" w:type="dxa"/>
            <w:vAlign w:val="center"/>
          </w:tcPr>
          <w:p w14:paraId="5BCF7E1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功能卡兼容性</w:t>
            </w:r>
          </w:p>
        </w:tc>
        <w:tc>
          <w:tcPr>
            <w:tcW w:w="3807" w:type="dxa"/>
            <w:vAlign w:val="center"/>
          </w:tcPr>
          <w:p w14:paraId="422625A2">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内置或适配符合 PCIe 的功能卡，如：网络功能卡、存储功能卡及图形显示功能卡</w:t>
            </w:r>
          </w:p>
        </w:tc>
        <w:tc>
          <w:tcPr>
            <w:tcW w:w="861" w:type="dxa"/>
            <w:vAlign w:val="center"/>
          </w:tcPr>
          <w:p w14:paraId="4C7E7E6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226B9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685" w:type="dxa"/>
            <w:vAlign w:val="center"/>
          </w:tcPr>
          <w:p w14:paraId="4A234FF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47BED7F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119</w:t>
            </w:r>
          </w:p>
        </w:tc>
        <w:tc>
          <w:tcPr>
            <w:tcW w:w="1170" w:type="dxa"/>
            <w:vAlign w:val="center"/>
          </w:tcPr>
          <w:p w14:paraId="7F6F415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兼容要求</w:t>
            </w:r>
          </w:p>
        </w:tc>
        <w:tc>
          <w:tcPr>
            <w:tcW w:w="1186" w:type="dxa"/>
            <w:vAlign w:val="center"/>
          </w:tcPr>
          <w:p w14:paraId="6A2BA6E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外设兼容性</w:t>
            </w:r>
          </w:p>
        </w:tc>
        <w:tc>
          <w:tcPr>
            <w:tcW w:w="1199" w:type="dxa"/>
            <w:vAlign w:val="center"/>
          </w:tcPr>
          <w:p w14:paraId="27AF2AE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外设兼容性</w:t>
            </w:r>
          </w:p>
        </w:tc>
        <w:tc>
          <w:tcPr>
            <w:tcW w:w="3807" w:type="dxa"/>
            <w:vAlign w:val="center"/>
          </w:tcPr>
          <w:p w14:paraId="060E0690">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兼容多种主流生产商的外部设备，包括显示器、键盘、鼠标、闪存盘、移动硬盘、USB 光驱及 KVM 等，要求使用不同厂商的外部设备时，系统均能正常识别和安装驱动</w:t>
            </w:r>
          </w:p>
        </w:tc>
        <w:tc>
          <w:tcPr>
            <w:tcW w:w="861" w:type="dxa"/>
            <w:vAlign w:val="center"/>
          </w:tcPr>
          <w:p w14:paraId="631E749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53F7A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15048C3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6A84554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120</w:t>
            </w:r>
          </w:p>
        </w:tc>
        <w:tc>
          <w:tcPr>
            <w:tcW w:w="1170" w:type="dxa"/>
            <w:vAlign w:val="center"/>
          </w:tcPr>
          <w:p w14:paraId="71C948B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兼容要求</w:t>
            </w:r>
          </w:p>
        </w:tc>
        <w:tc>
          <w:tcPr>
            <w:tcW w:w="1186" w:type="dxa"/>
            <w:vAlign w:val="center"/>
          </w:tcPr>
          <w:p w14:paraId="51F72A8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软件兼容性</w:t>
            </w:r>
          </w:p>
        </w:tc>
        <w:tc>
          <w:tcPr>
            <w:tcW w:w="1199" w:type="dxa"/>
            <w:vAlign w:val="center"/>
          </w:tcPr>
          <w:p w14:paraId="1226A6A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数据库兼容</w:t>
            </w:r>
          </w:p>
        </w:tc>
        <w:tc>
          <w:tcPr>
            <w:tcW w:w="3807" w:type="dxa"/>
            <w:vAlign w:val="center"/>
          </w:tcPr>
          <w:p w14:paraId="6FD41DF2">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兼容 3 个及以上厂商的数据库产品</w:t>
            </w:r>
          </w:p>
        </w:tc>
        <w:tc>
          <w:tcPr>
            <w:tcW w:w="861" w:type="dxa"/>
            <w:vAlign w:val="center"/>
          </w:tcPr>
          <w:p w14:paraId="378DBF7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6F08D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5DEF573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41F1122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121</w:t>
            </w:r>
          </w:p>
        </w:tc>
        <w:tc>
          <w:tcPr>
            <w:tcW w:w="1170" w:type="dxa"/>
            <w:vAlign w:val="center"/>
          </w:tcPr>
          <w:p w14:paraId="5853093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兼容要求</w:t>
            </w:r>
          </w:p>
        </w:tc>
        <w:tc>
          <w:tcPr>
            <w:tcW w:w="1186" w:type="dxa"/>
            <w:vAlign w:val="center"/>
          </w:tcPr>
          <w:p w14:paraId="0496282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软件兼容性</w:t>
            </w:r>
          </w:p>
        </w:tc>
        <w:tc>
          <w:tcPr>
            <w:tcW w:w="1199" w:type="dxa"/>
            <w:vAlign w:val="center"/>
          </w:tcPr>
          <w:p w14:paraId="0F9016F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中间件兼容</w:t>
            </w:r>
          </w:p>
        </w:tc>
        <w:tc>
          <w:tcPr>
            <w:tcW w:w="3807" w:type="dxa"/>
            <w:vAlign w:val="center"/>
          </w:tcPr>
          <w:p w14:paraId="25CE1305">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兼容 3 个及以上厂商的中间件产品</w:t>
            </w:r>
          </w:p>
        </w:tc>
        <w:tc>
          <w:tcPr>
            <w:tcW w:w="861" w:type="dxa"/>
            <w:vAlign w:val="center"/>
          </w:tcPr>
          <w:p w14:paraId="6DBC620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18BFA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40AA6B9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64EDBBE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122</w:t>
            </w:r>
          </w:p>
        </w:tc>
        <w:tc>
          <w:tcPr>
            <w:tcW w:w="1170" w:type="dxa"/>
            <w:vAlign w:val="center"/>
          </w:tcPr>
          <w:p w14:paraId="0F4E23B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兼容要求</w:t>
            </w:r>
          </w:p>
        </w:tc>
        <w:tc>
          <w:tcPr>
            <w:tcW w:w="1186" w:type="dxa"/>
            <w:vAlign w:val="center"/>
          </w:tcPr>
          <w:p w14:paraId="43BC45E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软件兼容性</w:t>
            </w:r>
          </w:p>
        </w:tc>
        <w:tc>
          <w:tcPr>
            <w:tcW w:w="1199" w:type="dxa"/>
            <w:vAlign w:val="center"/>
          </w:tcPr>
          <w:p w14:paraId="28D2410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平台软件兼容</w:t>
            </w:r>
          </w:p>
        </w:tc>
        <w:tc>
          <w:tcPr>
            <w:tcW w:w="3807" w:type="dxa"/>
            <w:vAlign w:val="center"/>
          </w:tcPr>
          <w:p w14:paraId="251667EA">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兼容 3 个及以上厂商的大数据平台</w:t>
            </w:r>
          </w:p>
        </w:tc>
        <w:tc>
          <w:tcPr>
            <w:tcW w:w="861" w:type="dxa"/>
            <w:vAlign w:val="center"/>
          </w:tcPr>
          <w:p w14:paraId="679D4DD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181EA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0B36E6F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5446EB2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123</w:t>
            </w:r>
          </w:p>
        </w:tc>
        <w:tc>
          <w:tcPr>
            <w:tcW w:w="1170" w:type="dxa"/>
            <w:vAlign w:val="center"/>
          </w:tcPr>
          <w:p w14:paraId="3FB7AF6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兼容要求</w:t>
            </w:r>
          </w:p>
        </w:tc>
        <w:tc>
          <w:tcPr>
            <w:tcW w:w="1186" w:type="dxa"/>
            <w:vAlign w:val="center"/>
          </w:tcPr>
          <w:p w14:paraId="04CFD3E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软件兼容性</w:t>
            </w:r>
          </w:p>
        </w:tc>
        <w:tc>
          <w:tcPr>
            <w:tcW w:w="1199" w:type="dxa"/>
            <w:vAlign w:val="center"/>
          </w:tcPr>
          <w:p w14:paraId="340169E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虚拟化软件兼容</w:t>
            </w:r>
          </w:p>
        </w:tc>
        <w:tc>
          <w:tcPr>
            <w:tcW w:w="3807" w:type="dxa"/>
            <w:vAlign w:val="center"/>
          </w:tcPr>
          <w:p w14:paraId="3548E86F">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4909CD8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7F8F9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6A0A482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278009C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124</w:t>
            </w:r>
          </w:p>
        </w:tc>
        <w:tc>
          <w:tcPr>
            <w:tcW w:w="1170" w:type="dxa"/>
            <w:vAlign w:val="center"/>
          </w:tcPr>
          <w:p w14:paraId="7603841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可靠性要求</w:t>
            </w:r>
          </w:p>
        </w:tc>
        <w:tc>
          <w:tcPr>
            <w:tcW w:w="1186" w:type="dxa"/>
            <w:vAlign w:val="center"/>
          </w:tcPr>
          <w:p w14:paraId="7FF0133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存储可靠性要求</w:t>
            </w:r>
          </w:p>
        </w:tc>
        <w:tc>
          <w:tcPr>
            <w:tcW w:w="1199" w:type="dxa"/>
            <w:vAlign w:val="center"/>
          </w:tcPr>
          <w:p w14:paraId="381D23B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SATA SSD</w:t>
            </w:r>
            <w:r>
              <w:rPr>
                <w:rFonts w:ascii="仿宋_GB2312" w:hAnsi="微软雅黑" w:eastAsia="仿宋_GB2312" w:cs="微软雅黑"/>
                <w:color w:val="auto"/>
                <w:kern w:val="0"/>
                <w:sz w:val="28"/>
                <w:szCs w:val="28"/>
                <w:lang w:bidi="ar"/>
              </w:rPr>
              <w:t>可靠性</w:t>
            </w:r>
          </w:p>
        </w:tc>
        <w:tc>
          <w:tcPr>
            <w:tcW w:w="3807" w:type="dxa"/>
            <w:vAlign w:val="center"/>
          </w:tcPr>
          <w:p w14:paraId="50F08A2F">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36F2115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518E5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43C83B6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739BBA5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125</w:t>
            </w:r>
          </w:p>
        </w:tc>
        <w:tc>
          <w:tcPr>
            <w:tcW w:w="1170" w:type="dxa"/>
            <w:vAlign w:val="center"/>
          </w:tcPr>
          <w:p w14:paraId="38490A0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可靠性要求</w:t>
            </w:r>
          </w:p>
        </w:tc>
        <w:tc>
          <w:tcPr>
            <w:tcW w:w="1186" w:type="dxa"/>
            <w:vAlign w:val="center"/>
          </w:tcPr>
          <w:p w14:paraId="651287C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整机可靠性要求</w:t>
            </w:r>
          </w:p>
        </w:tc>
        <w:tc>
          <w:tcPr>
            <w:tcW w:w="1199" w:type="dxa"/>
            <w:vAlign w:val="center"/>
          </w:tcPr>
          <w:p w14:paraId="12EFEA5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整机可靠性</w:t>
            </w:r>
          </w:p>
        </w:tc>
        <w:tc>
          <w:tcPr>
            <w:tcW w:w="3807" w:type="dxa"/>
            <w:vAlign w:val="center"/>
          </w:tcPr>
          <w:p w14:paraId="18FCACB2">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m1 值（MTBF 的不可接受值）不得低于 30000h</w:t>
            </w:r>
          </w:p>
        </w:tc>
        <w:tc>
          <w:tcPr>
            <w:tcW w:w="861" w:type="dxa"/>
            <w:vAlign w:val="center"/>
          </w:tcPr>
          <w:p w14:paraId="3079F3E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300C6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5D16187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33B5F89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126</w:t>
            </w:r>
          </w:p>
        </w:tc>
        <w:tc>
          <w:tcPr>
            <w:tcW w:w="1170" w:type="dxa"/>
            <w:vAlign w:val="center"/>
          </w:tcPr>
          <w:p w14:paraId="670E340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可靠性要求</w:t>
            </w:r>
          </w:p>
        </w:tc>
        <w:tc>
          <w:tcPr>
            <w:tcW w:w="1186" w:type="dxa"/>
            <w:vAlign w:val="center"/>
          </w:tcPr>
          <w:p w14:paraId="26F00BA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整机可靠性要求</w:t>
            </w:r>
          </w:p>
        </w:tc>
        <w:tc>
          <w:tcPr>
            <w:tcW w:w="1199" w:type="dxa"/>
            <w:vAlign w:val="center"/>
          </w:tcPr>
          <w:p w14:paraId="61FCB8B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风扇可靠性</w:t>
            </w:r>
          </w:p>
        </w:tc>
        <w:tc>
          <w:tcPr>
            <w:tcW w:w="3807" w:type="dxa"/>
            <w:vAlign w:val="center"/>
          </w:tcPr>
          <w:p w14:paraId="374778FC">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风扇寿命应不低于40000h</w:t>
            </w:r>
          </w:p>
        </w:tc>
        <w:tc>
          <w:tcPr>
            <w:tcW w:w="861" w:type="dxa"/>
            <w:vAlign w:val="center"/>
          </w:tcPr>
          <w:p w14:paraId="4BF924F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71F94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6689F88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5611022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127</w:t>
            </w:r>
          </w:p>
        </w:tc>
        <w:tc>
          <w:tcPr>
            <w:tcW w:w="1170" w:type="dxa"/>
            <w:vAlign w:val="center"/>
          </w:tcPr>
          <w:p w14:paraId="658B7BB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可靠性要求</w:t>
            </w:r>
          </w:p>
        </w:tc>
        <w:tc>
          <w:tcPr>
            <w:tcW w:w="1186" w:type="dxa"/>
            <w:vAlign w:val="center"/>
          </w:tcPr>
          <w:p w14:paraId="3315D92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整机可靠性要求</w:t>
            </w:r>
          </w:p>
        </w:tc>
        <w:tc>
          <w:tcPr>
            <w:tcW w:w="1199" w:type="dxa"/>
            <w:vAlign w:val="center"/>
          </w:tcPr>
          <w:p w14:paraId="68384D1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部件可靠性</w:t>
            </w:r>
          </w:p>
        </w:tc>
        <w:tc>
          <w:tcPr>
            <w:tcW w:w="3807" w:type="dxa"/>
            <w:vAlign w:val="center"/>
          </w:tcPr>
          <w:p w14:paraId="52F22D5E">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支持硬盘、电源、风扇热插拔(内置风扇除外)</w:t>
            </w:r>
          </w:p>
        </w:tc>
        <w:tc>
          <w:tcPr>
            <w:tcW w:w="861" w:type="dxa"/>
            <w:vAlign w:val="center"/>
          </w:tcPr>
          <w:p w14:paraId="2FC349F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12929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685" w:type="dxa"/>
            <w:vAlign w:val="center"/>
          </w:tcPr>
          <w:p w14:paraId="0262051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056A635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128</w:t>
            </w:r>
          </w:p>
        </w:tc>
        <w:tc>
          <w:tcPr>
            <w:tcW w:w="1170" w:type="dxa"/>
            <w:vAlign w:val="center"/>
          </w:tcPr>
          <w:p w14:paraId="5D715FC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包装及运输要求</w:t>
            </w:r>
          </w:p>
        </w:tc>
        <w:tc>
          <w:tcPr>
            <w:tcW w:w="1186" w:type="dxa"/>
            <w:vAlign w:val="center"/>
          </w:tcPr>
          <w:p w14:paraId="6174A3C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包装及运输要求</w:t>
            </w:r>
          </w:p>
        </w:tc>
        <w:tc>
          <w:tcPr>
            <w:tcW w:w="1199" w:type="dxa"/>
            <w:vAlign w:val="center"/>
          </w:tcPr>
          <w:p w14:paraId="52BC37A6">
            <w:pPr>
              <w:adjustRightInd w:val="0"/>
              <w:snapToGrid w:val="0"/>
              <w:jc w:val="center"/>
              <w:textAlignment w:val="center"/>
              <w:rPr>
                <w:rFonts w:ascii="仿宋_GB2312" w:eastAsia="仿宋_GB2312" w:hAnsiTheme="minorEastAsia" w:cstheme="minorEastAsia"/>
                <w:color w:val="auto"/>
                <w:kern w:val="0"/>
                <w:sz w:val="28"/>
                <w:szCs w:val="28"/>
                <w:lang w:eastAsia="zh-CN" w:bidi="ar"/>
              </w:rPr>
            </w:pPr>
            <w:r>
              <w:rPr>
                <w:rFonts w:ascii="仿宋_GB2312" w:eastAsia="仿宋_GB2312" w:hAnsiTheme="minorEastAsia" w:cstheme="minorEastAsia"/>
                <w:color w:val="auto"/>
                <w:kern w:val="0"/>
                <w:sz w:val="28"/>
                <w:szCs w:val="28"/>
                <w:lang w:eastAsia="zh-CN" w:bidi="ar"/>
              </w:rPr>
              <w:t>*</w:t>
            </w:r>
            <w:r>
              <w:rPr>
                <w:rFonts w:ascii="仿宋_GB2312" w:hAnsi="微软雅黑" w:eastAsia="仿宋_GB2312" w:cs="微软雅黑"/>
                <w:color w:val="auto"/>
                <w:kern w:val="0"/>
                <w:sz w:val="28"/>
                <w:szCs w:val="28"/>
                <w:lang w:eastAsia="zh-CN" w:bidi="ar"/>
              </w:rPr>
              <w:t>标志</w:t>
            </w:r>
            <w:r>
              <w:rPr>
                <w:rFonts w:ascii="仿宋_GB2312" w:hAnsi="Malgun Gothic Semilight" w:eastAsia="仿宋_GB2312" w:cs="Malgun Gothic Semilight"/>
                <w:color w:val="auto"/>
                <w:kern w:val="0"/>
                <w:sz w:val="28"/>
                <w:szCs w:val="28"/>
                <w:lang w:eastAsia="zh-CN" w:bidi="ar"/>
              </w:rPr>
              <w:t>、</w:t>
            </w:r>
            <w:r>
              <w:rPr>
                <w:rFonts w:ascii="仿宋_GB2312" w:hAnsi="微软雅黑" w:eastAsia="仿宋_GB2312" w:cs="微软雅黑"/>
                <w:color w:val="auto"/>
                <w:kern w:val="0"/>
                <w:sz w:val="28"/>
                <w:szCs w:val="28"/>
                <w:lang w:eastAsia="zh-CN" w:bidi="ar"/>
              </w:rPr>
              <w:t>包装</w:t>
            </w:r>
            <w:r>
              <w:rPr>
                <w:rFonts w:ascii="仿宋_GB2312" w:hAnsi="Malgun Gothic Semilight" w:eastAsia="仿宋_GB2312" w:cs="Malgun Gothic Semilight"/>
                <w:color w:val="auto"/>
                <w:kern w:val="0"/>
                <w:sz w:val="28"/>
                <w:szCs w:val="28"/>
                <w:lang w:eastAsia="zh-CN" w:bidi="ar"/>
              </w:rPr>
              <w:t>、</w:t>
            </w:r>
            <w:r>
              <w:rPr>
                <w:rFonts w:ascii="仿宋_GB2312" w:hAnsi="微软雅黑" w:eastAsia="仿宋_GB2312" w:cs="微软雅黑"/>
                <w:color w:val="auto"/>
                <w:kern w:val="0"/>
                <w:sz w:val="28"/>
                <w:szCs w:val="28"/>
                <w:lang w:eastAsia="zh-CN" w:bidi="ar"/>
              </w:rPr>
              <w:t>运输和贮存</w:t>
            </w:r>
          </w:p>
        </w:tc>
        <w:tc>
          <w:tcPr>
            <w:tcW w:w="3807" w:type="dxa"/>
            <w:vAlign w:val="center"/>
          </w:tcPr>
          <w:p w14:paraId="19AFCF26">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符合GB/T 9813.3 和商品包装政府采购需求标准的相关规定</w:t>
            </w:r>
          </w:p>
        </w:tc>
        <w:tc>
          <w:tcPr>
            <w:tcW w:w="861" w:type="dxa"/>
            <w:vAlign w:val="center"/>
          </w:tcPr>
          <w:p w14:paraId="08AA913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58DC1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0" w:hRule="atLeast"/>
          <w:jc w:val="center"/>
        </w:trPr>
        <w:tc>
          <w:tcPr>
            <w:tcW w:w="685" w:type="dxa"/>
            <w:vAlign w:val="center"/>
          </w:tcPr>
          <w:p w14:paraId="1E1063A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75CD01F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129</w:t>
            </w:r>
          </w:p>
        </w:tc>
        <w:tc>
          <w:tcPr>
            <w:tcW w:w="1170" w:type="dxa"/>
            <w:vAlign w:val="center"/>
          </w:tcPr>
          <w:p w14:paraId="54D084C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服务要求</w:t>
            </w:r>
          </w:p>
        </w:tc>
        <w:tc>
          <w:tcPr>
            <w:tcW w:w="1186" w:type="dxa"/>
            <w:vAlign w:val="center"/>
          </w:tcPr>
          <w:p w14:paraId="5E833E8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服务响应</w:t>
            </w:r>
          </w:p>
        </w:tc>
        <w:tc>
          <w:tcPr>
            <w:tcW w:w="1199" w:type="dxa"/>
            <w:vAlign w:val="center"/>
          </w:tcPr>
          <w:p w14:paraId="6C02B8A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服务响应</w:t>
            </w:r>
          </w:p>
        </w:tc>
        <w:tc>
          <w:tcPr>
            <w:tcW w:w="3807" w:type="dxa"/>
            <w:vAlign w:val="center"/>
          </w:tcPr>
          <w:p w14:paraId="3F71CE6E">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a) 提供电话、电子邮件、远程连接等多种形式服务；</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b) 提供同城 4h、异地 12h 技术响应服务，2 个工作日解决问题，对于未能解决的问题和故障应提供可行的升级方案，并提供周转设备；</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c) 建立全国技术服务体系和服务团体，符合专业服务体系标准要求，提供原厂中文服务；</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d) 服务周期内提供产品的维修、换件和升级服务</w:t>
            </w:r>
          </w:p>
        </w:tc>
        <w:tc>
          <w:tcPr>
            <w:tcW w:w="861" w:type="dxa"/>
            <w:vAlign w:val="center"/>
          </w:tcPr>
          <w:p w14:paraId="0C0938FE">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08460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685" w:type="dxa"/>
            <w:vAlign w:val="center"/>
          </w:tcPr>
          <w:p w14:paraId="0DBA169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3701624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130</w:t>
            </w:r>
          </w:p>
        </w:tc>
        <w:tc>
          <w:tcPr>
            <w:tcW w:w="1170" w:type="dxa"/>
            <w:vAlign w:val="center"/>
          </w:tcPr>
          <w:p w14:paraId="4B249D0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服务要求</w:t>
            </w:r>
          </w:p>
        </w:tc>
        <w:tc>
          <w:tcPr>
            <w:tcW w:w="1186" w:type="dxa"/>
            <w:vAlign w:val="center"/>
          </w:tcPr>
          <w:p w14:paraId="56A80D5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服务响应</w:t>
            </w:r>
          </w:p>
        </w:tc>
        <w:tc>
          <w:tcPr>
            <w:tcW w:w="1199" w:type="dxa"/>
            <w:vAlign w:val="center"/>
          </w:tcPr>
          <w:p w14:paraId="0813FA7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培训服务</w:t>
            </w:r>
          </w:p>
        </w:tc>
        <w:tc>
          <w:tcPr>
            <w:tcW w:w="3807" w:type="dxa"/>
            <w:vAlign w:val="center"/>
          </w:tcPr>
          <w:p w14:paraId="017BEAB1">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供应商提供培训材料、产品手册、培训视频等培训相关内容</w:t>
            </w:r>
          </w:p>
        </w:tc>
        <w:tc>
          <w:tcPr>
            <w:tcW w:w="861" w:type="dxa"/>
            <w:vAlign w:val="center"/>
          </w:tcPr>
          <w:p w14:paraId="09E744C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12FD2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85" w:type="dxa"/>
            <w:vAlign w:val="center"/>
          </w:tcPr>
          <w:p w14:paraId="00FF158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54E8B2F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131</w:t>
            </w:r>
          </w:p>
        </w:tc>
        <w:tc>
          <w:tcPr>
            <w:tcW w:w="1170" w:type="dxa"/>
            <w:vAlign w:val="center"/>
          </w:tcPr>
          <w:p w14:paraId="7E269FA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服务要求</w:t>
            </w:r>
          </w:p>
        </w:tc>
        <w:tc>
          <w:tcPr>
            <w:tcW w:w="1186" w:type="dxa"/>
            <w:vAlign w:val="center"/>
          </w:tcPr>
          <w:p w14:paraId="2AC7EFA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服务周期</w:t>
            </w:r>
          </w:p>
        </w:tc>
        <w:tc>
          <w:tcPr>
            <w:tcW w:w="1199" w:type="dxa"/>
            <w:vAlign w:val="center"/>
          </w:tcPr>
          <w:p w14:paraId="5341009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服务周期</w:t>
            </w:r>
          </w:p>
        </w:tc>
        <w:tc>
          <w:tcPr>
            <w:tcW w:w="3807" w:type="dxa"/>
            <w:vAlign w:val="center"/>
          </w:tcPr>
          <w:p w14:paraId="7FC008BA">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a) 产品免费服务周期（含换件和维修）应不小于5年；</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b) 设备停产后继续提供质量保障服务（含备品备件），服务终止时间与最后一批设备交付时间间隔不低于 6 年；</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c) 产品停止服务时间应提前 1 年告知客户；</w:t>
            </w:r>
            <w:r>
              <w:rPr>
                <w:rFonts w:ascii="仿宋_GB2312" w:hAnsi="黑体" w:eastAsia="仿宋_GB2312" w:cs="Arial"/>
                <w:sz w:val="28"/>
                <w:szCs w:val="28"/>
                <w:lang w:eastAsia="zh-CN"/>
              </w:rPr>
              <w:br w:type="textWrapping"/>
            </w:r>
            <w:r>
              <w:rPr>
                <w:rFonts w:ascii="仿宋_GB2312" w:hAnsi="黑体" w:eastAsia="仿宋_GB2312" w:cs="Arial"/>
                <w:sz w:val="28"/>
                <w:szCs w:val="28"/>
                <w:lang w:eastAsia="zh-CN"/>
              </w:rPr>
              <w:t>d) 产品发布日期需在随机文件中明确</w:t>
            </w:r>
          </w:p>
        </w:tc>
        <w:tc>
          <w:tcPr>
            <w:tcW w:w="861" w:type="dxa"/>
            <w:vAlign w:val="center"/>
          </w:tcPr>
          <w:p w14:paraId="051BB50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4251F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151B0C8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49BCE9A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132</w:t>
            </w:r>
          </w:p>
        </w:tc>
        <w:tc>
          <w:tcPr>
            <w:tcW w:w="1170" w:type="dxa"/>
            <w:vAlign w:val="center"/>
          </w:tcPr>
          <w:p w14:paraId="6F5D0F4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服务要求</w:t>
            </w:r>
          </w:p>
        </w:tc>
        <w:tc>
          <w:tcPr>
            <w:tcW w:w="1186" w:type="dxa"/>
            <w:vAlign w:val="center"/>
          </w:tcPr>
          <w:p w14:paraId="6020D01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服务工具要求</w:t>
            </w:r>
          </w:p>
        </w:tc>
        <w:tc>
          <w:tcPr>
            <w:tcW w:w="1199" w:type="dxa"/>
            <w:vAlign w:val="center"/>
          </w:tcPr>
          <w:p w14:paraId="65DB06F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工具要求</w:t>
            </w:r>
          </w:p>
        </w:tc>
        <w:tc>
          <w:tcPr>
            <w:tcW w:w="3807" w:type="dxa"/>
            <w:vAlign w:val="center"/>
          </w:tcPr>
          <w:p w14:paraId="1EA66BE6">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供应商提供设置服务器硬件、辅助操作系统安装等功能的辅助工具和管理软件。且随附软件应具有合法授权或版权</w:t>
            </w:r>
          </w:p>
        </w:tc>
        <w:tc>
          <w:tcPr>
            <w:tcW w:w="861" w:type="dxa"/>
            <w:vAlign w:val="center"/>
          </w:tcPr>
          <w:p w14:paraId="7186254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01841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5D90E58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1AC1774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133</w:t>
            </w:r>
          </w:p>
        </w:tc>
        <w:tc>
          <w:tcPr>
            <w:tcW w:w="1170" w:type="dxa"/>
            <w:vAlign w:val="center"/>
          </w:tcPr>
          <w:p w14:paraId="0B0AC55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服务要求</w:t>
            </w:r>
          </w:p>
        </w:tc>
        <w:tc>
          <w:tcPr>
            <w:tcW w:w="1186" w:type="dxa"/>
            <w:vAlign w:val="center"/>
          </w:tcPr>
          <w:p w14:paraId="3740E0C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服务工具要求</w:t>
            </w:r>
          </w:p>
        </w:tc>
        <w:tc>
          <w:tcPr>
            <w:tcW w:w="1199" w:type="dxa"/>
            <w:vAlign w:val="center"/>
          </w:tcPr>
          <w:p w14:paraId="4EFB69F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辅助工具</w:t>
            </w:r>
          </w:p>
        </w:tc>
        <w:tc>
          <w:tcPr>
            <w:tcW w:w="3807" w:type="dxa"/>
            <w:vAlign w:val="center"/>
          </w:tcPr>
          <w:p w14:paraId="1E1DDDE3">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7AD6122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2B204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429F59F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764A96F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134</w:t>
            </w:r>
          </w:p>
        </w:tc>
        <w:tc>
          <w:tcPr>
            <w:tcW w:w="1170" w:type="dxa"/>
            <w:vAlign w:val="center"/>
          </w:tcPr>
          <w:p w14:paraId="268D94C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服务要求</w:t>
            </w:r>
          </w:p>
        </w:tc>
        <w:tc>
          <w:tcPr>
            <w:tcW w:w="1186" w:type="dxa"/>
            <w:vAlign w:val="center"/>
          </w:tcPr>
          <w:p w14:paraId="2091B8F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服务工具要求</w:t>
            </w:r>
          </w:p>
        </w:tc>
        <w:tc>
          <w:tcPr>
            <w:tcW w:w="1199" w:type="dxa"/>
            <w:vAlign w:val="center"/>
          </w:tcPr>
          <w:p w14:paraId="11719C5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驱动安装升级指引</w:t>
            </w:r>
          </w:p>
        </w:tc>
        <w:tc>
          <w:tcPr>
            <w:tcW w:w="3807" w:type="dxa"/>
            <w:vAlign w:val="center"/>
          </w:tcPr>
          <w:p w14:paraId="4E86BF4B">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lang w:eastAsia="zh-CN"/>
              </w:rPr>
              <w:t>供应商提供出厂安装的配件所需的驱动程序，形式包括但不限于驱动光盘、驱动下载链接等。</w:t>
            </w:r>
            <w:r>
              <w:rPr>
                <w:rFonts w:ascii="仿宋_GB2312" w:hAnsi="黑体" w:eastAsia="仿宋_GB2312" w:cs="Arial"/>
                <w:sz w:val="28"/>
                <w:szCs w:val="28"/>
              </w:rPr>
              <w:t>其他配件应提供指引</w:t>
            </w:r>
          </w:p>
        </w:tc>
        <w:tc>
          <w:tcPr>
            <w:tcW w:w="861" w:type="dxa"/>
            <w:vAlign w:val="center"/>
          </w:tcPr>
          <w:p w14:paraId="2265815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05E27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0FBBC58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319631B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135</w:t>
            </w:r>
          </w:p>
        </w:tc>
        <w:tc>
          <w:tcPr>
            <w:tcW w:w="1170" w:type="dxa"/>
            <w:vAlign w:val="center"/>
          </w:tcPr>
          <w:p w14:paraId="69FD6F7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服务要求</w:t>
            </w:r>
          </w:p>
        </w:tc>
        <w:tc>
          <w:tcPr>
            <w:tcW w:w="1186" w:type="dxa"/>
            <w:vAlign w:val="center"/>
          </w:tcPr>
          <w:p w14:paraId="3AA97D4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服务工具要求</w:t>
            </w:r>
          </w:p>
        </w:tc>
        <w:tc>
          <w:tcPr>
            <w:tcW w:w="1199" w:type="dxa"/>
            <w:vAlign w:val="center"/>
          </w:tcPr>
          <w:p w14:paraId="1338A36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随机附开盖工具</w:t>
            </w:r>
          </w:p>
        </w:tc>
        <w:tc>
          <w:tcPr>
            <w:tcW w:w="3807" w:type="dxa"/>
            <w:vAlign w:val="center"/>
          </w:tcPr>
          <w:p w14:paraId="7EE080BF">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05B82EA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22644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5CA9F97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7FD3CA4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136</w:t>
            </w:r>
          </w:p>
        </w:tc>
        <w:tc>
          <w:tcPr>
            <w:tcW w:w="1170" w:type="dxa"/>
            <w:vAlign w:val="center"/>
          </w:tcPr>
          <w:p w14:paraId="7B04F32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服务要求</w:t>
            </w:r>
          </w:p>
        </w:tc>
        <w:tc>
          <w:tcPr>
            <w:tcW w:w="1186" w:type="dxa"/>
            <w:vAlign w:val="center"/>
          </w:tcPr>
          <w:p w14:paraId="07F09FF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服务工具要求</w:t>
            </w:r>
          </w:p>
        </w:tc>
        <w:tc>
          <w:tcPr>
            <w:tcW w:w="1199" w:type="dxa"/>
            <w:vAlign w:val="center"/>
          </w:tcPr>
          <w:p w14:paraId="3536AD1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代码迁移工具</w:t>
            </w:r>
          </w:p>
        </w:tc>
        <w:tc>
          <w:tcPr>
            <w:tcW w:w="3807" w:type="dxa"/>
            <w:vAlign w:val="center"/>
          </w:tcPr>
          <w:p w14:paraId="0D9C0336">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3533E1A5">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515FB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7BBE4E5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4ED184D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137</w:t>
            </w:r>
          </w:p>
        </w:tc>
        <w:tc>
          <w:tcPr>
            <w:tcW w:w="1170" w:type="dxa"/>
            <w:vAlign w:val="center"/>
          </w:tcPr>
          <w:p w14:paraId="56E2803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服务要求</w:t>
            </w:r>
          </w:p>
        </w:tc>
        <w:tc>
          <w:tcPr>
            <w:tcW w:w="1186" w:type="dxa"/>
            <w:vAlign w:val="center"/>
          </w:tcPr>
          <w:p w14:paraId="4A5E138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服务工具要求</w:t>
            </w:r>
          </w:p>
        </w:tc>
        <w:tc>
          <w:tcPr>
            <w:tcW w:w="1199" w:type="dxa"/>
            <w:vAlign w:val="center"/>
          </w:tcPr>
          <w:p w14:paraId="161FEF7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性能分析工具</w:t>
            </w:r>
          </w:p>
        </w:tc>
        <w:tc>
          <w:tcPr>
            <w:tcW w:w="3807" w:type="dxa"/>
            <w:vAlign w:val="center"/>
          </w:tcPr>
          <w:p w14:paraId="6231B43D">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27DC817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159AB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5FBD38F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793EBAC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138</w:t>
            </w:r>
          </w:p>
        </w:tc>
        <w:tc>
          <w:tcPr>
            <w:tcW w:w="1170" w:type="dxa"/>
            <w:vAlign w:val="center"/>
          </w:tcPr>
          <w:p w14:paraId="768FA7A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服务要求</w:t>
            </w:r>
          </w:p>
        </w:tc>
        <w:tc>
          <w:tcPr>
            <w:tcW w:w="1186" w:type="dxa"/>
            <w:vAlign w:val="center"/>
          </w:tcPr>
          <w:p w14:paraId="002073C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服务工具要求</w:t>
            </w:r>
          </w:p>
        </w:tc>
        <w:tc>
          <w:tcPr>
            <w:tcW w:w="1199" w:type="dxa"/>
            <w:vAlign w:val="center"/>
          </w:tcPr>
          <w:p w14:paraId="7806BB0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跨架构平台应用兼容</w:t>
            </w:r>
          </w:p>
        </w:tc>
        <w:tc>
          <w:tcPr>
            <w:tcW w:w="3807" w:type="dxa"/>
            <w:vAlign w:val="center"/>
          </w:tcPr>
          <w:p w14:paraId="354334DF">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6E5031F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28341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6B2208B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13B4909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139</w:t>
            </w:r>
          </w:p>
        </w:tc>
        <w:tc>
          <w:tcPr>
            <w:tcW w:w="1170" w:type="dxa"/>
            <w:vAlign w:val="center"/>
          </w:tcPr>
          <w:p w14:paraId="111C01D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服务要求</w:t>
            </w:r>
          </w:p>
        </w:tc>
        <w:tc>
          <w:tcPr>
            <w:tcW w:w="1186" w:type="dxa"/>
            <w:vAlign w:val="center"/>
          </w:tcPr>
          <w:p w14:paraId="7A7F812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服务工具要求</w:t>
            </w:r>
          </w:p>
        </w:tc>
        <w:tc>
          <w:tcPr>
            <w:tcW w:w="1199" w:type="dxa"/>
            <w:vAlign w:val="center"/>
          </w:tcPr>
          <w:p w14:paraId="088A8C2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管理软件</w:t>
            </w:r>
          </w:p>
        </w:tc>
        <w:tc>
          <w:tcPr>
            <w:tcW w:w="3807" w:type="dxa"/>
            <w:vAlign w:val="center"/>
          </w:tcPr>
          <w:p w14:paraId="462FD663">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具备资源管理、系统管理、性能监控、健康监控、基于网络控制、报警设置功能</w:t>
            </w:r>
          </w:p>
        </w:tc>
        <w:tc>
          <w:tcPr>
            <w:tcW w:w="861" w:type="dxa"/>
            <w:vAlign w:val="center"/>
          </w:tcPr>
          <w:p w14:paraId="3440777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2B8EF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71A9358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0376BAC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140</w:t>
            </w:r>
          </w:p>
        </w:tc>
        <w:tc>
          <w:tcPr>
            <w:tcW w:w="1170" w:type="dxa"/>
            <w:vAlign w:val="center"/>
          </w:tcPr>
          <w:p w14:paraId="7CE85C8D">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服务要求</w:t>
            </w:r>
          </w:p>
        </w:tc>
        <w:tc>
          <w:tcPr>
            <w:tcW w:w="1186" w:type="dxa"/>
            <w:vAlign w:val="center"/>
          </w:tcPr>
          <w:p w14:paraId="79337B8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增值服务</w:t>
            </w:r>
          </w:p>
        </w:tc>
        <w:tc>
          <w:tcPr>
            <w:tcW w:w="1199" w:type="dxa"/>
            <w:vAlign w:val="center"/>
          </w:tcPr>
          <w:p w14:paraId="47165F2E">
            <w:pPr>
              <w:adjustRightInd w:val="0"/>
              <w:snapToGrid w:val="0"/>
              <w:jc w:val="center"/>
              <w:textAlignment w:val="center"/>
              <w:rPr>
                <w:rFonts w:ascii="仿宋_GB2312" w:eastAsia="仿宋_GB2312" w:hAnsiTheme="minorEastAsia" w:cstheme="minorEastAsia"/>
                <w:color w:val="auto"/>
                <w:kern w:val="0"/>
                <w:sz w:val="28"/>
                <w:szCs w:val="28"/>
                <w:lang w:eastAsia="zh-CN" w:bidi="ar"/>
              </w:rPr>
            </w:pPr>
            <w:r>
              <w:rPr>
                <w:rFonts w:ascii="仿宋_GB2312" w:eastAsia="仿宋_GB2312" w:hAnsiTheme="minorEastAsia" w:cstheme="minorEastAsia"/>
                <w:color w:val="auto"/>
                <w:kern w:val="0"/>
                <w:sz w:val="28"/>
                <w:szCs w:val="28"/>
                <w:lang w:eastAsia="zh-CN" w:bidi="ar"/>
              </w:rPr>
              <w:t>*</w:t>
            </w:r>
            <w:r>
              <w:rPr>
                <w:rFonts w:ascii="仿宋_GB2312" w:hAnsi="微软雅黑" w:eastAsia="仿宋_GB2312" w:cs="微软雅黑"/>
                <w:color w:val="auto"/>
                <w:kern w:val="0"/>
                <w:sz w:val="28"/>
                <w:szCs w:val="28"/>
                <w:lang w:eastAsia="zh-CN" w:bidi="ar"/>
              </w:rPr>
              <w:t>厂家升级产品软件与扩容服务</w:t>
            </w:r>
          </w:p>
        </w:tc>
        <w:tc>
          <w:tcPr>
            <w:tcW w:w="3807" w:type="dxa"/>
            <w:vAlign w:val="center"/>
          </w:tcPr>
          <w:p w14:paraId="404E34AA">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供应商提供原厂级的部件/软件产品升级和扩容能力</w:t>
            </w:r>
          </w:p>
        </w:tc>
        <w:tc>
          <w:tcPr>
            <w:tcW w:w="861" w:type="dxa"/>
            <w:vAlign w:val="center"/>
          </w:tcPr>
          <w:p w14:paraId="1347262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652D3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26DBC87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58A6DA5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141</w:t>
            </w:r>
          </w:p>
        </w:tc>
        <w:tc>
          <w:tcPr>
            <w:tcW w:w="1170" w:type="dxa"/>
            <w:vAlign w:val="center"/>
          </w:tcPr>
          <w:p w14:paraId="14133CA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服务要求</w:t>
            </w:r>
          </w:p>
        </w:tc>
        <w:tc>
          <w:tcPr>
            <w:tcW w:w="1186" w:type="dxa"/>
            <w:vAlign w:val="center"/>
          </w:tcPr>
          <w:p w14:paraId="4109E47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增值服务</w:t>
            </w:r>
          </w:p>
        </w:tc>
        <w:tc>
          <w:tcPr>
            <w:tcW w:w="1199" w:type="dxa"/>
            <w:vAlign w:val="center"/>
          </w:tcPr>
          <w:p w14:paraId="338DE23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服务保障升级</w:t>
            </w:r>
          </w:p>
        </w:tc>
        <w:tc>
          <w:tcPr>
            <w:tcW w:w="3807" w:type="dxa"/>
            <w:vAlign w:val="center"/>
          </w:tcPr>
          <w:p w14:paraId="652B90DF">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5361ACC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16E73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5" w:type="dxa"/>
            <w:vAlign w:val="center"/>
          </w:tcPr>
          <w:p w14:paraId="12BB512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3725648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142</w:t>
            </w:r>
          </w:p>
        </w:tc>
        <w:tc>
          <w:tcPr>
            <w:tcW w:w="1170" w:type="dxa"/>
            <w:vAlign w:val="center"/>
          </w:tcPr>
          <w:p w14:paraId="308EE963">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服务要求</w:t>
            </w:r>
          </w:p>
        </w:tc>
        <w:tc>
          <w:tcPr>
            <w:tcW w:w="1186" w:type="dxa"/>
            <w:vAlign w:val="center"/>
          </w:tcPr>
          <w:p w14:paraId="759C39F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增值服务</w:t>
            </w:r>
          </w:p>
        </w:tc>
        <w:tc>
          <w:tcPr>
            <w:tcW w:w="1199" w:type="dxa"/>
            <w:vAlign w:val="center"/>
          </w:tcPr>
          <w:p w14:paraId="056922C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提供上门服务</w:t>
            </w:r>
          </w:p>
        </w:tc>
        <w:tc>
          <w:tcPr>
            <w:tcW w:w="3807" w:type="dxa"/>
            <w:vAlign w:val="center"/>
          </w:tcPr>
          <w:p w14:paraId="2D6923C3">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供应商具备提供上门服务的能力</w:t>
            </w:r>
          </w:p>
        </w:tc>
        <w:tc>
          <w:tcPr>
            <w:tcW w:w="861" w:type="dxa"/>
            <w:vAlign w:val="center"/>
          </w:tcPr>
          <w:p w14:paraId="358DAB0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64E97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40602F3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Arial" w:hAnsi="Arial" w:cs="Arial"/>
                <w:sz w:val="22"/>
                <w:szCs w:val="22"/>
              </w:rPr>
              <w:t>　</w:t>
            </w:r>
          </w:p>
        </w:tc>
        <w:tc>
          <w:tcPr>
            <w:tcW w:w="623" w:type="dxa"/>
            <w:vAlign w:val="center"/>
          </w:tcPr>
          <w:p w14:paraId="44FFF91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143</w:t>
            </w:r>
          </w:p>
        </w:tc>
        <w:tc>
          <w:tcPr>
            <w:tcW w:w="1170" w:type="dxa"/>
            <w:vAlign w:val="center"/>
          </w:tcPr>
          <w:p w14:paraId="2B02E1D6">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服务要求</w:t>
            </w:r>
          </w:p>
        </w:tc>
        <w:tc>
          <w:tcPr>
            <w:tcW w:w="1186" w:type="dxa"/>
            <w:vAlign w:val="center"/>
          </w:tcPr>
          <w:p w14:paraId="289E8E5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增值服务</w:t>
            </w:r>
          </w:p>
        </w:tc>
        <w:tc>
          <w:tcPr>
            <w:tcW w:w="1199" w:type="dxa"/>
            <w:vAlign w:val="center"/>
          </w:tcPr>
          <w:p w14:paraId="65C81B10">
            <w:pPr>
              <w:adjustRightInd w:val="0"/>
              <w:snapToGrid w:val="0"/>
              <w:jc w:val="center"/>
              <w:textAlignment w:val="center"/>
              <w:rPr>
                <w:rFonts w:ascii="仿宋_GB2312" w:eastAsia="仿宋_GB2312" w:hAnsiTheme="minorEastAsia" w:cstheme="minorEastAsia"/>
                <w:color w:val="auto"/>
                <w:kern w:val="0"/>
                <w:sz w:val="28"/>
                <w:szCs w:val="28"/>
                <w:lang w:eastAsia="zh-CN" w:bidi="ar"/>
              </w:rPr>
            </w:pPr>
            <w:r>
              <w:rPr>
                <w:rFonts w:ascii="仿宋_GB2312" w:hAnsi="微软雅黑" w:eastAsia="仿宋_GB2312" w:cs="微软雅黑"/>
                <w:color w:val="auto"/>
                <w:kern w:val="0"/>
                <w:sz w:val="28"/>
                <w:szCs w:val="28"/>
                <w:lang w:eastAsia="zh-CN" w:bidi="ar"/>
              </w:rPr>
              <w:t>业务场景性能优化服务及整体架构升级服务</w:t>
            </w:r>
          </w:p>
        </w:tc>
        <w:tc>
          <w:tcPr>
            <w:tcW w:w="3807" w:type="dxa"/>
            <w:vAlign w:val="center"/>
          </w:tcPr>
          <w:p w14:paraId="48C32521">
            <w:pPr>
              <w:adjustRightInd w:val="0"/>
              <w:snapToGrid w:val="0"/>
              <w:textAlignment w:val="center"/>
              <w:rPr>
                <w:rFonts w:ascii="仿宋_GB2312" w:eastAsia="仿宋_GB2312" w:hAnsiTheme="minorEastAsia" w:cstheme="minorEastAsia"/>
                <w:color w:val="auto"/>
                <w:kern w:val="0"/>
                <w:sz w:val="28"/>
                <w:szCs w:val="28"/>
                <w:lang w:bidi="ar"/>
              </w:rPr>
            </w:pPr>
            <w:r>
              <w:rPr>
                <w:rFonts w:ascii="仿宋_GB2312" w:hAnsi="黑体" w:eastAsia="仿宋_GB2312" w:cs="Arial"/>
                <w:sz w:val="28"/>
                <w:szCs w:val="28"/>
              </w:rPr>
              <w:t>/</w:t>
            </w:r>
          </w:p>
        </w:tc>
        <w:tc>
          <w:tcPr>
            <w:tcW w:w="861" w:type="dxa"/>
            <w:vAlign w:val="center"/>
          </w:tcPr>
          <w:p w14:paraId="0174478C">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6F47F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6A81F9B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1754E434">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144</w:t>
            </w:r>
          </w:p>
        </w:tc>
        <w:tc>
          <w:tcPr>
            <w:tcW w:w="1170" w:type="dxa"/>
            <w:vAlign w:val="center"/>
          </w:tcPr>
          <w:p w14:paraId="2EC35DC2">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供保要求</w:t>
            </w:r>
          </w:p>
        </w:tc>
        <w:tc>
          <w:tcPr>
            <w:tcW w:w="1186" w:type="dxa"/>
            <w:vAlign w:val="center"/>
          </w:tcPr>
          <w:p w14:paraId="17F09E2A">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供应链质量</w:t>
            </w:r>
          </w:p>
        </w:tc>
        <w:tc>
          <w:tcPr>
            <w:tcW w:w="1199" w:type="dxa"/>
            <w:vAlign w:val="center"/>
          </w:tcPr>
          <w:p w14:paraId="04F07E10">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抗干扰性</w:t>
            </w:r>
          </w:p>
        </w:tc>
        <w:tc>
          <w:tcPr>
            <w:tcW w:w="3807" w:type="dxa"/>
            <w:vAlign w:val="center"/>
          </w:tcPr>
          <w:p w14:paraId="1920E642">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当产品部件出现供应风险时，应通知客户并提供风险应对方案确保产品的服务保障，必要时应停止相关受影响产品的销售</w:t>
            </w:r>
          </w:p>
        </w:tc>
        <w:tc>
          <w:tcPr>
            <w:tcW w:w="861" w:type="dxa"/>
            <w:vAlign w:val="center"/>
          </w:tcPr>
          <w:p w14:paraId="1E2E3F88">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r w14:paraId="6E4B0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36FA8AE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Arial" w:eastAsia="仿宋_GB2312" w:cs="Arial"/>
                <w:sz w:val="28"/>
                <w:szCs w:val="28"/>
              </w:rPr>
              <w:t>★</w:t>
            </w:r>
          </w:p>
        </w:tc>
        <w:tc>
          <w:tcPr>
            <w:tcW w:w="623" w:type="dxa"/>
            <w:vAlign w:val="center"/>
          </w:tcPr>
          <w:p w14:paraId="44AF9D81">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145</w:t>
            </w:r>
          </w:p>
        </w:tc>
        <w:tc>
          <w:tcPr>
            <w:tcW w:w="1170" w:type="dxa"/>
            <w:vAlign w:val="center"/>
          </w:tcPr>
          <w:p w14:paraId="203A32AF">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bidi="ar"/>
              </w:rPr>
              <w:t>供保要求</w:t>
            </w:r>
          </w:p>
        </w:tc>
        <w:tc>
          <w:tcPr>
            <w:tcW w:w="1186" w:type="dxa"/>
            <w:vAlign w:val="center"/>
          </w:tcPr>
          <w:p w14:paraId="73B72EB9">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供应链质量</w:t>
            </w:r>
          </w:p>
        </w:tc>
        <w:tc>
          <w:tcPr>
            <w:tcW w:w="1199" w:type="dxa"/>
            <w:vAlign w:val="center"/>
          </w:tcPr>
          <w:p w14:paraId="55887687">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eastAsia="仿宋_GB2312" w:hAnsiTheme="minorEastAsia" w:cstheme="minorEastAsia"/>
                <w:color w:val="auto"/>
                <w:kern w:val="0"/>
                <w:sz w:val="28"/>
                <w:szCs w:val="28"/>
                <w:lang w:bidi="ar"/>
              </w:rPr>
              <w:t>*</w:t>
            </w:r>
            <w:r>
              <w:rPr>
                <w:rFonts w:ascii="仿宋_GB2312" w:hAnsi="微软雅黑" w:eastAsia="仿宋_GB2312" w:cs="微软雅黑"/>
                <w:color w:val="auto"/>
                <w:kern w:val="0"/>
                <w:sz w:val="28"/>
                <w:szCs w:val="28"/>
                <w:lang w:bidi="ar"/>
              </w:rPr>
              <w:t>供应能力证明</w:t>
            </w:r>
          </w:p>
        </w:tc>
        <w:tc>
          <w:tcPr>
            <w:tcW w:w="3807" w:type="dxa"/>
            <w:vAlign w:val="center"/>
          </w:tcPr>
          <w:p w14:paraId="6F37F4AD">
            <w:pPr>
              <w:adjustRightInd w:val="0"/>
              <w:snapToGrid w:val="0"/>
              <w:textAlignment w:val="center"/>
              <w:rPr>
                <w:rFonts w:ascii="仿宋_GB2312" w:eastAsia="仿宋_GB2312" w:hAnsiTheme="minorEastAsia" w:cstheme="minorEastAsia"/>
                <w:color w:val="auto"/>
                <w:kern w:val="0"/>
                <w:sz w:val="28"/>
                <w:szCs w:val="28"/>
                <w:lang w:eastAsia="zh-CN" w:bidi="ar"/>
              </w:rPr>
            </w:pPr>
            <w:r>
              <w:rPr>
                <w:rFonts w:ascii="仿宋_GB2312" w:hAnsi="黑体" w:eastAsia="仿宋_GB2312" w:cs="Arial"/>
                <w:sz w:val="28"/>
                <w:szCs w:val="28"/>
                <w:lang w:eastAsia="zh-CN"/>
              </w:rPr>
              <w:t>供应商提供供应链稳定承诺书，确保产品的部件在产品服务周期内稳定供货</w:t>
            </w:r>
          </w:p>
        </w:tc>
        <w:tc>
          <w:tcPr>
            <w:tcW w:w="861" w:type="dxa"/>
            <w:vAlign w:val="center"/>
          </w:tcPr>
          <w:p w14:paraId="50B296AB">
            <w:pPr>
              <w:adjustRightInd w:val="0"/>
              <w:snapToGrid w:val="0"/>
              <w:jc w:val="center"/>
              <w:textAlignment w:val="center"/>
              <w:rPr>
                <w:rFonts w:ascii="仿宋_GB2312" w:eastAsia="仿宋_GB2312" w:hAnsiTheme="minorEastAsia" w:cstheme="minorEastAsia"/>
                <w:color w:val="auto"/>
                <w:kern w:val="0"/>
                <w:sz w:val="28"/>
                <w:szCs w:val="28"/>
                <w:lang w:bidi="ar"/>
              </w:rPr>
            </w:pPr>
            <w:r>
              <w:rPr>
                <w:rFonts w:ascii="仿宋_GB2312" w:hAnsi="微软雅黑" w:eastAsia="仿宋_GB2312" w:cs="微软雅黑"/>
                <w:color w:val="auto"/>
                <w:kern w:val="0"/>
                <w:sz w:val="28"/>
                <w:szCs w:val="28"/>
                <w:lang w:val="en-US" w:eastAsia="zh-CN" w:bidi="ar"/>
              </w:rPr>
              <w:t>/</w:t>
            </w:r>
          </w:p>
        </w:tc>
      </w:tr>
    </w:tbl>
    <w:p w14:paraId="4F78CE9F">
      <w:pPr>
        <w:spacing w:before="120" w:after="120" w:line="500" w:lineRule="exact"/>
        <w:jc w:val="left"/>
        <w:outlineLvl w:val="1"/>
        <w:rPr>
          <w:rFonts w:hint="default" w:ascii="Times New Roman" w:hAnsi="Times New Roman" w:eastAsia="仿宋_GB2312" w:cs="Times New Roman"/>
          <w:b/>
          <w:caps/>
          <w:color w:val="auto"/>
          <w:kern w:val="0"/>
          <w:sz w:val="28"/>
          <w:szCs w:val="28"/>
          <w:lang w:val="en-US" w:eastAsia="zh-CN"/>
        </w:rPr>
        <w:sectPr>
          <w:pgSz w:w="11906" w:h="16838"/>
          <w:pgMar w:top="1440" w:right="1080" w:bottom="1440" w:left="1080" w:header="851" w:footer="992" w:gutter="0"/>
          <w:cols w:space="720" w:num="1"/>
          <w:docGrid w:type="lines" w:linePitch="312" w:charSpace="0"/>
        </w:sectPr>
      </w:pPr>
    </w:p>
    <w:p w14:paraId="689B8BFE">
      <w:pPr>
        <w:spacing w:before="120" w:after="120" w:line="500" w:lineRule="exact"/>
        <w:jc w:val="left"/>
        <w:outlineLvl w:val="1"/>
        <w:rPr>
          <w:rFonts w:hint="default" w:ascii="Times New Roman" w:hAnsi="Times New Roman" w:eastAsia="仿宋_GB2312" w:cs="Times New Roman"/>
          <w:b/>
          <w:caps/>
          <w:color w:val="auto"/>
          <w:kern w:val="0"/>
          <w:sz w:val="32"/>
          <w:szCs w:val="32"/>
          <w:lang w:eastAsia="zh-CN"/>
        </w:rPr>
      </w:pPr>
      <w:r>
        <w:rPr>
          <w:rFonts w:hint="default" w:ascii="Times New Roman" w:hAnsi="Times New Roman" w:eastAsia="仿宋_GB2312" w:cs="Times New Roman"/>
          <w:b/>
          <w:caps/>
          <w:color w:val="auto"/>
          <w:kern w:val="0"/>
          <w:sz w:val="28"/>
          <w:szCs w:val="28"/>
          <w:lang w:val="en-US" w:eastAsia="zh-CN"/>
        </w:rPr>
        <w:t>二、其他项目相关要求：</w:t>
      </w:r>
      <w:r>
        <w:rPr>
          <w:rFonts w:hint="default" w:ascii="Times New Roman" w:hAnsi="Times New Roman" w:eastAsia="仿宋_GB2312" w:cs="Times New Roman"/>
          <w:b/>
          <w:caps/>
          <w:color w:val="auto"/>
          <w:kern w:val="0"/>
          <w:sz w:val="32"/>
          <w:szCs w:val="32"/>
          <w:lang w:eastAsia="zh-CN"/>
        </w:rPr>
        <w:t xml:space="preserve"> </w:t>
      </w:r>
    </w:p>
    <w:p w14:paraId="32566E22">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w:t>
      </w:r>
      <w:r>
        <w:rPr>
          <w:rFonts w:ascii="Times New Roman" w:hAnsi="Times New Roman" w:eastAsia="仿宋_GB2312" w:cs="Times New Roman"/>
          <w:color w:val="auto"/>
          <w:sz w:val="28"/>
          <w:szCs w:val="28"/>
          <w:lang w:val="en-US" w:eastAsia="zh-CN"/>
        </w:rPr>
        <w:t>.</w:t>
      </w:r>
      <w:r>
        <w:rPr>
          <w:rFonts w:ascii="仿宋_GB2312" w:hAnsi="仿宋_GB2312" w:eastAsia="仿宋_GB2312" w:cs="仿宋_GB2312"/>
          <w:color w:val="auto"/>
          <w:kern w:val="21"/>
          <w:sz w:val="28"/>
          <w:szCs w:val="28"/>
          <w:lang w:val="en-US" w:eastAsia="zh-CN" w:bidi="ar"/>
        </w:rPr>
        <w:t xml:space="preserve"> 项目需求及技术要求中所描述的技术参数,如有与某产品的指标或参数描述相同,并非特指,仅为产品质量、档次、水平的参照。</w:t>
      </w:r>
      <w:r>
        <w:rPr>
          <w:rFonts w:hint="default" w:ascii="Times New Roman" w:hAnsi="Times New Roman" w:eastAsia="仿宋_GB2312" w:cs="Times New Roman"/>
          <w:color w:val="auto"/>
          <w:sz w:val="28"/>
          <w:szCs w:val="28"/>
          <w:lang w:val="en-US" w:eastAsia="zh-CN"/>
        </w:rPr>
        <w:t>供应商可提供品质和功能相同的或优于同类产品的货物或方案。</w:t>
      </w:r>
    </w:p>
    <w:p w14:paraId="38CBE68B">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2.检测的标准依据国家有关规定执行。</w:t>
      </w:r>
    </w:p>
    <w:p w14:paraId="01583452">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3.所投货物必须生产厂家在中国设有技术服务机构。</w:t>
      </w:r>
    </w:p>
    <w:p w14:paraId="2FDBEEC1">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4</w:t>
      </w:r>
      <w:r>
        <w:rPr>
          <w:rFonts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val="en-US" w:eastAsia="zh-CN"/>
        </w:rPr>
        <w:t>除竞争性磋商文件要求提供的货物备件、专用工具和消耗品外，所有备件必须符合国家标准及行业要求。</w:t>
      </w:r>
    </w:p>
    <w:p w14:paraId="23632819">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5.本次采购货物中如果某些技术标准与国家所要求的标准不统一或有不兼容的地方，均以国家强制性标准或最新出台的标准为准。</w:t>
      </w:r>
    </w:p>
    <w:p w14:paraId="2E061F16">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6.如果未在竞争性磋商文件中要求提供其相关行业标准或国家强制性标准的，则供应商可给予补充说明。</w:t>
      </w:r>
    </w:p>
    <w:p w14:paraId="3BE36293">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7.质量保证期为</w:t>
      </w:r>
      <w:r>
        <w:rPr>
          <w:rFonts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val="en-US" w:eastAsia="zh-CN"/>
        </w:rPr>
        <w:t>年，非人为或不抗力因素，导致产品损坏，供应商须免费上门维修（第一年只换不修）</w:t>
      </w:r>
    </w:p>
    <w:p w14:paraId="1D497FDA">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8.售后服务及保修</w:t>
      </w:r>
    </w:p>
    <w:p w14:paraId="27BA9348">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在建设项目中，提供如下服务承诺：</w:t>
      </w:r>
    </w:p>
    <w:p w14:paraId="3BB0F6C4">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①项目验收结束后，提供5年免费服务，提供软件的免费升级更新</w:t>
      </w:r>
    </w:p>
    <w:p w14:paraId="0EF78D3B">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②免费提供完整的产品资料，包括系统安装使用手册、系统功能模块说明书、用户使用手册、帮助文档等；</w:t>
      </w:r>
    </w:p>
    <w:p w14:paraId="49F1C39C">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③提供7×24小时响应服务；</w:t>
      </w:r>
    </w:p>
    <w:p w14:paraId="5AEA13D5">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④对所反映的任何问题在</w:t>
      </w:r>
      <w:r>
        <w:rPr>
          <w:rFonts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val="en-US" w:eastAsia="zh-CN"/>
        </w:rPr>
        <w:t>小时之内得到及时响应，在远程不能解决问题的情况下，应确保4</w:t>
      </w:r>
      <w:r>
        <w:rPr>
          <w:rFonts w:ascii="Times New Roman" w:hAnsi="Times New Roman" w:eastAsia="仿宋_GB2312" w:cs="Times New Roman"/>
          <w:color w:val="auto"/>
          <w:sz w:val="28"/>
          <w:szCs w:val="28"/>
          <w:lang w:val="en-US" w:eastAsia="zh-CN"/>
        </w:rPr>
        <w:t>8</w:t>
      </w:r>
      <w:r>
        <w:rPr>
          <w:rFonts w:hint="default" w:ascii="Times New Roman" w:hAnsi="Times New Roman" w:eastAsia="仿宋_GB2312" w:cs="Times New Roman"/>
          <w:color w:val="auto"/>
          <w:sz w:val="28"/>
          <w:szCs w:val="28"/>
          <w:lang w:val="en-US" w:eastAsia="zh-CN"/>
        </w:rPr>
        <w:t>小时之内赶到现场以求实地解决问题；</w:t>
      </w:r>
    </w:p>
    <w:p w14:paraId="6107BC40">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⑤保证所推荐设备之间有良好互联性及兼容性；</w:t>
      </w:r>
    </w:p>
    <w:p w14:paraId="00CDD658">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在保修期内，</w:t>
      </w:r>
      <w:r>
        <w:rPr>
          <w:rFonts w:ascii="Times New Roman" w:hAnsi="Times New Roman" w:eastAsia="仿宋_GB2312" w:cs="Times New Roman"/>
          <w:color w:val="auto"/>
          <w:sz w:val="28"/>
          <w:szCs w:val="28"/>
          <w:lang w:val="en-US" w:eastAsia="zh-CN"/>
        </w:rPr>
        <w:t>成交供应商</w:t>
      </w:r>
      <w:r>
        <w:rPr>
          <w:rFonts w:hint="default" w:ascii="Times New Roman" w:hAnsi="Times New Roman" w:eastAsia="仿宋_GB2312" w:cs="Times New Roman"/>
          <w:color w:val="auto"/>
          <w:sz w:val="28"/>
          <w:szCs w:val="28"/>
          <w:lang w:val="en-US" w:eastAsia="zh-CN"/>
        </w:rPr>
        <w:t>负责免费对全部货物进行维护和软件维护、升级。</w:t>
      </w:r>
      <w:r>
        <w:rPr>
          <w:rFonts w:ascii="Times New Roman" w:hAnsi="Times New Roman" w:eastAsia="仿宋_GB2312" w:cs="Times New Roman"/>
          <w:color w:val="auto"/>
          <w:sz w:val="28"/>
          <w:szCs w:val="28"/>
          <w:lang w:val="en-US" w:eastAsia="zh-CN"/>
        </w:rPr>
        <w:t>成交供应商</w:t>
      </w:r>
      <w:r>
        <w:rPr>
          <w:rFonts w:hint="default" w:ascii="Times New Roman" w:hAnsi="Times New Roman" w:eastAsia="仿宋_GB2312" w:cs="Times New Roman"/>
          <w:color w:val="auto"/>
          <w:sz w:val="28"/>
          <w:szCs w:val="28"/>
          <w:lang w:val="en-US" w:eastAsia="zh-CN"/>
        </w:rPr>
        <w:t>在保修期内每一季度一次巡检。</w:t>
      </w:r>
    </w:p>
    <w:p w14:paraId="73A4A171">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9.合同签订后</w:t>
      </w:r>
      <w:r>
        <w:rPr>
          <w:rFonts w:ascii="Times New Roman" w:hAnsi="Times New Roman" w:eastAsia="仿宋_GB2312" w:cs="Times New Roman"/>
          <w:color w:val="auto"/>
          <w:sz w:val="28"/>
          <w:szCs w:val="28"/>
          <w:lang w:val="en-US" w:eastAsia="zh-CN"/>
        </w:rPr>
        <w:t>10</w:t>
      </w:r>
      <w:r>
        <w:rPr>
          <w:rFonts w:hint="default" w:ascii="Times New Roman" w:hAnsi="Times New Roman" w:eastAsia="仿宋_GB2312" w:cs="Times New Roman"/>
          <w:color w:val="auto"/>
          <w:sz w:val="28"/>
          <w:szCs w:val="28"/>
          <w:lang w:val="en-US" w:eastAsia="zh-CN"/>
        </w:rPr>
        <w:t>个日历日内完成本项目的供货、安装及调试。本次采购项目为交钥匙工程，所需的一切货物、材料、安装、税金等相关费用，应全部包含在</w:t>
      </w:r>
      <w:r>
        <w:rPr>
          <w:rFonts w:ascii="Times New Roman" w:hAnsi="Times New Roman" w:eastAsia="仿宋_GB2312" w:cs="Times New Roman"/>
          <w:color w:val="auto"/>
          <w:sz w:val="28"/>
          <w:szCs w:val="28"/>
          <w:lang w:val="en-US" w:eastAsia="zh-CN"/>
        </w:rPr>
        <w:t>响应</w:t>
      </w:r>
      <w:r>
        <w:rPr>
          <w:rFonts w:hint="default" w:ascii="Times New Roman" w:hAnsi="Times New Roman" w:eastAsia="仿宋_GB2312" w:cs="Times New Roman"/>
          <w:color w:val="auto"/>
          <w:sz w:val="28"/>
          <w:szCs w:val="28"/>
          <w:lang w:val="en-US" w:eastAsia="zh-CN"/>
        </w:rPr>
        <w:t>报价之中。</w:t>
      </w:r>
    </w:p>
    <w:p w14:paraId="0DD26417">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10.采购内容及技术规格要求中，所描述的技术参数，如有与某产品的指标或参数描述相同，并非特指，仅为产品质量、档次、水平的参照。供应商所投产品应等同或相当于或高于采购文件所描述的技术要求。</w:t>
      </w:r>
    </w:p>
    <w:p w14:paraId="5B5684EB">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11.本项目为助力打好污染防治攻坚战，推广使用绿色包装，所有商品包装符合《商品包装政府采购需求标准（试行）》、快递包装符合《快递包装政府采购需求标准（试行）》要求的，供应商应提供相关承诺函予以响应。</w:t>
      </w:r>
    </w:p>
    <w:p w14:paraId="21361EEA">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12.根据选择产品的节能环保情况，供应商应在竞争性磋商响应文件中提供节能环保产品证明文件。</w:t>
      </w:r>
    </w:p>
    <w:p w14:paraId="528D1649">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13.</w:t>
      </w:r>
      <w:r>
        <w:rPr>
          <w:rFonts w:ascii="仿宋_GB2312" w:hAnsi="仿宋_GB2312" w:eastAsia="仿宋_GB2312" w:cs="仿宋_GB2312"/>
          <w:color w:val="auto"/>
          <w:kern w:val="0"/>
          <w:sz w:val="28"/>
          <w:szCs w:val="28"/>
          <w:lang w:val="en-US" w:eastAsia="zh-CN"/>
        </w:rPr>
        <w:t xml:space="preserve"> 供应商提供自2023年1月1日以来（以合同签订时间为准）的类似项目业绩。</w:t>
      </w:r>
    </w:p>
    <w:p w14:paraId="439B53EE">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w:t>
      </w:r>
      <w:r>
        <w:rPr>
          <w:rFonts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val="en-US" w:eastAsia="zh-CN"/>
        </w:rPr>
        <w:t>. 供应商根据本项目特点及采购人实际情况，在竞争性磋商响应文件中制定完善的项目实施方案。项目实施方案应包括但不限于：安装计划、组织机构、安全保障措施、安装调试规划、安装人员组成、质量保证措施等内容。</w:t>
      </w:r>
    </w:p>
    <w:p w14:paraId="19EE566A">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w:t>
      </w:r>
      <w:r>
        <w:rPr>
          <w:rFonts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val="en-US" w:eastAsia="zh-CN"/>
        </w:rPr>
        <w:t>. 供应商针对本项目特点，应在竞争性磋商响应文件中制定人员培训方案。方案应包括但不限于：培训的时间、地点、目标方式、内容、对象和措施、培训工程师数量、培训人员资质等。</w:t>
      </w:r>
    </w:p>
    <w:p w14:paraId="5B10A0D7">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w:t>
      </w:r>
      <w:r>
        <w:rPr>
          <w:rFonts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lang w:val="en-US" w:eastAsia="zh-CN"/>
        </w:rPr>
        <w:t>. 供应商针对本项目需求提供售后服务方案，方案应包括但不限于：售后服务内容、形式、团队成员数、含免费维修响应时间、解决质量或操作问题的响应时间、解决问题时间、售后服务地点等。</w:t>
      </w:r>
    </w:p>
    <w:p w14:paraId="2CC7D96D">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ascii="Times New Roman" w:hAnsi="Times New Roman" w:eastAsia="仿宋_GB2312" w:cs="Times New Roman"/>
          <w:color w:val="auto"/>
          <w:sz w:val="28"/>
          <w:szCs w:val="28"/>
          <w:lang w:val="en-US" w:eastAsia="zh-CN"/>
        </w:rPr>
        <w:t>17.</w:t>
      </w:r>
      <w:r>
        <w:rPr>
          <w:rFonts w:hint="default" w:ascii="Times New Roman" w:hAnsi="Times New Roman" w:eastAsia="仿宋_GB2312" w:cs="Times New Roman"/>
          <w:color w:val="auto"/>
          <w:sz w:val="28"/>
          <w:szCs w:val="28"/>
          <w:lang w:val="en-US" w:eastAsia="zh-CN"/>
        </w:rPr>
        <w:t>供应商还可在文件中提供其他与本项目相关的内容。</w:t>
      </w:r>
    </w:p>
    <w:p w14:paraId="09ECF4DB">
      <w:pPr>
        <w:spacing w:before="120" w:after="120"/>
        <w:outlineLvl w:val="1"/>
        <w:rPr>
          <w:rFonts w:hint="default" w:ascii="Times New Roman" w:hAnsi="Times New Roman" w:eastAsia="仿宋_GB2312" w:cs="Times New Roman"/>
          <w:b/>
          <w:caps/>
          <w:color w:val="auto"/>
          <w:kern w:val="0"/>
          <w:sz w:val="28"/>
          <w:szCs w:val="28"/>
          <w:lang w:val="en-US" w:eastAsia="zh-CN"/>
        </w:rPr>
      </w:pPr>
      <w:r>
        <w:rPr>
          <w:rFonts w:hint="default" w:ascii="Times New Roman" w:hAnsi="Times New Roman" w:eastAsia="仿宋_GB2312" w:cs="Times New Roman"/>
          <w:b/>
          <w:caps/>
          <w:color w:val="auto"/>
          <w:kern w:val="0"/>
          <w:sz w:val="28"/>
          <w:szCs w:val="28"/>
          <w:lang w:val="en-US" w:eastAsia="zh-CN"/>
        </w:rPr>
        <w:t>三、验收方式及标准</w:t>
      </w:r>
    </w:p>
    <w:p w14:paraId="627A2942">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1、验收组织方式：</w:t>
      </w:r>
      <w:r>
        <w:rPr>
          <w:rFonts w:hint="default" w:ascii="Times New Roman" w:hAnsi="Times New Roman" w:eastAsia="仿宋_GB2312" w:cs="Times New Roman"/>
          <w:color w:val="auto"/>
          <w:sz w:val="28"/>
          <w:szCs w:val="28"/>
          <w:lang w:val="en-US" w:eastAsia="zh-CN"/>
        </w:rPr>
        <w:sym w:font="Wingdings" w:char="00A8"/>
      </w:r>
      <w:r>
        <w:rPr>
          <w:rFonts w:hint="default" w:ascii="Times New Roman" w:hAnsi="Times New Roman" w:eastAsia="仿宋_GB2312" w:cs="Times New Roman"/>
          <w:color w:val="auto"/>
          <w:sz w:val="28"/>
          <w:szCs w:val="28"/>
          <w:lang w:val="en-US" w:eastAsia="zh-CN"/>
        </w:rPr>
        <w:t>自行组织</w:t>
      </w:r>
      <w:r>
        <w:rPr>
          <w:rFonts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val="en-US" w:eastAsia="zh-CN"/>
        </w:rPr>
        <w:sym w:font="Wingdings" w:char="00FE"/>
      </w:r>
      <w:r>
        <w:rPr>
          <w:rFonts w:hint="default" w:ascii="Times New Roman" w:hAnsi="Times New Roman" w:eastAsia="仿宋_GB2312" w:cs="Times New Roman"/>
          <w:color w:val="auto"/>
          <w:sz w:val="28"/>
          <w:szCs w:val="28"/>
          <w:lang w:val="en-US" w:eastAsia="zh-CN"/>
        </w:rPr>
        <w:t>委托第三方组织</w:t>
      </w:r>
    </w:p>
    <w:p w14:paraId="038DAF8F">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   验收主体：</w:t>
      </w:r>
      <w:r>
        <w:rPr>
          <w:rFonts w:hint="default" w:ascii="Times New Roman" w:hAnsi="Times New Roman" w:eastAsia="仿宋_GB2312" w:cs="Times New Roman"/>
          <w:color w:val="auto"/>
          <w:sz w:val="28"/>
          <w:szCs w:val="28"/>
          <w:u w:val="single"/>
          <w:lang w:val="en-US" w:eastAsia="zh-CN"/>
        </w:rPr>
        <w:t xml:space="preserve"> </w:t>
      </w:r>
      <w:r>
        <w:rPr>
          <w:rFonts w:ascii="Times New Roman" w:hAnsi="Times New Roman" w:eastAsia="仿宋_GB2312" w:cs="Times New Roman"/>
          <w:color w:val="auto"/>
          <w:sz w:val="28"/>
          <w:szCs w:val="28"/>
          <w:u w:val="single"/>
          <w:lang w:val="en-US" w:eastAsia="zh-CN"/>
        </w:rPr>
        <w:t>郑州铁路职业技术学院</w:t>
      </w:r>
      <w:r>
        <w:rPr>
          <w:rFonts w:hint="default" w:ascii="Times New Roman" w:hAnsi="Times New Roman" w:eastAsia="仿宋_GB2312" w:cs="Times New Roman"/>
          <w:color w:val="auto"/>
          <w:sz w:val="28"/>
          <w:szCs w:val="28"/>
          <w:u w:val="single"/>
          <w:lang w:val="en-US" w:eastAsia="zh-CN"/>
        </w:rPr>
        <w:t xml:space="preserve"> </w:t>
      </w:r>
      <w:r>
        <w:rPr>
          <w:rFonts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val="en-US" w:eastAsia="zh-CN"/>
        </w:rPr>
        <w:t xml:space="preserve">                 </w:t>
      </w:r>
    </w:p>
    <w:p w14:paraId="6D94A79C">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是否邀请本项目的其他供应商参加验收：</w:t>
      </w:r>
      <w:r>
        <w:rPr>
          <w:rFonts w:hint="default" w:ascii="Times New Roman" w:hAnsi="Times New Roman" w:eastAsia="仿宋_GB2312" w:cs="Times New Roman"/>
          <w:color w:val="auto"/>
          <w:sz w:val="28"/>
          <w:szCs w:val="28"/>
          <w:lang w:val="en-US" w:eastAsia="zh-CN"/>
        </w:rPr>
        <w:sym w:font="Wingdings" w:char="00A8"/>
      </w:r>
      <w:r>
        <w:rPr>
          <w:rFonts w:hint="default" w:ascii="Times New Roman" w:hAnsi="Times New Roman" w:eastAsia="仿宋_GB2312" w:cs="Times New Roman"/>
          <w:color w:val="auto"/>
          <w:sz w:val="28"/>
          <w:szCs w:val="28"/>
          <w:lang w:val="en-US" w:eastAsia="zh-CN"/>
        </w:rPr>
        <w:t xml:space="preserve">是  </w:t>
      </w:r>
      <w:r>
        <w:rPr>
          <w:rFonts w:hint="default" w:ascii="Times New Roman" w:hAnsi="Times New Roman" w:eastAsia="仿宋_GB2312" w:cs="Times New Roman"/>
          <w:color w:val="auto"/>
          <w:sz w:val="28"/>
          <w:szCs w:val="28"/>
          <w:lang w:val="en-US" w:eastAsia="zh-CN"/>
        </w:rPr>
        <w:sym w:font="Wingdings" w:char="00FE"/>
      </w:r>
      <w:r>
        <w:rPr>
          <w:rFonts w:hint="default" w:ascii="Times New Roman" w:hAnsi="Times New Roman" w:eastAsia="仿宋_GB2312" w:cs="Times New Roman"/>
          <w:color w:val="auto"/>
          <w:sz w:val="28"/>
          <w:szCs w:val="28"/>
          <w:lang w:val="en-US" w:eastAsia="zh-CN"/>
        </w:rPr>
        <w:t>否</w:t>
      </w:r>
    </w:p>
    <w:p w14:paraId="7AEF0162">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是否邀请专家参加验收：</w:t>
      </w:r>
      <w:r>
        <w:rPr>
          <w:rFonts w:hint="default" w:ascii="Times New Roman" w:hAnsi="Times New Roman" w:eastAsia="仿宋_GB2312" w:cs="Times New Roman"/>
          <w:color w:val="auto"/>
          <w:sz w:val="28"/>
          <w:szCs w:val="28"/>
          <w:lang w:val="en-US" w:eastAsia="zh-CN"/>
        </w:rPr>
        <w:sym w:font="Wingdings" w:char="00A8"/>
      </w:r>
      <w:r>
        <w:rPr>
          <w:rFonts w:hint="default" w:ascii="Times New Roman" w:hAnsi="Times New Roman" w:eastAsia="仿宋_GB2312" w:cs="Times New Roman"/>
          <w:color w:val="auto"/>
          <w:sz w:val="28"/>
          <w:szCs w:val="28"/>
          <w:lang w:val="en-US" w:eastAsia="zh-CN"/>
        </w:rPr>
        <w:t xml:space="preserve">是  </w:t>
      </w:r>
      <w:r>
        <w:rPr>
          <w:rFonts w:hint="default" w:ascii="Times New Roman" w:hAnsi="Times New Roman" w:eastAsia="仿宋_GB2312" w:cs="Times New Roman"/>
          <w:color w:val="auto"/>
          <w:sz w:val="28"/>
          <w:szCs w:val="28"/>
          <w:lang w:val="en-US" w:eastAsia="zh-CN"/>
        </w:rPr>
        <w:sym w:font="Wingdings" w:char="00FE"/>
      </w:r>
      <w:r>
        <w:rPr>
          <w:rFonts w:hint="default" w:ascii="Times New Roman" w:hAnsi="Times New Roman" w:eastAsia="仿宋_GB2312" w:cs="Times New Roman"/>
          <w:color w:val="auto"/>
          <w:sz w:val="28"/>
          <w:szCs w:val="28"/>
          <w:lang w:val="en-US" w:eastAsia="zh-CN"/>
        </w:rPr>
        <w:t>否</w:t>
      </w:r>
    </w:p>
    <w:p w14:paraId="3E14F43A">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是否邀请服务对象参加验收：</w:t>
      </w:r>
      <w:r>
        <w:rPr>
          <w:rFonts w:hint="default" w:ascii="Times New Roman" w:hAnsi="Times New Roman" w:eastAsia="仿宋_GB2312" w:cs="Times New Roman"/>
          <w:color w:val="auto"/>
          <w:sz w:val="28"/>
          <w:szCs w:val="28"/>
          <w:lang w:val="en-US" w:eastAsia="zh-CN"/>
        </w:rPr>
        <w:sym w:font="Wingdings" w:char="00A8"/>
      </w:r>
      <w:r>
        <w:rPr>
          <w:rFonts w:hint="default" w:ascii="Times New Roman" w:hAnsi="Times New Roman" w:eastAsia="仿宋_GB2312" w:cs="Times New Roman"/>
          <w:color w:val="auto"/>
          <w:sz w:val="28"/>
          <w:szCs w:val="28"/>
          <w:lang w:val="en-US" w:eastAsia="zh-CN"/>
        </w:rPr>
        <w:t xml:space="preserve">是  </w:t>
      </w:r>
      <w:r>
        <w:rPr>
          <w:rFonts w:hint="default" w:ascii="Times New Roman" w:hAnsi="Times New Roman" w:eastAsia="仿宋_GB2312" w:cs="Times New Roman"/>
          <w:color w:val="auto"/>
          <w:sz w:val="28"/>
          <w:szCs w:val="28"/>
          <w:lang w:val="en-US" w:eastAsia="zh-CN"/>
        </w:rPr>
        <w:sym w:font="Wingdings" w:char="00FE"/>
      </w:r>
      <w:r>
        <w:rPr>
          <w:rFonts w:hint="default" w:ascii="Times New Roman" w:hAnsi="Times New Roman" w:eastAsia="仿宋_GB2312" w:cs="Times New Roman"/>
          <w:color w:val="auto"/>
          <w:sz w:val="28"/>
          <w:szCs w:val="28"/>
          <w:lang w:val="en-US" w:eastAsia="zh-CN"/>
        </w:rPr>
        <w:t>否</w:t>
      </w:r>
    </w:p>
    <w:p w14:paraId="44EA3700">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是否邀请第三方检测机构参加验收：</w:t>
      </w:r>
      <w:r>
        <w:rPr>
          <w:rFonts w:hint="default" w:ascii="Times New Roman" w:hAnsi="Times New Roman" w:eastAsia="仿宋_GB2312" w:cs="Times New Roman"/>
          <w:color w:val="auto"/>
          <w:sz w:val="28"/>
          <w:szCs w:val="28"/>
          <w:lang w:val="en-US" w:eastAsia="zh-CN"/>
        </w:rPr>
        <w:sym w:font="Wingdings" w:char="00FE"/>
      </w:r>
      <w:r>
        <w:rPr>
          <w:rFonts w:hint="default" w:ascii="Times New Roman" w:hAnsi="Times New Roman" w:eastAsia="仿宋_GB2312" w:cs="Times New Roman"/>
          <w:color w:val="auto"/>
          <w:sz w:val="28"/>
          <w:szCs w:val="28"/>
          <w:lang w:val="en-US" w:eastAsia="zh-CN"/>
        </w:rPr>
        <w:t>是</w:t>
      </w:r>
      <w:r>
        <w:rPr>
          <w:rFonts w:ascii="Times New Roman" w:hAnsi="Times New Roman" w:eastAsia="仿宋_GB2312" w:cs="Times New Roman"/>
          <w:color w:val="auto"/>
          <w:sz w:val="28"/>
          <w:szCs w:val="28"/>
          <w:lang w:val="en-US" w:eastAsia="zh-CN"/>
        </w:rPr>
        <w:t>（检测费用约为成交价格的1.6%，验收费用由成交供应商支付）</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val="en-US" w:eastAsia="zh-CN"/>
        </w:rPr>
        <w:sym w:font="Wingdings" w:char="00A8"/>
      </w:r>
      <w:r>
        <w:rPr>
          <w:rFonts w:hint="default" w:ascii="Times New Roman" w:hAnsi="Times New Roman" w:eastAsia="仿宋_GB2312" w:cs="Times New Roman"/>
          <w:color w:val="auto"/>
          <w:sz w:val="28"/>
          <w:szCs w:val="28"/>
          <w:lang w:val="en-US" w:eastAsia="zh-CN"/>
        </w:rPr>
        <w:t>否</w:t>
      </w:r>
    </w:p>
    <w:p w14:paraId="684CE459">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是否进行抽查检测：</w:t>
      </w:r>
      <w:r>
        <w:rPr>
          <w:rFonts w:hint="default" w:ascii="Times New Roman" w:hAnsi="Times New Roman" w:eastAsia="仿宋_GB2312" w:cs="Times New Roman"/>
          <w:color w:val="auto"/>
          <w:sz w:val="28"/>
          <w:szCs w:val="28"/>
          <w:lang w:val="en-US" w:eastAsia="zh-CN"/>
        </w:rPr>
        <w:sym w:font="Wingdings" w:char="00A8"/>
      </w:r>
      <w:r>
        <w:rPr>
          <w:rFonts w:hint="default" w:ascii="Times New Roman" w:hAnsi="Times New Roman" w:eastAsia="仿宋_GB2312" w:cs="Times New Roman"/>
          <w:color w:val="auto"/>
          <w:sz w:val="28"/>
          <w:szCs w:val="28"/>
          <w:lang w:val="en-US" w:eastAsia="zh-CN"/>
        </w:rPr>
        <w:t>是，抽查比例：</w:t>
      </w:r>
      <w:r>
        <w:rPr>
          <w:rFonts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val="en-US" w:eastAsia="zh-CN"/>
        </w:rPr>
        <w:sym w:font="Wingdings" w:char="00FE"/>
      </w:r>
      <w:r>
        <w:rPr>
          <w:rFonts w:hint="default" w:ascii="Times New Roman" w:hAnsi="Times New Roman" w:eastAsia="仿宋_GB2312" w:cs="Times New Roman"/>
          <w:color w:val="auto"/>
          <w:sz w:val="28"/>
          <w:szCs w:val="28"/>
          <w:lang w:val="en-US" w:eastAsia="zh-CN"/>
        </w:rPr>
        <w:t>否</w:t>
      </w:r>
    </w:p>
    <w:p w14:paraId="68E11301">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是否存在破坏性检测：</w:t>
      </w:r>
      <w:r>
        <w:rPr>
          <w:rFonts w:hint="default" w:ascii="Times New Roman" w:hAnsi="Times New Roman" w:eastAsia="仿宋_GB2312" w:cs="Times New Roman"/>
          <w:color w:val="auto"/>
          <w:sz w:val="28"/>
          <w:szCs w:val="28"/>
          <w:lang w:val="en-US" w:eastAsia="zh-CN"/>
        </w:rPr>
        <w:sym w:font="Wingdings" w:char="00A8"/>
      </w:r>
      <w:r>
        <w:rPr>
          <w:rFonts w:hint="default" w:ascii="Times New Roman" w:hAnsi="Times New Roman" w:eastAsia="仿宋_GB2312" w:cs="Times New Roman"/>
          <w:color w:val="auto"/>
          <w:sz w:val="28"/>
          <w:szCs w:val="28"/>
          <w:lang w:val="en-US" w:eastAsia="zh-CN"/>
        </w:rPr>
        <w:t>是，（应明确对被破坏的检测产品的处理方式）</w:t>
      </w:r>
    </w:p>
    <w:p w14:paraId="1DA3040D">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val="en-US" w:eastAsia="zh-CN"/>
        </w:rPr>
        <w:sym w:font="Wingdings" w:char="00FE"/>
      </w:r>
      <w:r>
        <w:rPr>
          <w:rFonts w:hint="default" w:ascii="Times New Roman" w:hAnsi="Times New Roman" w:eastAsia="仿宋_GB2312" w:cs="Times New Roman"/>
          <w:color w:val="auto"/>
          <w:sz w:val="28"/>
          <w:szCs w:val="28"/>
          <w:lang w:val="en-US" w:eastAsia="zh-CN"/>
        </w:rPr>
        <w:t>否</w:t>
      </w:r>
    </w:p>
    <w:p w14:paraId="11DF35C6">
      <w:pPr>
        <w:spacing w:line="500" w:lineRule="exact"/>
        <w:ind w:firstLine="560" w:firstLineChars="200"/>
        <w:jc w:val="left"/>
        <w:rPr>
          <w:rFonts w:hint="default" w:ascii="Times New Roman" w:hAnsi="Times New Roman" w:eastAsia="仿宋_GB2312" w:cs="Times New Roman"/>
          <w:color w:val="auto"/>
          <w:sz w:val="28"/>
          <w:szCs w:val="28"/>
          <w:u w:val="single"/>
          <w:lang w:val="en-US" w:eastAsia="zh-CN"/>
        </w:rPr>
      </w:pPr>
      <w:r>
        <w:rPr>
          <w:rFonts w:hint="default" w:ascii="Times New Roman" w:hAnsi="Times New Roman" w:eastAsia="仿宋_GB2312" w:cs="Times New Roman"/>
          <w:color w:val="auto"/>
          <w:sz w:val="28"/>
          <w:szCs w:val="28"/>
          <w:lang w:val="en-US" w:eastAsia="zh-CN"/>
        </w:rPr>
        <w:t>2、履约验收时间：</w:t>
      </w:r>
      <w:r>
        <w:rPr>
          <w:rFonts w:hint="default" w:ascii="Times New Roman" w:hAnsi="Times New Roman" w:eastAsia="仿宋_GB2312" w:cs="Times New Roman"/>
          <w:color w:val="auto"/>
          <w:sz w:val="28"/>
          <w:szCs w:val="28"/>
          <w:u w:val="single"/>
          <w:lang w:val="en-US" w:eastAsia="zh-CN"/>
        </w:rPr>
        <w:t>（计划于何时验收/供应商提出验收申请之日起</w:t>
      </w:r>
      <w:r>
        <w:rPr>
          <w:rFonts w:ascii="Times New Roman" w:hAnsi="Times New Roman" w:eastAsia="仿宋_GB2312" w:cs="Times New Roman"/>
          <w:color w:val="auto"/>
          <w:sz w:val="28"/>
          <w:szCs w:val="28"/>
          <w:u w:val="single"/>
          <w:lang w:val="en-US" w:eastAsia="zh-CN"/>
        </w:rPr>
        <w:t>7</w:t>
      </w:r>
      <w:r>
        <w:rPr>
          <w:rFonts w:hint="default" w:ascii="Times New Roman" w:hAnsi="Times New Roman" w:eastAsia="仿宋_GB2312" w:cs="Times New Roman"/>
          <w:color w:val="auto"/>
          <w:sz w:val="28"/>
          <w:szCs w:val="28"/>
          <w:u w:val="single"/>
          <w:lang w:val="en-US" w:eastAsia="zh-CN"/>
        </w:rPr>
        <w:t xml:space="preserve">日内组织验收） </w:t>
      </w:r>
    </w:p>
    <w:p w14:paraId="3B1EB89C">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3、履约验收方式： </w:t>
      </w:r>
      <w:r>
        <w:rPr>
          <w:rFonts w:hint="default" w:ascii="Times New Roman" w:hAnsi="Times New Roman" w:eastAsia="仿宋_GB2312" w:cs="Times New Roman"/>
          <w:color w:val="auto"/>
          <w:sz w:val="28"/>
          <w:szCs w:val="28"/>
          <w:lang w:val="en-US" w:eastAsia="zh-CN"/>
        </w:rPr>
        <w:sym w:font="Wingdings" w:char="00FE"/>
      </w:r>
      <w:r>
        <w:rPr>
          <w:rFonts w:ascii="Times New Roman" w:hAnsi="Times New Roman" w:eastAsia="仿宋_GB2312" w:cs="Times New Roman"/>
          <w:color w:val="auto"/>
          <w:sz w:val="28"/>
          <w:szCs w:val="28"/>
          <w:lang w:val="en-US" w:eastAsia="zh-CN"/>
        </w:rPr>
        <w:t>一次性验收</w:t>
      </w:r>
      <w:r>
        <w:rPr>
          <w:rFonts w:hint="default" w:ascii="Times New Roman" w:hAnsi="Times New Roman" w:eastAsia="仿宋_GB2312" w:cs="Times New Roman"/>
          <w:color w:val="auto"/>
          <w:sz w:val="28"/>
          <w:szCs w:val="28"/>
          <w:lang w:val="en-US" w:eastAsia="zh-CN"/>
        </w:rPr>
        <w:t xml:space="preserve">         </w:t>
      </w:r>
    </w:p>
    <w:p w14:paraId="249CFDAF">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                 </w:t>
      </w:r>
      <w:r>
        <w:rPr>
          <w:rFonts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val="en-US" w:eastAsia="zh-CN"/>
        </w:rPr>
        <w:sym w:font="Wingdings" w:char="00A8"/>
      </w:r>
      <w:r>
        <w:rPr>
          <w:rFonts w:hint="default" w:ascii="Times New Roman" w:hAnsi="Times New Roman" w:eastAsia="仿宋_GB2312" w:cs="Times New Roman"/>
          <w:color w:val="auto"/>
          <w:sz w:val="28"/>
          <w:szCs w:val="28"/>
          <w:lang w:val="en-US" w:eastAsia="zh-CN"/>
        </w:rPr>
        <w:t>分期/分项验收：（应明确分期</w:t>
      </w:r>
      <w:r>
        <w:rPr>
          <w:rFonts w:hint="default" w:ascii="Times New Roman" w:hAnsi="Times New Roman" w:eastAsia="仿宋_GB2312" w:cs="Times New Roman"/>
          <w:color w:val="auto"/>
          <w:sz w:val="28"/>
          <w:szCs w:val="28"/>
          <w:lang w:val="en" w:eastAsia="zh-CN"/>
        </w:rPr>
        <w:t>/分项验收的工作安排</w:t>
      </w:r>
      <w:r>
        <w:rPr>
          <w:rFonts w:hint="default" w:ascii="Times New Roman" w:hAnsi="Times New Roman" w:eastAsia="仿宋_GB2312" w:cs="Times New Roman"/>
          <w:color w:val="auto"/>
          <w:sz w:val="28"/>
          <w:szCs w:val="28"/>
          <w:lang w:val="en-US" w:eastAsia="zh-CN"/>
        </w:rPr>
        <w:t xml:space="preserve">）  </w:t>
      </w:r>
    </w:p>
    <w:p w14:paraId="35BCE137">
      <w:pPr>
        <w:numPr>
          <w:ilvl w:val="0"/>
          <w:numId w:val="13"/>
        </w:num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履约验收程序： (1)到货验收。到货后，检查仪器设备内外包装是否完好，有无破损、碰伤、浸湿、受潮、变形等情况。确认所验收货物件数与运输单据填写的件数一致。如发现上述问题，应做详细记录，并拍照留据。</w:t>
      </w:r>
    </w:p>
    <w:p w14:paraId="2A18CF20">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开箱(实物及数量参数)验收。到货后开箱检查仪器设备及附件外表有无残损、锈蚀、碰伤等，检查随机资料是否齐全，如仪器说明书、操作规程、检修手册、产品检验合格证书等。以装箱单为依据，逐件核对检查主机、附件的规格、型号、配置及数量。以供货合同为依据与装箱单 进行核对，做好货物(设备)验收清单记录。</w:t>
      </w:r>
    </w:p>
    <w:p w14:paraId="14CED7CB">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 质量验收。按照合同条款、货物(设备) 使用说明书及操作手册的规定和程序进行安装、调试后进行质量验收，</w:t>
      </w:r>
      <w:r>
        <w:rPr>
          <w:rFonts w:ascii="Times New Roman" w:hAnsi="Times New Roman" w:eastAsia="仿宋_GB2312" w:cs="Times New Roman"/>
          <w:color w:val="auto"/>
          <w:sz w:val="28"/>
          <w:szCs w:val="28"/>
          <w:lang w:val="en-US" w:eastAsia="zh-CN"/>
        </w:rPr>
        <w:t>成交供应商</w:t>
      </w:r>
      <w:r>
        <w:rPr>
          <w:rFonts w:hint="default" w:ascii="Times New Roman" w:hAnsi="Times New Roman" w:eastAsia="仿宋_GB2312" w:cs="Times New Roman"/>
          <w:color w:val="auto"/>
          <w:sz w:val="28"/>
          <w:szCs w:val="28"/>
          <w:lang w:val="en-US" w:eastAsia="zh-CN"/>
        </w:rPr>
        <w:t>技术人员参加，必要时可委托有资质的第三方(或政府主管部门)进行验收，所需费用由</w:t>
      </w:r>
      <w:r>
        <w:rPr>
          <w:rFonts w:ascii="Times New Roman" w:hAnsi="Times New Roman" w:eastAsia="仿宋_GB2312" w:cs="Times New Roman"/>
          <w:color w:val="auto"/>
          <w:sz w:val="28"/>
          <w:szCs w:val="28"/>
          <w:lang w:val="en-US" w:eastAsia="zh-CN"/>
        </w:rPr>
        <w:t>成交供应商</w:t>
      </w:r>
      <w:r>
        <w:rPr>
          <w:rFonts w:hint="default" w:ascii="Times New Roman" w:hAnsi="Times New Roman" w:eastAsia="仿宋_GB2312" w:cs="Times New Roman"/>
          <w:color w:val="auto"/>
          <w:sz w:val="28"/>
          <w:szCs w:val="28"/>
          <w:lang w:val="en-US" w:eastAsia="zh-CN"/>
        </w:rPr>
        <w:t>承担。验收时对照货物(设备)使用说明书，进行各种技术参数测试，检查仪器的技术指标和性能是否达到要求，做好质量验收记录，验收结束出具验收报告。若仪器出现质量问题，应将详细情况书面通知</w:t>
      </w:r>
      <w:r>
        <w:rPr>
          <w:rFonts w:ascii="Times New Roman" w:hAnsi="Times New Roman" w:eastAsia="仿宋_GB2312" w:cs="Times New Roman"/>
          <w:color w:val="auto"/>
          <w:sz w:val="28"/>
          <w:szCs w:val="28"/>
          <w:lang w:val="en-US" w:eastAsia="zh-CN"/>
        </w:rPr>
        <w:t>成交</w:t>
      </w:r>
      <w:r>
        <w:rPr>
          <w:rFonts w:hint="default" w:ascii="Times New Roman" w:hAnsi="Times New Roman" w:eastAsia="仿宋_GB2312" w:cs="Times New Roman"/>
          <w:color w:val="auto"/>
          <w:sz w:val="28"/>
          <w:szCs w:val="28"/>
          <w:lang w:val="en-US" w:eastAsia="zh-CN"/>
        </w:rPr>
        <w:t>供应商。</w:t>
      </w:r>
    </w:p>
    <w:p w14:paraId="5E394011">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w:t>
      </w:r>
      <w:r>
        <w:rPr>
          <w:rFonts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val="en-US" w:eastAsia="zh-CN"/>
        </w:rPr>
        <w:t>)</w:t>
      </w:r>
      <w:r>
        <w:rPr>
          <w:rFonts w:ascii="Times New Roman" w:hAnsi="Times New Roman" w:eastAsia="仿宋_GB2312" w:cs="Times New Roman"/>
          <w:color w:val="auto"/>
          <w:sz w:val="28"/>
          <w:szCs w:val="28"/>
          <w:lang w:val="en-US" w:eastAsia="zh-CN"/>
        </w:rPr>
        <w:t>正式验收。使用单位初验合格后，由学校或第三方验收机构进行正式验收，验收所产生的费用由中标人承担。</w:t>
      </w:r>
      <w:r>
        <w:rPr>
          <w:rFonts w:hint="default" w:ascii="Times New Roman" w:hAnsi="Times New Roman" w:eastAsia="仿宋_GB2312" w:cs="Times New Roman"/>
          <w:color w:val="auto"/>
          <w:sz w:val="28"/>
          <w:szCs w:val="28"/>
          <w:lang w:val="en-US" w:eastAsia="zh-CN"/>
        </w:rPr>
        <w:t xml:space="preserve">                                                                 </w:t>
      </w:r>
    </w:p>
    <w:p w14:paraId="555BA44A">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5、履约验收的内容：</w:t>
      </w:r>
      <w:r>
        <w:rPr>
          <w:rFonts w:hint="default" w:ascii="Times New Roman" w:hAnsi="Times New Roman" w:eastAsia="仿宋_GB2312" w:cs="Times New Roman"/>
          <w:color w:val="auto"/>
          <w:sz w:val="28"/>
          <w:szCs w:val="28"/>
          <w:u w:val="single"/>
          <w:lang w:val="en-US" w:eastAsia="zh-CN"/>
        </w:rPr>
        <w:t>（应当包括每一项技术和商务要求的履约情况，特别是落实政府采购扶持中小企业，支持绿色发展和乡村振兴等政策情况）</w:t>
      </w:r>
      <w:r>
        <w:rPr>
          <w:rFonts w:hint="default" w:ascii="Times New Roman" w:hAnsi="Times New Roman" w:eastAsia="仿宋_GB2312" w:cs="Times New Roman"/>
          <w:color w:val="auto"/>
          <w:sz w:val="28"/>
          <w:szCs w:val="28"/>
          <w:lang w:val="en-US" w:eastAsia="zh-CN"/>
        </w:rPr>
        <w:t xml:space="preserve">                                      </w:t>
      </w:r>
    </w:p>
    <w:p w14:paraId="37BA9C1A">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6、履约验收标准：</w:t>
      </w:r>
      <w:r>
        <w:rPr>
          <w:rFonts w:hint="default" w:ascii="Times New Roman" w:hAnsi="Times New Roman" w:eastAsia="仿宋_GB2312" w:cs="Times New Roman"/>
          <w:color w:val="auto"/>
          <w:sz w:val="28"/>
          <w:szCs w:val="28"/>
          <w:u w:val="single"/>
          <w:lang w:val="en-US" w:eastAsia="zh-CN"/>
        </w:rPr>
        <w:t>符合国家相关行业合格标准且满足采购人需求。</w:t>
      </w:r>
      <w:r>
        <w:rPr>
          <w:rFonts w:hint="default" w:ascii="Times New Roman" w:hAnsi="Times New Roman" w:eastAsia="仿宋_GB2312" w:cs="Times New Roman"/>
          <w:color w:val="auto"/>
          <w:sz w:val="28"/>
          <w:szCs w:val="28"/>
          <w:lang w:val="en-US" w:eastAsia="zh-CN"/>
        </w:rPr>
        <w:t xml:space="preserve">                                     </w:t>
      </w:r>
    </w:p>
    <w:p w14:paraId="0D035688">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7、是否以采购活动中供应商提供的样品作为参考：</w:t>
      </w:r>
      <w:r>
        <w:rPr>
          <w:rFonts w:hint="default" w:ascii="Times New Roman" w:hAnsi="Times New Roman" w:eastAsia="仿宋_GB2312" w:cs="Times New Roman"/>
          <w:color w:val="auto"/>
          <w:sz w:val="28"/>
          <w:szCs w:val="28"/>
          <w:lang w:val="en-US" w:eastAsia="zh-CN"/>
        </w:rPr>
        <w:sym w:font="Wingdings" w:char="00A8"/>
      </w:r>
      <w:r>
        <w:rPr>
          <w:rFonts w:hint="default" w:ascii="Times New Roman" w:hAnsi="Times New Roman" w:eastAsia="仿宋_GB2312" w:cs="Times New Roman"/>
          <w:color w:val="auto"/>
          <w:sz w:val="28"/>
          <w:szCs w:val="28"/>
          <w:lang w:val="en-US" w:eastAsia="zh-CN"/>
        </w:rPr>
        <w:t xml:space="preserve">是  </w:t>
      </w:r>
      <w:r>
        <w:rPr>
          <w:rFonts w:hint="default" w:ascii="Times New Roman" w:hAnsi="Times New Roman" w:eastAsia="仿宋_GB2312" w:cs="Times New Roman"/>
          <w:color w:val="auto"/>
          <w:sz w:val="28"/>
          <w:szCs w:val="28"/>
          <w:lang w:val="en-US" w:eastAsia="zh-CN"/>
        </w:rPr>
        <w:sym w:font="Wingdings" w:char="00FE"/>
      </w:r>
      <w:r>
        <w:rPr>
          <w:rFonts w:hint="default" w:ascii="Times New Roman" w:hAnsi="Times New Roman" w:eastAsia="仿宋_GB2312" w:cs="Times New Roman"/>
          <w:color w:val="auto"/>
          <w:sz w:val="28"/>
          <w:szCs w:val="28"/>
          <w:lang w:val="en-US" w:eastAsia="zh-CN"/>
        </w:rPr>
        <w:t>否</w:t>
      </w:r>
    </w:p>
    <w:p w14:paraId="541B6504">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8、履约验收其他事项： </w:t>
      </w:r>
      <w:r>
        <w:rPr>
          <w:rFonts w:hint="default" w:ascii="Times New Roman" w:hAnsi="Times New Roman" w:eastAsia="仿宋_GB2312" w:cs="Times New Roman"/>
          <w:color w:val="auto"/>
          <w:sz w:val="28"/>
          <w:szCs w:val="28"/>
          <w:u w:val="single"/>
          <w:lang w:val="en-US" w:eastAsia="zh-CN"/>
        </w:rPr>
        <w:t xml:space="preserve">无  </w:t>
      </w:r>
      <w:r>
        <w:rPr>
          <w:rFonts w:hint="default" w:ascii="Times New Roman" w:hAnsi="Times New Roman" w:eastAsia="仿宋_GB2312" w:cs="Times New Roman"/>
          <w:color w:val="auto"/>
          <w:sz w:val="28"/>
          <w:szCs w:val="28"/>
          <w:lang w:val="en-US" w:eastAsia="zh-CN"/>
        </w:rPr>
        <w:t xml:space="preserve">   （产权过户登记等）          </w:t>
      </w:r>
    </w:p>
    <w:p w14:paraId="39FF1A7A">
      <w:pPr>
        <w:pStyle w:val="24"/>
      </w:pPr>
    </w:p>
    <w:p w14:paraId="0AA793DD">
      <w:pPr>
        <w:spacing w:line="500" w:lineRule="exact"/>
        <w:ind w:firstLine="560" w:firstLineChars="200"/>
        <w:jc w:val="center"/>
        <w:outlineLvl w:val="0"/>
        <w:rPr>
          <w:rFonts w:hint="default" w:ascii="Times New Roman" w:hAnsi="Times New Roman" w:cs="Times New Roman"/>
          <w:b/>
          <w:bCs/>
          <w:color w:val="auto"/>
          <w:kern w:val="44"/>
          <w:sz w:val="36"/>
          <w:szCs w:val="36"/>
          <w:lang w:eastAsia="zh-CN"/>
        </w:rPr>
      </w:pPr>
      <w:r>
        <w:rPr>
          <w:rFonts w:hint="default" w:ascii="Times New Roman" w:hAnsi="Times New Roman" w:eastAsia="仿宋_GB2312" w:cs="Times New Roman"/>
          <w:color w:val="auto"/>
          <w:sz w:val="28"/>
          <w:szCs w:val="28"/>
          <w:lang w:val="en-US" w:eastAsia="zh-CN"/>
        </w:rPr>
        <w:br w:type="page"/>
      </w:r>
      <w:bookmarkStart w:id="272" w:name="_Toc9116"/>
      <w:r>
        <w:rPr>
          <w:rFonts w:hint="default" w:ascii="Times New Roman" w:hAnsi="Times New Roman" w:cs="Times New Roman"/>
          <w:b/>
          <w:bCs/>
          <w:color w:val="auto"/>
          <w:kern w:val="44"/>
          <w:sz w:val="36"/>
          <w:szCs w:val="36"/>
          <w:lang w:eastAsia="zh-CN"/>
        </w:rPr>
        <w:t>第六章 磋商方法和标准</w:t>
      </w:r>
      <w:bookmarkEnd w:id="272"/>
    </w:p>
    <w:p w14:paraId="59E03B15">
      <w:pPr>
        <w:spacing w:line="320" w:lineRule="exact"/>
        <w:outlineLvl w:val="2"/>
        <w:rPr>
          <w:rFonts w:hint="default" w:ascii="Times New Roman" w:hAnsi="Times New Roman" w:eastAsia="仿宋_GB2312" w:cs="Times New Roman"/>
          <w:b/>
          <w:color w:val="auto"/>
          <w:sz w:val="28"/>
          <w:szCs w:val="28"/>
          <w:lang w:eastAsia="zh-CN"/>
        </w:rPr>
      </w:pPr>
      <w:bookmarkStart w:id="273" w:name="_Toc1270934164_WPSOffice_Level2"/>
      <w:bookmarkStart w:id="274" w:name="_Toc421828923_WPSOffice_Level2"/>
      <w:bookmarkStart w:id="275" w:name="_Toc682913791_WPSOffice_Level2"/>
      <w:bookmarkStart w:id="276" w:name="_Toc1595179162_WPSOffice_Level2"/>
      <w:r>
        <w:rPr>
          <w:rFonts w:hint="default" w:ascii="Times New Roman" w:hAnsi="Times New Roman" w:eastAsia="仿宋_GB2312" w:cs="Times New Roman"/>
          <w:b/>
          <w:color w:val="auto"/>
          <w:sz w:val="28"/>
          <w:szCs w:val="28"/>
          <w:lang w:eastAsia="zh-CN"/>
        </w:rPr>
        <w:t>一、</w:t>
      </w:r>
      <w:bookmarkEnd w:id="273"/>
      <w:bookmarkEnd w:id="274"/>
      <w:bookmarkEnd w:id="275"/>
      <w:bookmarkEnd w:id="276"/>
      <w:r>
        <w:rPr>
          <w:rFonts w:hint="default" w:ascii="Times New Roman" w:hAnsi="Times New Roman" w:eastAsia="仿宋_GB2312" w:cs="Times New Roman"/>
          <w:b/>
          <w:color w:val="auto"/>
          <w:sz w:val="28"/>
          <w:szCs w:val="28"/>
          <w:lang w:eastAsia="zh-CN"/>
        </w:rPr>
        <w:t xml:space="preserve">磋商方法 </w:t>
      </w:r>
    </w:p>
    <w:p w14:paraId="0A477E82">
      <w:pPr>
        <w:spacing w:line="360" w:lineRule="auto"/>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采用综合评分法，总分值</w:t>
      </w:r>
      <w:r>
        <w:rPr>
          <w:rFonts w:hint="default" w:ascii="Times New Roman" w:hAnsi="Times New Roman" w:eastAsia="仿宋_GB2312" w:cs="Times New Roman"/>
          <w:color w:val="auto"/>
          <w:sz w:val="28"/>
          <w:szCs w:val="28"/>
          <w:lang w:val="en-US" w:eastAsia="zh-CN"/>
        </w:rPr>
        <w:t>100</w:t>
      </w:r>
      <w:r>
        <w:rPr>
          <w:rFonts w:hint="default" w:ascii="Times New Roman" w:hAnsi="Times New Roman" w:eastAsia="仿宋_GB2312" w:cs="Times New Roman"/>
          <w:color w:val="auto"/>
          <w:sz w:val="28"/>
          <w:szCs w:val="28"/>
          <w:lang w:eastAsia="zh-CN"/>
        </w:rPr>
        <w:t>分。</w:t>
      </w:r>
      <w:bookmarkStart w:id="277" w:name="_Toc35230229_WPSOffice_Level2"/>
      <w:r>
        <w:rPr>
          <w:rFonts w:hint="default" w:ascii="Times New Roman" w:hAnsi="Times New Roman" w:eastAsia="仿宋_GB2312" w:cs="Times New Roman"/>
          <w:color w:val="auto"/>
          <w:sz w:val="28"/>
          <w:szCs w:val="28"/>
          <w:lang w:eastAsia="zh-CN"/>
        </w:rPr>
        <w:t>竞争性磋商小组对各供应商的竞争性磋商响应文件进行初步审查、详细评审后，按综合评审得分由高到低顺序推荐排名。如综合评审得分相同的，按最后磋商响应报价由低到高顺序推荐排名；综合评审得分且最后磋商响应报价相同的，按技术指标等优劣顺序推荐排名。</w:t>
      </w:r>
    </w:p>
    <w:bookmarkEnd w:id="277"/>
    <w:p w14:paraId="73CCE796">
      <w:pPr>
        <w:spacing w:line="360" w:lineRule="auto"/>
        <w:ind w:firstLine="562" w:firstLineChars="200"/>
        <w:rPr>
          <w:rFonts w:hint="default" w:ascii="Times New Roman" w:hAnsi="Times New Roman" w:eastAsia="仿宋_GB2312" w:cs="Times New Roman"/>
          <w:b/>
          <w:color w:val="auto"/>
          <w:sz w:val="28"/>
          <w:szCs w:val="28"/>
          <w:lang w:eastAsia="zh-CN"/>
        </w:rPr>
      </w:pPr>
      <w:bookmarkStart w:id="278" w:name="_Toc1410113626_WPSOffice_Level3"/>
      <w:bookmarkStart w:id="279" w:name="_Toc333611415_WPSOffice_Level3"/>
      <w:r>
        <w:rPr>
          <w:rFonts w:hint="default" w:ascii="Times New Roman" w:hAnsi="Times New Roman" w:eastAsia="仿宋_GB2312" w:cs="Times New Roman"/>
          <w:b/>
          <w:color w:val="auto"/>
          <w:sz w:val="28"/>
          <w:szCs w:val="28"/>
          <w:lang w:eastAsia="zh-CN"/>
        </w:rPr>
        <w:t>（一）</w:t>
      </w:r>
      <w:bookmarkEnd w:id="278"/>
      <w:bookmarkEnd w:id="279"/>
      <w:r>
        <w:rPr>
          <w:rFonts w:hint="default" w:ascii="Times New Roman" w:hAnsi="Times New Roman" w:eastAsia="仿宋_GB2312" w:cs="Times New Roman"/>
          <w:b/>
          <w:color w:val="auto"/>
          <w:sz w:val="28"/>
          <w:szCs w:val="28"/>
          <w:lang w:eastAsia="zh-CN"/>
        </w:rPr>
        <w:t>初步审查</w:t>
      </w:r>
    </w:p>
    <w:p w14:paraId="16DD65B3">
      <w:pPr>
        <w:spacing w:line="360" w:lineRule="auto"/>
        <w:ind w:firstLine="560" w:firstLineChars="200"/>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eastAsia="zh-CN"/>
        </w:rPr>
        <w:t>竞争性磋商小组对各供应商的竞争性磋商响应文件进行初步审查，以确定其是否满足</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eastAsia="zh-CN"/>
        </w:rPr>
        <w:t>的实质性要求。</w:t>
      </w:r>
      <w:r>
        <w:rPr>
          <w:rFonts w:hint="default" w:ascii="Times New Roman" w:hAnsi="Times New Roman" w:eastAsia="仿宋_GB2312" w:cs="Times New Roman"/>
          <w:sz w:val="28"/>
          <w:szCs w:val="28"/>
          <w:lang w:val="en-US" w:eastAsia="zh-CN"/>
        </w:rPr>
        <w:t>依据以下标准对供应商进行审查，有一项不符合初步审查标准的，该供应商为不合格。</w:t>
      </w:r>
    </w:p>
    <w:p w14:paraId="46932F69">
      <w:pPr>
        <w:spacing w:line="500" w:lineRule="exact"/>
        <w:rPr>
          <w:rFonts w:ascii="仿宋_GB2312" w:hAnsi="仿宋_GB2312" w:eastAsia="仿宋_GB2312" w:cs="仿宋_GB2312"/>
          <w:b/>
          <w:bCs/>
          <w:color w:val="auto"/>
          <w:sz w:val="28"/>
          <w:szCs w:val="28"/>
          <w:lang w:val="en-US" w:eastAsia="zh-CN"/>
        </w:rPr>
      </w:pPr>
      <w:r>
        <w:rPr>
          <w:rFonts w:ascii="仿宋_GB2312" w:hAnsi="仿宋_GB2312" w:eastAsia="仿宋_GB2312" w:cs="仿宋_GB2312"/>
          <w:b/>
          <w:bCs/>
          <w:color w:val="auto"/>
          <w:sz w:val="28"/>
          <w:szCs w:val="28"/>
          <w:lang w:val="en-US" w:eastAsia="zh-CN"/>
        </w:rPr>
        <w:t>此处的审查包括三个部分：雷同性分析、资格性审查、实质性审查</w:t>
      </w:r>
    </w:p>
    <w:p w14:paraId="178EAF81">
      <w:pPr>
        <w:spacing w:line="500" w:lineRule="exact"/>
        <w:ind w:firstLine="562"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b/>
          <w:bCs/>
          <w:color w:val="auto"/>
          <w:sz w:val="28"/>
          <w:szCs w:val="28"/>
          <w:lang w:val="en-US" w:eastAsia="zh-CN"/>
        </w:rPr>
        <w:t>1.雷同性分析</w:t>
      </w:r>
      <w:r>
        <w:rPr>
          <w:rFonts w:ascii="仿宋_GB2312" w:hAnsi="仿宋_GB2312" w:eastAsia="仿宋_GB2312" w:cs="仿宋_GB2312"/>
          <w:color w:val="auto"/>
          <w:sz w:val="28"/>
          <w:szCs w:val="28"/>
          <w:lang w:val="en-US" w:eastAsia="zh-CN"/>
        </w:rPr>
        <w:t>：磋商响应文件制作机器码和文件创建标识码不能一致；</w:t>
      </w:r>
    </w:p>
    <w:p w14:paraId="57EFB1F7">
      <w:pPr>
        <w:spacing w:line="500" w:lineRule="exact"/>
        <w:ind w:firstLine="562" w:firstLineChars="200"/>
        <w:rPr>
          <w:rFonts w:ascii="仿宋_GB2312" w:hAnsi="仿宋_GB2312" w:eastAsia="仿宋_GB2312" w:cs="仿宋_GB2312"/>
          <w:sz w:val="28"/>
          <w:szCs w:val="28"/>
          <w:lang w:val="en-US" w:eastAsia="zh-CN"/>
        </w:rPr>
      </w:pPr>
      <w:r>
        <w:rPr>
          <w:rFonts w:ascii="仿宋_GB2312" w:hAnsi="仿宋_GB2312" w:eastAsia="仿宋_GB2312" w:cs="仿宋_GB2312"/>
          <w:b/>
          <w:bCs/>
          <w:sz w:val="28"/>
          <w:szCs w:val="28"/>
          <w:lang w:val="en-US" w:eastAsia="zh-CN"/>
        </w:rPr>
        <w:t>2.资格性审查：</w:t>
      </w:r>
    </w:p>
    <w:p w14:paraId="218B4339">
      <w:pPr>
        <w:spacing w:line="500" w:lineRule="exact"/>
        <w:ind w:firstLine="560" w:firstLineChars="200"/>
        <w:rPr>
          <w:rFonts w:ascii="仿宋_GB2312" w:hAnsi="仿宋_GB2312" w:eastAsia="仿宋_GB2312" w:cs="仿宋_GB2312"/>
          <w:color w:val="auto"/>
          <w:sz w:val="28"/>
          <w:szCs w:val="28"/>
          <w:lang w:eastAsia="zh-CN"/>
        </w:rPr>
      </w:pPr>
      <w:r>
        <w:rPr>
          <w:rFonts w:ascii="仿宋_GB2312" w:hAnsi="仿宋_GB2312" w:eastAsia="仿宋_GB2312" w:cs="仿宋_GB2312"/>
          <w:color w:val="auto"/>
          <w:kern w:val="0"/>
          <w:sz w:val="28"/>
          <w:szCs w:val="28"/>
          <w:lang w:eastAsia="zh-CN"/>
        </w:rPr>
        <w:t>（</w:t>
      </w:r>
      <w:r>
        <w:rPr>
          <w:rFonts w:ascii="仿宋_GB2312" w:hAnsi="仿宋_GB2312" w:eastAsia="仿宋_GB2312" w:cs="仿宋_GB2312"/>
          <w:color w:val="auto"/>
          <w:kern w:val="0"/>
          <w:sz w:val="28"/>
          <w:szCs w:val="28"/>
          <w:lang w:val="en-US" w:eastAsia="zh-CN"/>
        </w:rPr>
        <w:t>1</w:t>
      </w:r>
      <w:r>
        <w:rPr>
          <w:rFonts w:ascii="仿宋_GB2312" w:hAnsi="仿宋_GB2312" w:eastAsia="仿宋_GB2312" w:cs="仿宋_GB2312"/>
          <w:color w:val="auto"/>
          <w:kern w:val="0"/>
          <w:sz w:val="28"/>
          <w:szCs w:val="28"/>
          <w:lang w:eastAsia="zh-CN"/>
        </w:rPr>
        <w:t>）具有独立承担民事责任的能力（提供</w:t>
      </w:r>
      <w:r>
        <w:rPr>
          <w:rFonts w:ascii="仿宋_GB2312" w:hAnsi="仿宋_GB2312" w:eastAsia="仿宋_GB2312" w:cs="仿宋_GB2312"/>
          <w:color w:val="auto"/>
          <w:sz w:val="28"/>
          <w:szCs w:val="28"/>
          <w:lang w:val="en" w:eastAsia="zh-CN"/>
        </w:rPr>
        <w:t>法人</w:t>
      </w:r>
      <w:r>
        <w:rPr>
          <w:rFonts w:ascii="仿宋_GB2312" w:hAnsi="仿宋_GB2312" w:eastAsia="仿宋_GB2312" w:cs="仿宋_GB2312"/>
          <w:color w:val="auto"/>
          <w:sz w:val="28"/>
          <w:szCs w:val="28"/>
          <w:lang w:eastAsia="zh-CN"/>
        </w:rPr>
        <w:t>或者非法人组织的营业执照等证明文件或自然人的身份证明）</w:t>
      </w:r>
      <w:r>
        <w:rPr>
          <w:rFonts w:ascii="仿宋_GB2312" w:hAnsi="仿宋_GB2312" w:eastAsia="仿宋_GB2312" w:cs="仿宋_GB2312"/>
          <w:color w:val="auto"/>
          <w:sz w:val="28"/>
          <w:szCs w:val="28"/>
          <w:lang w:val="en" w:eastAsia="zh-CN"/>
        </w:rPr>
        <w:t>；</w:t>
      </w:r>
    </w:p>
    <w:p w14:paraId="769EAA29">
      <w:pPr>
        <w:spacing w:line="500" w:lineRule="exact"/>
        <w:ind w:firstLine="560" w:firstLineChars="200"/>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（2）具有良好的商业信誉和健全的财务会计制度（提供2025年度财务审计报告，要求注册会计师签字并加盖会计师印章；截止到响应文件开启时间，供应商成立时间不足1年的，可提供银行资信证明材料）；</w:t>
      </w:r>
    </w:p>
    <w:p w14:paraId="3FF2D989">
      <w:pPr>
        <w:spacing w:line="500" w:lineRule="exact"/>
        <w:ind w:firstLine="560" w:firstLineChars="200"/>
        <w:jc w:val="left"/>
        <w:rPr>
          <w:rFonts w:ascii="仿宋_GB2312" w:hAnsi="仿宋_GB2312" w:eastAsia="仿宋_GB2312" w:cs="仿宋_GB2312"/>
          <w:sz w:val="28"/>
          <w:szCs w:val="28"/>
          <w:lang w:val="en-US" w:eastAsia="zh-CN"/>
        </w:rPr>
      </w:pPr>
      <w:r>
        <w:rPr>
          <w:rFonts w:ascii="仿宋_GB2312" w:hAnsi="仿宋_GB2312" w:eastAsia="仿宋_GB2312" w:cs="仿宋_GB2312"/>
          <w:color w:val="auto"/>
          <w:sz w:val="28"/>
          <w:szCs w:val="28"/>
          <w:lang w:val="en-US" w:eastAsia="zh-CN"/>
        </w:rPr>
        <w:t>（3）</w:t>
      </w:r>
      <w:r>
        <w:rPr>
          <w:rFonts w:ascii="仿宋_GB2312" w:hAnsi="仿宋_GB2312" w:eastAsia="仿宋_GB2312" w:cs="仿宋_GB2312"/>
          <w:color w:val="auto"/>
          <w:kern w:val="0"/>
          <w:sz w:val="28"/>
          <w:szCs w:val="28"/>
          <w:lang w:eastAsia="zh-CN"/>
        </w:rPr>
        <w:t>依法缴纳税收和社会保障资金的良好记录</w:t>
      </w:r>
      <w:r>
        <w:rPr>
          <w:rFonts w:ascii="仿宋_GB2312" w:hAnsi="仿宋_GB2312" w:eastAsia="仿宋_GB2312" w:cs="仿宋_GB2312"/>
          <w:color w:val="auto"/>
          <w:sz w:val="28"/>
          <w:szCs w:val="28"/>
          <w:lang w:val="en-US" w:eastAsia="zh-CN"/>
        </w:rPr>
        <w:t>（</w:t>
      </w:r>
      <w:r>
        <w:rPr>
          <w:rFonts w:hint="default" w:ascii="Times New Roman" w:hAnsi="Times New Roman" w:eastAsia="仿宋_GB2312" w:cs="Times New Roman"/>
          <w:sz w:val="28"/>
          <w:szCs w:val="28"/>
          <w:lang w:val="en-US" w:eastAsia="zh-CN"/>
        </w:rPr>
        <w:t>提供自202</w:t>
      </w:r>
      <w:r>
        <w:rPr>
          <w:rFonts w:ascii="Times New Roman" w:hAnsi="Times New Roman" w:eastAsia="仿宋_GB2312" w:cs="Times New Roman"/>
          <w:sz w:val="28"/>
          <w:szCs w:val="28"/>
          <w:lang w:val="en-US" w:eastAsia="zh-CN"/>
        </w:rPr>
        <w:t>6</w:t>
      </w:r>
      <w:r>
        <w:rPr>
          <w:rFonts w:hint="default" w:ascii="Times New Roman" w:hAnsi="Times New Roman" w:eastAsia="仿宋_GB2312" w:cs="Times New Roman"/>
          <w:sz w:val="28"/>
          <w:szCs w:val="28"/>
          <w:lang w:val="en-US" w:eastAsia="zh-CN"/>
        </w:rPr>
        <w:t>年1月1日以来至少一个月的纳税证明和社保缴纳证明，依法免税或不需要缴纳社会保障资金的，应提供相应文件证明其依法免税或不需要缴纳</w:t>
      </w:r>
      <w:r>
        <w:rPr>
          <w:rFonts w:ascii="仿宋_GB2312" w:hAnsi="仿宋_GB2312" w:eastAsia="仿宋_GB2312" w:cs="仿宋_GB2312"/>
          <w:color w:val="auto"/>
          <w:sz w:val="28"/>
          <w:szCs w:val="28"/>
          <w:lang w:val="en-US" w:eastAsia="zh-CN"/>
        </w:rPr>
        <w:t>）；</w:t>
      </w:r>
    </w:p>
    <w:p w14:paraId="6290334F">
      <w:pPr>
        <w:spacing w:line="500" w:lineRule="exact"/>
        <w:ind w:firstLine="560" w:firstLineChars="200"/>
        <w:rPr>
          <w:rFonts w:ascii="仿宋_GB2312" w:hAnsi="仿宋_GB2312" w:eastAsia="仿宋_GB2312" w:cs="仿宋_GB2312"/>
          <w:sz w:val="28"/>
          <w:szCs w:val="28"/>
          <w:lang w:eastAsia="zh-CN"/>
        </w:rPr>
      </w:pPr>
      <w:r>
        <w:rPr>
          <w:rFonts w:ascii="仿宋_GB2312" w:hAnsi="仿宋_GB2312" w:eastAsia="仿宋_GB2312" w:cs="仿宋_GB2312"/>
          <w:sz w:val="28"/>
          <w:szCs w:val="28"/>
          <w:lang w:val="en-US" w:eastAsia="zh-CN"/>
        </w:rPr>
        <w:t>（4）</w:t>
      </w:r>
      <w:r>
        <w:rPr>
          <w:rFonts w:ascii="仿宋_GB2312" w:hAnsi="仿宋_GB2312" w:eastAsia="仿宋_GB2312" w:cs="仿宋_GB2312"/>
          <w:sz w:val="28"/>
          <w:szCs w:val="28"/>
          <w:lang w:eastAsia="zh-CN"/>
        </w:rPr>
        <w:t>参加政府采购活动前3年内在经营活动中没有重大违法记录的声明；</w:t>
      </w:r>
    </w:p>
    <w:p w14:paraId="510D5609">
      <w:pPr>
        <w:spacing w:line="500" w:lineRule="exact"/>
        <w:ind w:firstLine="560" w:firstLineChars="200"/>
        <w:rPr>
          <w:rFonts w:ascii="仿宋_GB2312" w:hAnsi="仿宋_GB2312" w:eastAsia="仿宋_GB2312" w:cs="仿宋_GB2312"/>
          <w:color w:val="auto"/>
          <w:sz w:val="28"/>
          <w:szCs w:val="28"/>
          <w:lang w:eastAsia="zh-CN"/>
        </w:rPr>
      </w:pPr>
      <w:r>
        <w:rPr>
          <w:rFonts w:ascii="仿宋_GB2312" w:hAnsi="仿宋_GB2312" w:eastAsia="仿宋_GB2312" w:cs="仿宋_GB2312"/>
          <w:sz w:val="28"/>
          <w:szCs w:val="28"/>
          <w:lang w:val="en-US" w:eastAsia="zh-CN"/>
        </w:rPr>
        <w:t>（5</w:t>
      </w:r>
      <w:r>
        <w:rPr>
          <w:rFonts w:ascii="仿宋_GB2312" w:hAnsi="仿宋_GB2312" w:eastAsia="仿宋_GB2312" w:cs="仿宋_GB2312"/>
          <w:color w:val="auto"/>
          <w:sz w:val="28"/>
          <w:szCs w:val="28"/>
          <w:lang w:val="en-US" w:eastAsia="zh-CN"/>
        </w:rPr>
        <w:t>）</w:t>
      </w:r>
      <w:r>
        <w:rPr>
          <w:rFonts w:ascii="仿宋_GB2312" w:hAnsi="仿宋_GB2312" w:eastAsia="仿宋_GB2312" w:cs="仿宋_GB2312"/>
          <w:color w:val="auto"/>
          <w:sz w:val="28"/>
          <w:szCs w:val="28"/>
          <w:lang w:eastAsia="zh-CN"/>
        </w:rPr>
        <w:t>具有履行合同所必需的设备和专业技术能力</w:t>
      </w:r>
      <w:r>
        <w:rPr>
          <w:rFonts w:ascii="仿宋_GB2312" w:hAnsi="仿宋_GB2312" w:eastAsia="仿宋_GB2312" w:cs="仿宋_GB2312"/>
          <w:color w:val="auto"/>
          <w:sz w:val="28"/>
          <w:szCs w:val="28"/>
          <w:lang w:val="en-US" w:eastAsia="zh-CN"/>
        </w:rPr>
        <w:t>（提供承诺书）；</w:t>
      </w:r>
    </w:p>
    <w:p w14:paraId="07AA662C">
      <w:pPr>
        <w:spacing w:line="360" w:lineRule="auto"/>
        <w:ind w:firstLine="560" w:firstLineChars="200"/>
        <w:rPr>
          <w:rFonts w:ascii="仿宋_GB2312" w:hAnsi="仿宋_GB2312" w:eastAsia="仿宋_GB2312" w:cs="仿宋_GB2312"/>
          <w:color w:val="auto"/>
          <w:sz w:val="28"/>
          <w:szCs w:val="28"/>
          <w:lang w:val="en" w:eastAsia="zh-CN"/>
        </w:rPr>
      </w:pPr>
      <w:r>
        <w:rPr>
          <w:rFonts w:ascii="仿宋_GB2312" w:hAnsi="仿宋_GB2312" w:eastAsia="仿宋_GB2312" w:cs="仿宋_GB2312"/>
          <w:color w:val="auto"/>
          <w:sz w:val="28"/>
          <w:szCs w:val="28"/>
          <w:lang w:val="en-US" w:eastAsia="zh-CN"/>
        </w:rPr>
        <w:t>（6）信用查询记录符合</w:t>
      </w:r>
      <w:r>
        <w:rPr>
          <w:rFonts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val="en-US" w:eastAsia="zh-CN"/>
        </w:rPr>
        <w:t>规定</w:t>
      </w:r>
      <w:r>
        <w:rPr>
          <w:rFonts w:ascii="Times New Roman" w:hAnsi="Times New Roman" w:eastAsia="仿宋_GB2312" w:cs="Times New Roman"/>
          <w:sz w:val="28"/>
          <w:szCs w:val="28"/>
          <w:lang w:val="en-US" w:eastAsia="zh-CN"/>
        </w:rPr>
        <w:t>（采购人查询，供应商无需提供证明材料）</w:t>
      </w:r>
      <w:r>
        <w:rPr>
          <w:rFonts w:ascii="仿宋_GB2312" w:hAnsi="仿宋_GB2312" w:eastAsia="仿宋_GB2312" w:cs="仿宋_GB2312"/>
          <w:color w:val="auto"/>
          <w:sz w:val="28"/>
          <w:szCs w:val="28"/>
          <w:lang w:val="en" w:eastAsia="zh-CN"/>
        </w:rPr>
        <w:t>;</w:t>
      </w:r>
    </w:p>
    <w:p w14:paraId="2F1E63BA">
      <w:pPr>
        <w:spacing w:line="360" w:lineRule="auto"/>
        <w:ind w:firstLine="560" w:firstLineChars="200"/>
        <w:rPr>
          <w:rFonts w:ascii="仿宋_GB2312" w:hAnsi="仿宋_GB2312" w:eastAsia="仿宋_GB2312" w:cs="仿宋_GB2312"/>
          <w:color w:val="0000FF"/>
          <w:sz w:val="28"/>
          <w:szCs w:val="28"/>
          <w:lang w:val="en-US" w:eastAsia="zh-CN"/>
        </w:rPr>
      </w:pPr>
      <w:r>
        <w:rPr>
          <w:rFonts w:ascii="仿宋_GB2312" w:hAnsi="仿宋_GB2312" w:eastAsia="仿宋_GB2312" w:cs="仿宋_GB2312"/>
          <w:color w:val="auto"/>
          <w:sz w:val="28"/>
          <w:szCs w:val="28"/>
          <w:lang w:val="en" w:eastAsia="zh-CN"/>
        </w:rPr>
        <w:t>（</w:t>
      </w:r>
      <w:r>
        <w:rPr>
          <w:rFonts w:ascii="仿宋_GB2312" w:hAnsi="仿宋_GB2312" w:eastAsia="仿宋_GB2312" w:cs="仿宋_GB2312"/>
          <w:color w:val="auto"/>
          <w:sz w:val="28"/>
          <w:szCs w:val="28"/>
          <w:lang w:val="en-US" w:eastAsia="zh-CN"/>
        </w:rPr>
        <w:t>7</w:t>
      </w:r>
      <w:r>
        <w:rPr>
          <w:rFonts w:ascii="仿宋_GB2312" w:hAnsi="仿宋_GB2312" w:eastAsia="仿宋_GB2312" w:cs="仿宋_GB2312"/>
          <w:color w:val="auto"/>
          <w:sz w:val="28"/>
          <w:szCs w:val="28"/>
          <w:lang w:val="en" w:eastAsia="zh-CN"/>
        </w:rPr>
        <w:t>）</w:t>
      </w:r>
      <w:r>
        <w:rPr>
          <w:rFonts w:ascii="仿宋_GB2312" w:hAnsi="仿宋_GB2312" w:eastAsia="仿宋_GB2312" w:cs="仿宋_GB2312"/>
          <w:color w:val="auto"/>
          <w:sz w:val="28"/>
          <w:szCs w:val="28"/>
          <w:lang w:val="en-US" w:eastAsia="zh-CN"/>
        </w:rPr>
        <w:t>单位负责人为同一人或者存在直接控股、管理关系的不同供应商，不得参加同一合同项下的政府采购活动（不满足本项的各供应商资格均不合格）；</w:t>
      </w:r>
    </w:p>
    <w:p w14:paraId="3BE4A3D2">
      <w:pPr>
        <w:pStyle w:val="70"/>
        <w:adjustRightInd/>
        <w:spacing w:line="500" w:lineRule="exact"/>
        <w:ind w:firstLine="560" w:firstLineChars="2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
        </w:rPr>
        <w:t>（</w:t>
      </w:r>
      <w:r>
        <w:rPr>
          <w:rFonts w:hint="eastAsia" w:ascii="仿宋_GB2312" w:hAnsi="仿宋_GB2312" w:eastAsia="仿宋_GB2312" w:cs="仿宋_GB2312"/>
          <w:color w:val="auto"/>
          <w:sz w:val="28"/>
          <w:szCs w:val="28"/>
        </w:rPr>
        <w:t>8</w:t>
      </w:r>
      <w:r>
        <w:rPr>
          <w:rFonts w:hint="eastAsia" w:ascii="仿宋_GB2312" w:hAnsi="仿宋_GB2312" w:eastAsia="仿宋_GB2312" w:cs="仿宋_GB2312"/>
          <w:color w:val="auto"/>
          <w:sz w:val="28"/>
          <w:szCs w:val="28"/>
          <w:lang w:val="en"/>
        </w:rPr>
        <w:t>）其他资格要求。</w:t>
      </w:r>
    </w:p>
    <w:p w14:paraId="4D6D938B">
      <w:pPr>
        <w:spacing w:line="500" w:lineRule="exact"/>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rPr>
        <w:sym w:font="Wingdings 2" w:char="00A3"/>
      </w:r>
      <w:r>
        <w:rPr>
          <w:rFonts w:ascii="仿宋_GB2312" w:hAnsi="仿宋_GB2312" w:eastAsia="仿宋_GB2312" w:cs="仿宋_GB2312"/>
          <w:color w:val="auto"/>
          <w:sz w:val="28"/>
          <w:szCs w:val="28"/>
          <w:lang w:val="en-US" w:eastAsia="zh-CN"/>
        </w:rPr>
        <w:t>本项目专门面向中小企业采购，提供中小企业声明函；</w:t>
      </w:r>
    </w:p>
    <w:p w14:paraId="7FC216AE">
      <w:pPr>
        <w:spacing w:line="500" w:lineRule="exact"/>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eastAsia="zh-CN"/>
        </w:rPr>
        <w:t>□</w:t>
      </w:r>
      <w:r>
        <w:rPr>
          <w:rFonts w:ascii="仿宋_GB2312" w:hAnsi="仿宋_GB2312" w:eastAsia="仿宋_GB2312" w:cs="仿宋_GB2312"/>
          <w:color w:val="auto"/>
          <w:sz w:val="28"/>
          <w:szCs w:val="28"/>
          <w:lang w:val="en-US" w:eastAsia="zh-CN"/>
        </w:rPr>
        <w:t>本项目专门面向小微企业采购，提供小微企业声明函。</w:t>
      </w:r>
    </w:p>
    <w:p w14:paraId="53ED1396">
      <w:pPr>
        <w:pStyle w:val="39"/>
        <w:spacing w:line="500" w:lineRule="exact"/>
        <w:ind w:left="0" w:leftChars="0" w:firstLine="562" w:firstLineChars="200"/>
        <w:rPr>
          <w:rFonts w:hint="default"/>
          <w:color w:val="auto"/>
          <w:lang w:eastAsia="zh-CN"/>
        </w:rPr>
      </w:pPr>
      <w:r>
        <w:rPr>
          <w:rFonts w:ascii="仿宋_GB2312" w:hAnsi="仿宋_GB2312" w:eastAsia="仿宋_GB2312" w:cs="仿宋_GB2312"/>
          <w:b/>
          <w:bCs/>
          <w:color w:val="auto"/>
          <w:sz w:val="28"/>
          <w:szCs w:val="28"/>
          <w:lang w:val="en-US" w:eastAsia="zh-CN"/>
        </w:rPr>
        <w:t>3.实质性审查</w:t>
      </w:r>
    </w:p>
    <w:p w14:paraId="49153D6E">
      <w:pPr>
        <w:spacing w:line="360" w:lineRule="auto"/>
        <w:ind w:firstLine="560" w:firstLineChars="200"/>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（1）</w:t>
      </w:r>
      <w:r>
        <w:rPr>
          <w:rFonts w:ascii="仿宋_GB2312" w:hAnsi="仿宋_GB2312" w:eastAsia="仿宋_GB2312" w:cs="仿宋_GB2312"/>
          <w:color w:val="auto"/>
          <w:sz w:val="28"/>
          <w:szCs w:val="28"/>
          <w:lang w:eastAsia="zh-CN"/>
        </w:rPr>
        <w:t>签章或盖章或签字符合竞争性磋商文件要求；</w:t>
      </w:r>
    </w:p>
    <w:p w14:paraId="4EE279EE">
      <w:pPr>
        <w:spacing w:line="360" w:lineRule="auto"/>
        <w:ind w:firstLine="560" w:firstLineChars="200"/>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（2）</w:t>
      </w:r>
      <w:r>
        <w:rPr>
          <w:rFonts w:ascii="仿宋_GB2312" w:hAnsi="仿宋_GB2312" w:eastAsia="仿宋_GB2312" w:cs="仿宋_GB2312"/>
          <w:color w:val="auto"/>
          <w:sz w:val="28"/>
          <w:szCs w:val="28"/>
          <w:lang w:eastAsia="zh-CN"/>
        </w:rPr>
        <w:t>磋商响应文件有效期符合竞争性磋商文件规定；</w:t>
      </w:r>
    </w:p>
    <w:p w14:paraId="616C788D">
      <w:pPr>
        <w:spacing w:line="360" w:lineRule="auto"/>
        <w:ind w:firstLine="560" w:firstLineChars="200"/>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（3）供货期、</w:t>
      </w:r>
      <w:r>
        <w:rPr>
          <w:rFonts w:ascii="仿宋_GB2312" w:hAnsi="仿宋_GB2312" w:eastAsia="仿宋_GB2312" w:cs="仿宋_GB2312"/>
          <w:color w:val="auto"/>
          <w:sz w:val="28"/>
          <w:szCs w:val="28"/>
          <w:lang w:eastAsia="zh-CN"/>
        </w:rPr>
        <w:t>质保期</w:t>
      </w:r>
      <w:r>
        <w:rPr>
          <w:rFonts w:ascii="仿宋_GB2312" w:hAnsi="仿宋_GB2312" w:eastAsia="仿宋_GB2312" w:cs="仿宋_GB2312"/>
          <w:color w:val="auto"/>
          <w:sz w:val="28"/>
          <w:szCs w:val="28"/>
          <w:lang w:val="en-US" w:eastAsia="zh-CN"/>
        </w:rPr>
        <w:t>符合</w:t>
      </w:r>
      <w:r>
        <w:rPr>
          <w:rFonts w:ascii="仿宋_GB2312" w:hAnsi="仿宋_GB2312" w:eastAsia="仿宋_GB2312" w:cs="仿宋_GB2312"/>
          <w:color w:val="auto"/>
          <w:sz w:val="28"/>
          <w:szCs w:val="28"/>
          <w:lang w:eastAsia="zh-CN"/>
        </w:rPr>
        <w:t>竞争性磋商文件的要求</w:t>
      </w:r>
      <w:r>
        <w:rPr>
          <w:rFonts w:ascii="仿宋_GB2312" w:hAnsi="仿宋_GB2312" w:eastAsia="仿宋_GB2312" w:cs="仿宋_GB2312"/>
          <w:color w:val="auto"/>
          <w:sz w:val="28"/>
          <w:szCs w:val="28"/>
          <w:lang w:val="en-US" w:eastAsia="zh-CN"/>
        </w:rPr>
        <w:t>；</w:t>
      </w:r>
    </w:p>
    <w:p w14:paraId="195991F1">
      <w:pPr>
        <w:spacing w:line="360" w:lineRule="auto"/>
        <w:ind w:firstLine="560" w:firstLineChars="200"/>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（4）</w:t>
      </w:r>
      <w:r>
        <w:rPr>
          <w:rFonts w:ascii="仿宋_GB2312" w:hAnsi="仿宋_GB2312" w:eastAsia="仿宋_GB2312" w:cs="仿宋_GB2312"/>
          <w:color w:val="auto"/>
          <w:sz w:val="28"/>
          <w:szCs w:val="28"/>
          <w:lang w:eastAsia="zh-CN"/>
        </w:rPr>
        <w:t>磋商响应文件无重大或不可接受的偏差；</w:t>
      </w:r>
    </w:p>
    <w:p w14:paraId="1C40806D">
      <w:pPr>
        <w:spacing w:line="360" w:lineRule="auto"/>
        <w:ind w:firstLine="560" w:firstLineChars="200"/>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（5）</w:t>
      </w:r>
      <w:r>
        <w:rPr>
          <w:rFonts w:ascii="仿宋_GB2312" w:hAnsi="仿宋_GB2312" w:eastAsia="仿宋_GB2312" w:cs="仿宋_GB2312"/>
          <w:color w:val="auto"/>
          <w:sz w:val="28"/>
          <w:szCs w:val="28"/>
          <w:lang w:eastAsia="zh-CN"/>
        </w:rPr>
        <w:t>总报价未超过最高限价且单价未超过</w:t>
      </w:r>
      <w:r>
        <w:rPr>
          <w:rStyle w:val="288"/>
          <w:rFonts w:ascii="仿宋_GB2312" w:eastAsia="仿宋_GB2312" w:hAnsiTheme="minorEastAsia" w:cstheme="minorEastAsia"/>
          <w:color w:val="auto"/>
          <w:sz w:val="28"/>
          <w:szCs w:val="28"/>
          <w:lang w:val="en-US" w:eastAsia="zh-CN" w:bidi="ar"/>
        </w:rPr>
        <w:t>最高单价限价</w:t>
      </w:r>
      <w:r>
        <w:rPr>
          <w:rFonts w:ascii="仿宋_GB2312" w:hAnsi="仿宋_GB2312" w:eastAsia="仿宋_GB2312" w:cs="仿宋_GB2312"/>
          <w:color w:val="auto"/>
          <w:sz w:val="28"/>
          <w:szCs w:val="28"/>
          <w:lang w:eastAsia="zh-CN"/>
        </w:rPr>
        <w:t>；</w:t>
      </w:r>
    </w:p>
    <w:p w14:paraId="718BA013">
      <w:pPr>
        <w:pStyle w:val="70"/>
        <w:adjustRightInd/>
        <w:spacing w:line="360" w:lineRule="auto"/>
        <w:ind w:firstLine="560" w:firstLineChars="200"/>
        <w:rPr>
          <w:rFonts w:eastAsia="仿宋_GB2312"/>
          <w:color w:val="auto"/>
        </w:rPr>
      </w:pPr>
      <w:r>
        <w:rPr>
          <w:rFonts w:hint="eastAsia" w:ascii="仿宋_GB2312" w:hAnsi="仿宋_GB2312" w:eastAsia="仿宋_GB2312" w:cs="仿宋_GB2312"/>
          <w:color w:val="auto"/>
          <w:sz w:val="28"/>
          <w:szCs w:val="28"/>
        </w:rPr>
        <w:t>（6）采购标的是否符合</w:t>
      </w:r>
      <w:r>
        <w:rPr>
          <w:rFonts w:ascii="仿宋_GB2312" w:hAnsi="仿宋_GB2312" w:eastAsia="仿宋_GB2312" w:cs="仿宋_GB2312"/>
          <w:color w:val="auto"/>
          <w:sz w:val="28"/>
          <w:szCs w:val="28"/>
        </w:rPr>
        <w:t>竞争性磋商文件要求</w:t>
      </w:r>
      <w:r>
        <w:rPr>
          <w:rFonts w:hint="eastAsia" w:ascii="仿宋_GB2312" w:hAnsi="仿宋_GB2312" w:eastAsia="仿宋_GB2312" w:cs="仿宋_GB2312"/>
          <w:color w:val="auto"/>
          <w:sz w:val="28"/>
          <w:szCs w:val="28"/>
        </w:rPr>
        <w:t>；</w:t>
      </w:r>
    </w:p>
    <w:p w14:paraId="1488E7E0">
      <w:pPr>
        <w:spacing w:line="360" w:lineRule="auto"/>
        <w:ind w:firstLine="560" w:firstLineChars="200"/>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（7）</w:t>
      </w:r>
      <w:r>
        <w:rPr>
          <w:rFonts w:ascii="仿宋_GB2312" w:hAnsi="仿宋_GB2312" w:eastAsia="仿宋_GB2312" w:cs="仿宋_GB2312"/>
          <w:color w:val="auto"/>
          <w:sz w:val="28"/>
          <w:szCs w:val="28"/>
          <w:lang w:eastAsia="zh-CN"/>
        </w:rPr>
        <w:t>磋商响应文件未附有采购人不能接受的条件；</w:t>
      </w:r>
    </w:p>
    <w:p w14:paraId="6334304C">
      <w:pPr>
        <w:spacing w:line="360" w:lineRule="auto"/>
        <w:ind w:firstLine="560" w:firstLineChars="200"/>
        <w:rPr>
          <w:rFonts w:ascii="仿宋_GB2312" w:hAnsi="仿宋_GB2312" w:eastAsia="仿宋_GB2312" w:cs="仿宋_GB2312"/>
          <w:color w:val="0000FF"/>
          <w:sz w:val="28"/>
          <w:szCs w:val="28"/>
          <w:lang w:val="en-US" w:eastAsia="zh-CN"/>
        </w:rPr>
      </w:pPr>
      <w:r>
        <w:rPr>
          <w:rFonts w:ascii="仿宋_GB2312" w:hAnsi="仿宋_GB2312" w:eastAsia="仿宋_GB2312" w:cs="仿宋_GB2312"/>
          <w:color w:val="auto"/>
          <w:sz w:val="28"/>
          <w:szCs w:val="28"/>
          <w:lang w:val="en-US" w:eastAsia="zh-CN"/>
        </w:rPr>
        <w:t>（8）带</w:t>
      </w:r>
      <w:r>
        <w:rPr>
          <w:rFonts w:ascii="仿宋_GB2312" w:hAnsi="仿宋_GB2312" w:eastAsia="仿宋_GB2312" w:cs="仿宋_GB2312"/>
          <w:color w:val="auto"/>
          <w:kern w:val="0"/>
          <w:sz w:val="28"/>
          <w:szCs w:val="28"/>
          <w:lang w:val="en-US" w:eastAsia="zh-CN"/>
        </w:rPr>
        <w:t>★</w:t>
      </w:r>
      <w:r>
        <w:rPr>
          <w:rFonts w:ascii="仿宋_GB2312" w:hAnsi="仿宋_GB2312" w:eastAsia="仿宋_GB2312" w:cs="仿宋_GB2312"/>
          <w:color w:val="auto"/>
          <w:sz w:val="28"/>
          <w:szCs w:val="28"/>
          <w:lang w:val="en-US" w:eastAsia="zh-CN"/>
        </w:rPr>
        <w:t>代表实质性指标，不满足或未响应该指标项将导致投标（响应）被拒绝；</w:t>
      </w:r>
    </w:p>
    <w:p w14:paraId="642DCF17">
      <w:pPr>
        <w:spacing w:line="360" w:lineRule="auto"/>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 w:eastAsia="zh-CN"/>
        </w:rPr>
        <w:t>（</w:t>
      </w:r>
      <w:r>
        <w:rPr>
          <w:rFonts w:ascii="仿宋_GB2312" w:hAnsi="仿宋_GB2312" w:eastAsia="仿宋_GB2312" w:cs="仿宋_GB2312"/>
          <w:color w:val="auto"/>
          <w:sz w:val="28"/>
          <w:szCs w:val="28"/>
          <w:lang w:val="en-US" w:eastAsia="zh-CN"/>
        </w:rPr>
        <w:t>9</w:t>
      </w:r>
      <w:r>
        <w:rPr>
          <w:rFonts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val="en-US" w:eastAsia="zh-CN"/>
        </w:rPr>
        <w:t>及法律法规规定的其他情形。</w:t>
      </w:r>
    </w:p>
    <w:p w14:paraId="4C6E8C62">
      <w:pPr>
        <w:spacing w:line="360" w:lineRule="auto"/>
        <w:ind w:firstLine="560" w:firstLineChars="200"/>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（以上要求中，如有供应商成立时限不足</w:t>
      </w:r>
      <w:r>
        <w:rPr>
          <w:rFonts w:ascii="Times New Roman" w:hAnsi="Times New Roman" w:eastAsia="仿宋_GB2312" w:cs="Times New Roman"/>
          <w:sz w:val="28"/>
          <w:szCs w:val="28"/>
          <w:lang w:val="en-US" w:eastAsia="zh-CN"/>
        </w:rPr>
        <w:t>1年</w:t>
      </w:r>
      <w:r>
        <w:rPr>
          <w:rFonts w:hint="default" w:ascii="Times New Roman" w:hAnsi="Times New Roman" w:eastAsia="仿宋_GB2312" w:cs="Times New Roman"/>
          <w:sz w:val="28"/>
          <w:szCs w:val="28"/>
          <w:lang w:val="en-US" w:eastAsia="zh-CN"/>
        </w:rPr>
        <w:t>的，由供应商根据自身成立时间提供证明资料。）</w:t>
      </w:r>
    </w:p>
    <w:p w14:paraId="480C5C13">
      <w:pPr>
        <w:pStyle w:val="70"/>
        <w:spacing w:line="360" w:lineRule="auto"/>
        <w:ind w:firstLine="562" w:firstLineChars="200"/>
        <w:rPr>
          <w:rFonts w:ascii="Times New Roman" w:hAnsi="Times New Roman" w:eastAsia="仿宋_GB2312" w:cs="Times New Roman"/>
          <w:b/>
          <w:color w:val="auto"/>
          <w:kern w:val="2"/>
          <w:sz w:val="28"/>
          <w:szCs w:val="28"/>
          <w:lang w:val="zh-TW"/>
        </w:rPr>
      </w:pPr>
      <w:r>
        <w:rPr>
          <w:rFonts w:ascii="Times New Roman" w:hAnsi="Times New Roman" w:eastAsia="仿宋_GB2312" w:cs="Times New Roman"/>
          <w:b/>
          <w:color w:val="auto"/>
          <w:kern w:val="2"/>
          <w:sz w:val="28"/>
          <w:szCs w:val="28"/>
          <w:lang w:val="zh-TW"/>
        </w:rPr>
        <w:t>（二）详细评审</w:t>
      </w:r>
    </w:p>
    <w:p w14:paraId="1D3521E4">
      <w:pPr>
        <w:spacing w:line="360" w:lineRule="auto"/>
        <w:ind w:firstLine="562" w:firstLineChars="200"/>
        <w:rPr>
          <w:rFonts w:hint="default" w:ascii="Times New Roman" w:hAnsi="Times New Roman" w:eastAsia="仿宋_GB2312" w:cs="Times New Roman"/>
          <w:b/>
          <w:color w:val="auto"/>
          <w:sz w:val="28"/>
          <w:szCs w:val="28"/>
          <w:lang w:eastAsia="zh-CN"/>
        </w:rPr>
      </w:pPr>
      <w:bookmarkStart w:id="280" w:name="_Toc278923003_WPSOffice_Level3"/>
      <w:bookmarkStart w:id="281" w:name="_Toc1716909242_WPSOffice_Level3"/>
      <w:r>
        <w:rPr>
          <w:rFonts w:hint="default" w:ascii="Times New Roman" w:hAnsi="Times New Roman" w:eastAsia="仿宋_GB2312" w:cs="Times New Roman"/>
          <w:b/>
          <w:color w:val="auto"/>
          <w:sz w:val="28"/>
          <w:szCs w:val="28"/>
          <w:lang w:val="en-US" w:eastAsia="zh-CN"/>
        </w:rPr>
        <w:t>1</w:t>
      </w:r>
      <w:r>
        <w:rPr>
          <w:rFonts w:hint="default" w:ascii="Times New Roman" w:hAnsi="Times New Roman" w:eastAsia="仿宋_GB2312" w:cs="Times New Roman"/>
          <w:b/>
          <w:color w:val="auto"/>
          <w:sz w:val="28"/>
          <w:szCs w:val="28"/>
          <w:lang w:eastAsia="zh-CN"/>
        </w:rPr>
        <w:t>．澄清有关问题</w:t>
      </w:r>
      <w:bookmarkEnd w:id="280"/>
      <w:bookmarkEnd w:id="281"/>
    </w:p>
    <w:p w14:paraId="1A61EB44">
      <w:pPr>
        <w:spacing w:line="360" w:lineRule="auto"/>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1.1</w:t>
      </w:r>
      <w:r>
        <w:rPr>
          <w:rFonts w:hint="default" w:ascii="Times New Roman" w:hAnsi="Times New Roman" w:eastAsia="仿宋_GB2312" w:cs="Times New Roman"/>
          <w:color w:val="auto"/>
          <w:sz w:val="28"/>
          <w:szCs w:val="28"/>
          <w:lang w:eastAsia="zh-CN"/>
        </w:rPr>
        <w:t>对于竞争性磋商响应文件中含义不明确、同类问题表述不一致或者有明显文字和计算错误的内容，竞争性磋商小组应当以书面形式要求供应商作出必要的澄清、说明或者补正。</w:t>
      </w:r>
    </w:p>
    <w:p w14:paraId="398B5576">
      <w:pPr>
        <w:spacing w:line="360" w:lineRule="auto"/>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1.2</w:t>
      </w:r>
      <w:r>
        <w:rPr>
          <w:rFonts w:hint="default" w:ascii="Times New Roman" w:hAnsi="Times New Roman" w:eastAsia="仿宋_GB2312" w:cs="Times New Roman"/>
          <w:color w:val="auto"/>
          <w:sz w:val="28"/>
          <w:szCs w:val="28"/>
          <w:lang w:eastAsia="zh-CN"/>
        </w:rPr>
        <w:t>供应商的澄清、说明或者补正不得超出竞争性磋商响应文件的范围或者改变竞争性磋商响应文件的实质性内容。</w:t>
      </w:r>
    </w:p>
    <w:p w14:paraId="315A6DD4">
      <w:pPr>
        <w:pStyle w:val="201"/>
        <w:ind w:left="0" w:leftChars="0" w:firstLine="560" w:firstLineChars="200"/>
        <w:rPr>
          <w:rFonts w:hint="default" w:ascii="Times New Roman" w:hAnsi="Times New Roman" w:eastAsia="宋体" w:cs="Times New Roman"/>
          <w:color w:val="auto"/>
          <w:lang w:val="en-US" w:eastAsia="zh-CN"/>
        </w:rPr>
      </w:pPr>
      <w:r>
        <w:rPr>
          <w:rFonts w:hint="default" w:ascii="Times New Roman" w:hAnsi="Times New Roman" w:cs="Times New Roman"/>
          <w:color w:val="auto"/>
          <w:kern w:val="2"/>
          <w:sz w:val="28"/>
          <w:szCs w:val="28"/>
          <w:lang w:val="en-US" w:eastAsia="zh-CN"/>
        </w:rPr>
        <w:t>1.3</w:t>
      </w:r>
      <w:r>
        <w:rPr>
          <w:rFonts w:hint="default" w:ascii="Times New Roman" w:hAnsi="Times New Roman" w:cs="Times New Roman"/>
          <w:color w:val="auto"/>
          <w:kern w:val="2"/>
          <w:sz w:val="28"/>
          <w:szCs w:val="28"/>
          <w:lang w:eastAsia="zh-CN"/>
        </w:rPr>
        <w:t>磋商小组所有成员应当集中与单一供应商分别进行磋商，并给予所有参加</w:t>
      </w:r>
      <w:r>
        <w:rPr>
          <w:rFonts w:hint="default" w:ascii="Times New Roman" w:hAnsi="Times New Roman" w:cs="Times New Roman"/>
          <w:color w:val="auto"/>
          <w:sz w:val="28"/>
          <w:szCs w:val="28"/>
          <w:lang w:eastAsia="zh-CN"/>
        </w:rPr>
        <w:t>磋商的供应商平等的磋商机会。</w:t>
      </w:r>
    </w:p>
    <w:p w14:paraId="75342F4F">
      <w:pPr>
        <w:spacing w:line="360" w:lineRule="auto"/>
        <w:ind w:firstLine="562" w:firstLineChars="200"/>
        <w:rPr>
          <w:rFonts w:hint="default" w:ascii="Times New Roman" w:hAnsi="Times New Roman" w:eastAsia="仿宋_GB2312" w:cs="Times New Roman"/>
          <w:b/>
          <w:color w:val="auto"/>
          <w:sz w:val="28"/>
          <w:szCs w:val="28"/>
          <w:lang w:eastAsia="zh-CN"/>
        </w:rPr>
      </w:pPr>
      <w:bookmarkStart w:id="282" w:name="_Toc2074264070_WPSOffice_Level3"/>
      <w:bookmarkStart w:id="283" w:name="_Toc577657209_WPSOffice_Level3"/>
      <w:r>
        <w:rPr>
          <w:rFonts w:hint="default" w:ascii="Times New Roman" w:hAnsi="Times New Roman" w:eastAsia="仿宋_GB2312" w:cs="Times New Roman"/>
          <w:b/>
          <w:color w:val="auto"/>
          <w:sz w:val="28"/>
          <w:szCs w:val="28"/>
          <w:lang w:val="en-US" w:eastAsia="zh-CN"/>
        </w:rPr>
        <w:t>2</w:t>
      </w:r>
      <w:r>
        <w:rPr>
          <w:rFonts w:ascii="Times New Roman" w:hAnsi="Times New Roman" w:eastAsia="仿宋_GB2312" w:cs="Times New Roman"/>
          <w:b/>
          <w:color w:val="auto"/>
          <w:sz w:val="28"/>
          <w:szCs w:val="28"/>
          <w:lang w:val="en-US" w:eastAsia="zh-CN"/>
        </w:rPr>
        <w:t>2.</w:t>
      </w:r>
      <w:r>
        <w:rPr>
          <w:rFonts w:hint="default" w:ascii="Times New Roman" w:hAnsi="Times New Roman" w:eastAsia="仿宋_GB2312" w:cs="Times New Roman"/>
          <w:b/>
          <w:color w:val="auto"/>
          <w:sz w:val="28"/>
          <w:szCs w:val="28"/>
          <w:lang w:val="en-US" w:eastAsia="zh-CN"/>
        </w:rPr>
        <w:t>政府采购异常低价审查</w:t>
      </w:r>
    </w:p>
    <w:p w14:paraId="6E07ECF9">
      <w:pPr>
        <w:spacing w:line="360" w:lineRule="auto"/>
        <w:ind w:firstLine="560" w:firstLineChars="200"/>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val="en-US" w:eastAsia="zh-CN"/>
        </w:rPr>
        <w:t>2.1</w:t>
      </w:r>
      <w:r>
        <w:rPr>
          <w:rFonts w:hint="default" w:ascii="Times New Roman" w:hAnsi="Times New Roman" w:eastAsia="仿宋_GB2312" w:cs="Times New Roman"/>
          <w:color w:val="auto"/>
          <w:sz w:val="28"/>
          <w:szCs w:val="28"/>
          <w:lang w:val="en-US" w:eastAsia="zh-CN"/>
        </w:rPr>
        <w:t>政府采购评审中出现下列情形之一的，</w:t>
      </w:r>
      <w:r>
        <w:rPr>
          <w:rFonts w:ascii="Times New Roman" w:hAnsi="Times New Roman" w:eastAsia="仿宋_GB2312" w:cs="Times New Roman"/>
          <w:color w:val="auto"/>
          <w:sz w:val="28"/>
          <w:szCs w:val="28"/>
          <w:lang w:val="en-US" w:eastAsia="zh-CN"/>
        </w:rPr>
        <w:t>磋商小组</w:t>
      </w:r>
      <w:r>
        <w:rPr>
          <w:rFonts w:hint="default" w:ascii="Times New Roman" w:hAnsi="Times New Roman" w:eastAsia="仿宋_GB2312" w:cs="Times New Roman"/>
          <w:color w:val="auto"/>
          <w:sz w:val="28"/>
          <w:szCs w:val="28"/>
          <w:lang w:val="en-US" w:eastAsia="zh-CN"/>
        </w:rPr>
        <w:t>应当启动异常低价投标（响应）审查程序：</w:t>
      </w:r>
    </w:p>
    <w:p w14:paraId="411AEF4A">
      <w:pPr>
        <w:spacing w:line="360" w:lineRule="auto"/>
        <w:ind w:firstLine="560" w:firstLineChars="200"/>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val="en-US" w:eastAsia="zh-CN"/>
        </w:rPr>
        <w:t>（1）</w:t>
      </w:r>
      <w:r>
        <w:rPr>
          <w:rFonts w:hint="default" w:ascii="Times New Roman" w:hAnsi="Times New Roman" w:eastAsia="仿宋_GB2312" w:cs="Times New Roman"/>
          <w:color w:val="auto"/>
          <w:sz w:val="28"/>
          <w:szCs w:val="28"/>
          <w:lang w:val="en-US" w:eastAsia="zh-CN"/>
        </w:rPr>
        <w:t>投标（响应）报价低于全部通过符合性审查供应商投标（响应）报价平均值</w:t>
      </w:r>
      <w:r>
        <w:rPr>
          <w:rFonts w:ascii="Times New Roman" w:hAnsi="Times New Roman" w:eastAsia="仿宋_GB2312" w:cs="Times New Roman"/>
          <w:color w:val="auto"/>
          <w:sz w:val="28"/>
          <w:szCs w:val="28"/>
          <w:lang w:val="en-US" w:eastAsia="zh-CN"/>
        </w:rPr>
        <w:t>65</w:t>
      </w:r>
      <w:r>
        <w:rPr>
          <w:rFonts w:hint="default" w:ascii="Times New Roman" w:hAnsi="Times New Roman" w:eastAsia="仿宋_GB2312" w:cs="Times New Roman"/>
          <w:color w:val="auto"/>
          <w:sz w:val="28"/>
          <w:szCs w:val="28"/>
          <w:lang w:val="en-US" w:eastAsia="zh-CN"/>
        </w:rPr>
        <w:t>%的，即投标（响应）报价&lt;全部通过符合性审查供应商投标（响应）报价平均值×</w:t>
      </w:r>
      <w:r>
        <w:rPr>
          <w:rFonts w:ascii="Times New Roman" w:hAnsi="Times New Roman" w:eastAsia="仿宋_GB2312" w:cs="Times New Roman"/>
          <w:color w:val="auto"/>
          <w:sz w:val="28"/>
          <w:szCs w:val="28"/>
          <w:lang w:val="en-US" w:eastAsia="zh-CN"/>
        </w:rPr>
        <w:t>65</w:t>
      </w:r>
      <w:r>
        <w:rPr>
          <w:rFonts w:hint="default" w:ascii="Times New Roman" w:hAnsi="Times New Roman" w:eastAsia="仿宋_GB2312" w:cs="Times New Roman"/>
          <w:color w:val="auto"/>
          <w:sz w:val="28"/>
          <w:szCs w:val="28"/>
          <w:lang w:val="en-US" w:eastAsia="zh-CN"/>
        </w:rPr>
        <w:t>%；</w:t>
      </w:r>
    </w:p>
    <w:p w14:paraId="415AB3D6">
      <w:pPr>
        <w:spacing w:line="360" w:lineRule="auto"/>
        <w:ind w:firstLine="560" w:firstLineChars="200"/>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lang w:val="en-US" w:eastAsia="zh-CN"/>
        </w:rPr>
        <w:t>投标（响应）报价低于通过符合性审查的次低报价供应商投标（响应）报价</w:t>
      </w:r>
      <w:r>
        <w:rPr>
          <w:rFonts w:ascii="Times New Roman" w:hAnsi="Times New Roman" w:eastAsia="仿宋_GB2312" w:cs="Times New Roman"/>
          <w:color w:val="auto"/>
          <w:sz w:val="28"/>
          <w:szCs w:val="28"/>
          <w:lang w:val="en-US" w:eastAsia="zh-CN"/>
        </w:rPr>
        <w:t>65</w:t>
      </w:r>
      <w:r>
        <w:rPr>
          <w:rFonts w:hint="default" w:ascii="Times New Roman" w:hAnsi="Times New Roman" w:eastAsia="仿宋_GB2312" w:cs="Times New Roman"/>
          <w:color w:val="auto"/>
          <w:sz w:val="28"/>
          <w:szCs w:val="28"/>
          <w:lang w:val="en-US" w:eastAsia="zh-CN"/>
        </w:rPr>
        <w:t>%的，即投标（响应）报价&lt;通过符合性审查的次低报价供应商投标（响应）报价×</w:t>
      </w:r>
      <w:r>
        <w:rPr>
          <w:rFonts w:ascii="Times New Roman" w:hAnsi="Times New Roman" w:eastAsia="仿宋_GB2312" w:cs="Times New Roman"/>
          <w:color w:val="auto"/>
          <w:sz w:val="28"/>
          <w:szCs w:val="28"/>
          <w:lang w:val="en-US" w:eastAsia="zh-CN"/>
        </w:rPr>
        <w:t>65</w:t>
      </w:r>
      <w:r>
        <w:rPr>
          <w:rFonts w:hint="default" w:ascii="Times New Roman" w:hAnsi="Times New Roman" w:eastAsia="仿宋_GB2312" w:cs="Times New Roman"/>
          <w:color w:val="auto"/>
          <w:sz w:val="28"/>
          <w:szCs w:val="28"/>
          <w:lang w:val="en-US" w:eastAsia="zh-CN"/>
        </w:rPr>
        <w:t>%；</w:t>
      </w:r>
    </w:p>
    <w:p w14:paraId="4FB1FD4C">
      <w:pPr>
        <w:spacing w:line="360" w:lineRule="auto"/>
        <w:ind w:firstLine="560" w:firstLineChars="200"/>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val="en-US" w:eastAsia="zh-CN"/>
        </w:rPr>
        <w:t>投标（响应）报价低于采购项目最高限价</w:t>
      </w:r>
      <w:r>
        <w:rPr>
          <w:rFonts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lang w:val="en-US" w:eastAsia="zh-CN"/>
        </w:rPr>
        <w:t>5%的，即投标（响应）报价&lt;采购项目最高限价×</w:t>
      </w:r>
      <w:r>
        <w:rPr>
          <w:rFonts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lang w:val="en-US" w:eastAsia="zh-CN"/>
        </w:rPr>
        <w:t>5%；</w:t>
      </w:r>
    </w:p>
    <w:p w14:paraId="7A4F1D4E">
      <w:pPr>
        <w:spacing w:line="360" w:lineRule="auto"/>
        <w:ind w:firstLine="560" w:firstLineChars="200"/>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val="en-US" w:eastAsia="zh-CN"/>
        </w:rPr>
        <w:t>（4）磋商小组</w:t>
      </w:r>
      <w:r>
        <w:rPr>
          <w:rFonts w:hint="default" w:ascii="Times New Roman" w:hAnsi="Times New Roman" w:eastAsia="仿宋_GB2312" w:cs="Times New Roman"/>
          <w:color w:val="auto"/>
          <w:sz w:val="28"/>
          <w:szCs w:val="28"/>
          <w:lang w:val="en-US" w:eastAsia="zh-CN"/>
        </w:rPr>
        <w:t>基于专业判断，认为供应商报价过低，有可能影响产品质量或者不能诚信履约的其他情形。</w:t>
      </w:r>
    </w:p>
    <w:p w14:paraId="48242B3A">
      <w:pPr>
        <w:spacing w:line="360" w:lineRule="auto"/>
        <w:ind w:firstLine="560" w:firstLineChars="200"/>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val="en-US" w:eastAsia="zh-CN"/>
        </w:rPr>
        <w:t>2.2磋商小组</w:t>
      </w:r>
      <w:r>
        <w:rPr>
          <w:rFonts w:hint="default" w:ascii="Times New Roman" w:hAnsi="Times New Roman" w:eastAsia="仿宋_GB2312" w:cs="Times New Roman"/>
          <w:color w:val="auto"/>
          <w:sz w:val="28"/>
          <w:szCs w:val="28"/>
          <w:lang w:val="en-US" w:eastAsia="zh-CN"/>
        </w:rPr>
        <w:t>启动异常低价投标（响应）审查后，属于前述</w:t>
      </w:r>
      <w:r>
        <w:rPr>
          <w:rFonts w:ascii="Times New Roman" w:hAnsi="Times New Roman" w:eastAsia="仿宋_GB2312" w:cs="Times New Roman"/>
          <w:color w:val="auto"/>
          <w:sz w:val="28"/>
          <w:szCs w:val="28"/>
          <w:lang w:val="en-US" w:eastAsia="zh-CN"/>
        </w:rPr>
        <w:t>（1）</w:t>
      </w:r>
      <w:r>
        <w:rPr>
          <w:rFonts w:hint="default" w:ascii="Times New Roman" w:hAnsi="Times New Roman" w:eastAsia="仿宋_GB2312" w:cs="Times New Roman"/>
          <w:color w:val="auto"/>
          <w:sz w:val="28"/>
          <w:szCs w:val="28"/>
          <w:lang w:val="en-US" w:eastAsia="zh-CN"/>
        </w:rPr>
        <w:t>至</w:t>
      </w:r>
      <w:r>
        <w:rPr>
          <w:rFonts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val="en-US" w:eastAsia="zh-CN"/>
        </w:rPr>
        <w:t>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w:t>
      </w:r>
      <w:r>
        <w:rPr>
          <w:rFonts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val="en-US" w:eastAsia="zh-CN"/>
        </w:rPr>
        <w:t>情形</w:t>
      </w:r>
      <w:r>
        <w:rPr>
          <w:rFonts w:ascii="Times New Roman" w:hAnsi="Times New Roman" w:eastAsia="仿宋_GB2312" w:cs="Times New Roman"/>
          <w:color w:val="auto"/>
          <w:sz w:val="28"/>
          <w:szCs w:val="28"/>
          <w:lang w:val="en-US" w:eastAsia="zh-CN"/>
        </w:rPr>
        <w:t>的</w:t>
      </w:r>
      <w:r>
        <w:rPr>
          <w:rFonts w:hint="default" w:ascii="Times New Roman" w:hAnsi="Times New Roman" w:eastAsia="仿宋_GB2312" w:cs="Times New Roman"/>
          <w:color w:val="auto"/>
          <w:sz w:val="28"/>
          <w:szCs w:val="28"/>
          <w:lang w:val="en-US" w:eastAsia="zh-CN"/>
        </w:rPr>
        <w:t>，供应商已随投标（响应）文件一并提交相关书面说明及必要的证明材料的，在评审现场可不再重复提交。</w:t>
      </w:r>
    </w:p>
    <w:p w14:paraId="2E9B2D82">
      <w:pPr>
        <w:spacing w:line="360" w:lineRule="auto"/>
        <w:ind w:firstLine="560" w:firstLineChars="200"/>
        <w:rPr>
          <w:rFonts w:hint="default" w:ascii="Times New Roman" w:hAnsi="Times New Roman" w:eastAsia="仿宋_GB2312" w:cs="Times New Roman"/>
          <w:b/>
          <w:color w:val="auto"/>
          <w:sz w:val="28"/>
          <w:szCs w:val="28"/>
          <w:lang w:val="en-US" w:eastAsia="zh-CN"/>
        </w:rPr>
      </w:pPr>
      <w:r>
        <w:rPr>
          <w:rFonts w:ascii="Times New Roman" w:hAnsi="Times New Roman" w:eastAsia="仿宋_GB2312" w:cs="Times New Roman"/>
          <w:color w:val="auto"/>
          <w:sz w:val="28"/>
          <w:szCs w:val="28"/>
          <w:lang w:val="en-US" w:eastAsia="zh-CN"/>
        </w:rPr>
        <w:t>2.3磋商小组</w:t>
      </w:r>
      <w:r>
        <w:rPr>
          <w:rFonts w:hint="default" w:ascii="Times New Roman" w:hAnsi="Times New Roman" w:eastAsia="仿宋_GB2312" w:cs="Times New Roman"/>
          <w:color w:val="auto"/>
          <w:sz w:val="28"/>
          <w:szCs w:val="28"/>
          <w:lang w:val="en-US" w:eastAsia="zh-CN"/>
        </w:rPr>
        <w:t>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w:t>
      </w:r>
      <w:r>
        <w:rPr>
          <w:rFonts w:ascii="Times New Roman" w:hAnsi="Times New Roman" w:eastAsia="仿宋_GB2312" w:cs="Times New Roman"/>
          <w:color w:val="auto"/>
          <w:sz w:val="28"/>
          <w:szCs w:val="28"/>
          <w:lang w:val="en-US" w:eastAsia="zh-CN"/>
        </w:rPr>
        <w:t>磋商小组</w:t>
      </w:r>
      <w:r>
        <w:rPr>
          <w:rFonts w:hint="default" w:ascii="Times New Roman" w:hAnsi="Times New Roman" w:eastAsia="仿宋_GB2312" w:cs="Times New Roman"/>
          <w:color w:val="auto"/>
          <w:sz w:val="28"/>
          <w:szCs w:val="28"/>
          <w:lang w:val="en-US" w:eastAsia="zh-CN"/>
        </w:rPr>
        <w:t>应当将其作为无效投标（响应）处理。</w:t>
      </w:r>
    </w:p>
    <w:p w14:paraId="122D9B1D">
      <w:pPr>
        <w:spacing w:line="360" w:lineRule="auto"/>
        <w:ind w:firstLine="562" w:firstLineChars="200"/>
        <w:rPr>
          <w:rFonts w:hint="default" w:ascii="Times New Roman" w:hAnsi="Times New Roman" w:eastAsia="仿宋_GB2312" w:cs="Times New Roman"/>
          <w:b/>
          <w:color w:val="auto"/>
          <w:sz w:val="28"/>
          <w:szCs w:val="28"/>
          <w:lang w:eastAsia="zh-CN"/>
        </w:rPr>
      </w:pPr>
      <w:r>
        <w:rPr>
          <w:rFonts w:ascii="Times New Roman" w:hAnsi="Times New Roman" w:eastAsia="仿宋_GB2312" w:cs="Times New Roman"/>
          <w:b/>
          <w:color w:val="auto"/>
          <w:sz w:val="28"/>
          <w:szCs w:val="28"/>
          <w:lang w:val="en-US" w:eastAsia="zh-CN"/>
        </w:rPr>
        <w:t>3</w:t>
      </w:r>
      <w:r>
        <w:rPr>
          <w:rFonts w:hint="default" w:ascii="Times New Roman" w:hAnsi="Times New Roman" w:eastAsia="仿宋_GB2312" w:cs="Times New Roman"/>
          <w:b/>
          <w:color w:val="auto"/>
          <w:sz w:val="28"/>
          <w:szCs w:val="28"/>
          <w:lang w:eastAsia="zh-CN"/>
        </w:rPr>
        <w:t>．综合比较与评价</w:t>
      </w:r>
    </w:p>
    <w:p w14:paraId="7AA45490">
      <w:pPr>
        <w:spacing w:line="360" w:lineRule="auto"/>
        <w:ind w:firstLine="560" w:firstLineChars="200"/>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val="en-US" w:eastAsia="zh-CN"/>
        </w:rPr>
        <w:t>.1</w:t>
      </w:r>
      <w:r>
        <w:rPr>
          <w:rFonts w:hint="default" w:ascii="Times New Roman" w:hAnsi="Times New Roman" w:eastAsia="仿宋_GB2312" w:cs="Times New Roman"/>
          <w:color w:val="auto"/>
          <w:sz w:val="28"/>
          <w:szCs w:val="28"/>
          <w:lang w:eastAsia="zh-CN"/>
        </w:rPr>
        <w:t>竞争性磋商小组按照</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中规定的磋商方法和标准，对初步审查合格的竞争性磋商响应文件进行商务和技术评</w:t>
      </w:r>
      <w:r>
        <w:rPr>
          <w:rFonts w:hint="default" w:ascii="Times New Roman" w:hAnsi="Times New Roman" w:eastAsia="仿宋_GB2312" w:cs="Times New Roman"/>
          <w:color w:val="auto"/>
          <w:sz w:val="28"/>
          <w:szCs w:val="28"/>
          <w:lang w:val="en-US" w:eastAsia="zh-CN"/>
        </w:rPr>
        <w:t>审</w:t>
      </w:r>
      <w:r>
        <w:rPr>
          <w:rFonts w:hint="default" w:ascii="Times New Roman" w:hAnsi="Times New Roman" w:eastAsia="仿宋_GB2312" w:cs="Times New Roman"/>
          <w:color w:val="auto"/>
          <w:sz w:val="28"/>
          <w:szCs w:val="28"/>
          <w:lang w:eastAsia="zh-CN"/>
        </w:rPr>
        <w:t>，综合比较与评价。</w:t>
      </w:r>
    </w:p>
    <w:p w14:paraId="0D4D1EE3">
      <w:pPr>
        <w:pStyle w:val="142"/>
        <w:ind w:firstLine="560"/>
        <w:rPr>
          <w:rFonts w:ascii="Times New Roman" w:hAnsi="Times New Roman" w:eastAsia="仿宋_GB2312"/>
          <w:sz w:val="28"/>
          <w:szCs w:val="28"/>
        </w:rPr>
      </w:pPr>
      <w:r>
        <w:rPr>
          <w:rFonts w:hint="eastAsia" w:ascii="Times New Roman" w:hAnsi="Times New Roman" w:eastAsia="仿宋_GB2312"/>
          <w:sz w:val="28"/>
          <w:szCs w:val="28"/>
        </w:rPr>
        <w:t>3</w:t>
      </w:r>
      <w:r>
        <w:rPr>
          <w:rFonts w:ascii="Times New Roman" w:hAnsi="Times New Roman" w:eastAsia="仿宋_GB2312"/>
          <w:sz w:val="28"/>
          <w:szCs w:val="28"/>
        </w:rPr>
        <w:t>.2磋商及最后报价：</w:t>
      </w:r>
    </w:p>
    <w:p w14:paraId="62A6A6A1">
      <w:pPr>
        <w:pStyle w:val="142"/>
        <w:ind w:firstLine="560"/>
        <w:rPr>
          <w:rFonts w:ascii="Times New Roman" w:hAnsi="Times New Roman" w:eastAsia="仿宋_GB2312"/>
          <w:sz w:val="28"/>
          <w:szCs w:val="28"/>
        </w:rPr>
      </w:pPr>
      <w:r>
        <w:rPr>
          <w:rFonts w:hint="eastAsia" w:ascii="Times New Roman" w:hAnsi="Times New Roman" w:eastAsia="仿宋_GB2312"/>
          <w:sz w:val="28"/>
          <w:szCs w:val="28"/>
        </w:rPr>
        <w:t xml:space="preserve">3.2.1磋商文件能够详细列明采购标的的技术、服务要求的，磋商结束后，磋商小组要求所有实质性响应的供应商在规定时间内提交最后报价，最后报价是供应商磋商响应文件的有效组成部分。  </w:t>
      </w:r>
    </w:p>
    <w:p w14:paraId="2E536939">
      <w:pPr>
        <w:pStyle w:val="142"/>
        <w:ind w:firstLine="560"/>
        <w:rPr>
          <w:rFonts w:ascii="Times New Roman" w:hAnsi="Times New Roman" w:eastAsia="仿宋_GB2312"/>
          <w:sz w:val="28"/>
          <w:szCs w:val="28"/>
        </w:rPr>
      </w:pPr>
      <w:r>
        <w:rPr>
          <w:rFonts w:hint="eastAsia" w:ascii="Times New Roman" w:hAnsi="Times New Roman" w:eastAsia="仿宋_GB2312"/>
          <w:sz w:val="28"/>
          <w:szCs w:val="28"/>
        </w:rPr>
        <w:t>3.2.2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最后报价是供应商磋商响应文件的有效组成部分。</w:t>
      </w:r>
    </w:p>
    <w:p w14:paraId="50F8776A">
      <w:pPr>
        <w:pStyle w:val="142"/>
        <w:ind w:firstLine="560"/>
        <w:rPr>
          <w:rFonts w:ascii="Times New Roman" w:hAnsi="Times New Roman" w:eastAsia="仿宋_GB2312"/>
          <w:sz w:val="28"/>
          <w:szCs w:val="28"/>
        </w:rPr>
      </w:pPr>
      <w:r>
        <w:rPr>
          <w:rFonts w:hint="eastAsia" w:ascii="Times New Roman" w:hAnsi="Times New Roman" w:eastAsia="仿宋_GB2312"/>
          <w:sz w:val="28"/>
          <w:szCs w:val="28"/>
        </w:rPr>
        <w:t>3.2.3最后报价是供应商响应文件的有效组成部分。竞争性磋商小组在线向通过初步审查的供应商发起竞争性磋商响应最后报价（二次）。供应商登录远程采购项目，在评审过程中收到远程报价通知时，即可远程在线报价，供应商未提交最后报价的，视为供应商退出磋商，其响应文件无效。</w:t>
      </w:r>
    </w:p>
    <w:p w14:paraId="6709F0D3">
      <w:pPr>
        <w:pStyle w:val="142"/>
        <w:ind w:firstLine="560"/>
        <w:rPr>
          <w:rFonts w:ascii="Times New Roman" w:hAnsi="Times New Roman" w:eastAsia="仿宋_GB2312"/>
          <w:sz w:val="28"/>
          <w:szCs w:val="28"/>
        </w:rPr>
      </w:pPr>
      <w:r>
        <w:rPr>
          <w:rFonts w:hint="eastAsia" w:ascii="Times New Roman" w:hAnsi="Times New Roman" w:eastAsia="仿宋_GB2312"/>
          <w:sz w:val="28"/>
          <w:szCs w:val="28"/>
        </w:rPr>
        <w:t>3</w:t>
      </w:r>
      <w:r>
        <w:rPr>
          <w:rFonts w:ascii="Times New Roman" w:hAnsi="Times New Roman" w:eastAsia="仿宋_GB2312"/>
          <w:sz w:val="28"/>
          <w:szCs w:val="28"/>
        </w:rPr>
        <w:t>.</w:t>
      </w:r>
      <w:r>
        <w:rPr>
          <w:rFonts w:hint="eastAsia" w:ascii="Times New Roman" w:hAnsi="Times New Roman" w:eastAsia="仿宋_GB2312"/>
          <w:sz w:val="28"/>
          <w:szCs w:val="28"/>
        </w:rPr>
        <w:t>2</w:t>
      </w:r>
      <w:r>
        <w:rPr>
          <w:rFonts w:ascii="Times New Roman" w:hAnsi="Times New Roman" w:eastAsia="仿宋_GB2312"/>
          <w:sz w:val="28"/>
          <w:szCs w:val="28"/>
        </w:rPr>
        <w:t>.4经磋商确定最终采购需求和提交最后报价的供应商后，由磋商小组采用综合评分法对提交最后报价的供应商的响应文件和最后报价进行综合评分。</w:t>
      </w:r>
    </w:p>
    <w:p w14:paraId="0368CE42">
      <w:pPr>
        <w:pStyle w:val="142"/>
        <w:ind w:firstLine="560"/>
        <w:rPr>
          <w:rFonts w:ascii="Times New Roman" w:hAnsi="Times New Roman" w:eastAsia="仿宋_GB2312"/>
          <w:sz w:val="28"/>
          <w:szCs w:val="28"/>
        </w:rPr>
      </w:pPr>
      <w:r>
        <w:rPr>
          <w:rFonts w:hint="eastAsia" w:ascii="Times New Roman" w:hAnsi="Times New Roman" w:eastAsia="仿宋_GB2312"/>
          <w:sz w:val="28"/>
          <w:szCs w:val="28"/>
        </w:rPr>
        <w:t>3</w:t>
      </w:r>
      <w:r>
        <w:rPr>
          <w:rFonts w:ascii="Times New Roman" w:hAnsi="Times New Roman" w:eastAsia="仿宋_GB2312"/>
          <w:sz w:val="28"/>
          <w:szCs w:val="28"/>
        </w:rPr>
        <w:t>.</w:t>
      </w:r>
      <w:r>
        <w:rPr>
          <w:rFonts w:hint="eastAsia" w:ascii="Times New Roman" w:hAnsi="Times New Roman" w:eastAsia="仿宋_GB2312"/>
          <w:sz w:val="28"/>
          <w:szCs w:val="28"/>
        </w:rPr>
        <w:t>3</w:t>
      </w:r>
      <w:r>
        <w:rPr>
          <w:rFonts w:ascii="Times New Roman" w:hAnsi="Times New Roman" w:eastAsia="仿宋_GB2312"/>
          <w:sz w:val="28"/>
          <w:szCs w:val="28"/>
        </w:rPr>
        <w:t>磋商文件中没有规定的评审标准不得作为评审依据。</w:t>
      </w:r>
    </w:p>
    <w:p w14:paraId="66BD7A43">
      <w:pPr>
        <w:spacing w:line="360" w:lineRule="auto"/>
        <w:ind w:firstLine="560" w:firstLineChars="200"/>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val="en-US" w:eastAsia="zh-CN"/>
        </w:rPr>
        <w:t>.</w:t>
      </w:r>
      <w:r>
        <w:rPr>
          <w:rFonts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eastAsia="zh-CN"/>
        </w:rPr>
        <w:t>竞争性磋商小组完成评审后，应当出具书面磋商评审报告。</w:t>
      </w:r>
    </w:p>
    <w:p w14:paraId="0E0856B3">
      <w:pPr>
        <w:spacing w:line="360" w:lineRule="auto"/>
        <w:ind w:firstLine="560" w:firstLineChars="200"/>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val="en-US" w:eastAsia="zh-CN"/>
        </w:rPr>
        <w:t>.</w:t>
      </w:r>
      <w:r>
        <w:rPr>
          <w:rFonts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eastAsia="zh-CN"/>
        </w:rPr>
        <w:t>竞争性磋商小组成员对需要共同认定的事项存在争议的，应当按照少数服从多数的原则作出结论。持不同意见的竞争性磋商小组成员应当在磋商</w:t>
      </w:r>
      <w:r>
        <w:rPr>
          <w:rFonts w:ascii="Times New Roman" w:hAnsi="Times New Roman" w:eastAsia="仿宋_GB2312" w:cs="Times New Roman"/>
          <w:color w:val="auto"/>
          <w:sz w:val="28"/>
          <w:szCs w:val="28"/>
          <w:lang w:eastAsia="zh-CN"/>
        </w:rPr>
        <w:t>评审</w:t>
      </w:r>
      <w:r>
        <w:rPr>
          <w:rFonts w:hint="default" w:ascii="Times New Roman" w:hAnsi="Times New Roman" w:eastAsia="仿宋_GB2312" w:cs="Times New Roman"/>
          <w:color w:val="auto"/>
          <w:sz w:val="28"/>
          <w:szCs w:val="28"/>
          <w:lang w:eastAsia="zh-CN"/>
        </w:rPr>
        <w:t>报告上签署不同意见及理由，否则视为同意磋商评审报告。</w:t>
      </w:r>
    </w:p>
    <w:p w14:paraId="70F2DC41">
      <w:pPr>
        <w:spacing w:line="360" w:lineRule="auto"/>
        <w:ind w:firstLine="420" w:firstLineChars="200"/>
        <w:rPr>
          <w:rFonts w:hint="default" w:ascii="Times New Roman" w:hAnsi="Times New Roman" w:eastAsia="仿宋_GB2312" w:cs="Times New Roman"/>
          <w:color w:val="auto"/>
          <w:sz w:val="28"/>
          <w:szCs w:val="28"/>
          <w:lang w:eastAsia="zh-CN"/>
        </w:rPr>
      </w:pPr>
      <w:r>
        <w:rPr>
          <w:color w:val="auto"/>
          <w:lang w:eastAsia="zh-CN"/>
        </w:rPr>
        <w:br w:type="page"/>
      </w:r>
      <w:bookmarkEnd w:id="282"/>
      <w:bookmarkEnd w:id="283"/>
    </w:p>
    <w:p w14:paraId="2FF8918A">
      <w:pPr>
        <w:spacing w:line="320" w:lineRule="exact"/>
        <w:outlineLvl w:val="2"/>
        <w:rPr>
          <w:rFonts w:hint="default" w:ascii="Times New Roman" w:hAnsi="Times New Roman" w:eastAsia="仿宋_GB2312" w:cs="Times New Roman"/>
          <w:color w:val="auto"/>
          <w:kern w:val="0"/>
          <w:sz w:val="28"/>
          <w:szCs w:val="28"/>
          <w:lang w:eastAsia="zh-CN"/>
        </w:rPr>
      </w:pPr>
      <w:bookmarkStart w:id="284" w:name="_Toc648016321_WPSOffice_Level3"/>
      <w:bookmarkStart w:id="285" w:name="_Toc131500600_WPSOffice_Level3"/>
      <w:r>
        <w:rPr>
          <w:rFonts w:hint="default" w:ascii="Times New Roman" w:hAnsi="Times New Roman" w:eastAsia="仿宋_GB2312" w:cs="Times New Roman"/>
          <w:b/>
          <w:color w:val="auto"/>
          <w:sz w:val="28"/>
          <w:szCs w:val="28"/>
          <w:lang w:val="en-US" w:eastAsia="zh-CN"/>
        </w:rPr>
        <w:t>二、</w:t>
      </w:r>
      <w:r>
        <w:rPr>
          <w:rFonts w:hint="default" w:ascii="Times New Roman" w:hAnsi="Times New Roman" w:eastAsia="仿宋_GB2312" w:cs="Times New Roman"/>
          <w:b/>
          <w:color w:val="auto"/>
          <w:sz w:val="28"/>
          <w:szCs w:val="28"/>
          <w:lang w:eastAsia="zh-CN"/>
        </w:rPr>
        <w:t>评分标准（满分100分</w:t>
      </w:r>
      <w:r>
        <w:rPr>
          <w:rFonts w:hint="default" w:ascii="Times New Roman" w:hAnsi="Times New Roman" w:eastAsia="仿宋_GB2312" w:cs="Times New Roman"/>
          <w:color w:val="auto"/>
          <w:kern w:val="0"/>
          <w:sz w:val="28"/>
          <w:szCs w:val="28"/>
          <w:lang w:eastAsia="zh-CN"/>
        </w:rPr>
        <w:t>）</w:t>
      </w:r>
      <w:bookmarkEnd w:id="284"/>
      <w:bookmarkEnd w:id="285"/>
      <w:bookmarkStart w:id="286" w:name="_Toc170276657"/>
      <w:bookmarkStart w:id="287" w:name="_Toc1871798156"/>
      <w:bookmarkStart w:id="288" w:name="_Toc1076969064"/>
      <w:bookmarkStart w:id="289" w:name="_Toc717515878"/>
      <w:bookmarkStart w:id="290" w:name="_Toc1357609763"/>
      <w:bookmarkStart w:id="291" w:name="_Toc2046937450_WPSOffice_Level1"/>
      <w:bookmarkStart w:id="292" w:name="_Toc1027165614"/>
      <w:bookmarkStart w:id="293" w:name="_Toc937079805"/>
      <w:bookmarkStart w:id="294" w:name="_Toc555660728_WPSOffice_Level1"/>
      <w:bookmarkStart w:id="295" w:name="_Toc1252040209_WPSOffice_Level1"/>
      <w:bookmarkStart w:id="296" w:name="_Toc816670296"/>
      <w:bookmarkStart w:id="297" w:name="_Toc1424279934_WPSOffice_Level1"/>
    </w:p>
    <w:tbl>
      <w:tblPr>
        <w:tblStyle w:val="52"/>
        <w:tblW w:w="500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1"/>
        <w:gridCol w:w="1340"/>
        <w:gridCol w:w="6224"/>
        <w:gridCol w:w="775"/>
      </w:tblGrid>
      <w:tr w14:paraId="2215A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blHeader/>
        </w:trPr>
        <w:tc>
          <w:tcPr>
            <w:tcW w:w="719" w:type="pct"/>
            <w:vAlign w:val="center"/>
          </w:tcPr>
          <w:p w14:paraId="6DF43292">
            <w:pPr>
              <w:spacing w:line="320" w:lineRule="exact"/>
              <w:jc w:val="center"/>
              <w:rPr>
                <w:rFonts w:hint="default" w:ascii="Times New Roman" w:hAnsi="Times New Roman" w:eastAsia="仿宋_GB2312" w:cs="Times New Roman"/>
                <w:b/>
                <w:bCs/>
                <w:color w:val="auto"/>
                <w:kern w:val="0"/>
                <w:sz w:val="28"/>
                <w:szCs w:val="28"/>
                <w:lang w:val="en-US" w:eastAsia="zh-CN"/>
              </w:rPr>
            </w:pPr>
            <w:r>
              <w:rPr>
                <w:rFonts w:hint="default" w:ascii="Times New Roman" w:hAnsi="Times New Roman" w:eastAsia="仿宋_GB2312" w:cs="Times New Roman"/>
                <w:b/>
                <w:bCs/>
                <w:color w:val="auto"/>
                <w:kern w:val="0"/>
                <w:sz w:val="28"/>
                <w:szCs w:val="28"/>
                <w:lang w:val="en-US" w:eastAsia="zh-CN"/>
              </w:rPr>
              <w:t>评分因素</w:t>
            </w:r>
          </w:p>
        </w:tc>
        <w:tc>
          <w:tcPr>
            <w:tcW w:w="688" w:type="pct"/>
            <w:vAlign w:val="center"/>
          </w:tcPr>
          <w:p w14:paraId="4C450A44">
            <w:pPr>
              <w:spacing w:line="320" w:lineRule="exact"/>
              <w:jc w:val="center"/>
              <w:rPr>
                <w:rFonts w:hint="default" w:ascii="Times New Roman" w:hAnsi="Times New Roman" w:eastAsia="仿宋_GB2312" w:cs="Times New Roman"/>
                <w:b/>
                <w:bCs/>
                <w:color w:val="auto"/>
                <w:kern w:val="0"/>
                <w:sz w:val="28"/>
                <w:szCs w:val="28"/>
                <w:lang w:val="en-US" w:eastAsia="zh-CN"/>
              </w:rPr>
            </w:pPr>
            <w:r>
              <w:rPr>
                <w:rFonts w:hint="default" w:ascii="Times New Roman" w:hAnsi="Times New Roman" w:eastAsia="仿宋_GB2312" w:cs="Times New Roman"/>
                <w:b/>
                <w:bCs/>
                <w:color w:val="auto"/>
                <w:kern w:val="0"/>
                <w:sz w:val="28"/>
                <w:szCs w:val="28"/>
                <w:lang w:val="en-US" w:eastAsia="zh-CN"/>
              </w:rPr>
              <w:t>评分内容</w:t>
            </w:r>
          </w:p>
        </w:tc>
        <w:tc>
          <w:tcPr>
            <w:tcW w:w="3195" w:type="pct"/>
            <w:vAlign w:val="center"/>
          </w:tcPr>
          <w:p w14:paraId="0FA7BD08">
            <w:pPr>
              <w:spacing w:line="320" w:lineRule="exact"/>
              <w:jc w:val="center"/>
              <w:rPr>
                <w:rFonts w:hint="default" w:ascii="Times New Roman" w:hAnsi="Times New Roman" w:eastAsia="仿宋_GB2312" w:cs="Times New Roman"/>
                <w:b/>
                <w:bCs/>
                <w:color w:val="auto"/>
                <w:kern w:val="0"/>
                <w:sz w:val="28"/>
                <w:szCs w:val="28"/>
                <w:lang w:val="en-US" w:eastAsia="zh-CN"/>
              </w:rPr>
            </w:pPr>
            <w:r>
              <w:rPr>
                <w:rFonts w:hint="default" w:ascii="Times New Roman" w:hAnsi="Times New Roman" w:eastAsia="仿宋_GB2312" w:cs="Times New Roman"/>
                <w:b/>
                <w:bCs/>
                <w:color w:val="auto"/>
                <w:kern w:val="0"/>
                <w:sz w:val="28"/>
                <w:szCs w:val="28"/>
                <w:lang w:val="en-US" w:eastAsia="zh-CN"/>
              </w:rPr>
              <w:t>评分标准</w:t>
            </w:r>
          </w:p>
        </w:tc>
        <w:tc>
          <w:tcPr>
            <w:tcW w:w="398" w:type="pct"/>
            <w:vAlign w:val="center"/>
          </w:tcPr>
          <w:p w14:paraId="310B85B8">
            <w:pPr>
              <w:spacing w:line="320" w:lineRule="exact"/>
              <w:jc w:val="center"/>
              <w:rPr>
                <w:rFonts w:hint="default" w:ascii="Times New Roman" w:hAnsi="Times New Roman" w:eastAsia="仿宋_GB2312" w:cs="Times New Roman"/>
                <w:b/>
                <w:bCs/>
                <w:color w:val="auto"/>
                <w:kern w:val="0"/>
                <w:sz w:val="28"/>
                <w:szCs w:val="28"/>
                <w:lang w:val="en-US" w:eastAsia="zh-CN"/>
              </w:rPr>
            </w:pPr>
            <w:r>
              <w:rPr>
                <w:rFonts w:hint="default" w:ascii="Times New Roman" w:hAnsi="Times New Roman" w:eastAsia="仿宋_GB2312" w:cs="Times New Roman"/>
                <w:b/>
                <w:bCs/>
                <w:color w:val="auto"/>
                <w:kern w:val="0"/>
                <w:sz w:val="28"/>
                <w:szCs w:val="28"/>
                <w:lang w:val="en-US" w:eastAsia="zh-CN"/>
              </w:rPr>
              <w:t>分值</w:t>
            </w:r>
          </w:p>
        </w:tc>
      </w:tr>
      <w:tr w14:paraId="5DC8D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9" w:type="pct"/>
            <w:vAlign w:val="center"/>
          </w:tcPr>
          <w:p w14:paraId="33661EED">
            <w:pPr>
              <w:spacing w:line="320" w:lineRule="exact"/>
              <w:jc w:val="center"/>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报价部分（40分）</w:t>
            </w:r>
          </w:p>
        </w:tc>
        <w:tc>
          <w:tcPr>
            <w:tcW w:w="688" w:type="pct"/>
            <w:vAlign w:val="center"/>
          </w:tcPr>
          <w:p w14:paraId="6FBD2E5B">
            <w:pPr>
              <w:spacing w:line="320" w:lineRule="exact"/>
              <w:jc w:val="center"/>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报价</w:t>
            </w:r>
          </w:p>
        </w:tc>
        <w:tc>
          <w:tcPr>
            <w:tcW w:w="3195" w:type="pct"/>
            <w:vAlign w:val="center"/>
          </w:tcPr>
          <w:p w14:paraId="47A8451B">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价格分统一采用低价优先法计算，即满足磋商文件要求且最后报价最低的供应商的价格为磋商基准价，其价格分为满分。其他供应商的价格分统一按照下列公式计算：磋商报价得分=（磋商基准价/最后磋商报价）×40</w:t>
            </w:r>
          </w:p>
          <w:p w14:paraId="1D6FF3F4">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因落实政府采购政策进行价格调整的，以调整后的价格计算基准价和响应报价得分。（当涉及政府采购政策叠加适用，统一在最后报价的基础上进行价格扣除）对于仅有本国产品参与竞争的政府采购项目，本国产品不享受价格扣除评审优惠。</w:t>
            </w:r>
          </w:p>
        </w:tc>
        <w:tc>
          <w:tcPr>
            <w:tcW w:w="398" w:type="pct"/>
            <w:vAlign w:val="center"/>
          </w:tcPr>
          <w:p w14:paraId="6AEE94A1">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40</w:t>
            </w:r>
          </w:p>
        </w:tc>
      </w:tr>
      <w:tr w14:paraId="05942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9" w:type="pct"/>
            <w:vAlign w:val="center"/>
          </w:tcPr>
          <w:p w14:paraId="7E25759D">
            <w:pPr>
              <w:spacing w:line="320" w:lineRule="exact"/>
              <w:jc w:val="center"/>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技术部分（3</w:t>
            </w:r>
            <w:r>
              <w:rPr>
                <w:rFonts w:ascii="Times New Roman" w:hAnsi="Times New Roman" w:eastAsia="仿宋_GB2312" w:cs="Times New Roman"/>
                <w:color w:val="auto"/>
                <w:kern w:val="0"/>
                <w:sz w:val="28"/>
                <w:szCs w:val="28"/>
                <w:lang w:val="en-US" w:eastAsia="zh-CN"/>
              </w:rPr>
              <w:t>7</w:t>
            </w:r>
            <w:r>
              <w:rPr>
                <w:rFonts w:hint="default" w:ascii="Times New Roman" w:hAnsi="Times New Roman" w:eastAsia="仿宋_GB2312" w:cs="Times New Roman"/>
                <w:color w:val="auto"/>
                <w:kern w:val="0"/>
                <w:sz w:val="28"/>
                <w:szCs w:val="28"/>
                <w:lang w:val="en-US" w:eastAsia="zh-CN"/>
              </w:rPr>
              <w:t>分）</w:t>
            </w:r>
          </w:p>
        </w:tc>
        <w:tc>
          <w:tcPr>
            <w:tcW w:w="688" w:type="pct"/>
            <w:vAlign w:val="center"/>
          </w:tcPr>
          <w:p w14:paraId="7E1E0CCE">
            <w:pPr>
              <w:spacing w:line="320" w:lineRule="exact"/>
              <w:jc w:val="center"/>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技术参数</w:t>
            </w:r>
          </w:p>
        </w:tc>
        <w:tc>
          <w:tcPr>
            <w:tcW w:w="3195" w:type="pct"/>
            <w:vAlign w:val="center"/>
          </w:tcPr>
          <w:p w14:paraId="049991E9">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磋商小组根据响应文件和相关证明材料对磋商文件的响应情况，对照判断所供货物是否满足磋商文件的要求，供应商可提供技术参数满足或优于磋商文件要求的产品：</w:t>
            </w:r>
          </w:p>
          <w:p w14:paraId="127F4FD8">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1.带“</w:t>
            </w:r>
            <w:r>
              <w:rPr>
                <w:rFonts w:hint="default" w:ascii="Segoe UI Symbol" w:hAnsi="Segoe UI Symbol" w:eastAsia="仿宋_GB2312" w:cs="Segoe UI Symbol"/>
                <w:color w:val="auto"/>
                <w:kern w:val="0"/>
                <w:sz w:val="28"/>
                <w:szCs w:val="28"/>
                <w:lang w:val="en-US" w:eastAsia="zh-CN"/>
              </w:rPr>
              <w:t>★</w:t>
            </w:r>
            <w:r>
              <w:rPr>
                <w:rFonts w:hint="default" w:ascii="Times New Roman" w:hAnsi="Times New Roman" w:eastAsia="仿宋_GB2312" w:cs="Times New Roman"/>
                <w:color w:val="auto"/>
                <w:kern w:val="0"/>
                <w:sz w:val="28"/>
                <w:szCs w:val="28"/>
                <w:lang w:val="en-US" w:eastAsia="zh-CN"/>
              </w:rPr>
              <w:t>”代表实质性指标，所投产品应符合或优于该指标要求，不满足的响应文件无效；技术参数指标中“/”表示为该条技术指标不作要求。</w:t>
            </w:r>
          </w:p>
          <w:p w14:paraId="3926CDC9">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2.</w:t>
            </w:r>
            <w:r>
              <w:rPr>
                <w:rFonts w:hint="default" w:ascii="Times New Roman" w:hAnsi="Times New Roman" w:eastAsia="仿宋_GB2312" w:cs="Times New Roman"/>
                <w:color w:val="auto"/>
                <w:sz w:val="28"/>
                <w:szCs w:val="28"/>
                <w:lang w:val="en-US" w:eastAsia="zh-CN"/>
              </w:rPr>
              <w:t>带“</w:t>
            </w:r>
            <w:r>
              <w:rPr>
                <w:rFonts w:hint="default" w:ascii="Times New Roman" w:hAnsi="Times New Roman" w:eastAsia="仿宋_GB2312" w:cs="Times New Roman"/>
                <w:bCs/>
                <w:color w:val="auto"/>
                <w:sz w:val="28"/>
                <w:szCs w:val="28"/>
                <w:lang w:val="en-US" w:eastAsia="zh-CN"/>
              </w:rPr>
              <w:t>▲</w:t>
            </w:r>
            <w:r>
              <w:rPr>
                <w:rFonts w:hint="default" w:ascii="Times New Roman" w:hAnsi="Times New Roman" w:eastAsia="仿宋_GB2312" w:cs="Times New Roman"/>
                <w:color w:val="auto"/>
                <w:sz w:val="28"/>
                <w:szCs w:val="28"/>
                <w:lang w:val="en-US" w:eastAsia="zh-CN"/>
              </w:rPr>
              <w:t>”号的技术参数和功能要求为重要技术指标，共30分，每有一项不满足的扣1.5分（如需提供证明文件的，需按照文件要求提供相关证明文件）</w:t>
            </w:r>
            <w:r>
              <w:rPr>
                <w:rFonts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val="en-US" w:eastAsia="zh-CN"/>
              </w:rPr>
              <w:t>超过20</w:t>
            </w:r>
            <w:r>
              <w:rPr>
                <w:rFonts w:hint="default" w:ascii="Times New Roman" w:hAnsi="Times New Roman" w:eastAsia="仿宋_GB2312" w:cs="Times New Roman"/>
                <w:color w:val="auto"/>
                <w:sz w:val="28"/>
                <w:szCs w:val="28"/>
                <w:lang w:val="en" w:eastAsia="zh-CN"/>
              </w:rPr>
              <w:t>项</w:t>
            </w:r>
            <w:r>
              <w:rPr>
                <w:rFonts w:hint="default" w:ascii="Times New Roman" w:hAnsi="Times New Roman" w:eastAsia="仿宋_GB2312" w:cs="Times New Roman"/>
                <w:color w:val="auto"/>
                <w:sz w:val="28"/>
                <w:szCs w:val="28"/>
                <w:lang w:val="en-US" w:eastAsia="zh-CN"/>
              </w:rPr>
              <w:t>不满足视为投标（响应）文件有重大或不可接受的偏差，投标（响应）文件无效。</w:t>
            </w:r>
          </w:p>
          <w:p w14:paraId="20B17A54">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3.</w:t>
            </w:r>
            <w:r>
              <w:rPr>
                <w:rFonts w:hint="default" w:ascii="Times New Roman" w:hAnsi="Times New Roman" w:eastAsia="仿宋_GB2312" w:cs="Times New Roman"/>
                <w:color w:val="auto"/>
                <w:sz w:val="28"/>
                <w:szCs w:val="28"/>
                <w:lang w:val="en-US" w:eastAsia="zh-CN"/>
              </w:rPr>
              <w:t xml:space="preserve"> 非“</w:t>
            </w:r>
            <w:r>
              <w:rPr>
                <w:rFonts w:hint="default" w:ascii="Segoe UI Symbol" w:hAnsi="Segoe UI Symbol" w:eastAsia="仿宋_GB2312" w:cs="Segoe UI Symbol"/>
                <w:color w:val="auto"/>
                <w:sz w:val="28"/>
                <w:szCs w:val="28"/>
                <w:lang w:val="en-US" w:eastAsia="zh-CN"/>
              </w:rPr>
              <w:t>★</w:t>
            </w:r>
            <w:r>
              <w:rPr>
                <w:rFonts w:hint="default" w:ascii="Times New Roman" w:hAnsi="Times New Roman" w:eastAsia="仿宋_GB2312" w:cs="Times New Roman"/>
                <w:color w:val="auto"/>
                <w:sz w:val="28"/>
                <w:szCs w:val="28"/>
                <w:lang w:val="en-US" w:eastAsia="zh-CN"/>
              </w:rPr>
              <w:t>”且非“</w:t>
            </w:r>
            <w:r>
              <w:rPr>
                <w:rFonts w:hint="default" w:ascii="Times New Roman" w:hAnsi="Times New Roman" w:eastAsia="仿宋_GB2312" w:cs="Times New Roman"/>
                <w:bCs/>
                <w:color w:val="auto"/>
                <w:sz w:val="28"/>
                <w:szCs w:val="28"/>
                <w:lang w:val="en-US" w:eastAsia="zh-CN"/>
              </w:rPr>
              <w:t>▲</w:t>
            </w:r>
            <w:r>
              <w:rPr>
                <w:rFonts w:hint="default" w:ascii="Times New Roman" w:hAnsi="Times New Roman" w:eastAsia="仿宋_GB2312" w:cs="Times New Roman"/>
                <w:color w:val="auto"/>
                <w:sz w:val="28"/>
                <w:szCs w:val="28"/>
                <w:lang w:val="en-US" w:eastAsia="zh-CN"/>
              </w:rPr>
              <w:t>”号的</w:t>
            </w:r>
            <w:r>
              <w:rPr>
                <w:rFonts w:hint="default" w:ascii="Times New Roman" w:hAnsi="Times New Roman" w:eastAsia="仿宋_GB2312" w:cs="Times New Roman"/>
                <w:color w:val="auto"/>
                <w:kern w:val="0"/>
                <w:sz w:val="28"/>
                <w:szCs w:val="28"/>
                <w:lang w:val="en-US" w:eastAsia="zh-CN"/>
              </w:rPr>
              <w:t>技术参数及功能要求为一般技术参数，共1</w:t>
            </w:r>
            <w:r>
              <w:rPr>
                <w:rFonts w:ascii="Times New Roman" w:hAnsi="Times New Roman" w:eastAsia="仿宋_GB2312" w:cs="Times New Roman"/>
                <w:color w:val="auto"/>
                <w:kern w:val="0"/>
                <w:sz w:val="28"/>
                <w:szCs w:val="28"/>
                <w:lang w:val="en-US" w:eastAsia="zh-CN"/>
              </w:rPr>
              <w:t>7</w:t>
            </w:r>
            <w:r>
              <w:rPr>
                <w:rFonts w:hint="default" w:ascii="Times New Roman" w:hAnsi="Times New Roman" w:eastAsia="仿宋_GB2312" w:cs="Times New Roman"/>
                <w:color w:val="auto"/>
                <w:kern w:val="0"/>
                <w:sz w:val="28"/>
                <w:szCs w:val="28"/>
                <w:lang w:val="en-US" w:eastAsia="zh-CN"/>
              </w:rPr>
              <w:t>分，每有1项不满足扣</w:t>
            </w:r>
            <w:r>
              <w:rPr>
                <w:rFonts w:ascii="Times New Roman" w:hAnsi="Times New Roman" w:eastAsia="仿宋_GB2312" w:cs="Times New Roman"/>
                <w:color w:val="auto"/>
                <w:kern w:val="0"/>
                <w:sz w:val="28"/>
                <w:szCs w:val="28"/>
                <w:lang w:val="en-US" w:eastAsia="zh-CN"/>
              </w:rPr>
              <w:t>0.5</w:t>
            </w:r>
            <w:r>
              <w:rPr>
                <w:rFonts w:hint="default" w:ascii="Times New Roman" w:hAnsi="Times New Roman" w:eastAsia="仿宋_GB2312" w:cs="Times New Roman"/>
                <w:color w:val="auto"/>
                <w:kern w:val="0"/>
                <w:sz w:val="28"/>
                <w:szCs w:val="28"/>
                <w:lang w:val="en-US" w:eastAsia="zh-CN"/>
              </w:rPr>
              <w:t>分，超过</w:t>
            </w:r>
            <w:r>
              <w:rPr>
                <w:rFonts w:ascii="Times New Roman" w:hAnsi="Times New Roman" w:eastAsia="仿宋_GB2312" w:cs="Times New Roman"/>
                <w:color w:val="auto"/>
                <w:kern w:val="0"/>
                <w:sz w:val="28"/>
                <w:szCs w:val="28"/>
                <w:lang w:val="en-US" w:eastAsia="zh-CN"/>
              </w:rPr>
              <w:t>34</w:t>
            </w:r>
            <w:r>
              <w:rPr>
                <w:rFonts w:hint="default" w:ascii="Times New Roman" w:hAnsi="Times New Roman" w:eastAsia="仿宋_GB2312" w:cs="Times New Roman"/>
                <w:color w:val="auto"/>
                <w:kern w:val="0"/>
                <w:sz w:val="28"/>
                <w:szCs w:val="28"/>
                <w:lang w:val="en-US" w:eastAsia="zh-CN"/>
              </w:rPr>
              <w:t>条不满足视为响应文件有重大或不可接受的偏差，响应文件无效。</w:t>
            </w:r>
          </w:p>
          <w:p w14:paraId="0756A2FA">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注：凡标有最低一级序号的指标项即为一项技术条款，无论是否隶属于上一级编号。</w:t>
            </w:r>
          </w:p>
        </w:tc>
        <w:tc>
          <w:tcPr>
            <w:tcW w:w="398" w:type="pct"/>
            <w:vAlign w:val="center"/>
          </w:tcPr>
          <w:p w14:paraId="21B706FF">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3</w:t>
            </w:r>
            <w:r>
              <w:rPr>
                <w:rFonts w:ascii="Times New Roman" w:hAnsi="Times New Roman" w:eastAsia="仿宋_GB2312" w:cs="Times New Roman"/>
                <w:color w:val="auto"/>
                <w:kern w:val="0"/>
                <w:sz w:val="28"/>
                <w:szCs w:val="28"/>
                <w:lang w:val="en-US" w:eastAsia="zh-CN"/>
              </w:rPr>
              <w:t>7</w:t>
            </w:r>
          </w:p>
        </w:tc>
      </w:tr>
      <w:tr w14:paraId="787B4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9" w:type="pct"/>
            <w:vMerge w:val="restart"/>
            <w:vAlign w:val="center"/>
          </w:tcPr>
          <w:p w14:paraId="1F4DEC9D">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综合部分</w:t>
            </w:r>
          </w:p>
          <w:p w14:paraId="0B7AF863">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（2</w:t>
            </w:r>
            <w:r>
              <w:rPr>
                <w:rFonts w:ascii="Times New Roman" w:hAnsi="Times New Roman" w:eastAsia="仿宋_GB2312" w:cs="Times New Roman"/>
                <w:color w:val="auto"/>
                <w:kern w:val="0"/>
                <w:sz w:val="28"/>
                <w:szCs w:val="28"/>
                <w:lang w:val="en-US" w:eastAsia="zh-CN"/>
              </w:rPr>
              <w:t>3</w:t>
            </w:r>
            <w:r>
              <w:rPr>
                <w:rFonts w:hint="default" w:ascii="Times New Roman" w:hAnsi="Times New Roman" w:eastAsia="仿宋_GB2312" w:cs="Times New Roman"/>
                <w:color w:val="auto"/>
                <w:kern w:val="0"/>
                <w:sz w:val="28"/>
                <w:szCs w:val="28"/>
                <w:lang w:val="en-US" w:eastAsia="zh-CN"/>
              </w:rPr>
              <w:t>分）</w:t>
            </w:r>
          </w:p>
        </w:tc>
        <w:tc>
          <w:tcPr>
            <w:tcW w:w="688" w:type="pct"/>
            <w:vAlign w:val="center"/>
          </w:tcPr>
          <w:p w14:paraId="0797AE08">
            <w:pPr>
              <w:spacing w:line="320" w:lineRule="exact"/>
              <w:jc w:val="center"/>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节能环保相关认证</w:t>
            </w:r>
          </w:p>
        </w:tc>
        <w:tc>
          <w:tcPr>
            <w:tcW w:w="3195" w:type="pct"/>
          </w:tcPr>
          <w:p w14:paraId="60FC27FF">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本项目若含有节能产品、环境标志产品政府采购品目清单内政府优先采购产品，对选用国家公布的认证机构认证的处于有效期之内的政府优先采购节能产品（政府强制采购产品除外）、环境标志产品给予加分，每个证书</w:t>
            </w:r>
            <w:r>
              <w:rPr>
                <w:rFonts w:ascii="Times New Roman" w:hAnsi="Times New Roman" w:eastAsia="仿宋_GB2312" w:cs="Times New Roman"/>
                <w:color w:val="auto"/>
                <w:kern w:val="0"/>
                <w:sz w:val="28"/>
                <w:szCs w:val="28"/>
                <w:lang w:val="en-US" w:eastAsia="zh-CN"/>
              </w:rPr>
              <w:t>1</w:t>
            </w:r>
            <w:r>
              <w:rPr>
                <w:rFonts w:hint="default" w:ascii="Times New Roman" w:hAnsi="Times New Roman" w:eastAsia="仿宋_GB2312" w:cs="Times New Roman"/>
                <w:color w:val="auto"/>
                <w:kern w:val="0"/>
                <w:sz w:val="28"/>
                <w:szCs w:val="28"/>
                <w:lang w:val="en-US" w:eastAsia="zh-CN"/>
              </w:rPr>
              <w:t>分，最多得</w:t>
            </w:r>
            <w:r>
              <w:rPr>
                <w:rFonts w:ascii="Times New Roman" w:hAnsi="Times New Roman" w:eastAsia="仿宋_GB2312" w:cs="Times New Roman"/>
                <w:color w:val="auto"/>
                <w:kern w:val="0"/>
                <w:sz w:val="28"/>
                <w:szCs w:val="28"/>
                <w:lang w:val="en-US" w:eastAsia="zh-CN"/>
              </w:rPr>
              <w:t>3</w:t>
            </w:r>
            <w:r>
              <w:rPr>
                <w:rFonts w:hint="default" w:ascii="Times New Roman" w:hAnsi="Times New Roman" w:eastAsia="仿宋_GB2312" w:cs="Times New Roman"/>
                <w:color w:val="auto"/>
                <w:kern w:val="0"/>
                <w:sz w:val="28"/>
                <w:szCs w:val="28"/>
                <w:lang w:val="en-US" w:eastAsia="zh-CN"/>
              </w:rPr>
              <w:t>分。供应商应提供国家确定的认证机构出具的处于有效期之内的节能产品、环境标志产品认证证书。</w:t>
            </w:r>
          </w:p>
        </w:tc>
        <w:tc>
          <w:tcPr>
            <w:tcW w:w="398" w:type="pct"/>
            <w:vAlign w:val="center"/>
          </w:tcPr>
          <w:p w14:paraId="4497393A">
            <w:pPr>
              <w:spacing w:line="320" w:lineRule="exact"/>
              <w:rPr>
                <w:rFonts w:hint="default" w:ascii="Times New Roman" w:hAnsi="Times New Roman" w:eastAsia="仿宋_GB2312" w:cs="Times New Roman"/>
                <w:color w:val="auto"/>
                <w:kern w:val="0"/>
                <w:sz w:val="28"/>
                <w:szCs w:val="28"/>
                <w:lang w:val="en-US" w:eastAsia="zh-CN"/>
              </w:rPr>
            </w:pPr>
            <w:r>
              <w:rPr>
                <w:rFonts w:ascii="Times New Roman" w:hAnsi="Times New Roman" w:eastAsia="仿宋_GB2312" w:cs="Times New Roman"/>
                <w:color w:val="auto"/>
                <w:kern w:val="0"/>
                <w:sz w:val="28"/>
                <w:szCs w:val="28"/>
                <w:lang w:val="en-US" w:eastAsia="zh-CN"/>
              </w:rPr>
              <w:t>3</w:t>
            </w:r>
          </w:p>
        </w:tc>
      </w:tr>
      <w:tr w14:paraId="742AC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719" w:type="pct"/>
            <w:vMerge w:val="continue"/>
            <w:vAlign w:val="center"/>
          </w:tcPr>
          <w:p w14:paraId="2D40E8F2">
            <w:pPr>
              <w:spacing w:line="320" w:lineRule="exact"/>
              <w:rPr>
                <w:rFonts w:hint="default" w:ascii="Times New Roman" w:hAnsi="Times New Roman" w:eastAsia="仿宋_GB2312" w:cs="Times New Roman"/>
                <w:color w:val="auto"/>
                <w:kern w:val="0"/>
                <w:sz w:val="28"/>
                <w:szCs w:val="28"/>
                <w:lang w:val="en-US" w:eastAsia="zh-CN"/>
              </w:rPr>
            </w:pPr>
          </w:p>
        </w:tc>
        <w:tc>
          <w:tcPr>
            <w:tcW w:w="688" w:type="pct"/>
            <w:vAlign w:val="center"/>
          </w:tcPr>
          <w:p w14:paraId="2E354EFA">
            <w:pPr>
              <w:spacing w:line="320" w:lineRule="exact"/>
              <w:jc w:val="center"/>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快递包装</w:t>
            </w:r>
          </w:p>
        </w:tc>
        <w:tc>
          <w:tcPr>
            <w:tcW w:w="3195" w:type="pct"/>
            <w:vAlign w:val="center"/>
          </w:tcPr>
          <w:p w14:paraId="4E23961A">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供应商承诺商品包装符合《商品包装政府采购需求标准（试行）》且快递包装符合《快递包装政府采购需求标准（试行）》，得</w:t>
            </w:r>
            <w:r>
              <w:rPr>
                <w:rFonts w:ascii="Times New Roman" w:hAnsi="Times New Roman" w:eastAsia="仿宋_GB2312" w:cs="Times New Roman"/>
                <w:color w:val="auto"/>
                <w:kern w:val="0"/>
                <w:sz w:val="28"/>
                <w:szCs w:val="28"/>
                <w:lang w:val="en-US" w:eastAsia="zh-CN"/>
              </w:rPr>
              <w:t>2</w:t>
            </w:r>
            <w:r>
              <w:rPr>
                <w:rFonts w:hint="default" w:ascii="Times New Roman" w:hAnsi="Times New Roman" w:eastAsia="仿宋_GB2312" w:cs="Times New Roman"/>
                <w:color w:val="auto"/>
                <w:kern w:val="0"/>
                <w:sz w:val="28"/>
                <w:szCs w:val="28"/>
                <w:lang w:val="en-US" w:eastAsia="zh-CN"/>
              </w:rPr>
              <w:t>分。</w:t>
            </w:r>
          </w:p>
        </w:tc>
        <w:tc>
          <w:tcPr>
            <w:tcW w:w="398" w:type="pct"/>
            <w:vAlign w:val="center"/>
          </w:tcPr>
          <w:p w14:paraId="46422FA6">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2</w:t>
            </w:r>
          </w:p>
        </w:tc>
      </w:tr>
      <w:tr w14:paraId="34595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719" w:type="pct"/>
            <w:vMerge w:val="continue"/>
            <w:vAlign w:val="center"/>
          </w:tcPr>
          <w:p w14:paraId="3B62E270">
            <w:pPr>
              <w:spacing w:line="320" w:lineRule="exact"/>
              <w:rPr>
                <w:rFonts w:hint="default" w:ascii="Times New Roman" w:hAnsi="Times New Roman" w:eastAsia="仿宋_GB2312" w:cs="Times New Roman"/>
                <w:color w:val="auto"/>
                <w:kern w:val="0"/>
                <w:sz w:val="28"/>
                <w:szCs w:val="28"/>
                <w:lang w:val="en-US" w:eastAsia="zh-CN"/>
              </w:rPr>
            </w:pPr>
          </w:p>
        </w:tc>
        <w:tc>
          <w:tcPr>
            <w:tcW w:w="688" w:type="pct"/>
            <w:vAlign w:val="center"/>
          </w:tcPr>
          <w:p w14:paraId="5B95B8EE">
            <w:pPr>
              <w:spacing w:line="320" w:lineRule="exact"/>
              <w:jc w:val="center"/>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业绩</w:t>
            </w:r>
          </w:p>
        </w:tc>
        <w:tc>
          <w:tcPr>
            <w:tcW w:w="3195" w:type="pct"/>
            <w:vAlign w:val="center"/>
          </w:tcPr>
          <w:p w14:paraId="4D9EFB0B">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提供供应商自2023年1月1日以来（以合同签订时间为准）的类似项目业绩合同，每提供一份得1分，最高得3分。</w:t>
            </w:r>
          </w:p>
          <w:p w14:paraId="19E45EED">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注：业绩合同扫描不清楚、不完整或无法辨认的不予认可，虚假业绩将自行承担相关责任。</w:t>
            </w:r>
          </w:p>
        </w:tc>
        <w:tc>
          <w:tcPr>
            <w:tcW w:w="398" w:type="pct"/>
            <w:vAlign w:val="center"/>
          </w:tcPr>
          <w:p w14:paraId="691A631E">
            <w:pPr>
              <w:spacing w:line="320" w:lineRule="exact"/>
              <w:jc w:val="center"/>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3</w:t>
            </w:r>
          </w:p>
        </w:tc>
      </w:tr>
      <w:tr w14:paraId="0D44A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9" w:type="pct"/>
            <w:vMerge w:val="continue"/>
            <w:vAlign w:val="center"/>
          </w:tcPr>
          <w:p w14:paraId="277D4817">
            <w:pPr>
              <w:spacing w:line="320" w:lineRule="exact"/>
              <w:rPr>
                <w:rFonts w:hint="default" w:ascii="Times New Roman" w:hAnsi="Times New Roman" w:eastAsia="仿宋_GB2312" w:cs="Times New Roman"/>
                <w:color w:val="auto"/>
                <w:kern w:val="0"/>
                <w:sz w:val="28"/>
                <w:szCs w:val="28"/>
                <w:lang w:val="en-US" w:eastAsia="zh-CN"/>
              </w:rPr>
            </w:pPr>
          </w:p>
        </w:tc>
        <w:tc>
          <w:tcPr>
            <w:tcW w:w="688" w:type="pct"/>
            <w:vAlign w:val="center"/>
          </w:tcPr>
          <w:p w14:paraId="0C437133">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实施方案</w:t>
            </w:r>
          </w:p>
        </w:tc>
        <w:tc>
          <w:tcPr>
            <w:tcW w:w="3195" w:type="pct"/>
            <w:vAlign w:val="center"/>
          </w:tcPr>
          <w:p w14:paraId="125A7903">
            <w:pPr>
              <w:spacing w:line="320" w:lineRule="exact"/>
              <w:rPr>
                <w:rFonts w:hint="default" w:ascii="Times New Roman" w:hAnsi="Times New Roman" w:eastAsia="仿宋_GB2312" w:cs="Times New Roman"/>
                <w:color w:val="auto"/>
                <w:kern w:val="0"/>
                <w:sz w:val="28"/>
                <w:szCs w:val="28"/>
                <w:lang w:eastAsia="zh-CN"/>
              </w:rPr>
            </w:pPr>
            <w:r>
              <w:rPr>
                <w:rFonts w:hint="default" w:ascii="Times New Roman" w:hAnsi="Times New Roman" w:eastAsia="仿宋_GB2312" w:cs="Times New Roman"/>
                <w:color w:val="auto"/>
                <w:kern w:val="0"/>
                <w:sz w:val="28"/>
                <w:szCs w:val="28"/>
                <w:lang w:val="en-US" w:eastAsia="zh-CN"/>
              </w:rPr>
              <w:t>供应商</w:t>
            </w:r>
            <w:r>
              <w:rPr>
                <w:rFonts w:hint="default" w:ascii="Times New Roman" w:hAnsi="Times New Roman" w:eastAsia="仿宋_GB2312" w:cs="Times New Roman"/>
                <w:color w:val="auto"/>
                <w:kern w:val="0"/>
                <w:sz w:val="28"/>
                <w:szCs w:val="28"/>
                <w:lang w:eastAsia="zh-CN"/>
              </w:rPr>
              <w:t>根据本项目特点及采购人实际情况，制定完善的项目实施方案。项目实施方案应包括但不限于：安装计划、组织机构、安全保障措施、安装调试规划、安装人员组成、质量保证措施等。</w:t>
            </w:r>
          </w:p>
          <w:p w14:paraId="33E12682">
            <w:pPr>
              <w:spacing w:line="320" w:lineRule="exact"/>
              <w:rPr>
                <w:rFonts w:hint="default" w:ascii="Times New Roman" w:hAnsi="Times New Roman" w:eastAsia="仿宋_GB2312" w:cs="Times New Roman"/>
                <w:color w:val="auto"/>
                <w:kern w:val="0"/>
                <w:sz w:val="28"/>
                <w:szCs w:val="28"/>
                <w:lang w:eastAsia="zh-CN"/>
              </w:rPr>
            </w:pPr>
            <w:r>
              <w:rPr>
                <w:rFonts w:hint="default" w:ascii="Times New Roman" w:hAnsi="Times New Roman" w:eastAsia="仿宋_GB2312" w:cs="Times New Roman"/>
                <w:color w:val="auto"/>
                <w:kern w:val="0"/>
                <w:sz w:val="28"/>
                <w:szCs w:val="28"/>
                <w:lang w:val="en-US" w:eastAsia="zh-CN"/>
              </w:rPr>
              <w:t>供应商</w:t>
            </w:r>
            <w:r>
              <w:rPr>
                <w:rFonts w:hint="default" w:ascii="Times New Roman" w:hAnsi="Times New Roman" w:eastAsia="仿宋_GB2312" w:cs="Times New Roman"/>
                <w:color w:val="auto"/>
                <w:kern w:val="0"/>
                <w:sz w:val="28"/>
                <w:szCs w:val="28"/>
                <w:lang w:eastAsia="zh-CN"/>
              </w:rPr>
              <w:t>对每项内容论述详细，完全贴合采购需求的得5分；</w:t>
            </w:r>
            <w:r>
              <w:rPr>
                <w:rFonts w:hint="default" w:ascii="Times New Roman" w:hAnsi="Times New Roman" w:eastAsia="仿宋_GB2312" w:cs="Times New Roman"/>
                <w:color w:val="auto"/>
                <w:kern w:val="0"/>
                <w:sz w:val="28"/>
                <w:szCs w:val="28"/>
                <w:lang w:val="en-US" w:eastAsia="zh-CN"/>
              </w:rPr>
              <w:t>供应商</w:t>
            </w:r>
            <w:r>
              <w:rPr>
                <w:rFonts w:hint="default" w:ascii="Times New Roman" w:hAnsi="Times New Roman" w:eastAsia="仿宋_GB2312" w:cs="Times New Roman"/>
                <w:color w:val="auto"/>
                <w:kern w:val="0"/>
                <w:sz w:val="28"/>
                <w:szCs w:val="28"/>
                <w:lang w:eastAsia="zh-CN"/>
              </w:rPr>
              <w:t>对每项内容虽阐述但未贴合采购需求进行论述，或内容未包括具体细节的得3分；供应商提供的内容不完整或存在影响本项目目标实现的明显错误得</w:t>
            </w:r>
            <w:r>
              <w:rPr>
                <w:rFonts w:hint="default" w:ascii="Times New Roman" w:hAnsi="Times New Roman" w:eastAsia="仿宋_GB2312" w:cs="Times New Roman"/>
                <w:color w:val="auto"/>
                <w:kern w:val="0"/>
                <w:sz w:val="28"/>
                <w:szCs w:val="28"/>
                <w:lang w:val="en-US" w:eastAsia="zh-CN"/>
              </w:rPr>
              <w:t>1</w:t>
            </w:r>
            <w:r>
              <w:rPr>
                <w:rFonts w:hint="default" w:ascii="Times New Roman" w:hAnsi="Times New Roman" w:eastAsia="仿宋_GB2312" w:cs="Times New Roman"/>
                <w:color w:val="auto"/>
                <w:kern w:val="0"/>
                <w:sz w:val="28"/>
                <w:szCs w:val="28"/>
                <w:lang w:eastAsia="zh-CN"/>
              </w:rPr>
              <w:t>分；未提供相关内容的得0分。</w:t>
            </w:r>
          </w:p>
        </w:tc>
        <w:tc>
          <w:tcPr>
            <w:tcW w:w="398" w:type="pct"/>
            <w:vAlign w:val="center"/>
          </w:tcPr>
          <w:p w14:paraId="5F8F0877">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5</w:t>
            </w:r>
          </w:p>
        </w:tc>
      </w:tr>
      <w:tr w14:paraId="07438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719" w:type="pct"/>
            <w:vMerge w:val="continue"/>
            <w:vAlign w:val="center"/>
          </w:tcPr>
          <w:p w14:paraId="1D24CB0A">
            <w:pPr>
              <w:spacing w:line="320" w:lineRule="exact"/>
              <w:rPr>
                <w:rFonts w:hint="default" w:ascii="Times New Roman" w:hAnsi="Times New Roman" w:eastAsia="仿宋_GB2312" w:cs="Times New Roman"/>
                <w:color w:val="auto"/>
                <w:kern w:val="0"/>
                <w:sz w:val="28"/>
                <w:szCs w:val="28"/>
                <w:lang w:val="en-US" w:eastAsia="zh-CN"/>
              </w:rPr>
            </w:pPr>
          </w:p>
        </w:tc>
        <w:tc>
          <w:tcPr>
            <w:tcW w:w="688" w:type="pct"/>
            <w:vAlign w:val="center"/>
          </w:tcPr>
          <w:p w14:paraId="278DFAF4">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培训方案</w:t>
            </w:r>
          </w:p>
        </w:tc>
        <w:tc>
          <w:tcPr>
            <w:tcW w:w="3195" w:type="pct"/>
            <w:vAlign w:val="center"/>
          </w:tcPr>
          <w:p w14:paraId="0CE11E96">
            <w:pPr>
              <w:spacing w:line="32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供应商针对本项目特点，应在竞争性磋商响应文件中制定人员培训方案。方案应包括但不限于：培训的时间、地点、目标方式、内容、对象和措施、培训工程师数量、培训人员资质等。</w:t>
            </w:r>
          </w:p>
          <w:p w14:paraId="335F1FF5">
            <w:pPr>
              <w:spacing w:line="320" w:lineRule="exact"/>
              <w:rPr>
                <w:rFonts w:hint="default" w:ascii="Times New Roman" w:hAnsi="Times New Roman" w:eastAsia="仿宋_GB2312" w:cs="Times New Roman"/>
                <w:color w:val="auto"/>
                <w:lang w:val="en-US" w:eastAsia="zh-CN"/>
              </w:rPr>
            </w:pPr>
            <w:r>
              <w:rPr>
                <w:rFonts w:hint="default" w:ascii="Times New Roman" w:hAnsi="Times New Roman" w:eastAsia="仿宋_GB2312" w:cs="Times New Roman"/>
                <w:color w:val="auto"/>
                <w:kern w:val="0"/>
                <w:sz w:val="28"/>
                <w:szCs w:val="28"/>
                <w:lang w:val="en-US" w:eastAsia="zh-CN"/>
              </w:rPr>
              <w:t>供应商</w:t>
            </w:r>
            <w:r>
              <w:rPr>
                <w:rFonts w:hint="default" w:ascii="Times New Roman" w:hAnsi="Times New Roman" w:eastAsia="仿宋_GB2312" w:cs="Times New Roman"/>
                <w:color w:val="auto"/>
                <w:kern w:val="0"/>
                <w:sz w:val="28"/>
                <w:szCs w:val="28"/>
                <w:lang w:eastAsia="zh-CN"/>
              </w:rPr>
              <w:t>对每项内容论述详细，完全贴合采购需求的得5分；供应商对每项内容虽阐述但未贴合采购需求进行论述，或内容未包括具体细节的得3分；供应商提供的内容不完整或存在影响本项目目标实现的明显错误得1分；未提供相关内容的得0分。</w:t>
            </w:r>
          </w:p>
        </w:tc>
        <w:tc>
          <w:tcPr>
            <w:tcW w:w="398" w:type="pct"/>
            <w:vAlign w:val="center"/>
          </w:tcPr>
          <w:p w14:paraId="6359CE12">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5</w:t>
            </w:r>
          </w:p>
        </w:tc>
      </w:tr>
      <w:tr w14:paraId="28F73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9" w:type="pct"/>
            <w:vMerge w:val="continue"/>
            <w:vAlign w:val="center"/>
          </w:tcPr>
          <w:p w14:paraId="43BC7FE3">
            <w:pPr>
              <w:spacing w:line="320" w:lineRule="exact"/>
              <w:rPr>
                <w:rFonts w:hint="default" w:ascii="Times New Roman" w:hAnsi="Times New Roman" w:eastAsia="仿宋_GB2312" w:cs="Times New Roman"/>
                <w:color w:val="auto"/>
                <w:kern w:val="0"/>
                <w:sz w:val="28"/>
                <w:szCs w:val="28"/>
                <w:lang w:val="en-US" w:eastAsia="zh-CN"/>
              </w:rPr>
            </w:pPr>
          </w:p>
        </w:tc>
        <w:tc>
          <w:tcPr>
            <w:tcW w:w="688" w:type="pct"/>
            <w:vAlign w:val="center"/>
          </w:tcPr>
          <w:p w14:paraId="3182FF35">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售后服务</w:t>
            </w:r>
          </w:p>
        </w:tc>
        <w:tc>
          <w:tcPr>
            <w:tcW w:w="3195" w:type="pct"/>
            <w:vAlign w:val="center"/>
          </w:tcPr>
          <w:p w14:paraId="098562A2">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供应商针对本项目需求提供售后服务方案，方案应包括但不限于：售后服务内容、形式、团队成员数、含免费维修响应时间、解决质量或操作问题的响应时间、解决问题时间、售后服务地点等。</w:t>
            </w:r>
          </w:p>
          <w:p w14:paraId="5D25942D">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供应商</w:t>
            </w:r>
            <w:r>
              <w:rPr>
                <w:rFonts w:hint="default" w:ascii="Times New Roman" w:hAnsi="Times New Roman" w:eastAsia="仿宋_GB2312" w:cs="Times New Roman"/>
                <w:color w:val="auto"/>
                <w:kern w:val="0"/>
                <w:sz w:val="28"/>
                <w:szCs w:val="28"/>
                <w:lang w:eastAsia="zh-CN"/>
              </w:rPr>
              <w:t>对每项内容论述详细，完全贴合采购需求的得5分；</w:t>
            </w:r>
            <w:r>
              <w:rPr>
                <w:rFonts w:hint="default" w:ascii="Times New Roman" w:hAnsi="Times New Roman" w:eastAsia="仿宋_GB2312" w:cs="Times New Roman"/>
                <w:color w:val="auto"/>
                <w:kern w:val="0"/>
                <w:sz w:val="28"/>
                <w:szCs w:val="28"/>
                <w:lang w:val="en-US" w:eastAsia="zh-CN"/>
              </w:rPr>
              <w:t>供应商</w:t>
            </w:r>
            <w:r>
              <w:rPr>
                <w:rFonts w:hint="default" w:ascii="Times New Roman" w:hAnsi="Times New Roman" w:eastAsia="仿宋_GB2312" w:cs="Times New Roman"/>
                <w:color w:val="auto"/>
                <w:kern w:val="0"/>
                <w:sz w:val="28"/>
                <w:szCs w:val="28"/>
                <w:lang w:eastAsia="zh-CN"/>
              </w:rPr>
              <w:t>对每项内容虽阐述但未贴合采购需求进行论述，或内容未包括具体细节的得3分；</w:t>
            </w:r>
            <w:r>
              <w:rPr>
                <w:rFonts w:hint="default" w:ascii="Times New Roman" w:hAnsi="Times New Roman" w:eastAsia="仿宋_GB2312" w:cs="Times New Roman"/>
                <w:color w:val="auto"/>
                <w:kern w:val="0"/>
                <w:sz w:val="28"/>
                <w:szCs w:val="28"/>
                <w:lang w:val="en-US" w:eastAsia="zh-CN"/>
              </w:rPr>
              <w:t>供应商</w:t>
            </w:r>
            <w:r>
              <w:rPr>
                <w:rFonts w:hint="default" w:ascii="Times New Roman" w:hAnsi="Times New Roman" w:eastAsia="仿宋_GB2312" w:cs="Times New Roman"/>
                <w:color w:val="auto"/>
                <w:kern w:val="0"/>
                <w:sz w:val="28"/>
                <w:szCs w:val="28"/>
                <w:lang w:eastAsia="zh-CN"/>
              </w:rPr>
              <w:t>提供的内容不完整或存在影响本项目目标实现的明显错误得1分；未提供相关内容的得0分。</w:t>
            </w:r>
          </w:p>
        </w:tc>
        <w:tc>
          <w:tcPr>
            <w:tcW w:w="398" w:type="pct"/>
            <w:vAlign w:val="center"/>
          </w:tcPr>
          <w:p w14:paraId="05B26C73">
            <w:pPr>
              <w:spacing w:line="320" w:lineRule="exac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5</w:t>
            </w:r>
          </w:p>
        </w:tc>
      </w:tr>
    </w:tbl>
    <w:p w14:paraId="2E6E20D6">
      <w:pPr>
        <w:spacing w:line="320" w:lineRule="exact"/>
        <w:rPr>
          <w:rFonts w:hint="default" w:ascii="Times New Roman" w:hAnsi="Times New Roman" w:eastAsia="仿宋_GB2312" w:cs="Times New Roman"/>
          <w:b/>
          <w:color w:val="auto"/>
          <w:sz w:val="28"/>
          <w:szCs w:val="28"/>
        </w:rPr>
      </w:pPr>
      <w:r>
        <w:rPr>
          <w:rFonts w:hint="default" w:ascii="Times New Roman" w:hAnsi="Times New Roman" w:eastAsia="仿宋_GB2312" w:cs="Times New Roman"/>
          <w:color w:val="auto"/>
          <w:kern w:val="0"/>
          <w:sz w:val="28"/>
          <w:szCs w:val="28"/>
          <w:lang w:eastAsia="zh-CN"/>
        </w:rPr>
        <w:br w:type="page"/>
      </w:r>
    </w:p>
    <w:p w14:paraId="51EE848A">
      <w:pPr>
        <w:jc w:val="center"/>
        <w:outlineLvl w:val="0"/>
        <w:rPr>
          <w:rFonts w:cs="Times New Roman" w:asciiTheme="minorEastAsia" w:hAnsiTheme="minorEastAsia" w:eastAsiaTheme="minorEastAsia"/>
          <w:b/>
          <w:bCs/>
          <w:color w:val="auto"/>
          <w:kern w:val="44"/>
          <w:sz w:val="36"/>
          <w:szCs w:val="36"/>
        </w:rPr>
      </w:pPr>
      <w:bookmarkStart w:id="298" w:name="_Toc13426"/>
      <w:r>
        <w:rPr>
          <w:rFonts w:hint="default" w:cs="Times New Roman" w:asciiTheme="minorEastAsia" w:hAnsiTheme="minorEastAsia" w:eastAsiaTheme="minorEastAsia"/>
          <w:b/>
          <w:bCs/>
          <w:color w:val="auto"/>
          <w:kern w:val="44"/>
          <w:sz w:val="36"/>
          <w:szCs w:val="36"/>
          <w:lang w:val="en-US" w:eastAsia="zh-CN"/>
        </w:rPr>
        <w:t xml:space="preserve">第七章 </w:t>
      </w:r>
      <w:r>
        <w:rPr>
          <w:rFonts w:hint="default" w:cs="Times New Roman" w:asciiTheme="minorEastAsia" w:hAnsiTheme="minorEastAsia" w:eastAsiaTheme="minorEastAsia"/>
          <w:b/>
          <w:bCs/>
          <w:color w:val="auto"/>
          <w:kern w:val="44"/>
          <w:sz w:val="36"/>
          <w:szCs w:val="36"/>
        </w:rPr>
        <w:t>政府采购合同</w:t>
      </w:r>
      <w:bookmarkEnd w:id="286"/>
      <w:bookmarkEnd w:id="287"/>
      <w:bookmarkEnd w:id="288"/>
      <w:bookmarkEnd w:id="289"/>
      <w:bookmarkEnd w:id="290"/>
      <w:bookmarkEnd w:id="291"/>
      <w:bookmarkEnd w:id="292"/>
      <w:bookmarkEnd w:id="293"/>
      <w:bookmarkEnd w:id="294"/>
      <w:bookmarkEnd w:id="295"/>
      <w:bookmarkEnd w:id="296"/>
      <w:bookmarkEnd w:id="297"/>
      <w:bookmarkEnd w:id="298"/>
    </w:p>
    <w:p w14:paraId="465F70F5">
      <w:pPr>
        <w:pStyle w:val="16"/>
        <w:jc w:val="center"/>
        <w:rPr>
          <w:rFonts w:hint="eastAsia" w:asciiTheme="minorEastAsia" w:hAnsiTheme="minorEastAsia" w:eastAsiaTheme="minorEastAsia"/>
          <w:b/>
          <w:bCs/>
          <w:spacing w:val="-20"/>
          <w:kern w:val="44"/>
          <w:sz w:val="48"/>
          <w:szCs w:val="48"/>
        </w:rPr>
      </w:pPr>
      <w:bookmarkStart w:id="299" w:name="_Toc339295120"/>
      <w:bookmarkStart w:id="300" w:name="_Toc667407289"/>
      <w:bookmarkStart w:id="301" w:name="_Toc1047604175"/>
      <w:bookmarkStart w:id="302" w:name="_Toc505697850"/>
      <w:bookmarkStart w:id="303" w:name="_Toc1331652897_WPSOffice_Level2"/>
      <w:bookmarkStart w:id="304" w:name="_Toc2021117886"/>
      <w:bookmarkStart w:id="305" w:name="_Toc1554580408"/>
      <w:bookmarkStart w:id="306" w:name="_Toc1887969822_WPSOffice_Level2"/>
      <w:bookmarkStart w:id="307" w:name="_Toc694927784"/>
      <w:bookmarkStart w:id="308" w:name="_Toc1351594660_WPSOffice_Level2"/>
      <w:bookmarkStart w:id="309" w:name="_Toc1216028725_WPSOffice_Level2"/>
      <w:bookmarkStart w:id="310" w:name="_Toc2146371347"/>
      <w:r>
        <w:rPr>
          <w:rFonts w:asciiTheme="minorEastAsia" w:hAnsiTheme="minorEastAsia" w:eastAsiaTheme="minorEastAsia"/>
          <w:b/>
          <w:bCs/>
          <w:spacing w:val="-20"/>
          <w:kern w:val="44"/>
          <w:sz w:val="48"/>
          <w:szCs w:val="48"/>
        </w:rPr>
        <w:t>政府采购货物买卖合同</w:t>
      </w:r>
    </w:p>
    <w:p w14:paraId="567D4424">
      <w:pPr>
        <w:rPr>
          <w:rFonts w:cs="Times New Roman" w:asciiTheme="minorEastAsia" w:hAnsiTheme="minorEastAsia" w:eastAsiaTheme="minorEastAsia"/>
          <w:b/>
          <w:bCs/>
          <w:color w:val="auto"/>
          <w:spacing w:val="-20"/>
          <w:kern w:val="44"/>
          <w:sz w:val="40"/>
          <w:szCs w:val="40"/>
        </w:rPr>
      </w:pPr>
    </w:p>
    <w:p w14:paraId="1EABEA74">
      <w:pPr>
        <w:rPr>
          <w:rFonts w:cs="Times New Roman" w:asciiTheme="minorEastAsia" w:hAnsiTheme="minorEastAsia" w:eastAsiaTheme="minorEastAsia"/>
          <w:b/>
          <w:bCs/>
          <w:color w:val="auto"/>
          <w:spacing w:val="-20"/>
          <w:kern w:val="44"/>
          <w:sz w:val="40"/>
          <w:szCs w:val="40"/>
        </w:rPr>
      </w:pPr>
    </w:p>
    <w:p w14:paraId="444E21A8">
      <w:pPr>
        <w:rPr>
          <w:rFonts w:cs="Times New Roman" w:asciiTheme="minorEastAsia" w:hAnsiTheme="minorEastAsia" w:eastAsiaTheme="minorEastAsia"/>
          <w:b/>
          <w:bCs/>
          <w:color w:val="auto"/>
          <w:spacing w:val="-20"/>
          <w:kern w:val="44"/>
          <w:sz w:val="40"/>
          <w:szCs w:val="40"/>
        </w:rPr>
      </w:pPr>
    </w:p>
    <w:p w14:paraId="046E08BF">
      <w:pPr>
        <w:spacing w:line="360" w:lineRule="auto"/>
        <w:ind w:left="420" w:leftChars="200"/>
        <w:rPr>
          <w:rFonts w:cs="Times New Roman" w:asciiTheme="minorEastAsia" w:hAnsiTheme="minorEastAsia" w:eastAsiaTheme="minorEastAsia"/>
          <w:color w:val="auto"/>
          <w:sz w:val="32"/>
          <w:szCs w:val="32"/>
        </w:rPr>
      </w:pPr>
      <w:r>
        <w:rPr>
          <w:rFonts w:hint="default" w:cs="Times New Roman" w:asciiTheme="minorEastAsia" w:hAnsiTheme="minorEastAsia" w:eastAsiaTheme="minorEastAsia"/>
          <w:color w:val="auto"/>
          <w:kern w:val="0"/>
          <w:sz w:val="32"/>
          <w:szCs w:val="32"/>
        </w:rPr>
        <w:t>项目名称：</w:t>
      </w:r>
      <w:r>
        <w:rPr>
          <w:rFonts w:hint="default" w:cs="Times New Roman" w:asciiTheme="minorEastAsia" w:hAnsiTheme="minorEastAsia" w:eastAsiaTheme="minorEastAsia"/>
          <w:color w:val="auto"/>
          <w:sz w:val="32"/>
          <w:szCs w:val="32"/>
          <w:u w:val="single"/>
        </w:rPr>
        <w:t xml:space="preserve">                             </w:t>
      </w:r>
    </w:p>
    <w:p w14:paraId="0C522B48">
      <w:pPr>
        <w:spacing w:line="360" w:lineRule="auto"/>
        <w:ind w:left="420" w:leftChars="200"/>
        <w:rPr>
          <w:rFonts w:cs="Times New Roman" w:asciiTheme="minorEastAsia" w:hAnsiTheme="minorEastAsia" w:eastAsiaTheme="minorEastAsia"/>
          <w:color w:val="auto"/>
          <w:sz w:val="32"/>
          <w:szCs w:val="32"/>
          <w:u w:val="single"/>
        </w:rPr>
      </w:pPr>
      <w:r>
        <w:rPr>
          <w:rFonts w:hint="default" w:cs="Times New Roman" w:asciiTheme="minorEastAsia" w:hAnsiTheme="minorEastAsia" w:eastAsiaTheme="minorEastAsia"/>
          <w:color w:val="auto"/>
          <w:sz w:val="32"/>
          <w:szCs w:val="32"/>
        </w:rPr>
        <w:t>合同编号：</w:t>
      </w:r>
      <w:r>
        <w:rPr>
          <w:rFonts w:hint="default" w:cs="Times New Roman" w:asciiTheme="minorEastAsia" w:hAnsiTheme="minorEastAsia" w:eastAsiaTheme="minorEastAsia"/>
          <w:color w:val="auto"/>
          <w:sz w:val="32"/>
          <w:szCs w:val="32"/>
          <w:u w:val="single"/>
        </w:rPr>
        <w:t xml:space="preserve">                             </w:t>
      </w:r>
    </w:p>
    <w:p w14:paraId="47531CDB">
      <w:pPr>
        <w:spacing w:line="360" w:lineRule="auto"/>
        <w:ind w:left="420" w:leftChars="200"/>
        <w:rPr>
          <w:rFonts w:cs="Times New Roman" w:asciiTheme="minorEastAsia" w:hAnsiTheme="minorEastAsia" w:eastAsiaTheme="minorEastAsia"/>
          <w:color w:val="auto"/>
          <w:sz w:val="32"/>
          <w:szCs w:val="32"/>
          <w:lang w:eastAsia="zh-CN"/>
        </w:rPr>
      </w:pPr>
      <w:r>
        <w:rPr>
          <w:rFonts w:hint="default" w:cs="Times New Roman" w:asciiTheme="minorEastAsia" w:hAnsiTheme="minorEastAsia" w:eastAsiaTheme="minorEastAsia"/>
          <w:color w:val="auto"/>
          <w:sz w:val="32"/>
          <w:szCs w:val="32"/>
          <w:lang w:eastAsia="zh-CN"/>
        </w:rPr>
        <w:t>甲    方：</w:t>
      </w:r>
      <w:r>
        <w:rPr>
          <w:rFonts w:hint="default" w:cs="Times New Roman" w:asciiTheme="minorEastAsia" w:hAnsiTheme="minorEastAsia" w:eastAsiaTheme="minorEastAsia"/>
          <w:color w:val="auto"/>
          <w:sz w:val="32"/>
          <w:szCs w:val="32"/>
          <w:u w:val="single"/>
          <w:lang w:eastAsia="zh-CN"/>
        </w:rPr>
        <w:t xml:space="preserve">                             </w:t>
      </w:r>
    </w:p>
    <w:p w14:paraId="5A86E422">
      <w:pPr>
        <w:spacing w:line="360" w:lineRule="auto"/>
        <w:ind w:left="420" w:leftChars="200"/>
        <w:rPr>
          <w:rFonts w:cs="Times New Roman" w:asciiTheme="minorEastAsia" w:hAnsiTheme="minorEastAsia" w:eastAsiaTheme="minorEastAsia"/>
          <w:color w:val="auto"/>
          <w:sz w:val="32"/>
          <w:szCs w:val="32"/>
          <w:u w:val="single"/>
          <w:lang w:eastAsia="zh-CN"/>
        </w:rPr>
      </w:pPr>
      <w:r>
        <w:rPr>
          <w:rFonts w:hint="default" w:cs="Times New Roman" w:asciiTheme="minorEastAsia" w:hAnsiTheme="minorEastAsia" w:eastAsiaTheme="minorEastAsia"/>
          <w:color w:val="auto"/>
          <w:sz w:val="32"/>
          <w:szCs w:val="32"/>
          <w:lang w:eastAsia="zh-CN"/>
        </w:rPr>
        <w:t>乙    方：</w:t>
      </w:r>
      <w:r>
        <w:rPr>
          <w:rFonts w:hint="default" w:cs="Times New Roman" w:asciiTheme="minorEastAsia" w:hAnsiTheme="minorEastAsia" w:eastAsiaTheme="minorEastAsia"/>
          <w:color w:val="auto"/>
          <w:sz w:val="32"/>
          <w:szCs w:val="32"/>
          <w:u w:val="single"/>
          <w:lang w:eastAsia="zh-CN"/>
        </w:rPr>
        <w:t xml:space="preserve">                             </w:t>
      </w:r>
    </w:p>
    <w:p w14:paraId="03EADFBF">
      <w:pPr>
        <w:spacing w:line="360" w:lineRule="auto"/>
        <w:ind w:left="420" w:leftChars="200"/>
        <w:rPr>
          <w:rFonts w:cs="Times New Roman" w:asciiTheme="minorEastAsia" w:hAnsiTheme="minorEastAsia" w:eastAsiaTheme="minorEastAsia"/>
          <w:color w:val="auto"/>
          <w:sz w:val="32"/>
          <w:szCs w:val="32"/>
          <w:lang w:eastAsia="zh-CN"/>
        </w:rPr>
      </w:pPr>
      <w:r>
        <w:rPr>
          <w:rFonts w:hint="default" w:cs="Times New Roman" w:asciiTheme="minorEastAsia" w:hAnsiTheme="minorEastAsia" w:eastAsiaTheme="minorEastAsia"/>
          <w:color w:val="auto"/>
          <w:sz w:val="32"/>
          <w:szCs w:val="32"/>
          <w:lang w:eastAsia="zh-CN"/>
        </w:rPr>
        <w:t>签订时间：</w:t>
      </w:r>
      <w:r>
        <w:rPr>
          <w:rFonts w:hint="default" w:cs="Times New Roman" w:asciiTheme="minorEastAsia" w:hAnsiTheme="minorEastAsia" w:eastAsiaTheme="minorEastAsia"/>
          <w:color w:val="auto"/>
          <w:sz w:val="32"/>
          <w:szCs w:val="32"/>
          <w:u w:val="single"/>
          <w:lang w:eastAsia="zh-CN"/>
        </w:rPr>
        <w:t xml:space="preserve">                             </w:t>
      </w:r>
    </w:p>
    <w:p w14:paraId="64964B5F">
      <w:pPr>
        <w:rPr>
          <w:rFonts w:hint="default" w:ascii="Times New Roman" w:hAnsi="Times New Roman" w:cs="Times New Roman"/>
          <w:color w:val="auto"/>
          <w:lang w:eastAsia="zh-CN"/>
        </w:rPr>
      </w:pPr>
    </w:p>
    <w:p w14:paraId="74D6630F">
      <w:pPr>
        <w:rPr>
          <w:rFonts w:hint="default" w:ascii="Times New Roman" w:hAnsi="Times New Roman" w:eastAsia="黑体" w:cs="Times New Roman"/>
          <w:color w:val="auto"/>
          <w:sz w:val="44"/>
          <w:szCs w:val="44"/>
          <w:lang w:eastAsia="zh-CN"/>
        </w:rPr>
        <w:sectPr>
          <w:pgSz w:w="11906" w:h="16838"/>
          <w:pgMar w:top="1440" w:right="1080" w:bottom="1440" w:left="1080" w:header="851" w:footer="992" w:gutter="0"/>
          <w:cols w:space="720" w:num="1"/>
          <w:docGrid w:type="lines" w:linePitch="312" w:charSpace="0"/>
        </w:sectPr>
      </w:pPr>
    </w:p>
    <w:p w14:paraId="5FA337B3">
      <w:pPr>
        <w:adjustRightInd w:val="0"/>
        <w:snapToGrid w:val="0"/>
        <w:spacing w:line="400" w:lineRule="exact"/>
        <w:jc w:val="center"/>
        <w:outlineLvl w:val="1"/>
        <w:rPr>
          <w:rFonts w:hint="default" w:ascii="Times New Roman" w:hAnsi="Times New Roman" w:eastAsia="黑体" w:cs="Times New Roman"/>
          <w:color w:val="auto"/>
          <w:sz w:val="28"/>
          <w:szCs w:val="28"/>
          <w:lang w:eastAsia="zh-CN"/>
        </w:rPr>
      </w:pPr>
      <w:bookmarkStart w:id="311" w:name="_Toc22209"/>
      <w:r>
        <w:rPr>
          <w:rFonts w:hint="default" w:ascii="Times New Roman" w:hAnsi="Times New Roman" w:eastAsia="黑体" w:cs="Times New Roman"/>
          <w:color w:val="auto"/>
          <w:sz w:val="28"/>
          <w:szCs w:val="28"/>
          <w:lang w:eastAsia="zh-CN"/>
        </w:rPr>
        <w:t>第一节 政府采购合同协议书</w:t>
      </w:r>
      <w:bookmarkEnd w:id="311"/>
    </w:p>
    <w:p w14:paraId="139CB49B">
      <w:pPr>
        <w:adjustRightInd w:val="0"/>
        <w:snapToGrid w:val="0"/>
        <w:spacing w:line="400" w:lineRule="exact"/>
        <w:jc w:val="center"/>
        <w:rPr>
          <w:rFonts w:hint="default" w:ascii="Times New Roman" w:hAnsi="Times New Roman" w:eastAsia="黑体" w:cs="Times New Roman"/>
          <w:color w:val="auto"/>
          <w:sz w:val="28"/>
          <w:szCs w:val="28"/>
          <w:lang w:eastAsia="zh-CN"/>
        </w:rPr>
      </w:pPr>
    </w:p>
    <w:p w14:paraId="7DC96B55">
      <w:pPr>
        <w:adjustRightInd w:val="0"/>
        <w:snapToGrid w:val="0"/>
        <w:spacing w:line="400" w:lineRule="exac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甲方（全称）：</w:t>
      </w:r>
      <w:r>
        <w:rPr>
          <w:rFonts w:hint="default" w:cs="Times New Roman" w:asciiTheme="minorEastAsia" w:hAnsiTheme="minorEastAsia" w:eastAsiaTheme="minorEastAsia"/>
          <w:color w:val="auto"/>
          <w:u w:val="single"/>
          <w:lang w:eastAsia="zh-CN"/>
        </w:rPr>
        <w:t xml:space="preserve">                        </w:t>
      </w:r>
      <w:r>
        <w:rPr>
          <w:rFonts w:hint="default" w:cs="Times New Roman" w:asciiTheme="minorEastAsia" w:hAnsiTheme="minorEastAsia" w:eastAsiaTheme="minorEastAsia"/>
          <w:color w:val="auto"/>
          <w:lang w:eastAsia="zh-CN"/>
        </w:rPr>
        <w:t>（采购人、受采购人委托签订合同的单位或采购</w:t>
      </w:r>
      <w:r>
        <w:rPr>
          <w:rFonts w:hint="default" w:cs="Times New Roman" w:asciiTheme="minorEastAsia" w:hAnsiTheme="minorEastAsia" w:eastAsiaTheme="minorEastAsia"/>
          <w:color w:val="auto"/>
          <w:lang w:val="en-US" w:eastAsia="zh-CN"/>
        </w:rPr>
        <w:tab/>
      </w:r>
      <w:r>
        <w:rPr>
          <w:rFonts w:hint="default" w:cs="Times New Roman" w:asciiTheme="minorEastAsia" w:hAnsiTheme="minorEastAsia" w:eastAsiaTheme="minorEastAsia"/>
          <w:color w:val="auto"/>
          <w:lang w:val="en-US" w:eastAsia="zh-CN"/>
        </w:rPr>
        <w:t xml:space="preserve">                                   </w:t>
      </w:r>
      <w:r>
        <w:rPr>
          <w:rFonts w:hint="default" w:cs="Times New Roman" w:asciiTheme="minorEastAsia" w:hAnsiTheme="minorEastAsia" w:eastAsiaTheme="minorEastAsia"/>
          <w:color w:val="auto"/>
          <w:lang w:eastAsia="zh-CN"/>
        </w:rPr>
        <w:t>文件约定的合同甲方）</w:t>
      </w:r>
    </w:p>
    <w:p w14:paraId="33279198">
      <w:pPr>
        <w:adjustRightInd w:val="0"/>
        <w:snapToGrid w:val="0"/>
        <w:spacing w:line="400" w:lineRule="exac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乙方</w:t>
      </w:r>
      <w:r>
        <w:rPr>
          <w:rFonts w:hint="default" w:cs="Times New Roman" w:asciiTheme="minorEastAsia" w:hAnsiTheme="minorEastAsia" w:eastAsiaTheme="minorEastAsia"/>
          <w:color w:val="auto"/>
          <w:lang w:val="en-US" w:eastAsia="zh-CN"/>
        </w:rPr>
        <w:t>1</w:t>
      </w:r>
      <w:r>
        <w:rPr>
          <w:rFonts w:hint="default" w:cs="Times New Roman" w:asciiTheme="minorEastAsia" w:hAnsiTheme="minorEastAsia" w:eastAsiaTheme="minorEastAsia"/>
          <w:color w:val="auto"/>
          <w:lang w:eastAsia="zh-CN"/>
        </w:rPr>
        <w:t>（全称）：</w:t>
      </w:r>
      <w:r>
        <w:rPr>
          <w:rFonts w:hint="default" w:cs="Times New Roman" w:asciiTheme="minorEastAsia" w:hAnsiTheme="minorEastAsia" w:eastAsiaTheme="minorEastAsia"/>
          <w:color w:val="auto"/>
          <w:u w:val="single"/>
          <w:lang w:eastAsia="zh-CN"/>
        </w:rPr>
        <w:t xml:space="preserve">                       </w:t>
      </w:r>
      <w:r>
        <w:rPr>
          <w:rFonts w:hint="default" w:cs="Times New Roman" w:asciiTheme="minorEastAsia" w:hAnsiTheme="minorEastAsia" w:eastAsiaTheme="minorEastAsia"/>
          <w:color w:val="auto"/>
          <w:lang w:eastAsia="zh-CN"/>
        </w:rPr>
        <w:t>（供应商）</w:t>
      </w:r>
    </w:p>
    <w:p w14:paraId="1009357C">
      <w:pPr>
        <w:adjustRightInd w:val="0"/>
        <w:snapToGrid w:val="0"/>
        <w:spacing w:line="400" w:lineRule="exac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乙方2（全称）：</w:t>
      </w:r>
      <w:r>
        <w:rPr>
          <w:rFonts w:hint="default" w:cs="Times New Roman" w:asciiTheme="minorEastAsia" w:hAnsiTheme="minorEastAsia" w:eastAsiaTheme="minorEastAsia"/>
          <w:color w:val="auto"/>
          <w:u w:val="single"/>
          <w:lang w:eastAsia="zh-CN"/>
        </w:rPr>
        <w:t xml:space="preserve">                        </w:t>
      </w:r>
      <w:r>
        <w:rPr>
          <w:rFonts w:hint="default" w:cs="Times New Roman" w:asciiTheme="minorEastAsia" w:hAnsiTheme="minorEastAsia" w:eastAsiaTheme="minorEastAsia"/>
          <w:color w:val="auto"/>
          <w:lang w:eastAsia="zh-CN"/>
        </w:rPr>
        <w:t>（联合体成员供应商或其他合同主体）（如有）</w:t>
      </w:r>
    </w:p>
    <w:p w14:paraId="4C55918A">
      <w:pPr>
        <w:adjustRightInd w:val="0"/>
        <w:snapToGrid w:val="0"/>
        <w:spacing w:line="400" w:lineRule="exac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乙方</w:t>
      </w:r>
      <w:r>
        <w:rPr>
          <w:rFonts w:hint="default" w:cs="Times New Roman" w:asciiTheme="minorEastAsia" w:hAnsiTheme="minorEastAsia" w:eastAsiaTheme="minorEastAsia"/>
          <w:color w:val="auto"/>
          <w:lang w:val="en-US" w:eastAsia="zh-CN"/>
        </w:rPr>
        <w:t>3（全称）</w:t>
      </w:r>
      <w:r>
        <w:rPr>
          <w:rFonts w:hint="default" w:cs="Times New Roman" w:asciiTheme="minorEastAsia" w:hAnsiTheme="minorEastAsia" w:eastAsiaTheme="minorEastAsia"/>
          <w:color w:val="auto"/>
          <w:u w:val="single"/>
          <w:lang w:eastAsia="zh-CN"/>
        </w:rPr>
        <w:t xml:space="preserve">                          </w:t>
      </w:r>
      <w:r>
        <w:rPr>
          <w:rFonts w:hint="default" w:cs="Times New Roman" w:asciiTheme="minorEastAsia" w:hAnsiTheme="minorEastAsia" w:eastAsiaTheme="minorEastAsia"/>
          <w:color w:val="auto"/>
          <w:lang w:eastAsia="zh-CN"/>
        </w:rPr>
        <w:t>（联合体成员供应商或其他合同主体）（如有）</w:t>
      </w:r>
    </w:p>
    <w:p w14:paraId="09BD3D84">
      <w:pPr>
        <w:spacing w:line="400" w:lineRule="exact"/>
        <w:rPr>
          <w:rFonts w:cs="Times New Roman" w:asciiTheme="minorEastAsia" w:hAnsiTheme="minorEastAsia" w:eastAsiaTheme="minorEastAsia"/>
          <w:color w:val="auto"/>
          <w:lang w:val="en-US" w:eastAsia="zh-CN"/>
        </w:rPr>
      </w:pPr>
    </w:p>
    <w:p w14:paraId="3BEDB763">
      <w:pPr>
        <w:pStyle w:val="17"/>
        <w:adjustRightInd w:val="0"/>
        <w:snapToGrid w:val="0"/>
        <w:spacing w:line="400" w:lineRule="exact"/>
        <w:ind w:firstLine="480" w:firstLineChars="200"/>
        <w:rPr>
          <w:rFonts w:hint="eastAsia" w:asciiTheme="minorEastAsia" w:hAnsiTheme="minorEastAsia" w:eastAsiaTheme="minorEastAsia"/>
          <w:szCs w:val="21"/>
        </w:rPr>
      </w:pPr>
      <w:r>
        <w:rPr>
          <w:rFonts w:asciiTheme="minorEastAsia" w:hAnsiTheme="minorEastAsia" w:eastAsiaTheme="minorEastAsia"/>
          <w:szCs w:val="21"/>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29A120EA">
      <w:pPr>
        <w:numPr>
          <w:ilvl w:val="0"/>
          <w:numId w:val="14"/>
        </w:numPr>
        <w:adjustRightInd w:val="0"/>
        <w:snapToGrid w:val="0"/>
        <w:spacing w:line="400" w:lineRule="exact"/>
        <w:ind w:firstLine="422" w:firstLineChars="200"/>
        <w:rPr>
          <w:rFonts w:cs="Times New Roman" w:asciiTheme="minorEastAsia" w:hAnsiTheme="minorEastAsia" w:eastAsiaTheme="minorEastAsia"/>
          <w:b/>
          <w:color w:val="auto"/>
        </w:rPr>
      </w:pPr>
      <w:r>
        <w:rPr>
          <w:rFonts w:hint="default" w:cs="Times New Roman" w:asciiTheme="minorEastAsia" w:hAnsiTheme="minorEastAsia" w:eastAsiaTheme="minorEastAsia"/>
          <w:b/>
          <w:color w:val="auto"/>
        </w:rPr>
        <w:t>项目信息</w:t>
      </w:r>
    </w:p>
    <w:p w14:paraId="25788395">
      <w:pPr>
        <w:pStyle w:val="17"/>
        <w:numPr>
          <w:ilvl w:val="0"/>
          <w:numId w:val="15"/>
        </w:numPr>
        <w:adjustRightInd w:val="0"/>
        <w:snapToGrid w:val="0"/>
        <w:spacing w:line="400" w:lineRule="exact"/>
        <w:ind w:firstLine="480" w:firstLineChars="200"/>
        <w:rPr>
          <w:rFonts w:hint="eastAsia" w:asciiTheme="minorEastAsia" w:hAnsiTheme="minorEastAsia" w:eastAsiaTheme="minorEastAsia"/>
          <w:szCs w:val="21"/>
          <w:u w:val="single"/>
        </w:rPr>
      </w:pPr>
      <w:r>
        <w:rPr>
          <w:rFonts w:asciiTheme="minorEastAsia" w:hAnsiTheme="minorEastAsia" w:eastAsiaTheme="minorEastAsia"/>
          <w:szCs w:val="21"/>
        </w:rPr>
        <w:t>采购项目名称：</w:t>
      </w:r>
      <w:r>
        <w:rPr>
          <w:rFonts w:asciiTheme="minorEastAsia" w:hAnsiTheme="minorEastAsia" w:eastAsiaTheme="minorEastAsia"/>
          <w:szCs w:val="21"/>
          <w:u w:val="single"/>
        </w:rPr>
        <w:t xml:space="preserve">                                          </w:t>
      </w:r>
    </w:p>
    <w:p w14:paraId="1B5CA50D">
      <w:pPr>
        <w:pStyle w:val="17"/>
        <w:tabs>
          <w:tab w:val="left" w:pos="999"/>
        </w:tabs>
        <w:adjustRightInd w:val="0"/>
        <w:snapToGrid w:val="0"/>
        <w:spacing w:line="400" w:lineRule="exact"/>
        <w:ind w:firstLine="0"/>
        <w:rPr>
          <w:rFonts w:hint="eastAsia" w:asciiTheme="minorEastAsia" w:hAnsiTheme="minorEastAsia" w:eastAsiaTheme="minorEastAsia"/>
          <w:szCs w:val="21"/>
        </w:rPr>
      </w:pPr>
      <w:r>
        <w:rPr>
          <w:rFonts w:asciiTheme="minorEastAsia" w:hAnsiTheme="minorEastAsia" w:eastAsiaTheme="minorEastAsia"/>
          <w:szCs w:val="21"/>
        </w:rPr>
        <w:t xml:space="preserve">         采购项目编号：</w:t>
      </w:r>
      <w:r>
        <w:rPr>
          <w:rFonts w:asciiTheme="minorEastAsia" w:hAnsiTheme="minorEastAsia" w:eastAsiaTheme="minorEastAsia"/>
          <w:szCs w:val="21"/>
          <w:u w:val="single"/>
        </w:rPr>
        <w:t xml:space="preserve">                                          </w:t>
      </w:r>
    </w:p>
    <w:p w14:paraId="4C34A6DC">
      <w:pPr>
        <w:pStyle w:val="17"/>
        <w:adjustRightInd w:val="0"/>
        <w:snapToGrid w:val="0"/>
        <w:spacing w:line="400" w:lineRule="exact"/>
        <w:ind w:firstLine="480" w:firstLineChars="200"/>
        <w:rPr>
          <w:rFonts w:hint="eastAsia" w:asciiTheme="minorEastAsia" w:hAnsiTheme="minorEastAsia" w:eastAsiaTheme="minorEastAsia"/>
          <w:szCs w:val="21"/>
        </w:rPr>
      </w:pPr>
      <w:r>
        <w:rPr>
          <w:rFonts w:asciiTheme="minorEastAsia" w:hAnsiTheme="minorEastAsia" w:eastAsiaTheme="minorEastAsia"/>
          <w:szCs w:val="21"/>
        </w:rPr>
        <w:t>（2）采购计划编号：</w:t>
      </w:r>
      <w:r>
        <w:rPr>
          <w:rFonts w:asciiTheme="minorEastAsia" w:hAnsiTheme="minorEastAsia" w:eastAsiaTheme="minorEastAsia"/>
          <w:szCs w:val="21"/>
          <w:u w:val="single"/>
        </w:rPr>
        <w:t xml:space="preserve">                                          </w:t>
      </w:r>
      <w:r>
        <w:rPr>
          <w:rFonts w:asciiTheme="minorEastAsia" w:hAnsiTheme="minorEastAsia" w:eastAsiaTheme="minorEastAsia"/>
          <w:szCs w:val="21"/>
        </w:rPr>
        <w:t xml:space="preserve"> </w:t>
      </w:r>
    </w:p>
    <w:p w14:paraId="1AF2162C">
      <w:pPr>
        <w:adjustRightInd w:val="0"/>
        <w:snapToGrid w:val="0"/>
        <w:spacing w:line="400" w:lineRule="exact"/>
        <w:ind w:firstLine="420" w:firstLineChars="200"/>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（3）项目内容：</w:t>
      </w:r>
    </w:p>
    <w:p w14:paraId="54495E11">
      <w:pPr>
        <w:adjustRightInd w:val="0"/>
        <w:snapToGrid w:val="0"/>
        <w:spacing w:line="400" w:lineRule="exact"/>
        <w:ind w:firstLine="420" w:firstLineChars="200"/>
        <w:rPr>
          <w:rFonts w:cs="Times New Roman" w:asciiTheme="minorEastAsia" w:hAnsiTheme="minorEastAsia" w:eastAsiaTheme="minorEastAsia"/>
          <w:color w:val="auto"/>
          <w:lang w:val="en-US" w:eastAsia="zh-CN"/>
        </w:rPr>
      </w:pPr>
      <w:r>
        <w:rPr>
          <w:rFonts w:hint="default" w:cs="Times New Roman" w:asciiTheme="minorEastAsia" w:hAnsiTheme="minorEastAsia" w:eastAsiaTheme="minorEastAsia"/>
          <w:color w:val="auto"/>
          <w:lang w:val="en-US" w:eastAsia="zh-CN"/>
        </w:rPr>
        <w:t xml:space="preserve">     </w:t>
      </w:r>
      <w:r>
        <w:rPr>
          <w:rFonts w:hint="default" w:cs="Times New Roman" w:asciiTheme="minorEastAsia" w:hAnsiTheme="minorEastAsia" w:eastAsiaTheme="minorEastAsia"/>
          <w:color w:val="auto"/>
          <w:lang w:eastAsia="zh-CN"/>
        </w:rPr>
        <w:t>采购标的及数量</w:t>
      </w:r>
      <w:r>
        <w:rPr>
          <w:rFonts w:hint="default" w:cs="Times New Roman" w:asciiTheme="minorEastAsia" w:hAnsiTheme="minorEastAsia" w:eastAsiaTheme="minorEastAsia"/>
          <w:color w:val="auto"/>
          <w:lang w:val="en-US" w:eastAsia="zh-CN"/>
        </w:rPr>
        <w:t>（台/套</w:t>
      </w:r>
      <w:r>
        <w:rPr>
          <w:rFonts w:hint="default" w:cs="Times New Roman" w:asciiTheme="minorEastAsia" w:hAnsiTheme="minorEastAsia" w:eastAsiaTheme="minorEastAsia"/>
          <w:color w:val="auto"/>
          <w:lang w:val="en" w:eastAsia="zh-CN"/>
        </w:rPr>
        <w:t>/个/架/组等</w:t>
      </w:r>
      <w:r>
        <w:rPr>
          <w:rFonts w:hint="default" w:cs="Times New Roman" w:asciiTheme="minorEastAsia" w:hAnsiTheme="minorEastAsia" w:eastAsiaTheme="minorEastAsia"/>
          <w:color w:val="auto"/>
          <w:lang w:val="en-US" w:eastAsia="zh-CN"/>
        </w:rPr>
        <w:t>）</w:t>
      </w:r>
      <w:r>
        <w:rPr>
          <w:rFonts w:hint="default" w:cs="Times New Roman" w:asciiTheme="minorEastAsia" w:hAnsiTheme="minorEastAsia" w:eastAsiaTheme="minorEastAsia"/>
          <w:color w:val="auto"/>
          <w:lang w:eastAsia="zh-CN"/>
        </w:rPr>
        <w:t>：</w:t>
      </w:r>
      <w:r>
        <w:rPr>
          <w:rFonts w:hint="default" w:cs="Times New Roman" w:asciiTheme="minorEastAsia" w:hAnsiTheme="minorEastAsia" w:eastAsiaTheme="minorEastAsia"/>
          <w:color w:val="auto"/>
          <w:u w:val="single"/>
          <w:lang w:val="en-US" w:eastAsia="zh-CN"/>
        </w:rPr>
        <w:t xml:space="preserve">                       </w:t>
      </w:r>
      <w:r>
        <w:rPr>
          <w:rFonts w:hint="default" w:cs="Times New Roman" w:asciiTheme="minorEastAsia" w:hAnsiTheme="minorEastAsia" w:eastAsiaTheme="minorEastAsia"/>
          <w:color w:val="auto"/>
          <w:lang w:val="en-US" w:eastAsia="zh-CN"/>
        </w:rPr>
        <w:t xml:space="preserve">            </w:t>
      </w:r>
      <w:r>
        <w:rPr>
          <w:rFonts w:hint="default" w:cs="Times New Roman" w:asciiTheme="minorEastAsia" w:hAnsiTheme="minorEastAsia" w:eastAsiaTheme="minorEastAsia"/>
          <w:color w:val="auto"/>
          <w:u w:val="single"/>
          <w:lang w:val="en-US" w:eastAsia="zh-CN"/>
        </w:rPr>
        <w:t xml:space="preserve">                  </w:t>
      </w:r>
      <w:r>
        <w:rPr>
          <w:rFonts w:hint="default" w:cs="Times New Roman" w:asciiTheme="minorEastAsia" w:hAnsiTheme="minorEastAsia" w:eastAsiaTheme="minorEastAsia"/>
          <w:color w:val="auto"/>
          <w:lang w:val="en-US" w:eastAsia="zh-CN"/>
        </w:rPr>
        <w:t xml:space="preserve"> </w:t>
      </w:r>
    </w:p>
    <w:p w14:paraId="1DAA81FA">
      <w:pPr>
        <w:adjustRightInd w:val="0"/>
        <w:snapToGrid w:val="0"/>
        <w:spacing w:line="400" w:lineRule="exact"/>
        <w:ind w:firstLine="420" w:firstLineChars="200"/>
        <w:rPr>
          <w:rFonts w:cs="Times New Roman" w:asciiTheme="minorEastAsia" w:hAnsiTheme="minorEastAsia" w:eastAsiaTheme="minorEastAsia"/>
          <w:color w:val="auto"/>
          <w:lang w:val="en" w:eastAsia="zh-CN"/>
        </w:rPr>
      </w:pPr>
      <w:r>
        <w:rPr>
          <w:rFonts w:hint="default" w:cs="Times New Roman" w:asciiTheme="minorEastAsia" w:hAnsiTheme="minorEastAsia" w:eastAsiaTheme="minorEastAsia"/>
          <w:color w:val="auto"/>
          <w:lang w:val="en-US" w:eastAsia="zh-CN"/>
        </w:rPr>
        <w:t xml:space="preserve">     品牌：</w:t>
      </w:r>
      <w:r>
        <w:rPr>
          <w:rFonts w:hint="default" w:cs="Times New Roman" w:asciiTheme="minorEastAsia" w:hAnsiTheme="minorEastAsia" w:eastAsiaTheme="minorEastAsia"/>
          <w:color w:val="auto"/>
          <w:u w:val="single"/>
          <w:lang w:val="en-US" w:eastAsia="zh-CN"/>
        </w:rPr>
        <w:t xml:space="preserve">      </w:t>
      </w:r>
      <w:r>
        <w:rPr>
          <w:rFonts w:hint="default" w:cs="Times New Roman" w:asciiTheme="minorEastAsia" w:hAnsiTheme="minorEastAsia" w:eastAsiaTheme="minorEastAsia"/>
          <w:color w:val="auto"/>
          <w:u w:val="single"/>
          <w:lang w:val="en" w:eastAsia="zh-CN"/>
        </w:rPr>
        <w:t xml:space="preserve">   </w:t>
      </w:r>
      <w:r>
        <w:rPr>
          <w:rFonts w:hint="default" w:cs="Times New Roman" w:asciiTheme="minorEastAsia" w:hAnsiTheme="minorEastAsia" w:eastAsiaTheme="minorEastAsia"/>
          <w:color w:val="auto"/>
          <w:u w:val="single"/>
          <w:lang w:val="en-US" w:eastAsia="zh-CN"/>
        </w:rPr>
        <w:t xml:space="preserve">    </w:t>
      </w:r>
      <w:r>
        <w:rPr>
          <w:rFonts w:hint="default" w:cs="Times New Roman" w:asciiTheme="minorEastAsia" w:hAnsiTheme="minorEastAsia" w:eastAsiaTheme="minorEastAsia"/>
          <w:color w:val="auto"/>
          <w:u w:val="single"/>
          <w:lang w:val="en" w:eastAsia="zh-CN"/>
        </w:rPr>
        <w:t xml:space="preserve"> </w:t>
      </w:r>
      <w:r>
        <w:rPr>
          <w:rFonts w:hint="default" w:cs="Times New Roman" w:asciiTheme="minorEastAsia" w:hAnsiTheme="minorEastAsia" w:eastAsiaTheme="minorEastAsia"/>
          <w:color w:val="auto"/>
          <w:u w:val="single"/>
          <w:lang w:val="en-US" w:eastAsia="zh-CN"/>
        </w:rPr>
        <w:t xml:space="preserve"> </w:t>
      </w:r>
      <w:r>
        <w:rPr>
          <w:rFonts w:hint="default" w:cs="Times New Roman" w:asciiTheme="minorEastAsia" w:hAnsiTheme="minorEastAsia" w:eastAsiaTheme="minorEastAsia"/>
          <w:color w:val="auto"/>
          <w:lang w:val="en" w:eastAsia="zh-CN"/>
        </w:rPr>
        <w:t xml:space="preserve">     </w:t>
      </w:r>
      <w:r>
        <w:rPr>
          <w:rFonts w:hint="default" w:cs="Times New Roman" w:asciiTheme="minorEastAsia" w:hAnsiTheme="minorEastAsia" w:eastAsiaTheme="minorEastAsia"/>
          <w:color w:val="auto"/>
          <w:lang w:val="en-US" w:eastAsia="zh-CN"/>
        </w:rPr>
        <w:t>规格型号：</w:t>
      </w:r>
      <w:r>
        <w:rPr>
          <w:rFonts w:hint="default" w:cs="Times New Roman" w:asciiTheme="minorEastAsia" w:hAnsiTheme="minorEastAsia" w:eastAsiaTheme="minorEastAsia"/>
          <w:color w:val="auto"/>
          <w:u w:val="single"/>
          <w:lang w:val="en-US" w:eastAsia="zh-CN"/>
        </w:rPr>
        <w:t xml:space="preserve">   </w:t>
      </w:r>
      <w:r>
        <w:rPr>
          <w:rFonts w:hint="default" w:cs="Times New Roman" w:asciiTheme="minorEastAsia" w:hAnsiTheme="minorEastAsia" w:eastAsiaTheme="minorEastAsia"/>
          <w:color w:val="auto"/>
          <w:u w:val="single"/>
          <w:lang w:val="en" w:eastAsia="zh-CN"/>
        </w:rPr>
        <w:t xml:space="preserve">  </w:t>
      </w:r>
      <w:r>
        <w:rPr>
          <w:rFonts w:hint="default" w:cs="Times New Roman" w:asciiTheme="minorEastAsia" w:hAnsiTheme="minorEastAsia" w:eastAsiaTheme="minorEastAsia"/>
          <w:color w:val="auto"/>
          <w:u w:val="single"/>
          <w:lang w:val="en-US" w:eastAsia="zh-CN"/>
        </w:rPr>
        <w:t xml:space="preserve">       </w:t>
      </w:r>
      <w:r>
        <w:rPr>
          <w:rFonts w:hint="default" w:cs="Times New Roman" w:asciiTheme="minorEastAsia" w:hAnsiTheme="minorEastAsia" w:eastAsiaTheme="minorEastAsia"/>
          <w:color w:val="auto"/>
          <w:u w:val="single"/>
          <w:lang w:val="en" w:eastAsia="zh-CN"/>
        </w:rPr>
        <w:t xml:space="preserve">   </w:t>
      </w:r>
    </w:p>
    <w:p w14:paraId="31491875">
      <w:pPr>
        <w:adjustRightInd w:val="0"/>
        <w:snapToGrid w:val="0"/>
        <w:spacing w:line="400" w:lineRule="exact"/>
        <w:ind w:firstLine="945" w:firstLineChars="450"/>
        <w:rPr>
          <w:rFonts w:cs="Times New Roman" w:asciiTheme="minorEastAsia" w:hAnsiTheme="minorEastAsia" w:eastAsiaTheme="minorEastAsia"/>
          <w:color w:val="auto"/>
          <w:u w:val="single"/>
          <w:lang w:eastAsia="zh-CN"/>
        </w:rPr>
      </w:pPr>
      <w:r>
        <w:rPr>
          <w:rFonts w:hint="default" w:cs="Times New Roman" w:asciiTheme="minorEastAsia" w:hAnsiTheme="minorEastAsia" w:eastAsiaTheme="minorEastAsia"/>
          <w:color w:val="auto"/>
          <w:lang w:val="en-US" w:eastAsia="zh-CN"/>
        </w:rPr>
        <w:t>采购标的的技术要求、商务要求具体见附件。</w:t>
      </w:r>
    </w:p>
    <w:p w14:paraId="5C3C02AA">
      <w:pPr>
        <w:adjustRightInd w:val="0"/>
        <w:snapToGrid w:val="0"/>
        <w:spacing w:line="400" w:lineRule="exact"/>
        <w:ind w:firstLine="945" w:firstLineChars="450"/>
        <w:rPr>
          <w:rFonts w:cs="Times New Roman" w:asciiTheme="minorEastAsia" w:hAnsiTheme="minorEastAsia" w:eastAsiaTheme="minorEastAsia"/>
          <w:color w:val="auto"/>
          <w:lang w:val="en-US" w:eastAsia="zh-CN"/>
        </w:rPr>
      </w:pPr>
      <w:r>
        <w:rPr>
          <w:rFonts w:hint="default" w:cs="Times New Roman" w:asciiTheme="minorEastAsia" w:hAnsiTheme="minorEastAsia" w:eastAsiaTheme="minorEastAsia"/>
          <w:color w:val="auto"/>
          <w:lang w:val="en-US" w:eastAsia="zh-CN"/>
        </w:rPr>
        <w:t>①涉及信息类产品，请填写该产品关键部件的品牌、型号：</w:t>
      </w:r>
    </w:p>
    <w:p w14:paraId="053F1C83">
      <w:pPr>
        <w:adjustRightInd w:val="0"/>
        <w:snapToGrid w:val="0"/>
        <w:spacing w:line="400" w:lineRule="exact"/>
        <w:ind w:firstLine="420" w:firstLineChars="200"/>
        <w:rPr>
          <w:rFonts w:cs="Times New Roman" w:asciiTheme="minorEastAsia" w:hAnsiTheme="minorEastAsia" w:eastAsiaTheme="minorEastAsia"/>
          <w:color w:val="auto"/>
          <w:kern w:val="0"/>
          <w:u w:val="single"/>
          <w:lang w:val="en-US" w:eastAsia="zh-CN"/>
        </w:rPr>
      </w:pPr>
      <w:r>
        <w:rPr>
          <w:rFonts w:hint="default" w:cs="Times New Roman" w:asciiTheme="minorEastAsia" w:hAnsiTheme="minorEastAsia" w:eastAsiaTheme="minorEastAsia"/>
          <w:color w:val="auto"/>
          <w:lang w:val="en-US" w:eastAsia="zh-CN"/>
        </w:rPr>
        <w:t xml:space="preserve">     标的名称：</w:t>
      </w:r>
      <w:r>
        <w:rPr>
          <w:rFonts w:hint="default" w:cs="Times New Roman" w:asciiTheme="minorEastAsia" w:hAnsiTheme="minorEastAsia" w:eastAsiaTheme="minorEastAsia"/>
          <w:color w:val="auto"/>
          <w:kern w:val="0"/>
          <w:u w:val="single"/>
          <w:lang w:val="en-US" w:eastAsia="zh-CN"/>
        </w:rPr>
        <w:t xml:space="preserve">      </w:t>
      </w:r>
      <w:r>
        <w:rPr>
          <w:rFonts w:hint="default" w:cs="Times New Roman" w:asciiTheme="minorEastAsia" w:hAnsiTheme="minorEastAsia" w:eastAsiaTheme="minorEastAsia"/>
          <w:color w:val="auto"/>
          <w:kern w:val="0"/>
          <w:u w:val="single"/>
          <w:lang w:val="en" w:eastAsia="zh-CN"/>
        </w:rPr>
        <w:t xml:space="preserve">               </w:t>
      </w:r>
      <w:r>
        <w:rPr>
          <w:rFonts w:hint="default" w:cs="Times New Roman" w:asciiTheme="minorEastAsia" w:hAnsiTheme="minorEastAsia" w:eastAsiaTheme="minorEastAsia"/>
          <w:color w:val="auto"/>
          <w:kern w:val="0"/>
          <w:u w:val="single"/>
          <w:lang w:val="en-US" w:eastAsia="zh-CN"/>
        </w:rPr>
        <w:t xml:space="preserve">    </w:t>
      </w:r>
    </w:p>
    <w:p w14:paraId="61357E84">
      <w:pPr>
        <w:adjustRightInd w:val="0"/>
        <w:snapToGrid w:val="0"/>
        <w:spacing w:line="400" w:lineRule="exact"/>
        <w:ind w:firstLine="420" w:firstLineChars="200"/>
        <w:rPr>
          <w:rFonts w:cs="Times New Roman" w:asciiTheme="minorEastAsia" w:hAnsiTheme="minorEastAsia" w:eastAsiaTheme="minorEastAsia"/>
          <w:color w:val="auto"/>
          <w:lang w:val="en-US" w:eastAsia="zh-CN"/>
        </w:rPr>
      </w:pPr>
      <w:r>
        <w:rPr>
          <w:rFonts w:hint="default" w:cs="Times New Roman" w:asciiTheme="minorEastAsia" w:hAnsiTheme="minorEastAsia" w:eastAsiaTheme="minorEastAsia"/>
          <w:color w:val="auto"/>
          <w:lang w:val="en-US" w:eastAsia="zh-CN"/>
        </w:rPr>
        <w:t xml:space="preserve">     关键部件：</w:t>
      </w:r>
      <w:r>
        <w:rPr>
          <w:rFonts w:hint="default" w:cs="Times New Roman" w:asciiTheme="minorEastAsia" w:hAnsiTheme="minorEastAsia" w:eastAsiaTheme="minorEastAsia"/>
          <w:color w:val="auto"/>
          <w:kern w:val="0"/>
          <w:u w:val="single"/>
          <w:lang w:val="en-US" w:eastAsia="zh-CN"/>
        </w:rPr>
        <w:t xml:space="preserve">          </w:t>
      </w:r>
      <w:r>
        <w:rPr>
          <w:rFonts w:hint="default" w:cs="Times New Roman" w:asciiTheme="minorEastAsia" w:hAnsiTheme="minorEastAsia" w:eastAsiaTheme="minorEastAsia"/>
          <w:color w:val="auto"/>
          <w:kern w:val="0"/>
          <w:lang w:val="en-US" w:eastAsia="zh-CN"/>
        </w:rPr>
        <w:t xml:space="preserve"> </w:t>
      </w:r>
      <w:r>
        <w:rPr>
          <w:rFonts w:hint="default" w:cs="Times New Roman" w:asciiTheme="minorEastAsia" w:hAnsiTheme="minorEastAsia" w:eastAsiaTheme="minorEastAsia"/>
          <w:color w:val="auto"/>
          <w:lang w:val="en-US" w:eastAsia="zh-CN"/>
        </w:rPr>
        <w:t>品牌：</w:t>
      </w:r>
      <w:r>
        <w:rPr>
          <w:rFonts w:hint="default" w:cs="Times New Roman" w:asciiTheme="minorEastAsia" w:hAnsiTheme="minorEastAsia" w:eastAsiaTheme="minorEastAsia"/>
          <w:color w:val="auto"/>
          <w:u w:val="single"/>
          <w:lang w:val="en-US" w:eastAsia="zh-CN"/>
        </w:rPr>
        <w:t xml:space="preserve">        </w:t>
      </w:r>
      <w:r>
        <w:rPr>
          <w:rFonts w:hint="default" w:cs="Times New Roman" w:asciiTheme="minorEastAsia" w:hAnsiTheme="minorEastAsia" w:eastAsiaTheme="minorEastAsia"/>
          <w:color w:val="auto"/>
          <w:lang w:val="en-US" w:eastAsia="zh-CN"/>
        </w:rPr>
        <w:t xml:space="preserve"> 型号：</w:t>
      </w:r>
      <w:r>
        <w:rPr>
          <w:rFonts w:hint="default" w:cs="Times New Roman" w:asciiTheme="minorEastAsia" w:hAnsiTheme="minorEastAsia" w:eastAsiaTheme="minorEastAsia"/>
          <w:color w:val="auto"/>
          <w:u w:val="single"/>
          <w:lang w:val="en-US" w:eastAsia="zh-CN"/>
        </w:rPr>
        <w:t xml:space="preserve">       </w:t>
      </w:r>
      <w:r>
        <w:rPr>
          <w:rFonts w:hint="default" w:cs="Times New Roman" w:asciiTheme="minorEastAsia" w:hAnsiTheme="minorEastAsia" w:eastAsiaTheme="minorEastAsia"/>
          <w:color w:val="auto"/>
          <w:lang w:val="en-US" w:eastAsia="zh-CN"/>
        </w:rPr>
        <w:t xml:space="preserve"> </w:t>
      </w:r>
    </w:p>
    <w:p w14:paraId="5C437F3E">
      <w:pPr>
        <w:pStyle w:val="260"/>
        <w:ind w:firstLine="420"/>
        <w:rPr>
          <w:rFonts w:hint="eastAsia" w:cs="Times New Roman" w:asciiTheme="minorEastAsia" w:hAnsiTheme="minorEastAsia" w:eastAsiaTheme="minorEastAsia"/>
          <w:sz w:val="21"/>
        </w:rPr>
      </w:pPr>
      <w:r>
        <w:rPr>
          <w:rFonts w:cs="Times New Roman" w:asciiTheme="minorEastAsia" w:hAnsiTheme="minorEastAsia" w:eastAsiaTheme="minorEastAsia"/>
          <w:sz w:val="21"/>
        </w:rPr>
        <w:t xml:space="preserve">     </w:t>
      </w:r>
      <w:r>
        <w:rPr>
          <w:rFonts w:cs="Times New Roman" w:asciiTheme="minorEastAsia" w:hAnsiTheme="minorEastAsia" w:eastAsiaTheme="minorEastAsia"/>
          <w:kern w:val="2"/>
          <w:sz w:val="21"/>
        </w:rPr>
        <w:t>关键部件</w:t>
      </w:r>
      <w:r>
        <w:rPr>
          <w:rFonts w:cs="Times New Roman" w:asciiTheme="minorEastAsia" w:hAnsiTheme="minorEastAsia" w:eastAsiaTheme="minorEastAsia"/>
          <w:sz w:val="21"/>
        </w:rPr>
        <w:t>：</w:t>
      </w:r>
      <w:r>
        <w:rPr>
          <w:rFonts w:cs="Times New Roman" w:asciiTheme="minorEastAsia" w:hAnsiTheme="minorEastAsia" w:eastAsiaTheme="minorEastAsia"/>
          <w:sz w:val="21"/>
          <w:u w:val="single"/>
        </w:rPr>
        <w:t xml:space="preserve">          </w:t>
      </w:r>
      <w:r>
        <w:rPr>
          <w:rFonts w:cs="Times New Roman" w:asciiTheme="minorEastAsia" w:hAnsiTheme="minorEastAsia" w:eastAsiaTheme="minorEastAsia"/>
          <w:sz w:val="21"/>
        </w:rPr>
        <w:t xml:space="preserve"> 品牌：</w:t>
      </w:r>
      <w:r>
        <w:rPr>
          <w:rFonts w:cs="Times New Roman" w:asciiTheme="minorEastAsia" w:hAnsiTheme="minorEastAsia" w:eastAsiaTheme="minorEastAsia"/>
          <w:sz w:val="21"/>
          <w:u w:val="single"/>
        </w:rPr>
        <w:t xml:space="preserve">        </w:t>
      </w:r>
      <w:r>
        <w:rPr>
          <w:rFonts w:cs="Times New Roman" w:asciiTheme="minorEastAsia" w:hAnsiTheme="minorEastAsia" w:eastAsiaTheme="minorEastAsia"/>
          <w:sz w:val="21"/>
        </w:rPr>
        <w:t xml:space="preserve"> 型号：</w:t>
      </w:r>
      <w:r>
        <w:rPr>
          <w:rFonts w:cs="Times New Roman" w:asciiTheme="minorEastAsia" w:hAnsiTheme="minorEastAsia" w:eastAsiaTheme="minorEastAsia"/>
          <w:sz w:val="21"/>
          <w:u w:val="single"/>
        </w:rPr>
        <w:t xml:space="preserve">       </w:t>
      </w:r>
      <w:r>
        <w:rPr>
          <w:rFonts w:cs="Times New Roman" w:asciiTheme="minorEastAsia" w:hAnsiTheme="minorEastAsia" w:eastAsiaTheme="minorEastAsia"/>
          <w:sz w:val="21"/>
        </w:rPr>
        <w:t xml:space="preserve"> </w:t>
      </w:r>
    </w:p>
    <w:p w14:paraId="24755FF1">
      <w:pPr>
        <w:pStyle w:val="260"/>
        <w:ind w:firstLine="420"/>
        <w:rPr>
          <w:rFonts w:hint="eastAsia" w:cs="Times New Roman" w:asciiTheme="minorEastAsia" w:hAnsiTheme="minorEastAsia" w:eastAsiaTheme="minorEastAsia"/>
          <w:sz w:val="21"/>
        </w:rPr>
      </w:pPr>
      <w:r>
        <w:rPr>
          <w:rFonts w:cs="Times New Roman" w:asciiTheme="minorEastAsia" w:hAnsiTheme="minorEastAsia" w:eastAsiaTheme="minorEastAsia"/>
          <w:sz w:val="21"/>
        </w:rPr>
        <w:t xml:space="preserve">     关键部件：</w:t>
      </w:r>
      <w:r>
        <w:rPr>
          <w:rFonts w:cs="Times New Roman" w:asciiTheme="minorEastAsia" w:hAnsiTheme="minorEastAsia" w:eastAsiaTheme="minorEastAsia"/>
          <w:sz w:val="21"/>
          <w:u w:val="single"/>
        </w:rPr>
        <w:t xml:space="preserve">          </w:t>
      </w:r>
      <w:r>
        <w:rPr>
          <w:rFonts w:cs="Times New Roman" w:asciiTheme="minorEastAsia" w:hAnsiTheme="minorEastAsia" w:eastAsiaTheme="minorEastAsia"/>
          <w:sz w:val="21"/>
        </w:rPr>
        <w:t xml:space="preserve"> 品牌：</w:t>
      </w:r>
      <w:r>
        <w:rPr>
          <w:rFonts w:cs="Times New Roman" w:asciiTheme="minorEastAsia" w:hAnsiTheme="minorEastAsia" w:eastAsiaTheme="minorEastAsia"/>
          <w:sz w:val="21"/>
          <w:u w:val="single"/>
        </w:rPr>
        <w:t xml:space="preserve">        </w:t>
      </w:r>
      <w:r>
        <w:rPr>
          <w:rFonts w:cs="Times New Roman" w:asciiTheme="minorEastAsia" w:hAnsiTheme="minorEastAsia" w:eastAsiaTheme="minorEastAsia"/>
          <w:sz w:val="21"/>
        </w:rPr>
        <w:t xml:space="preserve"> 型号：</w:t>
      </w:r>
      <w:r>
        <w:rPr>
          <w:rFonts w:cs="Times New Roman" w:asciiTheme="minorEastAsia" w:hAnsiTheme="minorEastAsia" w:eastAsiaTheme="minorEastAsia"/>
          <w:sz w:val="21"/>
          <w:u w:val="single"/>
        </w:rPr>
        <w:t xml:space="preserve">       </w:t>
      </w:r>
    </w:p>
    <w:p w14:paraId="45EE620A">
      <w:pPr>
        <w:pStyle w:val="260"/>
        <w:snapToGrid w:val="0"/>
        <w:ind w:firstLine="0" w:firstLineChars="0"/>
        <w:rPr>
          <w:rFonts w:hint="eastAsia" w:cs="Times New Roman" w:asciiTheme="minorEastAsia" w:hAnsiTheme="minorEastAsia" w:eastAsiaTheme="minorEastAsia"/>
          <w:sz w:val="21"/>
        </w:rPr>
      </w:pPr>
      <w:r>
        <w:rPr>
          <w:rFonts w:cs="Times New Roman" w:asciiTheme="minorEastAsia" w:hAnsiTheme="minorEastAsia" w:eastAsiaTheme="minorEastAsia"/>
          <w:sz w:val="21"/>
        </w:rPr>
        <w:t xml:space="preserve">   （注：关键部件是指财政部会同有关部门发布的政府采购需求标准规定的需要通过国家有关部门指定的测评机构开展的安全可靠测评的软硬件，如CPU芯片、操作系统、数据库等。）</w:t>
      </w:r>
    </w:p>
    <w:p w14:paraId="6533EA07">
      <w:pPr>
        <w:pStyle w:val="260"/>
        <w:snapToGrid w:val="0"/>
        <w:ind w:firstLine="0" w:firstLineChars="0"/>
        <w:rPr>
          <w:rFonts w:hint="eastAsia" w:cs="Times New Roman" w:asciiTheme="minorEastAsia" w:hAnsiTheme="minorEastAsia" w:eastAsiaTheme="minorEastAsia"/>
          <w:sz w:val="21"/>
        </w:rPr>
      </w:pPr>
      <w:r>
        <w:rPr>
          <w:rFonts w:cs="Times New Roman" w:asciiTheme="minorEastAsia" w:hAnsiTheme="minorEastAsia" w:eastAsiaTheme="minorEastAsia"/>
          <w:sz w:val="21"/>
        </w:rPr>
        <w:t xml:space="preserve">         ②涉及车辆采购，请填写是否属于新能源汽车：</w:t>
      </w:r>
    </w:p>
    <w:p w14:paraId="13A60AED">
      <w:pPr>
        <w:pStyle w:val="260"/>
        <w:snapToGrid w:val="0"/>
        <w:ind w:firstLine="0" w:firstLineChars="0"/>
        <w:rPr>
          <w:rFonts w:hint="eastAsia" w:cs="Times New Roman" w:asciiTheme="minorEastAsia" w:hAnsiTheme="minorEastAsia" w:eastAsiaTheme="minorEastAsia"/>
          <w:sz w:val="21"/>
        </w:rPr>
      </w:pPr>
      <w:r>
        <w:rPr>
          <w:rFonts w:cs="Times New Roman" w:asciiTheme="minorEastAsia" w:hAnsiTheme="minorEastAsia" w:eastAsiaTheme="minorEastAsia"/>
          <w:sz w:val="21"/>
        </w:rPr>
        <w:t xml:space="preserve">         </w:t>
      </w:r>
      <w:r>
        <w:rPr>
          <w:rFonts w:cs="Times New Roman" w:asciiTheme="minorEastAsia" w:hAnsiTheme="minorEastAsia" w:eastAsiaTheme="minorEastAsia"/>
          <w:sz w:val="21"/>
        </w:rPr>
        <w:sym w:font="Wingdings" w:char="00A8"/>
      </w:r>
      <w:r>
        <w:rPr>
          <w:rFonts w:cs="Times New Roman" w:asciiTheme="minorEastAsia" w:hAnsiTheme="minorEastAsia" w:eastAsiaTheme="minorEastAsia"/>
          <w:sz w:val="21"/>
        </w:rPr>
        <w:t>是，《政府采购品目分类目录》底级品目名称：</w:t>
      </w:r>
      <w:r>
        <w:rPr>
          <w:rFonts w:cs="Times New Roman" w:asciiTheme="minorEastAsia" w:hAnsiTheme="minorEastAsia" w:eastAsiaTheme="minorEastAsia"/>
          <w:sz w:val="21"/>
          <w:u w:val="single"/>
        </w:rPr>
        <w:t xml:space="preserve">     </w:t>
      </w:r>
      <w:r>
        <w:rPr>
          <w:rFonts w:cs="Times New Roman" w:asciiTheme="minorEastAsia" w:hAnsiTheme="minorEastAsia" w:eastAsiaTheme="minorEastAsia"/>
          <w:sz w:val="21"/>
        </w:rPr>
        <w:t xml:space="preserve"> 数量：</w:t>
      </w:r>
      <w:r>
        <w:rPr>
          <w:rFonts w:cs="Times New Roman" w:asciiTheme="minorEastAsia" w:hAnsiTheme="minorEastAsia" w:eastAsiaTheme="minorEastAsia"/>
          <w:sz w:val="21"/>
          <w:u w:val="single"/>
        </w:rPr>
        <w:t xml:space="preserve">    </w:t>
      </w:r>
      <w:r>
        <w:rPr>
          <w:rFonts w:cs="Times New Roman" w:asciiTheme="minorEastAsia" w:hAnsiTheme="minorEastAsia" w:eastAsiaTheme="minorEastAsia"/>
          <w:sz w:val="21"/>
        </w:rPr>
        <w:t xml:space="preserve"> 金额：</w:t>
      </w:r>
      <w:r>
        <w:rPr>
          <w:rFonts w:cs="Times New Roman" w:asciiTheme="minorEastAsia" w:hAnsiTheme="minorEastAsia" w:eastAsiaTheme="minorEastAsia"/>
          <w:sz w:val="21"/>
          <w:u w:val="single"/>
        </w:rPr>
        <w:t xml:space="preserve">     </w:t>
      </w:r>
      <w:r>
        <w:rPr>
          <w:rFonts w:cs="Times New Roman" w:asciiTheme="minorEastAsia" w:hAnsiTheme="minorEastAsia" w:eastAsiaTheme="minorEastAsia"/>
          <w:sz w:val="21"/>
        </w:rPr>
        <w:t xml:space="preserve"> </w:t>
      </w:r>
    </w:p>
    <w:p w14:paraId="63FDEDA7">
      <w:pPr>
        <w:pStyle w:val="260"/>
        <w:snapToGrid w:val="0"/>
        <w:ind w:firstLine="0" w:firstLineChars="0"/>
        <w:rPr>
          <w:rFonts w:hint="eastAsia" w:cs="Times New Roman" w:asciiTheme="minorEastAsia" w:hAnsiTheme="minorEastAsia" w:eastAsiaTheme="minorEastAsia"/>
          <w:sz w:val="21"/>
        </w:rPr>
      </w:pPr>
      <w:r>
        <w:rPr>
          <w:rFonts w:cs="Times New Roman" w:asciiTheme="minorEastAsia" w:hAnsiTheme="minorEastAsia" w:eastAsiaTheme="minorEastAsia"/>
          <w:sz w:val="21"/>
        </w:rPr>
        <w:t xml:space="preserve">         </w:t>
      </w:r>
      <w:r>
        <w:rPr>
          <w:rFonts w:cs="Times New Roman" w:asciiTheme="minorEastAsia" w:hAnsiTheme="minorEastAsia" w:eastAsiaTheme="minorEastAsia"/>
          <w:sz w:val="21"/>
        </w:rPr>
        <w:sym w:font="Wingdings" w:char="00A8"/>
      </w:r>
      <w:r>
        <w:rPr>
          <w:rFonts w:cs="Times New Roman" w:asciiTheme="minorEastAsia" w:hAnsiTheme="minorEastAsia" w:eastAsiaTheme="minorEastAsia"/>
          <w:sz w:val="21"/>
        </w:rPr>
        <w:t>否</w:t>
      </w:r>
    </w:p>
    <w:p w14:paraId="1F930B6B">
      <w:pPr>
        <w:pStyle w:val="260"/>
        <w:snapToGrid w:val="0"/>
        <w:ind w:firstLine="0" w:firstLineChars="0"/>
        <w:rPr>
          <w:rFonts w:hint="eastAsia" w:cs="Times New Roman" w:asciiTheme="minorEastAsia" w:hAnsiTheme="minorEastAsia" w:eastAsiaTheme="minorEastAsia"/>
          <w:sz w:val="21"/>
        </w:rPr>
      </w:pPr>
      <w:r>
        <w:rPr>
          <w:rFonts w:cs="Times New Roman" w:asciiTheme="minorEastAsia" w:hAnsiTheme="minorEastAsia" w:eastAsiaTheme="minorEastAsia"/>
          <w:sz w:val="21"/>
        </w:rPr>
        <w:t xml:space="preserve">    （</w:t>
      </w:r>
      <w:r>
        <w:rPr>
          <w:rFonts w:cs="Times New Roman" w:asciiTheme="minorEastAsia" w:hAnsiTheme="minorEastAsia" w:eastAsiaTheme="minorEastAsia"/>
          <w:sz w:val="21"/>
          <w:lang w:val="en"/>
        </w:rPr>
        <w:t>4</w:t>
      </w:r>
      <w:r>
        <w:rPr>
          <w:rFonts w:cs="Times New Roman" w:asciiTheme="minorEastAsia" w:hAnsiTheme="minorEastAsia" w:eastAsiaTheme="minorEastAsia"/>
          <w:sz w:val="21"/>
        </w:rPr>
        <w:t>）政府采购组织形式：</w:t>
      </w:r>
      <w:r>
        <w:rPr>
          <w:rFonts w:cs="Times New Roman" w:asciiTheme="minorEastAsia" w:hAnsiTheme="minorEastAsia" w:eastAsiaTheme="minorEastAsia"/>
        </w:rPr>
        <w:sym w:font="Wingdings" w:char="00FE"/>
      </w:r>
      <w:r>
        <w:rPr>
          <w:rFonts w:cs="Times New Roman" w:asciiTheme="minorEastAsia" w:hAnsiTheme="minorEastAsia" w:eastAsiaTheme="minorEastAsia"/>
          <w:sz w:val="21"/>
        </w:rPr>
        <w:t xml:space="preserve">政府集中采购  </w:t>
      </w:r>
      <w:r>
        <w:rPr>
          <w:rFonts w:cs="Times New Roman" w:asciiTheme="minorEastAsia" w:hAnsiTheme="minorEastAsia" w:eastAsiaTheme="minorEastAsia"/>
          <w:sz w:val="21"/>
        </w:rPr>
        <w:sym w:font="Wingdings" w:char="00A8"/>
      </w:r>
      <w:r>
        <w:rPr>
          <w:rFonts w:cs="Times New Roman" w:asciiTheme="minorEastAsia" w:hAnsiTheme="minorEastAsia" w:eastAsiaTheme="minorEastAsia"/>
          <w:sz w:val="21"/>
        </w:rPr>
        <w:t xml:space="preserve">部门集中采购  </w:t>
      </w:r>
      <w:r>
        <w:rPr>
          <w:rFonts w:cs="Times New Roman" w:asciiTheme="minorEastAsia" w:hAnsiTheme="minorEastAsia" w:eastAsiaTheme="minorEastAsia"/>
          <w:sz w:val="21"/>
        </w:rPr>
        <w:sym w:font="Wingdings" w:char="00A8"/>
      </w:r>
      <w:r>
        <w:rPr>
          <w:rFonts w:cs="Times New Roman" w:asciiTheme="minorEastAsia" w:hAnsiTheme="minorEastAsia" w:eastAsiaTheme="minorEastAsia"/>
          <w:sz w:val="21"/>
        </w:rPr>
        <w:t>分散采购</w:t>
      </w:r>
    </w:p>
    <w:p w14:paraId="6729C2FD">
      <w:pPr>
        <w:pStyle w:val="260"/>
        <w:snapToGrid w:val="0"/>
        <w:ind w:firstLine="420" w:firstLineChars="0"/>
        <w:rPr>
          <w:rFonts w:hint="eastAsia" w:cs="Times New Roman" w:asciiTheme="minorEastAsia" w:hAnsiTheme="minorEastAsia" w:eastAsiaTheme="minorEastAsia"/>
          <w:sz w:val="21"/>
        </w:rPr>
      </w:pPr>
      <w:r>
        <w:rPr>
          <w:rFonts w:cs="Times New Roman" w:asciiTheme="minorEastAsia" w:hAnsiTheme="minorEastAsia" w:eastAsiaTheme="minorEastAsia"/>
          <w:sz w:val="21"/>
        </w:rPr>
        <w:t>（</w:t>
      </w:r>
      <w:r>
        <w:rPr>
          <w:rFonts w:cs="Times New Roman" w:asciiTheme="minorEastAsia" w:hAnsiTheme="minorEastAsia" w:eastAsiaTheme="minorEastAsia"/>
          <w:sz w:val="21"/>
          <w:lang w:val="en"/>
        </w:rPr>
        <w:t>5</w:t>
      </w:r>
      <w:r>
        <w:rPr>
          <w:rFonts w:cs="Times New Roman" w:asciiTheme="minorEastAsia" w:hAnsiTheme="minorEastAsia" w:eastAsiaTheme="minorEastAsia"/>
          <w:sz w:val="21"/>
        </w:rPr>
        <w:t>）政府采购方式：</w:t>
      </w:r>
      <w:r>
        <w:rPr>
          <w:rFonts w:cs="Times New Roman" w:asciiTheme="minorEastAsia" w:hAnsiTheme="minorEastAsia" w:eastAsiaTheme="minorEastAsia"/>
          <w:sz w:val="21"/>
        </w:rPr>
        <w:sym w:font="Wingdings" w:char="00A8"/>
      </w:r>
      <w:r>
        <w:rPr>
          <w:rFonts w:cs="Times New Roman" w:asciiTheme="minorEastAsia" w:hAnsiTheme="minorEastAsia" w:eastAsiaTheme="minorEastAsia"/>
          <w:sz w:val="21"/>
        </w:rPr>
        <w:t xml:space="preserve">公开招标 </w:t>
      </w:r>
      <w:r>
        <w:rPr>
          <w:rFonts w:cs="Times New Roman" w:asciiTheme="minorEastAsia" w:hAnsiTheme="minorEastAsia" w:eastAsiaTheme="minorEastAsia"/>
          <w:sz w:val="21"/>
        </w:rPr>
        <w:sym w:font="Wingdings" w:char="00A8"/>
      </w:r>
      <w:r>
        <w:rPr>
          <w:rFonts w:cs="Times New Roman" w:asciiTheme="minorEastAsia" w:hAnsiTheme="minorEastAsia" w:eastAsiaTheme="minorEastAsia"/>
          <w:sz w:val="21"/>
        </w:rPr>
        <w:t xml:space="preserve">邀请招标 </w:t>
      </w:r>
      <w:r>
        <w:rPr>
          <w:rFonts w:cs="Times New Roman" w:asciiTheme="minorEastAsia" w:hAnsiTheme="minorEastAsia" w:eastAsiaTheme="minorEastAsia"/>
          <w:sz w:val="21"/>
        </w:rPr>
        <w:sym w:font="Wingdings" w:char="00A8"/>
      </w:r>
      <w:r>
        <w:rPr>
          <w:rFonts w:cs="Times New Roman" w:asciiTheme="minorEastAsia" w:hAnsiTheme="minorEastAsia" w:eastAsiaTheme="minorEastAsia"/>
          <w:sz w:val="21"/>
        </w:rPr>
        <w:t xml:space="preserve">竞争性谈判 </w:t>
      </w:r>
      <w:r>
        <w:rPr>
          <w:rFonts w:cs="Times New Roman" w:asciiTheme="minorEastAsia" w:hAnsiTheme="minorEastAsia" w:eastAsiaTheme="minorEastAsia"/>
        </w:rPr>
        <w:sym w:font="Wingdings" w:char="00FE"/>
      </w:r>
      <w:r>
        <w:rPr>
          <w:rFonts w:cs="Times New Roman" w:asciiTheme="minorEastAsia" w:hAnsiTheme="minorEastAsia" w:eastAsiaTheme="minorEastAsia"/>
          <w:sz w:val="21"/>
        </w:rPr>
        <w:t>竞争性磋商</w:t>
      </w:r>
    </w:p>
    <w:p w14:paraId="482A49D0">
      <w:pPr>
        <w:pStyle w:val="260"/>
        <w:snapToGrid w:val="0"/>
        <w:ind w:firstLine="420" w:firstLineChars="0"/>
        <w:rPr>
          <w:rFonts w:hint="eastAsia" w:cs="Times New Roman" w:asciiTheme="minorEastAsia" w:hAnsiTheme="minorEastAsia" w:eastAsiaTheme="minorEastAsia"/>
          <w:sz w:val="21"/>
          <w:u w:val="single"/>
        </w:rPr>
      </w:pPr>
      <w:r>
        <w:rPr>
          <w:rFonts w:cs="Times New Roman" w:asciiTheme="minorEastAsia" w:hAnsiTheme="minorEastAsia" w:eastAsiaTheme="minorEastAsia"/>
        </w:rPr>
        <w:t xml:space="preserve">                  </w:t>
      </w:r>
      <w:r>
        <w:rPr>
          <w:rFonts w:cs="Times New Roman" w:asciiTheme="minorEastAsia" w:hAnsiTheme="minorEastAsia" w:eastAsiaTheme="minorEastAsia"/>
          <w:sz w:val="21"/>
        </w:rPr>
        <w:sym w:font="Wingdings" w:char="00A8"/>
      </w:r>
      <w:r>
        <w:rPr>
          <w:rFonts w:cs="Times New Roman" w:asciiTheme="minorEastAsia" w:hAnsiTheme="minorEastAsia" w:eastAsiaTheme="minorEastAsia"/>
          <w:sz w:val="21"/>
        </w:rPr>
        <w:t xml:space="preserve">询价 </w:t>
      </w:r>
      <w:r>
        <w:rPr>
          <w:rFonts w:cs="Times New Roman" w:asciiTheme="minorEastAsia" w:hAnsiTheme="minorEastAsia" w:eastAsiaTheme="minorEastAsia"/>
          <w:sz w:val="21"/>
        </w:rPr>
        <w:sym w:font="Wingdings" w:char="00A8"/>
      </w:r>
      <w:r>
        <w:rPr>
          <w:rFonts w:cs="Times New Roman" w:asciiTheme="minorEastAsia" w:hAnsiTheme="minorEastAsia" w:eastAsiaTheme="minorEastAsia"/>
          <w:sz w:val="21"/>
        </w:rPr>
        <w:t xml:space="preserve">单一来源 </w:t>
      </w:r>
      <w:r>
        <w:rPr>
          <w:rFonts w:cs="Times New Roman" w:asciiTheme="minorEastAsia" w:hAnsiTheme="minorEastAsia" w:eastAsiaTheme="minorEastAsia"/>
          <w:sz w:val="21"/>
        </w:rPr>
        <w:sym w:font="Wingdings" w:char="00A8"/>
      </w:r>
      <w:r>
        <w:rPr>
          <w:rFonts w:cs="Times New Roman" w:asciiTheme="minorEastAsia" w:hAnsiTheme="minorEastAsia" w:eastAsiaTheme="minorEastAsia"/>
          <w:sz w:val="21"/>
        </w:rPr>
        <w:t xml:space="preserve">框架协议 </w:t>
      </w:r>
      <w:r>
        <w:rPr>
          <w:rFonts w:cs="Times New Roman" w:asciiTheme="minorEastAsia" w:hAnsiTheme="minorEastAsia" w:eastAsiaTheme="minorEastAsia"/>
          <w:sz w:val="21"/>
        </w:rPr>
        <w:sym w:font="Wingdings" w:char="00A8"/>
      </w:r>
      <w:r>
        <w:rPr>
          <w:rFonts w:cs="Times New Roman" w:asciiTheme="minorEastAsia" w:hAnsiTheme="minorEastAsia" w:eastAsiaTheme="minorEastAsia"/>
          <w:sz w:val="21"/>
        </w:rPr>
        <w:t>其他：</w:t>
      </w:r>
      <w:r>
        <w:rPr>
          <w:rFonts w:cs="Times New Roman" w:asciiTheme="minorEastAsia" w:hAnsiTheme="minorEastAsia" w:eastAsiaTheme="minorEastAsia"/>
          <w:sz w:val="21"/>
          <w:u w:val="single"/>
        </w:rPr>
        <w:t xml:space="preserve">          </w:t>
      </w:r>
    </w:p>
    <w:p w14:paraId="195E8B9A">
      <w:pPr>
        <w:pStyle w:val="260"/>
        <w:snapToGrid w:val="0"/>
        <w:ind w:firstLine="420" w:firstLineChars="0"/>
        <w:rPr>
          <w:rFonts w:hint="eastAsia" w:cs="Times New Roman" w:asciiTheme="minorEastAsia" w:hAnsiTheme="minorEastAsia" w:eastAsiaTheme="minorEastAsia"/>
          <w:sz w:val="21"/>
        </w:rPr>
      </w:pPr>
      <w:r>
        <w:rPr>
          <w:rFonts w:cs="Times New Roman" w:asciiTheme="minorEastAsia" w:hAnsiTheme="minorEastAsia" w:eastAsiaTheme="minorEastAsia"/>
          <w:sz w:val="21"/>
        </w:rPr>
        <w:t>（注：在框架协议采购的第二阶段，可选择使用该合同文本）</w:t>
      </w:r>
    </w:p>
    <w:p w14:paraId="5B1E6105">
      <w:pPr>
        <w:pStyle w:val="260"/>
        <w:snapToGrid w:val="0"/>
        <w:ind w:firstLine="220" w:firstLineChars="100"/>
        <w:rPr>
          <w:rFonts w:hint="eastAsia" w:cs="Times New Roman" w:asciiTheme="minorEastAsia" w:hAnsiTheme="minorEastAsia" w:eastAsiaTheme="minorEastAsia"/>
          <w:kern w:val="2"/>
          <w:sz w:val="21"/>
        </w:rPr>
      </w:pPr>
      <w:r>
        <w:rPr>
          <w:rFonts w:cs="Times New Roman" w:asciiTheme="minorEastAsia" w:hAnsiTheme="minorEastAsia" w:eastAsiaTheme="minorEastAsia"/>
        </w:rPr>
        <w:t xml:space="preserve"> （</w:t>
      </w:r>
      <w:r>
        <w:rPr>
          <w:rFonts w:cs="Times New Roman" w:asciiTheme="minorEastAsia" w:hAnsiTheme="minorEastAsia" w:eastAsiaTheme="minorEastAsia"/>
          <w:lang w:val="en"/>
        </w:rPr>
        <w:t>6</w:t>
      </w:r>
      <w:r>
        <w:rPr>
          <w:rFonts w:cs="Times New Roman" w:asciiTheme="minorEastAsia" w:hAnsiTheme="minorEastAsia" w:eastAsiaTheme="minorEastAsia"/>
        </w:rPr>
        <w:t>）</w:t>
      </w:r>
      <w:r>
        <w:rPr>
          <w:rFonts w:cs="Times New Roman" w:asciiTheme="minorEastAsia" w:hAnsiTheme="minorEastAsia" w:eastAsiaTheme="minorEastAsia"/>
          <w:kern w:val="2"/>
          <w:sz w:val="21"/>
        </w:rPr>
        <w:t>中标（成交）采购标的制造商是否为中小企业：</w:t>
      </w:r>
      <w:r>
        <w:rPr>
          <w:rFonts w:cs="Times New Roman" w:asciiTheme="minorEastAsia" w:hAnsiTheme="minorEastAsia" w:eastAsiaTheme="minorEastAsia"/>
          <w:kern w:val="2"/>
          <w:sz w:val="21"/>
        </w:rPr>
        <w:sym w:font="Wingdings" w:char="00A8"/>
      </w:r>
      <w:r>
        <w:rPr>
          <w:rFonts w:cs="Times New Roman" w:asciiTheme="minorEastAsia" w:hAnsiTheme="minorEastAsia" w:eastAsiaTheme="minorEastAsia"/>
          <w:kern w:val="2"/>
          <w:sz w:val="21"/>
        </w:rPr>
        <w:t xml:space="preserve">是      </w:t>
      </w:r>
      <w:r>
        <w:rPr>
          <w:rFonts w:cs="Times New Roman" w:asciiTheme="minorEastAsia" w:hAnsiTheme="minorEastAsia" w:eastAsiaTheme="minorEastAsia"/>
          <w:kern w:val="2"/>
          <w:sz w:val="21"/>
        </w:rPr>
        <w:sym w:font="Wingdings" w:char="00A8"/>
      </w:r>
      <w:r>
        <w:rPr>
          <w:rFonts w:cs="Times New Roman" w:asciiTheme="minorEastAsia" w:hAnsiTheme="minorEastAsia" w:eastAsiaTheme="minorEastAsia"/>
          <w:kern w:val="2"/>
          <w:sz w:val="21"/>
        </w:rPr>
        <w:t>否</w:t>
      </w:r>
    </w:p>
    <w:p w14:paraId="377CE0FF">
      <w:pPr>
        <w:adjustRightInd w:val="0"/>
        <w:snapToGrid w:val="0"/>
        <w:spacing w:line="400" w:lineRule="exact"/>
        <w:rPr>
          <w:rFonts w:cs="Times New Roman" w:asciiTheme="minorEastAsia" w:hAnsiTheme="minorEastAsia" w:eastAsiaTheme="minorEastAsia"/>
          <w:iCs/>
          <w:color w:val="auto"/>
          <w:lang w:eastAsia="zh-CN"/>
        </w:rPr>
      </w:pPr>
      <w:r>
        <w:rPr>
          <w:rFonts w:hint="default" w:cs="Times New Roman" w:asciiTheme="minorEastAsia" w:hAnsiTheme="minorEastAsia" w:eastAsiaTheme="minorEastAsia"/>
          <w:color w:val="auto"/>
          <w:lang w:val="en-US" w:eastAsia="zh-CN"/>
        </w:rPr>
        <w:t xml:space="preserve">         本合同</w:t>
      </w:r>
      <w:r>
        <w:rPr>
          <w:rFonts w:hint="default" w:cs="Times New Roman" w:asciiTheme="minorEastAsia" w:hAnsiTheme="minorEastAsia" w:eastAsiaTheme="minorEastAsia"/>
          <w:color w:val="auto"/>
          <w:lang w:eastAsia="zh-CN"/>
        </w:rPr>
        <w:t>是否为专门面向中小企业的采购合同（中小企业预留合同）：</w:t>
      </w:r>
      <w:r>
        <w:rPr>
          <w:rFonts w:hint="default" w:cs="Times New Roman" w:asciiTheme="minorEastAsia" w:hAnsiTheme="minorEastAsia" w:eastAsiaTheme="minorEastAsia"/>
          <w:iCs/>
          <w:color w:val="auto"/>
        </w:rPr>
        <w:sym w:font="Wingdings" w:char="00A8"/>
      </w:r>
      <w:r>
        <w:rPr>
          <w:rFonts w:hint="default" w:cs="Times New Roman" w:asciiTheme="minorEastAsia" w:hAnsiTheme="minorEastAsia" w:eastAsiaTheme="minorEastAsia"/>
          <w:iCs/>
          <w:color w:val="auto"/>
          <w:lang w:eastAsia="zh-CN"/>
        </w:rPr>
        <w:t xml:space="preserve">是 </w:t>
      </w:r>
      <w:r>
        <w:rPr>
          <w:rFonts w:hint="default" w:cs="Times New Roman" w:asciiTheme="minorEastAsia" w:hAnsiTheme="minorEastAsia" w:eastAsiaTheme="minorEastAsia"/>
          <w:iCs/>
          <w:color w:val="auto"/>
          <w:lang w:val="en-US" w:eastAsia="zh-CN"/>
        </w:rPr>
        <w:t xml:space="preserve">  </w:t>
      </w:r>
      <w:r>
        <w:rPr>
          <w:rFonts w:hint="default" w:cs="Times New Roman" w:asciiTheme="minorEastAsia" w:hAnsiTheme="minorEastAsia" w:eastAsiaTheme="minorEastAsia"/>
          <w:iCs/>
          <w:color w:val="auto"/>
          <w:lang w:eastAsia="zh-CN"/>
        </w:rPr>
        <w:t xml:space="preserve"> </w:t>
      </w:r>
      <w:r>
        <w:rPr>
          <w:rFonts w:hint="default" w:cs="Times New Roman" w:asciiTheme="minorEastAsia" w:hAnsiTheme="minorEastAsia" w:eastAsiaTheme="minorEastAsia"/>
          <w:color w:val="auto"/>
        </w:rPr>
        <w:sym w:font="Wingdings" w:char="00FE"/>
      </w:r>
      <w:r>
        <w:rPr>
          <w:rFonts w:hint="default" w:cs="Times New Roman" w:asciiTheme="minorEastAsia" w:hAnsiTheme="minorEastAsia" w:eastAsiaTheme="minorEastAsia"/>
          <w:iCs/>
          <w:color w:val="auto"/>
          <w:lang w:eastAsia="zh-CN"/>
        </w:rPr>
        <w:t>否</w:t>
      </w:r>
    </w:p>
    <w:p w14:paraId="4CD06ADB">
      <w:pPr>
        <w:adjustRightInd w:val="0"/>
        <w:snapToGrid w:val="0"/>
        <w:spacing w:line="400" w:lineRule="exact"/>
        <w:rPr>
          <w:rFonts w:cs="Times New Roman" w:asciiTheme="minorEastAsia" w:hAnsiTheme="minorEastAsia" w:eastAsiaTheme="minorEastAsia"/>
          <w:iCs/>
          <w:color w:val="auto"/>
          <w:lang w:eastAsia="zh-CN"/>
        </w:rPr>
      </w:pPr>
      <w:r>
        <w:rPr>
          <w:rFonts w:hint="default" w:cs="Times New Roman" w:asciiTheme="minorEastAsia" w:hAnsiTheme="minorEastAsia" w:eastAsiaTheme="minorEastAsia"/>
          <w:color w:val="auto"/>
          <w:lang w:val="en-US" w:eastAsia="zh-CN"/>
        </w:rPr>
        <w:t xml:space="preserve">         若本项目不专门面向中小企业采购，是否给予小微企业评审优惠：</w:t>
      </w:r>
      <w:r>
        <w:rPr>
          <w:rFonts w:hint="default" w:cs="Times New Roman" w:asciiTheme="minorEastAsia" w:hAnsiTheme="minorEastAsia" w:eastAsiaTheme="minorEastAsia"/>
          <w:color w:val="auto"/>
        </w:rPr>
        <w:sym w:font="Wingdings" w:char="00FE"/>
      </w:r>
      <w:r>
        <w:rPr>
          <w:rFonts w:hint="default" w:cs="Times New Roman" w:asciiTheme="minorEastAsia" w:hAnsiTheme="minorEastAsia" w:eastAsiaTheme="minorEastAsia"/>
          <w:iCs/>
          <w:color w:val="auto"/>
          <w:lang w:eastAsia="zh-CN"/>
        </w:rPr>
        <w:t xml:space="preserve">是   </w:t>
      </w:r>
      <w:r>
        <w:rPr>
          <w:rFonts w:hint="default" w:cs="Times New Roman" w:asciiTheme="minorEastAsia" w:hAnsiTheme="minorEastAsia" w:eastAsiaTheme="minorEastAsia"/>
          <w:iCs/>
          <w:color w:val="auto"/>
        </w:rPr>
        <w:sym w:font="Wingdings" w:char="00A8"/>
      </w:r>
      <w:r>
        <w:rPr>
          <w:rFonts w:hint="default" w:cs="Times New Roman" w:asciiTheme="minorEastAsia" w:hAnsiTheme="minorEastAsia" w:eastAsiaTheme="minorEastAsia"/>
          <w:iCs/>
          <w:color w:val="auto"/>
          <w:lang w:eastAsia="zh-CN"/>
        </w:rPr>
        <w:t>否</w:t>
      </w:r>
    </w:p>
    <w:p w14:paraId="72A033B0">
      <w:pPr>
        <w:adjustRightInd w:val="0"/>
        <w:snapToGrid w:val="0"/>
        <w:spacing w:line="400" w:lineRule="exact"/>
        <w:rPr>
          <w:rFonts w:cs="Times New Roman" w:asciiTheme="minorEastAsia" w:hAnsiTheme="minorEastAsia" w:eastAsiaTheme="minorEastAsia"/>
          <w:iCs/>
          <w:color w:val="auto"/>
          <w:lang w:eastAsia="zh-CN"/>
        </w:rPr>
      </w:pPr>
      <w:r>
        <w:rPr>
          <w:rFonts w:hint="default" w:cs="Times New Roman" w:asciiTheme="minorEastAsia" w:hAnsiTheme="minorEastAsia" w:eastAsiaTheme="minorEastAsia"/>
          <w:color w:val="auto"/>
          <w:lang w:val="en-US" w:eastAsia="zh-CN"/>
        </w:rPr>
        <w:t xml:space="preserve">         中标（成交）采购标的制造商是否为残疾人福利性单位：</w:t>
      </w:r>
      <w:r>
        <w:rPr>
          <w:rFonts w:hint="default" w:cs="Times New Roman" w:asciiTheme="minorEastAsia" w:hAnsiTheme="minorEastAsia" w:eastAsiaTheme="minorEastAsia"/>
          <w:iCs/>
          <w:color w:val="auto"/>
        </w:rPr>
        <w:sym w:font="Wingdings" w:char="00A8"/>
      </w:r>
      <w:r>
        <w:rPr>
          <w:rFonts w:hint="default" w:cs="Times New Roman" w:asciiTheme="minorEastAsia" w:hAnsiTheme="minorEastAsia" w:eastAsiaTheme="minorEastAsia"/>
          <w:iCs/>
          <w:color w:val="auto"/>
          <w:lang w:eastAsia="zh-CN"/>
        </w:rPr>
        <w:t xml:space="preserve">是   </w:t>
      </w:r>
      <w:r>
        <w:rPr>
          <w:rFonts w:hint="default" w:cs="Times New Roman" w:asciiTheme="minorEastAsia" w:hAnsiTheme="minorEastAsia" w:eastAsiaTheme="minorEastAsia"/>
          <w:iCs/>
          <w:color w:val="auto"/>
        </w:rPr>
        <w:sym w:font="Wingdings" w:char="00A8"/>
      </w:r>
      <w:r>
        <w:rPr>
          <w:rFonts w:hint="default" w:cs="Times New Roman" w:asciiTheme="minorEastAsia" w:hAnsiTheme="minorEastAsia" w:eastAsiaTheme="minorEastAsia"/>
          <w:iCs/>
          <w:color w:val="auto"/>
          <w:lang w:eastAsia="zh-CN"/>
        </w:rPr>
        <w:t>否</w:t>
      </w:r>
    </w:p>
    <w:p w14:paraId="06EBE8DE">
      <w:pPr>
        <w:snapToGrid w:val="0"/>
        <w:spacing w:line="400" w:lineRule="exact"/>
        <w:rPr>
          <w:rFonts w:cs="Times New Roman" w:asciiTheme="minorEastAsia" w:hAnsiTheme="minorEastAsia" w:eastAsiaTheme="minorEastAsia"/>
          <w:color w:val="auto"/>
          <w:lang w:val="en-US" w:eastAsia="zh-CN"/>
        </w:rPr>
      </w:pPr>
      <w:r>
        <w:rPr>
          <w:rFonts w:hint="default" w:cs="Times New Roman" w:asciiTheme="minorEastAsia" w:hAnsiTheme="minorEastAsia" w:eastAsiaTheme="minorEastAsia"/>
          <w:color w:val="auto"/>
          <w:lang w:val="en-US" w:eastAsia="zh-CN"/>
        </w:rPr>
        <w:t xml:space="preserve">         中标（成交）采购标的制造商是否为监狱企业：</w:t>
      </w:r>
      <w:r>
        <w:rPr>
          <w:rFonts w:hint="default" w:cs="Times New Roman" w:asciiTheme="minorEastAsia" w:hAnsiTheme="minorEastAsia" w:eastAsiaTheme="minorEastAsia"/>
          <w:iCs/>
          <w:color w:val="auto"/>
        </w:rPr>
        <w:sym w:font="Wingdings" w:char="00A8"/>
      </w:r>
      <w:r>
        <w:rPr>
          <w:rFonts w:hint="default" w:cs="Times New Roman" w:asciiTheme="minorEastAsia" w:hAnsiTheme="minorEastAsia" w:eastAsiaTheme="minorEastAsia"/>
          <w:iCs/>
          <w:color w:val="auto"/>
          <w:lang w:eastAsia="zh-CN"/>
        </w:rPr>
        <w:t xml:space="preserve">是       </w:t>
      </w:r>
      <w:r>
        <w:rPr>
          <w:rFonts w:hint="default" w:cs="Times New Roman" w:asciiTheme="minorEastAsia" w:hAnsiTheme="minorEastAsia" w:eastAsiaTheme="minorEastAsia"/>
          <w:iCs/>
          <w:color w:val="auto"/>
        </w:rPr>
        <w:sym w:font="Wingdings" w:char="00A8"/>
      </w:r>
      <w:r>
        <w:rPr>
          <w:rFonts w:hint="default" w:cs="Times New Roman" w:asciiTheme="minorEastAsia" w:hAnsiTheme="minorEastAsia" w:eastAsiaTheme="minorEastAsia"/>
          <w:iCs/>
          <w:color w:val="auto"/>
          <w:lang w:eastAsia="zh-CN"/>
        </w:rPr>
        <w:t>否</w:t>
      </w:r>
    </w:p>
    <w:p w14:paraId="23513EED">
      <w:pPr>
        <w:adjustRightInd w:val="0"/>
        <w:snapToGrid w:val="0"/>
        <w:spacing w:line="400" w:lineRule="exact"/>
        <w:ind w:firstLine="420" w:firstLineChars="200"/>
        <w:rPr>
          <w:rFonts w:cs="Times New Roman" w:asciiTheme="minorEastAsia" w:hAnsiTheme="minorEastAsia" w:eastAsiaTheme="minorEastAsia"/>
          <w:color w:val="auto"/>
          <w:lang w:val="en-US"/>
        </w:rPr>
      </w:pPr>
      <w:r>
        <w:rPr>
          <w:rFonts w:hint="default" w:cs="Times New Roman" w:asciiTheme="minorEastAsia" w:hAnsiTheme="minorEastAsia" w:eastAsiaTheme="minorEastAsia"/>
          <w:color w:val="auto"/>
          <w:lang w:val="en-US"/>
        </w:rPr>
        <w:t>（</w:t>
      </w:r>
      <w:r>
        <w:rPr>
          <w:rFonts w:hint="default" w:cs="Times New Roman" w:asciiTheme="minorEastAsia" w:hAnsiTheme="minorEastAsia" w:eastAsiaTheme="minorEastAsia"/>
          <w:color w:val="auto"/>
          <w:lang w:val="en" w:eastAsia="zh-CN"/>
        </w:rPr>
        <w:t>7</w:t>
      </w:r>
      <w:r>
        <w:rPr>
          <w:rFonts w:hint="default" w:cs="Times New Roman" w:asciiTheme="minorEastAsia" w:hAnsiTheme="minorEastAsia" w:eastAsiaTheme="minorEastAsia"/>
          <w:color w:val="auto"/>
          <w:lang w:val="en-US"/>
        </w:rPr>
        <w:t>）</w:t>
      </w:r>
      <w:r>
        <w:rPr>
          <w:rFonts w:hint="default" w:cs="Times New Roman" w:asciiTheme="minorEastAsia" w:hAnsiTheme="minorEastAsia" w:eastAsiaTheme="minorEastAsia"/>
          <w:color w:val="auto"/>
        </w:rPr>
        <w:t>合同是否分包</w:t>
      </w:r>
      <w:r>
        <w:rPr>
          <w:rFonts w:hint="default" w:cs="Times New Roman" w:asciiTheme="minorEastAsia" w:hAnsiTheme="minorEastAsia" w:eastAsiaTheme="minorEastAsia"/>
          <w:color w:val="auto"/>
          <w:lang w:val="en-US"/>
        </w:rPr>
        <w:t>：</w:t>
      </w:r>
      <w:r>
        <w:rPr>
          <w:rFonts w:hint="default" w:cs="Times New Roman" w:asciiTheme="minorEastAsia" w:hAnsiTheme="minorEastAsia" w:eastAsiaTheme="minorEastAsia"/>
          <w:iCs/>
          <w:color w:val="auto"/>
        </w:rPr>
        <w:sym w:font="Wingdings" w:char="00A8"/>
      </w:r>
      <w:r>
        <w:rPr>
          <w:rFonts w:hint="default" w:cs="Times New Roman" w:asciiTheme="minorEastAsia" w:hAnsiTheme="minorEastAsia" w:eastAsiaTheme="minorEastAsia"/>
          <w:iCs/>
          <w:color w:val="auto"/>
        </w:rPr>
        <w:t>是</w:t>
      </w:r>
      <w:r>
        <w:rPr>
          <w:rFonts w:hint="default" w:cs="Times New Roman" w:asciiTheme="minorEastAsia" w:hAnsiTheme="minorEastAsia" w:eastAsiaTheme="minorEastAsia"/>
          <w:iCs/>
          <w:color w:val="auto"/>
          <w:lang w:val="en-US"/>
        </w:rPr>
        <w:t xml:space="preserve">       </w:t>
      </w:r>
      <w:r>
        <w:rPr>
          <w:rFonts w:hint="default" w:cs="Times New Roman" w:asciiTheme="minorEastAsia" w:hAnsiTheme="minorEastAsia" w:eastAsiaTheme="minorEastAsia"/>
          <w:iCs/>
          <w:color w:val="auto"/>
        </w:rPr>
        <w:sym w:font="Wingdings" w:char="00A8"/>
      </w:r>
      <w:r>
        <w:rPr>
          <w:rFonts w:hint="default" w:cs="Times New Roman" w:asciiTheme="minorEastAsia" w:hAnsiTheme="minorEastAsia" w:eastAsiaTheme="minorEastAsia"/>
          <w:iCs/>
          <w:color w:val="auto"/>
        </w:rPr>
        <w:t>否</w:t>
      </w:r>
    </w:p>
    <w:p w14:paraId="7EE7DF5D">
      <w:pPr>
        <w:adjustRightInd w:val="0"/>
        <w:snapToGrid w:val="0"/>
        <w:spacing w:line="400" w:lineRule="exact"/>
        <w:ind w:firstLine="840" w:firstLineChars="400"/>
        <w:rPr>
          <w:rFonts w:cs="Times New Roman" w:asciiTheme="minorEastAsia" w:hAnsiTheme="minorEastAsia" w:eastAsiaTheme="minorEastAsia"/>
          <w:color w:val="auto"/>
          <w:u w:val="single"/>
          <w:lang w:eastAsia="zh-CN"/>
        </w:rPr>
      </w:pPr>
      <w:r>
        <w:rPr>
          <w:rFonts w:hint="default" w:cs="Times New Roman" w:asciiTheme="minorEastAsia" w:hAnsiTheme="minorEastAsia" w:eastAsiaTheme="minorEastAsia"/>
          <w:color w:val="auto"/>
          <w:lang w:val="en-US" w:eastAsia="zh-CN"/>
        </w:rPr>
        <w:t xml:space="preserve"> </w:t>
      </w:r>
      <w:r>
        <w:rPr>
          <w:rFonts w:hint="default" w:cs="Times New Roman" w:asciiTheme="minorEastAsia" w:hAnsiTheme="minorEastAsia" w:eastAsiaTheme="minorEastAsia"/>
          <w:color w:val="auto"/>
          <w:lang w:eastAsia="zh-CN"/>
        </w:rPr>
        <w:t>分包主要内容：</w:t>
      </w:r>
      <w:r>
        <w:rPr>
          <w:rFonts w:hint="default" w:cs="Times New Roman" w:asciiTheme="minorEastAsia" w:hAnsiTheme="minorEastAsia" w:eastAsiaTheme="minorEastAsia"/>
          <w:color w:val="auto"/>
          <w:u w:val="single"/>
          <w:lang w:eastAsia="zh-CN"/>
        </w:rPr>
        <w:t xml:space="preserve">                                        </w:t>
      </w:r>
      <w:r>
        <w:rPr>
          <w:rFonts w:hint="default" w:cs="Times New Roman" w:asciiTheme="minorEastAsia" w:hAnsiTheme="minorEastAsia" w:eastAsiaTheme="minorEastAsia"/>
          <w:color w:val="auto"/>
          <w:u w:val="single"/>
          <w:lang w:val="en-US" w:eastAsia="zh-CN"/>
        </w:rPr>
        <w:t xml:space="preserve"> </w:t>
      </w:r>
      <w:r>
        <w:rPr>
          <w:rFonts w:hint="default" w:cs="Times New Roman" w:asciiTheme="minorEastAsia" w:hAnsiTheme="minorEastAsia" w:eastAsiaTheme="minorEastAsia"/>
          <w:color w:val="auto"/>
          <w:u w:val="single"/>
          <w:lang w:eastAsia="zh-CN"/>
        </w:rPr>
        <w:t xml:space="preserve">   </w:t>
      </w:r>
    </w:p>
    <w:p w14:paraId="2070E7C0">
      <w:pPr>
        <w:adjustRightInd w:val="0"/>
        <w:snapToGrid w:val="0"/>
        <w:spacing w:line="400" w:lineRule="exact"/>
        <w:ind w:firstLine="840" w:firstLineChars="400"/>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val="en-US" w:eastAsia="zh-CN"/>
        </w:rPr>
        <w:t xml:space="preserve"> </w:t>
      </w:r>
      <w:r>
        <w:rPr>
          <w:rFonts w:hint="default" w:cs="Times New Roman" w:asciiTheme="minorEastAsia" w:hAnsiTheme="minorEastAsia" w:eastAsiaTheme="minorEastAsia"/>
          <w:color w:val="auto"/>
          <w:lang w:eastAsia="zh-CN"/>
        </w:rPr>
        <w:t>分包供应商/制造商名称（如供应商和制造商不同，请分别填写）：</w:t>
      </w:r>
    </w:p>
    <w:p w14:paraId="2677790F">
      <w:pPr>
        <w:adjustRightInd w:val="0"/>
        <w:snapToGrid w:val="0"/>
        <w:spacing w:line="400" w:lineRule="exact"/>
        <w:ind w:firstLine="840" w:firstLineChars="400"/>
        <w:rPr>
          <w:rFonts w:cs="Times New Roman" w:asciiTheme="minorEastAsia" w:hAnsiTheme="minorEastAsia" w:eastAsiaTheme="minorEastAsia"/>
          <w:color w:val="auto"/>
          <w:u w:val="single"/>
          <w:lang w:eastAsia="zh-CN"/>
        </w:rPr>
      </w:pPr>
      <w:r>
        <w:rPr>
          <w:rFonts w:hint="default" w:cs="Times New Roman" w:asciiTheme="minorEastAsia" w:hAnsiTheme="minorEastAsia" w:eastAsiaTheme="minorEastAsia"/>
          <w:color w:val="auto"/>
          <w:lang w:eastAsia="zh-CN"/>
        </w:rPr>
        <w:t xml:space="preserve"> </w:t>
      </w:r>
      <w:r>
        <w:rPr>
          <w:rFonts w:hint="default" w:cs="Times New Roman" w:asciiTheme="minorEastAsia" w:hAnsiTheme="minorEastAsia" w:eastAsiaTheme="minorEastAsia"/>
          <w:color w:val="auto"/>
          <w:u w:val="single"/>
          <w:lang w:val="en-US" w:eastAsia="zh-CN"/>
        </w:rPr>
        <w:t xml:space="preserve">  </w:t>
      </w:r>
      <w:r>
        <w:rPr>
          <w:rFonts w:hint="default" w:cs="Times New Roman" w:asciiTheme="minorEastAsia" w:hAnsiTheme="minorEastAsia" w:eastAsiaTheme="minorEastAsia"/>
          <w:color w:val="auto"/>
          <w:u w:val="single"/>
          <w:lang w:eastAsia="zh-CN"/>
        </w:rPr>
        <w:t xml:space="preserve">                                 </w:t>
      </w:r>
      <w:r>
        <w:rPr>
          <w:rFonts w:hint="default" w:cs="Times New Roman" w:asciiTheme="minorEastAsia" w:hAnsiTheme="minorEastAsia" w:eastAsiaTheme="minorEastAsia"/>
          <w:color w:val="auto"/>
          <w:u w:val="single"/>
          <w:lang w:val="en-US" w:eastAsia="zh-CN"/>
        </w:rPr>
        <w:t xml:space="preserve">                       </w:t>
      </w:r>
    </w:p>
    <w:p w14:paraId="506BF2CA">
      <w:pPr>
        <w:adjustRightInd w:val="0"/>
        <w:snapToGrid w:val="0"/>
        <w:spacing w:line="400" w:lineRule="exact"/>
        <w:ind w:firstLine="840" w:firstLineChars="400"/>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val="en-US" w:eastAsia="zh-CN"/>
        </w:rPr>
        <w:t xml:space="preserve"> </w:t>
      </w:r>
      <w:r>
        <w:rPr>
          <w:rFonts w:hint="default" w:cs="Times New Roman" w:asciiTheme="minorEastAsia" w:hAnsiTheme="minorEastAsia" w:eastAsiaTheme="minorEastAsia"/>
          <w:color w:val="auto"/>
          <w:lang w:eastAsia="zh-CN"/>
        </w:rPr>
        <w:t>分包供应商</w:t>
      </w:r>
      <w:r>
        <w:rPr>
          <w:rFonts w:hint="default" w:cs="Times New Roman" w:asciiTheme="minorEastAsia" w:hAnsiTheme="minorEastAsia" w:eastAsiaTheme="minorEastAsia"/>
          <w:color w:val="auto"/>
          <w:lang w:val="en-US" w:eastAsia="zh-CN"/>
        </w:rPr>
        <w:t>/</w:t>
      </w:r>
      <w:r>
        <w:rPr>
          <w:rFonts w:hint="default" w:cs="Times New Roman" w:asciiTheme="minorEastAsia" w:hAnsiTheme="minorEastAsia" w:eastAsiaTheme="minorEastAsia"/>
          <w:color w:val="auto"/>
          <w:lang w:eastAsia="zh-CN"/>
        </w:rPr>
        <w:t>制造商类型（如果供应商和制造商不同，只填写制造商类型）：</w:t>
      </w:r>
    </w:p>
    <w:p w14:paraId="584E0E04">
      <w:pPr>
        <w:adjustRightInd w:val="0"/>
        <w:snapToGrid w:val="0"/>
        <w:spacing w:line="400" w:lineRule="exact"/>
        <w:ind w:firstLine="840" w:firstLineChars="400"/>
        <w:rPr>
          <w:rFonts w:cs="Times New Roman" w:asciiTheme="minorEastAsia" w:hAnsiTheme="minorEastAsia" w:eastAsiaTheme="minorEastAsia"/>
          <w:iCs/>
          <w:color w:val="auto"/>
          <w:lang w:val="en-US" w:eastAsia="zh-CN"/>
        </w:rPr>
      </w:pPr>
      <w:r>
        <w:rPr>
          <w:rFonts w:hint="default" w:cs="Times New Roman" w:asciiTheme="minorEastAsia" w:hAnsiTheme="minorEastAsia" w:eastAsiaTheme="minorEastAsia"/>
          <w:iCs/>
          <w:color w:val="auto"/>
          <w:lang w:val="en-US" w:eastAsia="zh-CN"/>
        </w:rPr>
        <w:t xml:space="preserve"> </w:t>
      </w:r>
      <w:r>
        <w:rPr>
          <w:rFonts w:hint="default" w:cs="Times New Roman" w:asciiTheme="minorEastAsia" w:hAnsiTheme="minorEastAsia" w:eastAsiaTheme="minorEastAsia"/>
          <w:iCs/>
          <w:color w:val="auto"/>
        </w:rPr>
        <w:sym w:font="Wingdings" w:char="00A8"/>
      </w:r>
      <w:r>
        <w:rPr>
          <w:rFonts w:hint="default" w:cs="Times New Roman" w:asciiTheme="minorEastAsia" w:hAnsiTheme="minorEastAsia" w:eastAsiaTheme="minorEastAsia"/>
          <w:iCs/>
          <w:color w:val="auto"/>
          <w:lang w:eastAsia="zh-CN"/>
        </w:rPr>
        <w:t xml:space="preserve">大型企业  </w:t>
      </w:r>
      <w:r>
        <w:rPr>
          <w:rFonts w:hint="default" w:cs="Times New Roman" w:asciiTheme="minorEastAsia" w:hAnsiTheme="minorEastAsia" w:eastAsiaTheme="minorEastAsia"/>
          <w:iCs/>
          <w:color w:val="auto"/>
        </w:rPr>
        <w:sym w:font="Wingdings" w:char="00A8"/>
      </w:r>
      <w:r>
        <w:rPr>
          <w:rFonts w:hint="default" w:cs="Times New Roman" w:asciiTheme="minorEastAsia" w:hAnsiTheme="minorEastAsia" w:eastAsiaTheme="minorEastAsia"/>
          <w:iCs/>
          <w:color w:val="auto"/>
          <w:lang w:eastAsia="zh-CN"/>
        </w:rPr>
        <w:t xml:space="preserve">中型企业  </w:t>
      </w:r>
      <w:r>
        <w:rPr>
          <w:rFonts w:hint="default" w:cs="Times New Roman" w:asciiTheme="minorEastAsia" w:hAnsiTheme="minorEastAsia" w:eastAsiaTheme="minorEastAsia"/>
          <w:iCs/>
          <w:color w:val="auto"/>
        </w:rPr>
        <w:sym w:font="Wingdings" w:char="00A8"/>
      </w:r>
      <w:r>
        <w:rPr>
          <w:rFonts w:hint="default" w:cs="Times New Roman" w:asciiTheme="minorEastAsia" w:hAnsiTheme="minorEastAsia" w:eastAsiaTheme="minorEastAsia"/>
          <w:iCs/>
          <w:color w:val="auto"/>
          <w:lang w:eastAsia="zh-CN"/>
        </w:rPr>
        <w:t>小微型企业</w:t>
      </w:r>
      <w:r>
        <w:rPr>
          <w:rFonts w:hint="default" w:cs="Times New Roman" w:asciiTheme="minorEastAsia" w:hAnsiTheme="minorEastAsia" w:eastAsiaTheme="minorEastAsia"/>
          <w:iCs/>
          <w:color w:val="auto"/>
          <w:lang w:val="en-US" w:eastAsia="zh-CN"/>
        </w:rPr>
        <w:t xml:space="preserve">  </w:t>
      </w:r>
    </w:p>
    <w:p w14:paraId="457C991A">
      <w:pPr>
        <w:adjustRightInd w:val="0"/>
        <w:snapToGrid w:val="0"/>
        <w:spacing w:line="400" w:lineRule="exact"/>
        <w:ind w:firstLine="840" w:firstLineChars="400"/>
        <w:rPr>
          <w:rFonts w:cs="Times New Roman" w:asciiTheme="minorEastAsia" w:hAnsiTheme="minorEastAsia" w:eastAsiaTheme="minorEastAsia"/>
          <w:color w:val="auto"/>
          <w:lang w:val="en-US" w:eastAsia="zh-CN"/>
        </w:rPr>
      </w:pPr>
      <w:r>
        <w:rPr>
          <w:rFonts w:hint="default" w:cs="Times New Roman" w:asciiTheme="minorEastAsia" w:hAnsiTheme="minorEastAsia" w:eastAsiaTheme="minorEastAsia"/>
          <w:iCs/>
          <w:color w:val="auto"/>
          <w:lang w:val="en-US" w:eastAsia="zh-CN"/>
        </w:rPr>
        <w:t xml:space="preserve"> </w:t>
      </w:r>
      <w:r>
        <w:rPr>
          <w:rFonts w:hint="default" w:cs="Times New Roman" w:asciiTheme="minorEastAsia" w:hAnsiTheme="minorEastAsia" w:eastAsiaTheme="minorEastAsia"/>
          <w:iCs/>
          <w:color w:val="auto"/>
        </w:rPr>
        <w:sym w:font="Wingdings" w:char="00A8"/>
      </w:r>
      <w:r>
        <w:rPr>
          <w:rFonts w:hint="default" w:cs="Times New Roman" w:asciiTheme="minorEastAsia" w:hAnsiTheme="minorEastAsia" w:eastAsiaTheme="minorEastAsia"/>
          <w:iCs/>
          <w:color w:val="auto"/>
          <w:lang w:eastAsia="zh-CN"/>
        </w:rPr>
        <w:t>残疾人福利性单位</w:t>
      </w:r>
      <w:r>
        <w:rPr>
          <w:rFonts w:hint="default" w:cs="Times New Roman" w:asciiTheme="minorEastAsia" w:hAnsiTheme="minorEastAsia" w:eastAsiaTheme="minorEastAsia"/>
          <w:iCs/>
          <w:color w:val="auto"/>
          <w:lang w:val="en-US" w:eastAsia="zh-CN"/>
        </w:rPr>
        <w:t xml:space="preserve"> </w:t>
      </w:r>
      <w:r>
        <w:rPr>
          <w:rFonts w:hint="default" w:cs="Times New Roman" w:asciiTheme="minorEastAsia" w:hAnsiTheme="minorEastAsia" w:eastAsiaTheme="minorEastAsia"/>
          <w:iCs/>
          <w:color w:val="auto"/>
        </w:rPr>
        <w:sym w:font="Wingdings" w:char="00A8"/>
      </w:r>
      <w:r>
        <w:rPr>
          <w:rFonts w:hint="default" w:cs="Times New Roman" w:asciiTheme="minorEastAsia" w:hAnsiTheme="minorEastAsia" w:eastAsiaTheme="minorEastAsia"/>
          <w:iCs/>
          <w:color w:val="auto"/>
          <w:lang w:eastAsia="zh-CN"/>
        </w:rPr>
        <w:t>监狱企业</w:t>
      </w:r>
      <w:r>
        <w:rPr>
          <w:rFonts w:hint="default" w:cs="Times New Roman" w:asciiTheme="minorEastAsia" w:hAnsiTheme="minorEastAsia" w:eastAsiaTheme="minorEastAsia"/>
          <w:iCs/>
          <w:color w:val="auto"/>
          <w:lang w:val="en-US" w:eastAsia="zh-CN"/>
        </w:rPr>
        <w:t xml:space="preserve"> </w:t>
      </w:r>
      <w:r>
        <w:rPr>
          <w:rFonts w:hint="default" w:cs="Times New Roman" w:asciiTheme="minorEastAsia" w:hAnsiTheme="minorEastAsia" w:eastAsiaTheme="minorEastAsia"/>
          <w:iCs/>
          <w:color w:val="auto"/>
        </w:rPr>
        <w:sym w:font="Wingdings" w:char="00A8"/>
      </w:r>
      <w:r>
        <w:rPr>
          <w:rFonts w:hint="default" w:cs="Times New Roman" w:asciiTheme="minorEastAsia" w:hAnsiTheme="minorEastAsia" w:eastAsiaTheme="minorEastAsia"/>
          <w:iCs/>
          <w:color w:val="auto"/>
          <w:lang w:eastAsia="zh-CN"/>
        </w:rPr>
        <w:t>其他</w:t>
      </w:r>
    </w:p>
    <w:p w14:paraId="580A58A1">
      <w:pPr>
        <w:adjustRightInd w:val="0"/>
        <w:snapToGrid w:val="0"/>
        <w:spacing w:line="400" w:lineRule="exact"/>
        <w:rPr>
          <w:rFonts w:cs="Times New Roman" w:asciiTheme="minorEastAsia" w:hAnsiTheme="minorEastAsia" w:eastAsiaTheme="minorEastAsia"/>
          <w:iCs/>
          <w:color w:val="auto"/>
          <w:lang w:eastAsia="zh-CN"/>
        </w:rPr>
      </w:pPr>
      <w:r>
        <w:rPr>
          <w:rFonts w:hint="default" w:cs="Times New Roman" w:asciiTheme="minorEastAsia" w:hAnsiTheme="minorEastAsia" w:eastAsiaTheme="minorEastAsia"/>
          <w:color w:val="auto"/>
          <w:lang w:val="en-US" w:eastAsia="zh-CN"/>
        </w:rPr>
        <w:t xml:space="preserve">    （</w:t>
      </w:r>
      <w:r>
        <w:rPr>
          <w:rFonts w:hint="default" w:cs="Times New Roman" w:asciiTheme="minorEastAsia" w:hAnsiTheme="minorEastAsia" w:eastAsiaTheme="minorEastAsia"/>
          <w:color w:val="auto"/>
          <w:lang w:val="en" w:eastAsia="zh-CN"/>
        </w:rPr>
        <w:t>8</w:t>
      </w:r>
      <w:r>
        <w:rPr>
          <w:rFonts w:hint="default" w:cs="Times New Roman" w:asciiTheme="minorEastAsia" w:hAnsiTheme="minorEastAsia" w:eastAsiaTheme="minorEastAsia"/>
          <w:color w:val="auto"/>
          <w:lang w:val="en-US" w:eastAsia="zh-CN"/>
        </w:rPr>
        <w:t>）中标（成交）供应商是否为外商投资企业：</w:t>
      </w:r>
      <w:r>
        <w:rPr>
          <w:rFonts w:hint="default" w:cs="Times New Roman" w:asciiTheme="minorEastAsia" w:hAnsiTheme="minorEastAsia" w:eastAsiaTheme="minorEastAsia"/>
          <w:iCs/>
          <w:color w:val="auto"/>
        </w:rPr>
        <w:sym w:font="Wingdings" w:char="00A8"/>
      </w:r>
      <w:r>
        <w:rPr>
          <w:rFonts w:hint="default" w:cs="Times New Roman" w:asciiTheme="minorEastAsia" w:hAnsiTheme="minorEastAsia" w:eastAsiaTheme="minorEastAsia"/>
          <w:iCs/>
          <w:color w:val="auto"/>
          <w:lang w:eastAsia="zh-CN"/>
        </w:rPr>
        <w:t xml:space="preserve">是       </w:t>
      </w:r>
      <w:r>
        <w:rPr>
          <w:rFonts w:hint="default" w:cs="Times New Roman" w:asciiTheme="minorEastAsia" w:hAnsiTheme="minorEastAsia" w:eastAsiaTheme="minorEastAsia"/>
          <w:iCs/>
          <w:color w:val="auto"/>
        </w:rPr>
        <w:sym w:font="Wingdings" w:char="00A8"/>
      </w:r>
      <w:r>
        <w:rPr>
          <w:rFonts w:hint="default" w:cs="Times New Roman" w:asciiTheme="minorEastAsia" w:hAnsiTheme="minorEastAsia" w:eastAsiaTheme="minorEastAsia"/>
          <w:iCs/>
          <w:color w:val="auto"/>
          <w:lang w:eastAsia="zh-CN"/>
        </w:rPr>
        <w:t>否</w:t>
      </w:r>
    </w:p>
    <w:p w14:paraId="1FF6FEB1">
      <w:pPr>
        <w:pStyle w:val="260"/>
        <w:tabs>
          <w:tab w:val="left" w:pos="1340"/>
        </w:tabs>
        <w:ind w:firstLine="420"/>
        <w:rPr>
          <w:rFonts w:hint="eastAsia" w:cs="Times New Roman" w:asciiTheme="minorEastAsia" w:hAnsiTheme="minorEastAsia" w:eastAsiaTheme="minorEastAsia"/>
          <w:sz w:val="21"/>
          <w:u w:val="single"/>
        </w:rPr>
      </w:pPr>
      <w:r>
        <w:rPr>
          <w:rFonts w:cs="Times New Roman" w:asciiTheme="minorEastAsia" w:hAnsiTheme="minorEastAsia" w:eastAsiaTheme="minorEastAsia"/>
          <w:sz w:val="21"/>
        </w:rPr>
        <w:t xml:space="preserve">     外商投资企业类型：</w:t>
      </w:r>
      <w:r>
        <w:rPr>
          <w:rFonts w:cs="Times New Roman" w:asciiTheme="minorEastAsia" w:hAnsiTheme="minorEastAsia" w:eastAsiaTheme="minorEastAsia"/>
          <w:iCs/>
          <w:sz w:val="21"/>
        </w:rPr>
        <w:sym w:font="Wingdings" w:char="00A8"/>
      </w:r>
      <w:r>
        <w:rPr>
          <w:rFonts w:cs="Times New Roman" w:asciiTheme="minorEastAsia" w:hAnsiTheme="minorEastAsia" w:eastAsiaTheme="minorEastAsia"/>
          <w:sz w:val="21"/>
        </w:rPr>
        <w:t xml:space="preserve">全部由外国投资者投资  </w:t>
      </w:r>
      <w:r>
        <w:rPr>
          <w:rFonts w:cs="Times New Roman" w:asciiTheme="minorEastAsia" w:hAnsiTheme="minorEastAsia" w:eastAsiaTheme="minorEastAsia"/>
          <w:iCs/>
          <w:sz w:val="21"/>
        </w:rPr>
        <w:sym w:font="Wingdings" w:char="00A8"/>
      </w:r>
      <w:r>
        <w:rPr>
          <w:rFonts w:cs="Times New Roman" w:asciiTheme="minorEastAsia" w:hAnsiTheme="minorEastAsia" w:eastAsiaTheme="minorEastAsia"/>
          <w:iCs/>
          <w:sz w:val="21"/>
        </w:rPr>
        <w:t>部分由外国投资者投资</w:t>
      </w:r>
    </w:p>
    <w:p w14:paraId="61959CD9">
      <w:pPr>
        <w:adjustRightInd w:val="0"/>
        <w:snapToGrid w:val="0"/>
        <w:spacing w:line="400" w:lineRule="exact"/>
        <w:ind w:firstLine="420" w:firstLineChars="200"/>
        <w:rPr>
          <w:rFonts w:cs="Times New Roman" w:asciiTheme="minorEastAsia" w:hAnsiTheme="minorEastAsia" w:eastAsiaTheme="minorEastAsia"/>
          <w:color w:val="auto"/>
          <w:lang w:val="en-US" w:eastAsia="zh-CN"/>
        </w:rPr>
      </w:pPr>
      <w:r>
        <w:rPr>
          <w:rFonts w:hint="default" w:cs="Times New Roman" w:asciiTheme="minorEastAsia" w:hAnsiTheme="minorEastAsia" w:eastAsiaTheme="minorEastAsia"/>
          <w:color w:val="auto"/>
          <w:lang w:val="en-US" w:eastAsia="zh-CN"/>
        </w:rPr>
        <w:t>（</w:t>
      </w:r>
      <w:r>
        <w:rPr>
          <w:rFonts w:hint="default" w:cs="Times New Roman" w:asciiTheme="minorEastAsia" w:hAnsiTheme="minorEastAsia" w:eastAsiaTheme="minorEastAsia"/>
          <w:color w:val="auto"/>
          <w:lang w:val="en" w:eastAsia="zh-CN"/>
        </w:rPr>
        <w:t>9</w:t>
      </w:r>
      <w:r>
        <w:rPr>
          <w:rFonts w:hint="default" w:cs="Times New Roman" w:asciiTheme="minorEastAsia" w:hAnsiTheme="minorEastAsia" w:eastAsiaTheme="minorEastAsia"/>
          <w:color w:val="auto"/>
          <w:lang w:val="en-US" w:eastAsia="zh-CN"/>
        </w:rPr>
        <w:t>）是否涉及进口产品：</w:t>
      </w:r>
    </w:p>
    <w:p w14:paraId="43AF14C9">
      <w:pPr>
        <w:adjustRightInd w:val="0"/>
        <w:snapToGrid w:val="0"/>
        <w:spacing w:line="400" w:lineRule="exact"/>
        <w:ind w:firstLine="840" w:firstLineChars="400"/>
        <w:rPr>
          <w:rFonts w:cs="Times New Roman" w:asciiTheme="minorEastAsia" w:hAnsiTheme="minorEastAsia" w:eastAsiaTheme="minorEastAsia"/>
          <w:color w:val="auto"/>
          <w:u w:val="single"/>
          <w:lang w:val="en-US" w:eastAsia="zh-CN"/>
        </w:rPr>
      </w:pPr>
      <w:r>
        <w:rPr>
          <w:rFonts w:hint="default" w:cs="Times New Roman" w:asciiTheme="minorEastAsia" w:hAnsiTheme="minorEastAsia" w:eastAsiaTheme="minorEastAsia"/>
          <w:color w:val="auto"/>
          <w:lang w:val="en-US" w:eastAsia="zh-CN"/>
        </w:rPr>
        <w:t xml:space="preserve"> </w:t>
      </w:r>
      <w:r>
        <w:rPr>
          <w:rFonts w:hint="default" w:cs="Times New Roman" w:asciiTheme="minorEastAsia" w:hAnsiTheme="minorEastAsia" w:eastAsiaTheme="minorEastAsia"/>
          <w:color w:val="auto"/>
        </w:rPr>
        <w:sym w:font="Wingdings" w:char="00A8"/>
      </w:r>
      <w:r>
        <w:rPr>
          <w:rFonts w:hint="default" w:cs="Times New Roman" w:asciiTheme="minorEastAsia" w:hAnsiTheme="minorEastAsia" w:eastAsiaTheme="minorEastAsia"/>
          <w:color w:val="auto"/>
          <w:lang w:eastAsia="zh-CN"/>
        </w:rPr>
        <w:t>是，《政府采购品目分类目录》底级品目名称</w:t>
      </w:r>
      <w:r>
        <w:rPr>
          <w:rFonts w:hint="default" w:cs="Times New Roman" w:asciiTheme="minorEastAsia" w:hAnsiTheme="minorEastAsia" w:eastAsiaTheme="minorEastAsia"/>
          <w:color w:val="auto"/>
          <w:lang w:val="en-US" w:eastAsia="zh-CN"/>
        </w:rPr>
        <w:t>：</w:t>
      </w:r>
      <w:r>
        <w:rPr>
          <w:rFonts w:hint="default" w:cs="Times New Roman" w:asciiTheme="minorEastAsia" w:hAnsiTheme="minorEastAsia" w:eastAsiaTheme="minorEastAsia"/>
          <w:color w:val="auto"/>
          <w:u w:val="single"/>
          <w:lang w:val="en-US" w:eastAsia="zh-CN"/>
        </w:rPr>
        <w:t xml:space="preserve">         </w:t>
      </w:r>
      <w:r>
        <w:rPr>
          <w:rFonts w:hint="default" w:cs="Times New Roman" w:asciiTheme="minorEastAsia" w:hAnsiTheme="minorEastAsia" w:eastAsiaTheme="minorEastAsia"/>
          <w:color w:val="auto"/>
          <w:lang w:val="en-US" w:eastAsia="zh-CN"/>
        </w:rPr>
        <w:t xml:space="preserve"> 金额：</w:t>
      </w:r>
      <w:r>
        <w:rPr>
          <w:rFonts w:hint="default" w:cs="Times New Roman" w:asciiTheme="minorEastAsia" w:hAnsiTheme="minorEastAsia" w:eastAsiaTheme="minorEastAsia"/>
          <w:color w:val="auto"/>
          <w:u w:val="single"/>
          <w:lang w:val="en-US" w:eastAsia="zh-CN"/>
        </w:rPr>
        <w:t xml:space="preserve">        </w:t>
      </w:r>
    </w:p>
    <w:p w14:paraId="2EBD48B3">
      <w:pPr>
        <w:adjustRightInd w:val="0"/>
        <w:snapToGrid w:val="0"/>
        <w:spacing w:line="400" w:lineRule="exact"/>
        <w:ind w:firstLine="840" w:firstLineChars="400"/>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val="en-US" w:eastAsia="zh-CN"/>
        </w:rPr>
        <w:t xml:space="preserve">        国别：</w:t>
      </w:r>
      <w:r>
        <w:rPr>
          <w:rFonts w:hint="default" w:cs="Times New Roman" w:asciiTheme="minorEastAsia" w:hAnsiTheme="minorEastAsia" w:eastAsiaTheme="minorEastAsia"/>
          <w:color w:val="auto"/>
          <w:u w:val="single"/>
          <w:lang w:val="en-US" w:eastAsia="zh-CN"/>
        </w:rPr>
        <w:t xml:space="preserve">        </w:t>
      </w:r>
      <w:r>
        <w:rPr>
          <w:rFonts w:hint="default" w:cs="Times New Roman" w:asciiTheme="minorEastAsia" w:hAnsiTheme="minorEastAsia" w:eastAsiaTheme="minorEastAsia"/>
          <w:color w:val="auto"/>
          <w:lang w:val="en-US" w:eastAsia="zh-CN"/>
        </w:rPr>
        <w:t xml:space="preserve"> 品牌：</w:t>
      </w:r>
      <w:r>
        <w:rPr>
          <w:rFonts w:hint="default" w:cs="Times New Roman" w:asciiTheme="minorEastAsia" w:hAnsiTheme="minorEastAsia" w:eastAsiaTheme="minorEastAsia"/>
          <w:color w:val="auto"/>
          <w:u w:val="single"/>
          <w:lang w:val="en-US" w:eastAsia="zh-CN"/>
        </w:rPr>
        <w:t xml:space="preserve">        </w:t>
      </w:r>
      <w:r>
        <w:rPr>
          <w:rFonts w:hint="default" w:cs="Times New Roman" w:asciiTheme="minorEastAsia" w:hAnsiTheme="minorEastAsia" w:eastAsiaTheme="minorEastAsia"/>
          <w:color w:val="auto"/>
          <w:lang w:val="en-US" w:eastAsia="zh-CN"/>
        </w:rPr>
        <w:t xml:space="preserve"> 规格型号：</w:t>
      </w:r>
      <w:r>
        <w:rPr>
          <w:rFonts w:hint="default" w:cs="Times New Roman" w:asciiTheme="minorEastAsia" w:hAnsiTheme="minorEastAsia" w:eastAsiaTheme="minorEastAsia"/>
          <w:color w:val="auto"/>
          <w:u w:val="single"/>
          <w:lang w:val="en-US" w:eastAsia="zh-CN"/>
        </w:rPr>
        <w:t xml:space="preserve">        </w:t>
      </w:r>
      <w:r>
        <w:rPr>
          <w:rFonts w:hint="default" w:cs="Times New Roman" w:asciiTheme="minorEastAsia" w:hAnsiTheme="minorEastAsia" w:eastAsiaTheme="minorEastAsia"/>
          <w:color w:val="auto"/>
          <w:lang w:eastAsia="zh-CN"/>
        </w:rPr>
        <w:t xml:space="preserve">      </w:t>
      </w:r>
    </w:p>
    <w:p w14:paraId="2E9AC129">
      <w:pPr>
        <w:adjustRightInd w:val="0"/>
        <w:snapToGrid w:val="0"/>
        <w:spacing w:line="400" w:lineRule="exact"/>
        <w:ind w:firstLine="840" w:firstLineChars="400"/>
        <w:rPr>
          <w:rFonts w:cs="Times New Roman" w:asciiTheme="minorEastAsia" w:hAnsiTheme="minorEastAsia" w:eastAsiaTheme="minorEastAsia"/>
          <w:color w:val="auto"/>
          <w:lang w:val="en-US" w:eastAsia="zh-CN"/>
        </w:rPr>
      </w:pPr>
      <w:r>
        <w:rPr>
          <w:rFonts w:hint="default" w:cs="Times New Roman" w:asciiTheme="minorEastAsia" w:hAnsiTheme="minorEastAsia" w:eastAsiaTheme="minorEastAsia"/>
          <w:color w:val="auto"/>
          <w:lang w:val="en-US" w:eastAsia="zh-CN"/>
        </w:rPr>
        <w:t xml:space="preserve"> </w:t>
      </w:r>
      <w:r>
        <w:rPr>
          <w:rFonts w:hint="default" w:cs="Times New Roman" w:asciiTheme="minorEastAsia" w:hAnsiTheme="minorEastAsia" w:eastAsiaTheme="minorEastAsia"/>
          <w:color w:val="auto"/>
        </w:rPr>
        <w:sym w:font="Wingdings" w:char="00A8"/>
      </w:r>
      <w:r>
        <w:rPr>
          <w:rFonts w:hint="default" w:cs="Times New Roman" w:asciiTheme="minorEastAsia" w:hAnsiTheme="minorEastAsia" w:eastAsiaTheme="minorEastAsia"/>
          <w:color w:val="auto"/>
          <w:lang w:eastAsia="zh-CN"/>
        </w:rPr>
        <w:t>否</w:t>
      </w:r>
    </w:p>
    <w:p w14:paraId="01F11C56">
      <w:pPr>
        <w:tabs>
          <w:tab w:val="left" w:pos="740"/>
        </w:tabs>
        <w:adjustRightInd w:val="0"/>
        <w:snapToGrid w:val="0"/>
        <w:spacing w:line="400" w:lineRule="exact"/>
        <w:rPr>
          <w:rFonts w:cs="Times New Roman" w:asciiTheme="minorEastAsia" w:hAnsiTheme="minorEastAsia" w:eastAsiaTheme="minorEastAsia"/>
          <w:color w:val="auto"/>
          <w:lang w:val="en-US" w:eastAsia="zh-CN"/>
        </w:rPr>
      </w:pPr>
      <w:r>
        <w:rPr>
          <w:rFonts w:hint="default" w:cs="Times New Roman" w:asciiTheme="minorEastAsia" w:hAnsiTheme="minorEastAsia" w:eastAsiaTheme="minorEastAsia"/>
          <w:color w:val="auto"/>
          <w:lang w:val="en-US" w:eastAsia="zh-CN"/>
        </w:rPr>
        <w:t xml:space="preserve">    （1</w:t>
      </w:r>
      <w:r>
        <w:rPr>
          <w:rFonts w:hint="default" w:cs="Times New Roman" w:asciiTheme="minorEastAsia" w:hAnsiTheme="minorEastAsia" w:eastAsiaTheme="minorEastAsia"/>
          <w:color w:val="auto"/>
          <w:lang w:val="en" w:eastAsia="zh-CN"/>
        </w:rPr>
        <w:t>0</w:t>
      </w:r>
      <w:r>
        <w:rPr>
          <w:rFonts w:hint="default" w:cs="Times New Roman" w:asciiTheme="minorEastAsia" w:hAnsiTheme="minorEastAsia" w:eastAsiaTheme="minorEastAsia"/>
          <w:color w:val="auto"/>
          <w:lang w:val="en-US" w:eastAsia="zh-CN"/>
        </w:rPr>
        <w:t>）是否涉及节能产品：</w:t>
      </w:r>
    </w:p>
    <w:p w14:paraId="19D8CBF0">
      <w:pPr>
        <w:tabs>
          <w:tab w:val="left" w:pos="740"/>
        </w:tabs>
        <w:adjustRightInd w:val="0"/>
        <w:snapToGrid w:val="0"/>
        <w:spacing w:line="400" w:lineRule="exact"/>
        <w:rPr>
          <w:rFonts w:cs="Times New Roman" w:asciiTheme="minorEastAsia" w:hAnsiTheme="minorEastAsia" w:eastAsiaTheme="minorEastAsia"/>
          <w:iCs/>
          <w:color w:val="auto"/>
          <w:lang w:val="en-US" w:eastAsia="zh-CN"/>
        </w:rPr>
      </w:pPr>
      <w:r>
        <w:rPr>
          <w:rFonts w:hint="default" w:cs="Times New Roman" w:asciiTheme="minorEastAsia" w:hAnsiTheme="minorEastAsia" w:eastAsiaTheme="minorEastAsia"/>
          <w:color w:val="auto"/>
          <w:lang w:val="en-US" w:eastAsia="zh-CN"/>
        </w:rPr>
        <w:t xml:space="preserve">         </w:t>
      </w:r>
      <w:r>
        <w:rPr>
          <w:rFonts w:hint="default" w:cs="Times New Roman" w:asciiTheme="minorEastAsia" w:hAnsiTheme="minorEastAsia" w:eastAsiaTheme="minorEastAsia"/>
          <w:color w:val="auto"/>
        </w:rPr>
        <w:sym w:font="Wingdings" w:char="00FE"/>
      </w:r>
      <w:r>
        <w:rPr>
          <w:rFonts w:hint="default" w:cs="Times New Roman" w:asciiTheme="minorEastAsia" w:hAnsiTheme="minorEastAsia" w:eastAsiaTheme="minorEastAsia"/>
          <w:color w:val="auto"/>
          <w:lang w:eastAsia="zh-CN"/>
        </w:rPr>
        <w:t>是，《节能产品政府采购品目清单》的底级品目名称：</w:t>
      </w:r>
      <w:r>
        <w:rPr>
          <w:rFonts w:hint="default" w:cs="Times New Roman" w:asciiTheme="minorEastAsia" w:hAnsiTheme="minorEastAsia" w:eastAsiaTheme="minorEastAsia"/>
          <w:color w:val="auto"/>
          <w:u w:val="single"/>
          <w:lang w:val="en-US" w:eastAsia="zh-CN"/>
        </w:rPr>
        <w:t xml:space="preserve">         </w:t>
      </w:r>
      <w:r>
        <w:rPr>
          <w:rFonts w:hint="default" w:cs="Times New Roman" w:asciiTheme="minorEastAsia" w:hAnsiTheme="minorEastAsia" w:eastAsiaTheme="minorEastAsia"/>
          <w:iCs/>
          <w:color w:val="auto"/>
          <w:lang w:val="en-US" w:eastAsia="zh-CN"/>
        </w:rPr>
        <w:t xml:space="preserve">     </w:t>
      </w:r>
    </w:p>
    <w:p w14:paraId="2D146E9D">
      <w:pPr>
        <w:tabs>
          <w:tab w:val="left" w:pos="740"/>
        </w:tabs>
        <w:adjustRightInd w:val="0"/>
        <w:snapToGrid w:val="0"/>
        <w:spacing w:line="400" w:lineRule="exact"/>
        <w:rPr>
          <w:rFonts w:cs="Times New Roman" w:asciiTheme="minorEastAsia" w:hAnsiTheme="minorEastAsia" w:eastAsiaTheme="minorEastAsia"/>
          <w:iCs/>
          <w:color w:val="auto"/>
          <w:lang w:val="en-US" w:eastAsia="zh-CN"/>
        </w:rPr>
      </w:pPr>
      <w:r>
        <w:rPr>
          <w:rFonts w:hint="default" w:cs="Times New Roman" w:asciiTheme="minorEastAsia" w:hAnsiTheme="minorEastAsia" w:eastAsiaTheme="minorEastAsia"/>
          <w:iCs/>
          <w:color w:val="auto"/>
          <w:lang w:val="en-US" w:eastAsia="zh-CN"/>
        </w:rPr>
        <w:t xml:space="preserve">                </w:t>
      </w:r>
      <w:r>
        <w:rPr>
          <w:rFonts w:hint="default" w:cs="Times New Roman" w:asciiTheme="minorEastAsia" w:hAnsiTheme="minorEastAsia" w:eastAsiaTheme="minorEastAsia"/>
          <w:iCs/>
          <w:color w:val="auto"/>
        </w:rPr>
        <w:sym w:font="Wingdings" w:char="00A8"/>
      </w:r>
      <w:r>
        <w:rPr>
          <w:rFonts w:hint="default" w:cs="Times New Roman" w:asciiTheme="minorEastAsia" w:hAnsiTheme="minorEastAsia" w:eastAsiaTheme="minorEastAsia"/>
          <w:iCs/>
          <w:color w:val="auto"/>
          <w:lang w:eastAsia="zh-CN"/>
        </w:rPr>
        <w:t>强制采购</w:t>
      </w:r>
      <w:r>
        <w:rPr>
          <w:rFonts w:hint="default" w:cs="Times New Roman" w:asciiTheme="minorEastAsia" w:hAnsiTheme="minorEastAsia" w:eastAsiaTheme="minorEastAsia"/>
          <w:iCs/>
          <w:color w:val="auto"/>
          <w:lang w:val="en-US" w:eastAsia="zh-CN"/>
        </w:rPr>
        <w:t xml:space="preserve">       </w:t>
      </w:r>
      <w:r>
        <w:rPr>
          <w:rFonts w:hint="default" w:cs="Times New Roman" w:asciiTheme="minorEastAsia" w:hAnsiTheme="minorEastAsia" w:eastAsiaTheme="minorEastAsia"/>
          <w:iCs/>
          <w:color w:val="auto"/>
        </w:rPr>
        <w:sym w:font="Wingdings" w:char="00A8"/>
      </w:r>
      <w:r>
        <w:rPr>
          <w:rFonts w:hint="default" w:cs="Times New Roman" w:asciiTheme="minorEastAsia" w:hAnsiTheme="minorEastAsia" w:eastAsiaTheme="minorEastAsia"/>
          <w:iCs/>
          <w:color w:val="auto"/>
          <w:lang w:eastAsia="zh-CN"/>
        </w:rPr>
        <w:t>优先采购</w:t>
      </w:r>
      <w:r>
        <w:rPr>
          <w:rFonts w:hint="default" w:cs="Times New Roman" w:asciiTheme="minorEastAsia" w:hAnsiTheme="minorEastAsia" w:eastAsiaTheme="minorEastAsia"/>
          <w:iCs/>
          <w:color w:val="auto"/>
          <w:lang w:val="en-US" w:eastAsia="zh-CN"/>
        </w:rPr>
        <w:t xml:space="preserve">    </w:t>
      </w:r>
    </w:p>
    <w:p w14:paraId="03E43EE7">
      <w:pPr>
        <w:tabs>
          <w:tab w:val="left" w:pos="740"/>
        </w:tabs>
        <w:adjustRightInd w:val="0"/>
        <w:snapToGrid w:val="0"/>
        <w:spacing w:line="400" w:lineRule="exac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iCs/>
          <w:color w:val="auto"/>
          <w:lang w:val="en-US" w:eastAsia="zh-CN"/>
        </w:rPr>
        <w:t xml:space="preserve">         </w:t>
      </w:r>
      <w:r>
        <w:rPr>
          <w:rFonts w:hint="default" w:cs="Times New Roman" w:asciiTheme="minorEastAsia" w:hAnsiTheme="minorEastAsia" w:eastAsiaTheme="minorEastAsia"/>
          <w:color w:val="auto"/>
        </w:rPr>
        <w:sym w:font="Wingdings" w:char="00A8"/>
      </w:r>
      <w:r>
        <w:rPr>
          <w:rFonts w:hint="default" w:cs="Times New Roman" w:asciiTheme="minorEastAsia" w:hAnsiTheme="minorEastAsia" w:eastAsiaTheme="minorEastAsia"/>
          <w:color w:val="auto"/>
          <w:lang w:eastAsia="zh-CN"/>
        </w:rPr>
        <w:t>否</w:t>
      </w:r>
    </w:p>
    <w:p w14:paraId="664DCA6E">
      <w:pPr>
        <w:tabs>
          <w:tab w:val="left" w:pos="740"/>
        </w:tabs>
        <w:adjustRightInd w:val="0"/>
        <w:snapToGrid w:val="0"/>
        <w:spacing w:line="400" w:lineRule="exact"/>
        <w:rPr>
          <w:rFonts w:cs="Times New Roman" w:asciiTheme="minorEastAsia" w:hAnsiTheme="minorEastAsia" w:eastAsiaTheme="minorEastAsia"/>
          <w:color w:val="auto"/>
          <w:lang w:val="en-US" w:eastAsia="zh-CN"/>
        </w:rPr>
      </w:pPr>
      <w:r>
        <w:rPr>
          <w:rFonts w:hint="default" w:cs="Times New Roman" w:asciiTheme="minorEastAsia" w:hAnsiTheme="minorEastAsia" w:eastAsiaTheme="minorEastAsia"/>
          <w:color w:val="auto"/>
          <w:lang w:val="en-US" w:eastAsia="zh-CN"/>
        </w:rPr>
        <w:t xml:space="preserve">          是否涉及环境标志产品：</w:t>
      </w:r>
    </w:p>
    <w:p w14:paraId="515BC5BC">
      <w:pPr>
        <w:tabs>
          <w:tab w:val="left" w:pos="740"/>
        </w:tabs>
        <w:adjustRightInd w:val="0"/>
        <w:snapToGrid w:val="0"/>
        <w:spacing w:line="400" w:lineRule="exac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val="en-US" w:eastAsia="zh-CN"/>
        </w:rPr>
        <w:t xml:space="preserve">         </w:t>
      </w:r>
      <w:r>
        <w:rPr>
          <w:rFonts w:hint="default" w:cs="Times New Roman" w:asciiTheme="minorEastAsia" w:hAnsiTheme="minorEastAsia" w:eastAsiaTheme="minorEastAsia"/>
          <w:color w:val="auto"/>
        </w:rPr>
        <w:sym w:font="Wingdings" w:char="00FE"/>
      </w:r>
      <w:r>
        <w:rPr>
          <w:rFonts w:hint="default" w:cs="Times New Roman" w:asciiTheme="minorEastAsia" w:hAnsiTheme="minorEastAsia" w:eastAsiaTheme="minorEastAsia"/>
          <w:color w:val="auto"/>
          <w:lang w:eastAsia="zh-CN"/>
        </w:rPr>
        <w:t>是，《环境标志产品政府采购品目清单》的底级品目名称：</w:t>
      </w:r>
      <w:r>
        <w:rPr>
          <w:rFonts w:hint="default" w:cs="Times New Roman" w:asciiTheme="minorEastAsia" w:hAnsiTheme="minorEastAsia" w:eastAsiaTheme="minorEastAsia"/>
          <w:color w:val="auto"/>
          <w:u w:val="single"/>
          <w:lang w:val="en-US" w:eastAsia="zh-CN"/>
        </w:rPr>
        <w:t xml:space="preserve">         </w:t>
      </w:r>
      <w:r>
        <w:rPr>
          <w:rFonts w:hint="default" w:cs="Times New Roman" w:asciiTheme="minorEastAsia" w:hAnsiTheme="minorEastAsia" w:eastAsiaTheme="minorEastAsia"/>
          <w:iCs/>
          <w:color w:val="auto"/>
          <w:lang w:val="en-US" w:eastAsia="zh-CN"/>
        </w:rPr>
        <w:t xml:space="preserve"> </w:t>
      </w:r>
    </w:p>
    <w:p w14:paraId="48BDAD17">
      <w:pPr>
        <w:tabs>
          <w:tab w:val="left" w:pos="740"/>
        </w:tabs>
        <w:adjustRightInd w:val="0"/>
        <w:snapToGrid w:val="0"/>
        <w:spacing w:line="400" w:lineRule="exact"/>
        <w:rPr>
          <w:rFonts w:cs="Times New Roman" w:asciiTheme="minorEastAsia" w:hAnsiTheme="minorEastAsia" w:eastAsiaTheme="minorEastAsia"/>
          <w:iCs/>
          <w:color w:val="auto"/>
          <w:lang w:val="en-US" w:eastAsia="zh-CN"/>
        </w:rPr>
      </w:pPr>
      <w:r>
        <w:rPr>
          <w:rFonts w:hint="default" w:cs="Times New Roman" w:asciiTheme="minorEastAsia" w:hAnsiTheme="minorEastAsia" w:eastAsiaTheme="minorEastAsia"/>
          <w:iCs/>
          <w:color w:val="auto"/>
          <w:lang w:val="en-US" w:eastAsia="zh-CN"/>
        </w:rPr>
        <w:t xml:space="preserve">                </w:t>
      </w:r>
      <w:r>
        <w:rPr>
          <w:rFonts w:hint="default" w:cs="Times New Roman" w:asciiTheme="minorEastAsia" w:hAnsiTheme="minorEastAsia" w:eastAsiaTheme="minorEastAsia"/>
          <w:iCs/>
          <w:color w:val="auto"/>
        </w:rPr>
        <w:sym w:font="Wingdings" w:char="00A8"/>
      </w:r>
      <w:r>
        <w:rPr>
          <w:rFonts w:hint="default" w:cs="Times New Roman" w:asciiTheme="minorEastAsia" w:hAnsiTheme="minorEastAsia" w:eastAsiaTheme="minorEastAsia"/>
          <w:iCs/>
          <w:color w:val="auto"/>
          <w:lang w:eastAsia="zh-CN"/>
        </w:rPr>
        <w:t>强制采购</w:t>
      </w:r>
      <w:r>
        <w:rPr>
          <w:rFonts w:hint="default" w:cs="Times New Roman" w:asciiTheme="minorEastAsia" w:hAnsiTheme="minorEastAsia" w:eastAsiaTheme="minorEastAsia"/>
          <w:iCs/>
          <w:color w:val="auto"/>
          <w:lang w:val="en-US" w:eastAsia="zh-CN"/>
        </w:rPr>
        <w:t xml:space="preserve">       </w:t>
      </w:r>
      <w:r>
        <w:rPr>
          <w:rFonts w:hint="default" w:cs="Times New Roman" w:asciiTheme="minorEastAsia" w:hAnsiTheme="minorEastAsia" w:eastAsiaTheme="minorEastAsia"/>
          <w:iCs/>
          <w:color w:val="auto"/>
        </w:rPr>
        <w:sym w:font="Wingdings" w:char="00A8"/>
      </w:r>
      <w:r>
        <w:rPr>
          <w:rFonts w:hint="default" w:cs="Times New Roman" w:asciiTheme="minorEastAsia" w:hAnsiTheme="minorEastAsia" w:eastAsiaTheme="minorEastAsia"/>
          <w:iCs/>
          <w:color w:val="auto"/>
          <w:lang w:eastAsia="zh-CN"/>
        </w:rPr>
        <w:t>优先采购</w:t>
      </w:r>
      <w:r>
        <w:rPr>
          <w:rFonts w:hint="default" w:cs="Times New Roman" w:asciiTheme="minorEastAsia" w:hAnsiTheme="minorEastAsia" w:eastAsiaTheme="minorEastAsia"/>
          <w:iCs/>
          <w:color w:val="auto"/>
          <w:lang w:val="en-US" w:eastAsia="zh-CN"/>
        </w:rPr>
        <w:t xml:space="preserve">    </w:t>
      </w:r>
    </w:p>
    <w:p w14:paraId="2FA6257F">
      <w:pPr>
        <w:tabs>
          <w:tab w:val="left" w:pos="740"/>
        </w:tabs>
        <w:adjustRightInd w:val="0"/>
        <w:snapToGrid w:val="0"/>
        <w:spacing w:line="400" w:lineRule="exact"/>
        <w:rPr>
          <w:rFonts w:cs="Times New Roman" w:asciiTheme="minorEastAsia" w:hAnsiTheme="minorEastAsia" w:eastAsiaTheme="minorEastAsia"/>
          <w:color w:val="auto"/>
          <w:lang w:val="en-US" w:eastAsia="zh-CN"/>
        </w:rPr>
      </w:pPr>
      <w:r>
        <w:rPr>
          <w:rFonts w:hint="default" w:cs="Times New Roman" w:asciiTheme="minorEastAsia" w:hAnsiTheme="minorEastAsia" w:eastAsiaTheme="minorEastAsia"/>
          <w:iCs/>
          <w:color w:val="auto"/>
          <w:lang w:val="en-US" w:eastAsia="zh-CN"/>
        </w:rPr>
        <w:t xml:space="preserve">         </w:t>
      </w:r>
      <w:r>
        <w:rPr>
          <w:rFonts w:hint="default" w:cs="Times New Roman" w:asciiTheme="minorEastAsia" w:hAnsiTheme="minorEastAsia" w:eastAsiaTheme="minorEastAsia"/>
          <w:color w:val="auto"/>
        </w:rPr>
        <w:sym w:font="Wingdings" w:char="00A8"/>
      </w:r>
      <w:r>
        <w:rPr>
          <w:rFonts w:hint="default" w:cs="Times New Roman" w:asciiTheme="minorEastAsia" w:hAnsiTheme="minorEastAsia" w:eastAsiaTheme="minorEastAsia"/>
          <w:color w:val="auto"/>
          <w:lang w:eastAsia="zh-CN"/>
        </w:rPr>
        <w:t>否</w:t>
      </w:r>
    </w:p>
    <w:p w14:paraId="13F94052">
      <w:pPr>
        <w:pStyle w:val="260"/>
        <w:snapToGrid w:val="0"/>
        <w:ind w:firstLine="0" w:firstLineChars="0"/>
        <w:rPr>
          <w:rFonts w:hint="eastAsia" w:cs="Times New Roman" w:asciiTheme="minorEastAsia" w:hAnsiTheme="minorEastAsia" w:eastAsiaTheme="minorEastAsia"/>
          <w:kern w:val="2"/>
          <w:sz w:val="21"/>
        </w:rPr>
      </w:pPr>
      <w:r>
        <w:rPr>
          <w:rFonts w:cs="Times New Roman" w:asciiTheme="minorEastAsia" w:hAnsiTheme="minorEastAsia" w:eastAsiaTheme="minorEastAsia"/>
          <w:sz w:val="21"/>
        </w:rPr>
        <w:t xml:space="preserve">          </w:t>
      </w:r>
      <w:r>
        <w:rPr>
          <w:rFonts w:cs="Times New Roman" w:asciiTheme="minorEastAsia" w:hAnsiTheme="minorEastAsia" w:eastAsiaTheme="minorEastAsia"/>
          <w:kern w:val="2"/>
          <w:sz w:val="21"/>
        </w:rPr>
        <w:t xml:space="preserve">是否涉及绿色产品： </w:t>
      </w:r>
    </w:p>
    <w:p w14:paraId="5C2552B1">
      <w:pPr>
        <w:pStyle w:val="260"/>
        <w:ind w:firstLine="420" w:firstLineChars="0"/>
        <w:rPr>
          <w:rFonts w:hint="eastAsia" w:cs="Times New Roman" w:asciiTheme="minorEastAsia" w:hAnsiTheme="minorEastAsia" w:eastAsiaTheme="minorEastAsia"/>
          <w:u w:val="single"/>
        </w:rPr>
      </w:pPr>
      <w:r>
        <w:rPr>
          <w:rFonts w:cs="Times New Roman" w:asciiTheme="minorEastAsia" w:hAnsiTheme="minorEastAsia" w:eastAsiaTheme="minorEastAsia"/>
          <w:kern w:val="2"/>
          <w:sz w:val="21"/>
        </w:rPr>
        <w:t xml:space="preserve">     </w:t>
      </w:r>
      <w:r>
        <w:rPr>
          <w:rFonts w:cs="Times New Roman" w:asciiTheme="minorEastAsia" w:hAnsiTheme="minorEastAsia" w:eastAsiaTheme="minorEastAsia"/>
          <w:kern w:val="2"/>
          <w:sz w:val="21"/>
        </w:rPr>
        <w:sym w:font="Wingdings" w:char="00A8"/>
      </w:r>
      <w:r>
        <w:rPr>
          <w:rFonts w:cs="Times New Roman" w:asciiTheme="minorEastAsia" w:hAnsiTheme="minorEastAsia" w:eastAsiaTheme="minorEastAsia"/>
          <w:kern w:val="2"/>
          <w:sz w:val="21"/>
        </w:rPr>
        <w:t>是，绿色产品政府采购相关政策确定的底级品目名称：</w:t>
      </w:r>
      <w:r>
        <w:rPr>
          <w:rFonts w:cs="Times New Roman" w:asciiTheme="minorEastAsia" w:hAnsiTheme="minorEastAsia" w:eastAsiaTheme="minorEastAsia"/>
          <w:u w:val="single"/>
        </w:rPr>
        <w:t xml:space="preserve">         </w:t>
      </w:r>
    </w:p>
    <w:p w14:paraId="1EE24664">
      <w:pPr>
        <w:tabs>
          <w:tab w:val="left" w:pos="740"/>
        </w:tabs>
        <w:adjustRightInd w:val="0"/>
        <w:snapToGrid w:val="0"/>
        <w:spacing w:line="400" w:lineRule="exact"/>
        <w:rPr>
          <w:rFonts w:cs="Times New Roman" w:asciiTheme="minorEastAsia" w:hAnsiTheme="minorEastAsia" w:eastAsiaTheme="minorEastAsia"/>
          <w:iCs/>
          <w:color w:val="auto"/>
          <w:lang w:val="en-US" w:eastAsia="zh-CN"/>
        </w:rPr>
      </w:pPr>
      <w:r>
        <w:rPr>
          <w:rFonts w:hint="default" w:cs="Times New Roman" w:asciiTheme="minorEastAsia" w:hAnsiTheme="minorEastAsia" w:eastAsiaTheme="minorEastAsia"/>
          <w:iCs/>
          <w:color w:val="auto"/>
          <w:lang w:val="en-US" w:eastAsia="zh-CN"/>
        </w:rPr>
        <w:t xml:space="preserve">                </w:t>
      </w:r>
      <w:r>
        <w:rPr>
          <w:rFonts w:hint="default" w:cs="Times New Roman" w:asciiTheme="minorEastAsia" w:hAnsiTheme="minorEastAsia" w:eastAsiaTheme="minorEastAsia"/>
          <w:iCs/>
          <w:color w:val="auto"/>
        </w:rPr>
        <w:sym w:font="Wingdings" w:char="00A8"/>
      </w:r>
      <w:r>
        <w:rPr>
          <w:rFonts w:hint="default" w:cs="Times New Roman" w:asciiTheme="minorEastAsia" w:hAnsiTheme="minorEastAsia" w:eastAsiaTheme="minorEastAsia"/>
          <w:iCs/>
          <w:color w:val="auto"/>
          <w:lang w:eastAsia="zh-CN"/>
        </w:rPr>
        <w:t>强制采购</w:t>
      </w:r>
      <w:r>
        <w:rPr>
          <w:rFonts w:hint="default" w:cs="Times New Roman" w:asciiTheme="minorEastAsia" w:hAnsiTheme="minorEastAsia" w:eastAsiaTheme="minorEastAsia"/>
          <w:iCs/>
          <w:color w:val="auto"/>
          <w:lang w:val="en-US" w:eastAsia="zh-CN"/>
        </w:rPr>
        <w:t xml:space="preserve">       </w:t>
      </w:r>
      <w:r>
        <w:rPr>
          <w:rFonts w:hint="default" w:cs="Times New Roman" w:asciiTheme="minorEastAsia" w:hAnsiTheme="minorEastAsia" w:eastAsiaTheme="minorEastAsia"/>
          <w:iCs/>
          <w:color w:val="auto"/>
        </w:rPr>
        <w:sym w:font="Wingdings" w:char="00A8"/>
      </w:r>
      <w:r>
        <w:rPr>
          <w:rFonts w:hint="default" w:cs="Times New Roman" w:asciiTheme="minorEastAsia" w:hAnsiTheme="minorEastAsia" w:eastAsiaTheme="minorEastAsia"/>
          <w:iCs/>
          <w:color w:val="auto"/>
          <w:lang w:eastAsia="zh-CN"/>
        </w:rPr>
        <w:t>优先采购</w:t>
      </w:r>
      <w:r>
        <w:rPr>
          <w:rFonts w:hint="default" w:cs="Times New Roman" w:asciiTheme="minorEastAsia" w:hAnsiTheme="minorEastAsia" w:eastAsiaTheme="minorEastAsia"/>
          <w:iCs/>
          <w:color w:val="auto"/>
          <w:lang w:val="en-US" w:eastAsia="zh-CN"/>
        </w:rPr>
        <w:t xml:space="preserve">    </w:t>
      </w:r>
    </w:p>
    <w:p w14:paraId="69B327FE">
      <w:pPr>
        <w:pStyle w:val="260"/>
        <w:ind w:firstLine="420" w:firstLineChars="0"/>
        <w:rPr>
          <w:rFonts w:hint="eastAsia" w:cs="Times New Roman" w:asciiTheme="minorEastAsia" w:hAnsiTheme="minorEastAsia" w:eastAsiaTheme="minorEastAsia"/>
          <w:sz w:val="21"/>
        </w:rPr>
      </w:pPr>
      <w:r>
        <w:rPr>
          <w:rFonts w:cs="Times New Roman" w:asciiTheme="minorEastAsia" w:hAnsiTheme="minorEastAsia" w:eastAsiaTheme="minorEastAsia"/>
          <w:kern w:val="2"/>
          <w:sz w:val="21"/>
        </w:rPr>
        <w:t xml:space="preserve">     </w:t>
      </w:r>
      <w:r>
        <w:rPr>
          <w:rFonts w:cs="Times New Roman" w:asciiTheme="minorEastAsia" w:hAnsiTheme="minorEastAsia" w:eastAsiaTheme="minorEastAsia"/>
          <w:kern w:val="2"/>
          <w:sz w:val="21"/>
        </w:rPr>
        <w:sym w:font="Wingdings" w:char="00A8"/>
      </w:r>
      <w:r>
        <w:rPr>
          <w:rFonts w:cs="Times New Roman" w:asciiTheme="minorEastAsia" w:hAnsiTheme="minorEastAsia" w:eastAsiaTheme="minorEastAsia"/>
          <w:kern w:val="2"/>
          <w:sz w:val="21"/>
        </w:rPr>
        <w:t>否</w:t>
      </w:r>
    </w:p>
    <w:p w14:paraId="191227EC">
      <w:pPr>
        <w:adjustRightInd w:val="0"/>
        <w:snapToGrid w:val="0"/>
        <w:spacing w:line="400" w:lineRule="exact"/>
        <w:rPr>
          <w:rFonts w:cs="Times New Roman" w:asciiTheme="minorEastAsia" w:hAnsiTheme="minorEastAsia" w:eastAsiaTheme="minorEastAsia"/>
          <w:color w:val="auto"/>
          <w:lang w:val="en-US" w:eastAsia="zh-CN"/>
        </w:rPr>
      </w:pPr>
      <w:r>
        <w:rPr>
          <w:rFonts w:hint="default" w:cs="Times New Roman" w:asciiTheme="minorEastAsia" w:hAnsiTheme="minorEastAsia" w:eastAsiaTheme="minorEastAsia"/>
          <w:color w:val="auto"/>
          <w:lang w:val="en-US" w:eastAsia="zh-CN"/>
        </w:rPr>
        <w:t xml:space="preserve">    （1</w:t>
      </w:r>
      <w:r>
        <w:rPr>
          <w:rFonts w:hint="default" w:cs="Times New Roman" w:asciiTheme="minorEastAsia" w:hAnsiTheme="minorEastAsia" w:eastAsiaTheme="minorEastAsia"/>
          <w:color w:val="auto"/>
          <w:lang w:val="en" w:eastAsia="zh-CN"/>
        </w:rPr>
        <w:t>1</w:t>
      </w:r>
      <w:r>
        <w:rPr>
          <w:rFonts w:hint="default" w:cs="Times New Roman" w:asciiTheme="minorEastAsia" w:hAnsiTheme="minorEastAsia" w:eastAsiaTheme="minorEastAsia"/>
          <w:color w:val="auto"/>
          <w:lang w:val="en-US" w:eastAsia="zh-CN"/>
        </w:rPr>
        <w:t>）涉及商品包装和快递包装的，是否参考</w:t>
      </w:r>
      <w:r>
        <w:rPr>
          <w:rFonts w:hint="default" w:cs="Times New Roman" w:asciiTheme="minorEastAsia" w:hAnsiTheme="minorEastAsia" w:eastAsiaTheme="minorEastAsia"/>
          <w:color w:val="auto"/>
          <w:lang w:eastAsia="zh-CN"/>
        </w:rPr>
        <w:t>《商品包装政府采购需求标准（试行）》、《快递包装政府采购需求标准（试行）》明确产品及相关快递服务的具体包装要求：</w:t>
      </w:r>
    </w:p>
    <w:p w14:paraId="68924ABE">
      <w:pPr>
        <w:adjustRightInd w:val="0"/>
        <w:snapToGrid w:val="0"/>
        <w:spacing w:line="400" w:lineRule="exact"/>
        <w:ind w:firstLine="840" w:firstLineChars="400"/>
        <w:rPr>
          <w:rFonts w:cs="Times New Roman" w:asciiTheme="minorEastAsia" w:hAnsiTheme="minorEastAsia" w:eastAsiaTheme="minorEastAsia"/>
          <w:color w:val="auto"/>
          <w:lang w:val="en-US" w:eastAsia="zh-CN"/>
        </w:rPr>
      </w:pPr>
      <w:r>
        <w:rPr>
          <w:rFonts w:hint="default" w:cs="Times New Roman" w:asciiTheme="minorEastAsia" w:hAnsiTheme="minorEastAsia" w:eastAsiaTheme="minorEastAsia"/>
          <w:color w:val="auto"/>
        </w:rPr>
        <w:sym w:font="Wingdings" w:char="00A8"/>
      </w:r>
      <w:r>
        <w:rPr>
          <w:rFonts w:hint="default" w:cs="Times New Roman" w:asciiTheme="minorEastAsia" w:hAnsiTheme="minorEastAsia" w:eastAsiaTheme="minorEastAsia"/>
          <w:color w:val="auto"/>
        </w:rPr>
        <w:t xml:space="preserve">是       </w:t>
      </w:r>
      <w:r>
        <w:rPr>
          <w:rFonts w:hint="default" w:cs="Times New Roman" w:asciiTheme="minorEastAsia" w:hAnsiTheme="minorEastAsia" w:eastAsiaTheme="minorEastAsia"/>
          <w:color w:val="auto"/>
        </w:rPr>
        <w:sym w:font="Wingdings" w:char="00A8"/>
      </w:r>
      <w:r>
        <w:rPr>
          <w:rFonts w:hint="default" w:cs="Times New Roman" w:asciiTheme="minorEastAsia" w:hAnsiTheme="minorEastAsia" w:eastAsiaTheme="minorEastAsia"/>
          <w:color w:val="auto"/>
        </w:rPr>
        <w:t>否</w:t>
      </w:r>
      <w:r>
        <w:rPr>
          <w:rFonts w:hint="default" w:cs="Times New Roman" w:asciiTheme="minorEastAsia" w:hAnsiTheme="minorEastAsia" w:eastAsiaTheme="minorEastAsia"/>
          <w:color w:val="auto"/>
          <w:lang w:val="en-US" w:eastAsia="zh-CN"/>
        </w:rPr>
        <w:t xml:space="preserve">      </w:t>
      </w:r>
      <w:r>
        <w:rPr>
          <w:rFonts w:hint="default" w:cs="Times New Roman" w:asciiTheme="minorEastAsia" w:hAnsiTheme="minorEastAsia" w:eastAsiaTheme="minorEastAsia"/>
          <w:color w:val="auto"/>
        </w:rPr>
        <w:sym w:font="Wingdings" w:char="00A8"/>
      </w:r>
      <w:r>
        <w:rPr>
          <w:rFonts w:hint="default" w:cs="Times New Roman" w:asciiTheme="minorEastAsia" w:hAnsiTheme="minorEastAsia" w:eastAsiaTheme="minorEastAsia"/>
          <w:color w:val="auto"/>
          <w:lang w:eastAsia="zh-CN"/>
        </w:rPr>
        <w:t>不涉及</w:t>
      </w:r>
    </w:p>
    <w:p w14:paraId="4F4A5C33">
      <w:pPr>
        <w:numPr>
          <w:ilvl w:val="0"/>
          <w:numId w:val="14"/>
        </w:numPr>
        <w:adjustRightInd w:val="0"/>
        <w:snapToGrid w:val="0"/>
        <w:spacing w:line="400" w:lineRule="exact"/>
        <w:ind w:firstLine="422" w:firstLineChars="200"/>
        <w:rPr>
          <w:rFonts w:cs="Times New Roman" w:asciiTheme="minorEastAsia" w:hAnsiTheme="minorEastAsia" w:eastAsiaTheme="minorEastAsia"/>
          <w:b/>
          <w:color w:val="auto"/>
        </w:rPr>
      </w:pPr>
      <w:r>
        <w:rPr>
          <w:rFonts w:hint="default" w:cs="Times New Roman" w:asciiTheme="minorEastAsia" w:hAnsiTheme="minorEastAsia" w:eastAsiaTheme="minorEastAsia"/>
          <w:b/>
          <w:color w:val="auto"/>
        </w:rPr>
        <w:t>合同金额</w:t>
      </w:r>
    </w:p>
    <w:p w14:paraId="72BFF00F">
      <w:pPr>
        <w:adjustRightInd w:val="0"/>
        <w:snapToGrid w:val="0"/>
        <w:spacing w:line="400" w:lineRule="exact"/>
        <w:ind w:firstLine="420" w:firstLineChars="200"/>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（1）合同金额小写：</w:t>
      </w:r>
      <w:r>
        <w:rPr>
          <w:rFonts w:hint="default" w:cs="Times New Roman" w:asciiTheme="minorEastAsia" w:hAnsiTheme="minorEastAsia" w:eastAsiaTheme="minorEastAsia"/>
          <w:color w:val="auto"/>
          <w:u w:val="single"/>
        </w:rPr>
        <w:t xml:space="preserve">                 </w:t>
      </w:r>
      <w:r>
        <w:rPr>
          <w:rFonts w:hint="default" w:cs="Times New Roman" w:asciiTheme="minorEastAsia" w:hAnsiTheme="minorEastAsia" w:eastAsiaTheme="minorEastAsia"/>
          <w:color w:val="auto"/>
          <w:u w:val="single"/>
          <w:lang w:val="en-US" w:eastAsia="zh-CN"/>
        </w:rPr>
        <w:t xml:space="preserve">    </w:t>
      </w:r>
      <w:r>
        <w:rPr>
          <w:rFonts w:hint="default" w:cs="Times New Roman" w:asciiTheme="minorEastAsia" w:hAnsiTheme="minorEastAsia" w:eastAsiaTheme="minorEastAsia"/>
          <w:color w:val="auto"/>
          <w:u w:val="single"/>
        </w:rPr>
        <w:t xml:space="preserve">      </w:t>
      </w:r>
    </w:p>
    <w:p w14:paraId="48695FFE">
      <w:pPr>
        <w:adjustRightInd w:val="0"/>
        <w:snapToGrid w:val="0"/>
        <w:spacing w:line="400" w:lineRule="exact"/>
        <w:rPr>
          <w:rFonts w:cs="Times New Roman" w:asciiTheme="minorEastAsia" w:hAnsiTheme="minorEastAsia" w:eastAsiaTheme="minorEastAsia"/>
          <w:color w:val="auto"/>
          <w:u w:val="single"/>
        </w:rPr>
      </w:pPr>
      <w:r>
        <w:rPr>
          <w:rFonts w:hint="default" w:cs="Times New Roman" w:asciiTheme="minorEastAsia" w:hAnsiTheme="minorEastAsia" w:eastAsiaTheme="minorEastAsia"/>
          <w:color w:val="auto"/>
          <w:lang w:val="en-US" w:eastAsia="zh-CN"/>
        </w:rPr>
        <w:t xml:space="preserve">                 </w:t>
      </w:r>
      <w:r>
        <w:rPr>
          <w:rFonts w:hint="default" w:cs="Times New Roman" w:asciiTheme="minorEastAsia" w:hAnsiTheme="minorEastAsia" w:eastAsiaTheme="minorEastAsia"/>
          <w:color w:val="auto"/>
        </w:rPr>
        <w:t>大写：</w:t>
      </w:r>
      <w:r>
        <w:rPr>
          <w:rFonts w:hint="default" w:cs="Times New Roman" w:asciiTheme="minorEastAsia" w:hAnsiTheme="minorEastAsia" w:eastAsiaTheme="minorEastAsia"/>
          <w:color w:val="auto"/>
          <w:u w:val="single"/>
        </w:rPr>
        <w:t xml:space="preserve">           </w:t>
      </w:r>
      <w:r>
        <w:rPr>
          <w:rFonts w:hint="default" w:cs="Times New Roman" w:asciiTheme="minorEastAsia" w:hAnsiTheme="minorEastAsia" w:eastAsiaTheme="minorEastAsia"/>
          <w:color w:val="auto"/>
          <w:u w:val="single"/>
          <w:lang w:val="en-US" w:eastAsia="zh-CN"/>
        </w:rPr>
        <w:t xml:space="preserve"> </w:t>
      </w:r>
      <w:r>
        <w:rPr>
          <w:rFonts w:hint="default" w:cs="Times New Roman" w:asciiTheme="minorEastAsia" w:hAnsiTheme="minorEastAsia" w:eastAsiaTheme="minorEastAsia"/>
          <w:color w:val="auto"/>
          <w:u w:val="single"/>
        </w:rPr>
        <w:t xml:space="preserve">     </w:t>
      </w:r>
      <w:r>
        <w:rPr>
          <w:rFonts w:hint="default" w:cs="Times New Roman" w:asciiTheme="minorEastAsia" w:hAnsiTheme="minorEastAsia" w:eastAsiaTheme="minorEastAsia"/>
          <w:color w:val="auto"/>
          <w:u w:val="single"/>
          <w:lang w:val="en-US" w:eastAsia="zh-CN"/>
        </w:rPr>
        <w:t xml:space="preserve">    </w:t>
      </w:r>
      <w:r>
        <w:rPr>
          <w:rFonts w:hint="default" w:cs="Times New Roman" w:asciiTheme="minorEastAsia" w:hAnsiTheme="minorEastAsia" w:eastAsiaTheme="minorEastAsia"/>
          <w:color w:val="auto"/>
          <w:u w:val="single"/>
        </w:rPr>
        <w:t xml:space="preserve">      </w:t>
      </w:r>
    </w:p>
    <w:p w14:paraId="0D946686">
      <w:pPr>
        <w:adjustRightInd w:val="0"/>
        <w:snapToGrid w:val="0"/>
        <w:spacing w:line="400" w:lineRule="exac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val="en-US" w:eastAsia="zh-CN"/>
        </w:rPr>
        <w:t xml:space="preserve">         </w:t>
      </w:r>
      <w:r>
        <w:rPr>
          <w:rFonts w:hint="default" w:cs="Times New Roman" w:asciiTheme="minorEastAsia" w:hAnsiTheme="minorEastAsia" w:eastAsiaTheme="minorEastAsia"/>
          <w:color w:val="auto"/>
          <w:lang w:eastAsia="zh-CN"/>
        </w:rPr>
        <w:t>分包金额（如有）小写：</w:t>
      </w:r>
      <w:r>
        <w:rPr>
          <w:rFonts w:hint="default" w:cs="Times New Roman" w:asciiTheme="minorEastAsia" w:hAnsiTheme="minorEastAsia" w:eastAsiaTheme="minorEastAsia"/>
          <w:color w:val="auto"/>
          <w:u w:val="single"/>
          <w:lang w:eastAsia="zh-CN"/>
        </w:rPr>
        <w:t xml:space="preserve">                   </w:t>
      </w:r>
    </w:p>
    <w:p w14:paraId="112DCE97">
      <w:pPr>
        <w:adjustRightInd w:val="0"/>
        <w:snapToGrid w:val="0"/>
        <w:spacing w:line="400" w:lineRule="exact"/>
        <w:rPr>
          <w:rFonts w:cs="Times New Roman" w:asciiTheme="minorEastAsia" w:hAnsiTheme="minorEastAsia" w:eastAsiaTheme="minorEastAsia"/>
          <w:color w:val="auto"/>
          <w:u w:val="single"/>
          <w:lang w:eastAsia="zh-CN"/>
        </w:rPr>
      </w:pPr>
      <w:r>
        <w:rPr>
          <w:rFonts w:hint="default" w:cs="Times New Roman" w:asciiTheme="minorEastAsia" w:hAnsiTheme="minorEastAsia" w:eastAsiaTheme="minorEastAsia"/>
          <w:color w:val="auto"/>
          <w:lang w:val="en-US" w:eastAsia="zh-CN"/>
        </w:rPr>
        <w:t xml:space="preserve">                     </w:t>
      </w:r>
      <w:r>
        <w:rPr>
          <w:rFonts w:hint="default" w:cs="Times New Roman" w:asciiTheme="minorEastAsia" w:hAnsiTheme="minorEastAsia" w:eastAsiaTheme="minorEastAsia"/>
          <w:color w:val="auto"/>
          <w:lang w:eastAsia="zh-CN"/>
        </w:rPr>
        <w:t>大写：</w:t>
      </w:r>
      <w:r>
        <w:rPr>
          <w:rFonts w:hint="default" w:cs="Times New Roman" w:asciiTheme="minorEastAsia" w:hAnsiTheme="minorEastAsia" w:eastAsiaTheme="minorEastAsia"/>
          <w:color w:val="auto"/>
          <w:u w:val="single"/>
          <w:lang w:eastAsia="zh-CN"/>
        </w:rPr>
        <w:t xml:space="preserve">                   </w:t>
      </w:r>
      <w:r>
        <w:rPr>
          <w:rFonts w:hint="default" w:cs="Times New Roman" w:asciiTheme="minorEastAsia" w:hAnsiTheme="minorEastAsia" w:eastAsiaTheme="minorEastAsia"/>
          <w:color w:val="auto"/>
          <w:u w:val="single"/>
          <w:lang w:val="en-US" w:eastAsia="zh-CN"/>
        </w:rPr>
        <w:t xml:space="preserve"> </w:t>
      </w:r>
      <w:r>
        <w:rPr>
          <w:rFonts w:hint="default" w:cs="Times New Roman" w:asciiTheme="minorEastAsia" w:hAnsiTheme="minorEastAsia" w:eastAsiaTheme="minorEastAsia"/>
          <w:color w:val="auto"/>
          <w:u w:val="single"/>
          <w:lang w:eastAsia="zh-CN"/>
        </w:rPr>
        <w:t xml:space="preserve">   </w:t>
      </w:r>
    </w:p>
    <w:p w14:paraId="255B3B44">
      <w:pPr>
        <w:adjustRightInd w:val="0"/>
        <w:snapToGrid w:val="0"/>
        <w:spacing w:line="400" w:lineRule="exact"/>
        <w:rPr>
          <w:rFonts w:cs="Times New Roman" w:asciiTheme="minorEastAsia" w:hAnsiTheme="minorEastAsia" w:eastAsiaTheme="minorEastAsia"/>
          <w:color w:val="auto"/>
          <w:lang w:val="en-US" w:eastAsia="zh-CN"/>
        </w:rPr>
      </w:pPr>
      <w:r>
        <w:rPr>
          <w:rFonts w:hint="default" w:cs="Times New Roman" w:asciiTheme="minorEastAsia" w:hAnsiTheme="minorEastAsia" w:eastAsiaTheme="minorEastAsia"/>
          <w:color w:val="auto"/>
          <w:lang w:val="en-US" w:eastAsia="zh-CN"/>
        </w:rPr>
        <w:t xml:space="preserve">    （注：固定单价合同应填写单价和最高限价）</w:t>
      </w:r>
    </w:p>
    <w:p w14:paraId="37FD7353">
      <w:pPr>
        <w:adjustRightInd w:val="0"/>
        <w:snapToGrid w:val="0"/>
        <w:spacing w:line="400" w:lineRule="exac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val="en-US" w:eastAsia="zh-CN"/>
        </w:rPr>
        <w:t xml:space="preserve">    </w:t>
      </w:r>
      <w:r>
        <w:rPr>
          <w:rFonts w:hint="default" w:cs="Times New Roman" w:asciiTheme="minorEastAsia" w:hAnsiTheme="minorEastAsia" w:eastAsiaTheme="minorEastAsia"/>
          <w:color w:val="auto"/>
          <w:lang w:eastAsia="zh-CN"/>
        </w:rPr>
        <w:t>（</w:t>
      </w:r>
      <w:r>
        <w:rPr>
          <w:rFonts w:hint="default" w:cs="Times New Roman" w:asciiTheme="minorEastAsia" w:hAnsiTheme="minorEastAsia" w:eastAsiaTheme="minorEastAsia"/>
          <w:color w:val="auto"/>
          <w:lang w:val="en-US" w:eastAsia="zh-CN"/>
        </w:rPr>
        <w:t>2</w:t>
      </w:r>
      <w:r>
        <w:rPr>
          <w:rFonts w:hint="default" w:cs="Times New Roman" w:asciiTheme="minorEastAsia" w:hAnsiTheme="minorEastAsia" w:eastAsiaTheme="minorEastAsia"/>
          <w:color w:val="auto"/>
          <w:lang w:eastAsia="zh-CN"/>
        </w:rPr>
        <w:t>）合同定价方式（采用组合定价方式的，可以勾选多项）：</w:t>
      </w:r>
    </w:p>
    <w:p w14:paraId="113E05E8">
      <w:pPr>
        <w:adjustRightInd w:val="0"/>
        <w:snapToGrid w:val="0"/>
        <w:spacing w:line="400" w:lineRule="exact"/>
        <w:ind w:firstLine="420" w:firstLineChars="200"/>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iCs/>
          <w:color w:val="auto"/>
          <w:lang w:val="en-US" w:eastAsia="zh-CN"/>
        </w:rPr>
        <w:t xml:space="preserve">  </w:t>
      </w:r>
      <w:r>
        <w:rPr>
          <w:rFonts w:hint="default" w:cs="Times New Roman" w:asciiTheme="minorEastAsia" w:hAnsiTheme="minorEastAsia" w:eastAsiaTheme="minorEastAsia"/>
          <w:iCs/>
          <w:color w:val="auto"/>
        </w:rPr>
        <w:sym w:font="Wingdings" w:char="00FE"/>
      </w:r>
      <w:r>
        <w:rPr>
          <w:rFonts w:hint="default" w:cs="Times New Roman" w:asciiTheme="minorEastAsia" w:hAnsiTheme="minorEastAsia" w:eastAsiaTheme="minorEastAsia"/>
          <w:iCs/>
          <w:color w:val="auto"/>
          <w:lang w:eastAsia="zh-CN"/>
        </w:rPr>
        <w:t xml:space="preserve">固定总价 </w:t>
      </w:r>
      <w:r>
        <w:rPr>
          <w:rFonts w:hint="default" w:cs="Times New Roman" w:asciiTheme="minorEastAsia" w:hAnsiTheme="minorEastAsia" w:eastAsiaTheme="minorEastAsia"/>
          <w:iCs/>
          <w:color w:val="auto"/>
        </w:rPr>
        <w:sym w:font="Wingdings" w:char="00A8"/>
      </w:r>
      <w:r>
        <w:rPr>
          <w:rFonts w:hint="default" w:cs="Times New Roman" w:asciiTheme="minorEastAsia" w:hAnsiTheme="minorEastAsia" w:eastAsiaTheme="minorEastAsia"/>
          <w:iCs/>
          <w:color w:val="auto"/>
          <w:lang w:eastAsia="zh-CN"/>
        </w:rPr>
        <w:t>固定单价</w:t>
      </w:r>
      <w:r>
        <w:rPr>
          <w:rFonts w:hint="default" w:cs="Times New Roman" w:asciiTheme="minorEastAsia" w:hAnsiTheme="minorEastAsia" w:eastAsiaTheme="minorEastAsia"/>
          <w:iCs/>
          <w:color w:val="auto"/>
          <w:lang w:val="en-US" w:eastAsia="zh-CN"/>
        </w:rPr>
        <w:t xml:space="preserve"> </w:t>
      </w:r>
      <w:r>
        <w:rPr>
          <w:rFonts w:hint="default" w:cs="Times New Roman" w:asciiTheme="minorEastAsia" w:hAnsiTheme="minorEastAsia" w:eastAsiaTheme="minorEastAsia"/>
          <w:iCs/>
          <w:color w:val="auto"/>
        </w:rPr>
        <w:sym w:font="Wingdings" w:char="00A8"/>
      </w:r>
      <w:r>
        <w:rPr>
          <w:rFonts w:hint="default" w:cs="Times New Roman" w:asciiTheme="minorEastAsia" w:hAnsiTheme="minorEastAsia" w:eastAsiaTheme="minorEastAsia"/>
          <w:iCs/>
          <w:color w:val="auto"/>
          <w:lang w:eastAsia="zh-CN"/>
        </w:rPr>
        <w:t xml:space="preserve">固定费率 </w:t>
      </w:r>
      <w:r>
        <w:rPr>
          <w:rFonts w:hint="default" w:cs="Times New Roman" w:asciiTheme="minorEastAsia" w:hAnsiTheme="minorEastAsia" w:eastAsiaTheme="minorEastAsia"/>
          <w:iCs/>
          <w:color w:val="auto"/>
        </w:rPr>
        <w:sym w:font="Wingdings" w:char="00A8"/>
      </w:r>
      <w:r>
        <w:rPr>
          <w:rFonts w:hint="default" w:cs="Times New Roman" w:asciiTheme="minorEastAsia" w:hAnsiTheme="minorEastAsia" w:eastAsiaTheme="minorEastAsia"/>
          <w:iCs/>
          <w:color w:val="auto"/>
          <w:lang w:eastAsia="zh-CN"/>
        </w:rPr>
        <w:t xml:space="preserve">成本补偿 </w:t>
      </w:r>
      <w:r>
        <w:rPr>
          <w:rFonts w:hint="default" w:cs="Times New Roman" w:asciiTheme="minorEastAsia" w:hAnsiTheme="minorEastAsia" w:eastAsiaTheme="minorEastAsia"/>
          <w:iCs/>
          <w:color w:val="auto"/>
        </w:rPr>
        <w:sym w:font="Wingdings" w:char="00A8"/>
      </w:r>
      <w:r>
        <w:rPr>
          <w:rFonts w:hint="default" w:cs="Times New Roman" w:asciiTheme="minorEastAsia" w:hAnsiTheme="minorEastAsia" w:eastAsiaTheme="minorEastAsia"/>
          <w:iCs/>
          <w:color w:val="auto"/>
          <w:lang w:eastAsia="zh-CN"/>
        </w:rPr>
        <w:t>绩效激励</w:t>
      </w:r>
      <w:r>
        <w:rPr>
          <w:rFonts w:hint="default" w:cs="Times New Roman" w:asciiTheme="minorEastAsia" w:hAnsiTheme="minorEastAsia" w:eastAsiaTheme="minorEastAsia"/>
          <w:iCs/>
          <w:color w:val="auto"/>
          <w:lang w:val="en-US" w:eastAsia="zh-CN"/>
        </w:rPr>
        <w:t xml:space="preserve"> </w:t>
      </w:r>
      <w:r>
        <w:rPr>
          <w:rFonts w:hint="default" w:cs="Times New Roman" w:asciiTheme="minorEastAsia" w:hAnsiTheme="minorEastAsia" w:eastAsiaTheme="minorEastAsia"/>
          <w:iCs/>
          <w:color w:val="auto"/>
        </w:rPr>
        <w:sym w:font="Wingdings" w:char="00A8"/>
      </w:r>
      <w:r>
        <w:rPr>
          <w:rFonts w:hint="default" w:cs="Times New Roman" w:asciiTheme="minorEastAsia" w:hAnsiTheme="minorEastAsia" w:eastAsiaTheme="minorEastAsia"/>
          <w:iCs/>
          <w:color w:val="auto"/>
          <w:lang w:eastAsia="zh-CN"/>
        </w:rPr>
        <w:t>其他</w:t>
      </w:r>
      <w:r>
        <w:rPr>
          <w:rFonts w:hint="default" w:cs="Times New Roman" w:asciiTheme="minorEastAsia" w:hAnsiTheme="minorEastAsia" w:eastAsiaTheme="minorEastAsia"/>
          <w:color w:val="auto"/>
          <w:u w:val="single"/>
          <w:lang w:eastAsia="zh-CN"/>
        </w:rPr>
        <w:t xml:space="preserve">       </w:t>
      </w:r>
    </w:p>
    <w:p w14:paraId="13754517">
      <w:pPr>
        <w:pStyle w:val="193"/>
        <w:spacing w:line="400" w:lineRule="exact"/>
        <w:rPr>
          <w:rFonts w:hint="eastAsia" w:asciiTheme="minorEastAsia" w:hAnsiTheme="minorEastAsia" w:eastAsiaTheme="minorEastAsia"/>
        </w:rPr>
      </w:pPr>
      <w:r>
        <w:rPr>
          <w:rFonts w:asciiTheme="minorEastAsia" w:hAnsiTheme="minorEastAsia" w:eastAsiaTheme="minorEastAsia"/>
        </w:rPr>
        <w:t>（3）付款方式（按项目实际勾选填写）：</w:t>
      </w:r>
    </w:p>
    <w:p w14:paraId="14E8327D">
      <w:pPr>
        <w:snapToGrid w:val="0"/>
        <w:spacing w:line="400" w:lineRule="exact"/>
        <w:ind w:firstLine="630" w:firstLineChars="300"/>
        <w:rPr>
          <w:rFonts w:cs="Times New Roman" w:asciiTheme="minorEastAsia" w:hAnsiTheme="minorEastAsia" w:eastAsiaTheme="minorEastAsia"/>
          <w:color w:val="auto"/>
          <w:u w:val="single"/>
          <w:lang w:eastAsia="zh-CN"/>
        </w:rPr>
      </w:pPr>
      <w:r>
        <w:rPr>
          <w:rFonts w:hint="default" w:cs="Times New Roman" w:asciiTheme="minorEastAsia" w:hAnsiTheme="minorEastAsia" w:eastAsiaTheme="minorEastAsia"/>
          <w:color w:val="auto"/>
        </w:rPr>
        <w:sym w:font="Wingdings" w:char="00A8"/>
      </w:r>
      <w:r>
        <w:rPr>
          <w:rFonts w:hint="default" w:cs="Times New Roman" w:asciiTheme="minorEastAsia" w:hAnsiTheme="minorEastAsia" w:eastAsiaTheme="minorEastAsia"/>
          <w:color w:val="auto"/>
          <w:lang w:eastAsia="zh-CN"/>
        </w:rPr>
        <w:t>全额付款：</w:t>
      </w:r>
      <w:r>
        <w:rPr>
          <w:rFonts w:hint="default" w:cs="Times New Roman" w:asciiTheme="minorEastAsia" w:hAnsiTheme="minorEastAsia" w:eastAsiaTheme="minorEastAsia"/>
          <w:b/>
          <w:bCs/>
          <w:color w:val="auto"/>
          <w:u w:val="single"/>
          <w:lang w:eastAsia="zh-CN"/>
        </w:rPr>
        <w:t xml:space="preserve"> </w:t>
      </w:r>
      <w:r>
        <w:rPr>
          <w:rFonts w:cs="Times New Roman" w:asciiTheme="minorEastAsia" w:hAnsiTheme="minorEastAsia" w:eastAsiaTheme="minorEastAsia"/>
          <w:b/>
          <w:bCs/>
          <w:color w:val="auto"/>
          <w:u w:val="single"/>
          <w:lang w:eastAsia="zh-CN"/>
        </w:rPr>
        <w:t xml:space="preserve"> </w:t>
      </w:r>
      <w:r>
        <w:rPr>
          <w:rFonts w:hint="default" w:cs="Times New Roman" w:asciiTheme="minorEastAsia" w:hAnsiTheme="minorEastAsia" w:eastAsiaTheme="minorEastAsia"/>
          <w:b/>
          <w:bCs/>
          <w:color w:val="auto"/>
          <w:u w:val="single"/>
          <w:lang w:eastAsia="zh-CN"/>
        </w:rPr>
        <w:t xml:space="preserve">                                                               </w:t>
      </w:r>
    </w:p>
    <w:p w14:paraId="2AE5A28E">
      <w:pPr>
        <w:snapToGrid w:val="0"/>
        <w:spacing w:line="400" w:lineRule="exact"/>
        <w:ind w:firstLine="630" w:firstLineChars="300"/>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rPr>
        <w:sym w:font="Wingdings" w:char="00FE"/>
      </w:r>
      <w:r>
        <w:rPr>
          <w:rFonts w:hint="default" w:cs="Times New Roman" w:asciiTheme="minorEastAsia" w:hAnsiTheme="minorEastAsia" w:eastAsiaTheme="minorEastAsia"/>
          <w:color w:val="auto"/>
          <w:lang w:eastAsia="zh-CN"/>
        </w:rPr>
        <w:t>分期付款：</w:t>
      </w:r>
      <w:r>
        <w:rPr>
          <w:rFonts w:cs="Times New Roman" w:asciiTheme="minorEastAsia" w:hAnsiTheme="minorEastAsia" w:eastAsiaTheme="minorEastAsia"/>
          <w:color w:val="auto"/>
          <w:u w:val="single"/>
          <w:lang w:eastAsia="zh-CN"/>
        </w:rPr>
        <w:t>合同生效后，甲方在15个工作日内向乙方支付合同总金额的30%作为预付款。（2）正式验收合格后10个工作日内，甲方凭乙方开具的正规发票、验收资料等材料向学校财务处提交资金支付申请，甲方按规定支付剩余70%的资金。</w:t>
      </w:r>
    </w:p>
    <w:p w14:paraId="4699DD74">
      <w:pPr>
        <w:adjustRightInd w:val="0"/>
        <w:snapToGrid w:val="0"/>
        <w:spacing w:line="400" w:lineRule="exact"/>
        <w:ind w:firstLine="630" w:firstLineChars="300"/>
        <w:rPr>
          <w:rFonts w:cs="Times New Roman" w:asciiTheme="minorEastAsia" w:hAnsiTheme="minorEastAsia" w:eastAsiaTheme="minorEastAsia"/>
          <w:color w:val="auto"/>
          <w:u w:val="single"/>
          <w:lang w:eastAsia="zh-CN"/>
        </w:rPr>
      </w:pPr>
      <w:r>
        <w:rPr>
          <w:rFonts w:hint="default" w:cs="Times New Roman" w:asciiTheme="minorEastAsia" w:hAnsiTheme="minorEastAsia" w:eastAsiaTheme="minorEastAsia"/>
          <w:color w:val="auto"/>
        </w:rPr>
        <w:sym w:font="Wingdings" w:char="00A8"/>
      </w:r>
      <w:r>
        <w:rPr>
          <w:rFonts w:hint="default" w:cs="Times New Roman" w:asciiTheme="minorEastAsia" w:hAnsiTheme="minorEastAsia" w:eastAsiaTheme="minorEastAsia"/>
          <w:color w:val="auto"/>
          <w:lang w:eastAsia="zh-CN"/>
        </w:rPr>
        <w:t>成本补偿：</w:t>
      </w:r>
      <w:r>
        <w:rPr>
          <w:rFonts w:hint="default" w:cs="Times New Roman" w:asciiTheme="minorEastAsia" w:hAnsiTheme="minorEastAsia" w:eastAsiaTheme="minorEastAsia"/>
          <w:color w:val="auto"/>
          <w:u w:val="single"/>
          <w:lang w:eastAsia="zh-CN"/>
        </w:rPr>
        <w:t xml:space="preserve">      （应明确按照成本补偿方式的支付方式和支付条件）   </w:t>
      </w:r>
    </w:p>
    <w:p w14:paraId="17D18A01">
      <w:pPr>
        <w:adjustRightInd w:val="0"/>
        <w:snapToGrid w:val="0"/>
        <w:spacing w:line="400" w:lineRule="exact"/>
        <w:ind w:firstLine="630" w:firstLineChars="300"/>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rPr>
        <w:sym w:font="Wingdings" w:char="00A8"/>
      </w:r>
      <w:r>
        <w:rPr>
          <w:rFonts w:hint="default" w:cs="Times New Roman" w:asciiTheme="minorEastAsia" w:hAnsiTheme="minorEastAsia" w:eastAsiaTheme="minorEastAsia"/>
          <w:color w:val="auto"/>
          <w:lang w:eastAsia="zh-CN"/>
        </w:rPr>
        <w:t>绩效激励：</w:t>
      </w:r>
      <w:r>
        <w:rPr>
          <w:rFonts w:hint="default" w:cs="Times New Roman" w:asciiTheme="minorEastAsia" w:hAnsiTheme="minorEastAsia" w:eastAsiaTheme="minorEastAsia"/>
          <w:color w:val="auto"/>
          <w:u w:val="single"/>
          <w:lang w:eastAsia="zh-CN"/>
        </w:rPr>
        <w:t xml:space="preserve">      （应明确按照绩效激励方式的支付方式和支付条件）   </w:t>
      </w:r>
    </w:p>
    <w:p w14:paraId="5CA7FA30">
      <w:pPr>
        <w:numPr>
          <w:ilvl w:val="0"/>
          <w:numId w:val="14"/>
        </w:numPr>
        <w:adjustRightInd w:val="0"/>
        <w:snapToGrid w:val="0"/>
        <w:spacing w:line="400" w:lineRule="exact"/>
        <w:ind w:firstLine="422" w:firstLineChars="200"/>
        <w:rPr>
          <w:rFonts w:cs="Times New Roman" w:asciiTheme="minorEastAsia" w:hAnsiTheme="minorEastAsia" w:eastAsiaTheme="minorEastAsia"/>
          <w:b/>
          <w:color w:val="auto"/>
          <w:u w:val="single"/>
        </w:rPr>
      </w:pPr>
      <w:r>
        <w:rPr>
          <w:rFonts w:hint="default" w:cs="Times New Roman" w:asciiTheme="minorEastAsia" w:hAnsiTheme="minorEastAsia" w:eastAsiaTheme="minorEastAsia"/>
          <w:b/>
          <w:color w:val="auto"/>
        </w:rPr>
        <w:t>合同履行</w:t>
      </w:r>
    </w:p>
    <w:p w14:paraId="3335FBA0">
      <w:pPr>
        <w:adjustRightInd w:val="0"/>
        <w:snapToGrid w:val="0"/>
        <w:spacing w:line="400" w:lineRule="exact"/>
        <w:ind w:firstLine="840" w:firstLineChars="400"/>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（1）起始日期：</w:t>
      </w:r>
      <w:r>
        <w:rPr>
          <w:rFonts w:hint="default" w:cs="Times New Roman" w:asciiTheme="minorEastAsia" w:hAnsiTheme="minorEastAsia" w:eastAsiaTheme="minorEastAsia"/>
          <w:color w:val="auto"/>
          <w:u w:val="single"/>
        </w:rPr>
        <w:t xml:space="preserve">    </w:t>
      </w:r>
      <w:r>
        <w:rPr>
          <w:rFonts w:hint="default" w:cs="Times New Roman" w:asciiTheme="minorEastAsia" w:hAnsiTheme="minorEastAsia" w:eastAsiaTheme="minorEastAsia"/>
          <w:color w:val="auto"/>
        </w:rPr>
        <w:t>年</w:t>
      </w:r>
      <w:r>
        <w:rPr>
          <w:rFonts w:hint="default" w:cs="Times New Roman" w:asciiTheme="minorEastAsia" w:hAnsiTheme="minorEastAsia" w:eastAsiaTheme="minorEastAsia"/>
          <w:color w:val="auto"/>
          <w:u w:val="single"/>
        </w:rPr>
        <w:t xml:space="preserve">   </w:t>
      </w:r>
      <w:r>
        <w:rPr>
          <w:rFonts w:hint="default" w:cs="Times New Roman" w:asciiTheme="minorEastAsia" w:hAnsiTheme="minorEastAsia" w:eastAsiaTheme="minorEastAsia"/>
          <w:color w:val="auto"/>
        </w:rPr>
        <w:t>月</w:t>
      </w:r>
      <w:r>
        <w:rPr>
          <w:rFonts w:hint="default" w:cs="Times New Roman" w:asciiTheme="minorEastAsia" w:hAnsiTheme="minorEastAsia" w:eastAsiaTheme="minorEastAsia"/>
          <w:color w:val="auto"/>
          <w:u w:val="single"/>
        </w:rPr>
        <w:t xml:space="preserve">   </w:t>
      </w:r>
      <w:r>
        <w:rPr>
          <w:rFonts w:hint="default" w:cs="Times New Roman" w:asciiTheme="minorEastAsia" w:hAnsiTheme="minorEastAsia" w:eastAsiaTheme="minorEastAsia"/>
          <w:color w:val="auto"/>
        </w:rPr>
        <w:t>日，完成日期：</w:t>
      </w:r>
      <w:r>
        <w:rPr>
          <w:rFonts w:hint="default" w:cs="Times New Roman" w:asciiTheme="minorEastAsia" w:hAnsiTheme="minorEastAsia" w:eastAsiaTheme="minorEastAsia"/>
          <w:color w:val="auto"/>
          <w:u w:val="single"/>
        </w:rPr>
        <w:t xml:space="preserve">    </w:t>
      </w:r>
      <w:r>
        <w:rPr>
          <w:rFonts w:hint="default" w:cs="Times New Roman" w:asciiTheme="minorEastAsia" w:hAnsiTheme="minorEastAsia" w:eastAsiaTheme="minorEastAsia"/>
          <w:color w:val="auto"/>
        </w:rPr>
        <w:t>年</w:t>
      </w:r>
      <w:r>
        <w:rPr>
          <w:rFonts w:hint="default" w:cs="Times New Roman" w:asciiTheme="minorEastAsia" w:hAnsiTheme="minorEastAsia" w:eastAsiaTheme="minorEastAsia"/>
          <w:color w:val="auto"/>
          <w:u w:val="single"/>
        </w:rPr>
        <w:t xml:space="preserve">   </w:t>
      </w:r>
      <w:r>
        <w:rPr>
          <w:rFonts w:hint="default" w:cs="Times New Roman" w:asciiTheme="minorEastAsia" w:hAnsiTheme="minorEastAsia" w:eastAsiaTheme="minorEastAsia"/>
          <w:color w:val="auto"/>
        </w:rPr>
        <w:t>月</w:t>
      </w:r>
      <w:r>
        <w:rPr>
          <w:rFonts w:hint="default" w:cs="Times New Roman" w:asciiTheme="minorEastAsia" w:hAnsiTheme="minorEastAsia" w:eastAsiaTheme="minorEastAsia"/>
          <w:color w:val="auto"/>
          <w:u w:val="single"/>
        </w:rPr>
        <w:t xml:space="preserve">   </w:t>
      </w:r>
      <w:r>
        <w:rPr>
          <w:rFonts w:hint="default" w:cs="Times New Roman" w:asciiTheme="minorEastAsia" w:hAnsiTheme="minorEastAsia" w:eastAsiaTheme="minorEastAsia"/>
          <w:color w:val="auto"/>
        </w:rPr>
        <w:t>日。</w:t>
      </w:r>
    </w:p>
    <w:p w14:paraId="3902EA17">
      <w:pPr>
        <w:adjustRightInd w:val="0"/>
        <w:snapToGrid w:val="0"/>
        <w:spacing w:line="400" w:lineRule="exact"/>
        <w:ind w:firstLine="840" w:firstLineChars="400"/>
        <w:rPr>
          <w:rFonts w:cs="Times New Roman" w:asciiTheme="minorEastAsia" w:hAnsiTheme="minorEastAsia" w:eastAsiaTheme="minorEastAsia"/>
          <w:color w:val="auto"/>
          <w:u w:val="single"/>
          <w:lang w:eastAsia="zh-CN"/>
        </w:rPr>
      </w:pPr>
      <w:r>
        <w:rPr>
          <w:rFonts w:hint="default" w:cs="Times New Roman" w:asciiTheme="minorEastAsia" w:hAnsiTheme="minorEastAsia" w:eastAsiaTheme="minorEastAsia"/>
          <w:color w:val="auto"/>
          <w:lang w:eastAsia="zh-CN"/>
        </w:rPr>
        <w:t>（2）履约地点</w:t>
      </w:r>
      <w:r>
        <w:rPr>
          <w:rFonts w:hint="default" w:cs="Times New Roman" w:asciiTheme="minorEastAsia" w:hAnsiTheme="minorEastAsia" w:eastAsiaTheme="minorEastAsia"/>
          <w:bCs/>
          <w:color w:val="auto"/>
          <w:lang w:eastAsia="zh-CN"/>
        </w:rPr>
        <w:t>：</w:t>
      </w:r>
      <w:r>
        <w:rPr>
          <w:rFonts w:hint="default" w:cs="Times New Roman" w:asciiTheme="minorEastAsia" w:hAnsiTheme="minorEastAsia" w:eastAsiaTheme="minorEastAsia"/>
          <w:color w:val="auto"/>
          <w:u w:val="single"/>
          <w:lang w:eastAsia="zh-CN"/>
        </w:rPr>
        <w:t xml:space="preserve">                             </w:t>
      </w:r>
    </w:p>
    <w:p w14:paraId="3FDB3A57">
      <w:pPr>
        <w:adjustRightInd w:val="0"/>
        <w:snapToGrid w:val="0"/>
        <w:spacing w:line="400" w:lineRule="exact"/>
        <w:ind w:firstLine="840" w:firstLineChars="400"/>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（3）履约担保：</w:t>
      </w:r>
    </w:p>
    <w:p w14:paraId="5859E81B">
      <w:pPr>
        <w:adjustRightInd w:val="0"/>
        <w:snapToGrid w:val="0"/>
        <w:spacing w:line="400" w:lineRule="exact"/>
        <w:ind w:firstLine="1365" w:firstLineChars="650"/>
        <w:rPr>
          <w:rFonts w:cs="Times New Roman" w:asciiTheme="minorEastAsia" w:hAnsiTheme="minorEastAsia" w:eastAsiaTheme="minorEastAsia"/>
          <w:color w:val="auto"/>
          <w:u w:val="single"/>
          <w:lang w:eastAsia="zh-CN"/>
        </w:rPr>
      </w:pPr>
      <w:r>
        <w:rPr>
          <w:rFonts w:hint="default" w:cs="Times New Roman" w:asciiTheme="minorEastAsia" w:hAnsiTheme="minorEastAsia" w:eastAsiaTheme="minorEastAsia"/>
          <w:color w:val="auto"/>
          <w:lang w:val="en-US" w:eastAsia="zh-CN"/>
        </w:rPr>
        <w:t>是否收取履约保证金：</w:t>
      </w:r>
      <w:r>
        <w:rPr>
          <w:rFonts w:hint="default" w:cs="Times New Roman" w:asciiTheme="minorEastAsia" w:hAnsiTheme="minorEastAsia" w:eastAsiaTheme="minorEastAsia"/>
          <w:color w:val="auto"/>
          <w:u w:val="single"/>
          <w:lang w:eastAsia="zh-CN"/>
        </w:rPr>
        <w:t xml:space="preserve"> </w:t>
      </w:r>
      <w:r>
        <w:rPr>
          <w:rFonts w:hint="default" w:cs="Times New Roman" w:asciiTheme="minorEastAsia" w:hAnsiTheme="minorEastAsia" w:eastAsiaTheme="minorEastAsia"/>
          <w:color w:val="auto"/>
          <w:u w:val="single"/>
        </w:rPr>
        <w:sym w:font="Wingdings" w:char="00FE"/>
      </w:r>
      <w:r>
        <w:rPr>
          <w:rFonts w:hint="default" w:cs="Times New Roman" w:asciiTheme="minorEastAsia" w:hAnsiTheme="minorEastAsia" w:eastAsiaTheme="minorEastAsia"/>
          <w:color w:val="auto"/>
          <w:u w:val="single"/>
          <w:lang w:eastAsia="zh-CN"/>
        </w:rPr>
        <w:t>是</w:t>
      </w:r>
      <w:r>
        <w:rPr>
          <w:rFonts w:hint="default" w:cs="Times New Roman" w:asciiTheme="minorEastAsia" w:hAnsiTheme="minorEastAsia" w:eastAsiaTheme="minorEastAsia"/>
          <w:color w:val="auto"/>
          <w:u w:val="single"/>
          <w:lang w:val="en-US" w:eastAsia="zh-CN"/>
        </w:rPr>
        <w:t xml:space="preserve">    </w:t>
      </w:r>
      <w:r>
        <w:rPr>
          <w:rFonts w:hint="default" w:cs="Times New Roman" w:asciiTheme="minorEastAsia" w:hAnsiTheme="minorEastAsia" w:eastAsiaTheme="minorEastAsia"/>
          <w:color w:val="auto"/>
          <w:u w:val="single"/>
        </w:rPr>
        <w:sym w:font="Wingdings" w:char="00A8"/>
      </w:r>
      <w:r>
        <w:rPr>
          <w:rFonts w:hint="default" w:cs="Times New Roman" w:asciiTheme="minorEastAsia" w:hAnsiTheme="minorEastAsia" w:eastAsiaTheme="minorEastAsia"/>
          <w:color w:val="auto"/>
          <w:u w:val="single"/>
          <w:lang w:eastAsia="zh-CN"/>
        </w:rPr>
        <w:t>否</w:t>
      </w:r>
    </w:p>
    <w:p w14:paraId="0C2A3F1C">
      <w:pPr>
        <w:adjustRightInd w:val="0"/>
        <w:snapToGrid w:val="0"/>
        <w:spacing w:line="400" w:lineRule="exact"/>
        <w:ind w:left="3360" w:leftChars="600" w:hanging="2100" w:hangingChars="1000"/>
        <w:rPr>
          <w:rFonts w:cs="Times New Roman" w:asciiTheme="minorEastAsia" w:hAnsiTheme="minorEastAsia" w:eastAsiaTheme="minorEastAsia"/>
          <w:color w:val="auto"/>
          <w:u w:val="single"/>
          <w:lang w:eastAsia="zh-CN"/>
        </w:rPr>
      </w:pPr>
      <w:r>
        <w:rPr>
          <w:rFonts w:hint="default" w:cs="Times New Roman" w:asciiTheme="minorEastAsia" w:hAnsiTheme="minorEastAsia" w:eastAsiaTheme="minorEastAsia"/>
          <w:color w:val="auto"/>
          <w:lang w:eastAsia="zh-CN"/>
        </w:rPr>
        <w:t xml:space="preserve"> 收取履约保证金形式：</w:t>
      </w:r>
      <w:r>
        <w:rPr>
          <w:rFonts w:cs="Times New Roman" w:asciiTheme="minorEastAsia" w:hAnsiTheme="minorEastAsia" w:eastAsiaTheme="minorEastAsia"/>
          <w:color w:val="auto"/>
          <w:u w:val="single"/>
          <w:lang w:eastAsia="zh-CN"/>
        </w:rPr>
        <w:t>以支票、汇票、本票或者金融机构、担保机构出具的保函等非现金形式。</w:t>
      </w:r>
      <w:r>
        <w:rPr>
          <w:rFonts w:hint="default" w:cs="Times New Roman" w:asciiTheme="minorEastAsia" w:hAnsiTheme="minorEastAsia" w:eastAsiaTheme="minorEastAsia"/>
          <w:color w:val="auto"/>
          <w:u w:val="single"/>
          <w:lang w:eastAsia="zh-CN"/>
        </w:rPr>
        <w:t xml:space="preserve">  </w:t>
      </w:r>
      <w:r>
        <w:rPr>
          <w:rFonts w:cs="Times New Roman" w:asciiTheme="minorEastAsia" w:hAnsiTheme="minorEastAsia" w:eastAsiaTheme="minorEastAsia"/>
          <w:color w:val="auto"/>
          <w:u w:val="single"/>
          <w:lang w:eastAsia="zh-CN"/>
        </w:rPr>
        <w:t xml:space="preserve">                 </w:t>
      </w:r>
      <w:r>
        <w:rPr>
          <w:rFonts w:hint="default" w:cs="Times New Roman" w:asciiTheme="minorEastAsia" w:hAnsiTheme="minorEastAsia" w:eastAsiaTheme="minorEastAsia"/>
          <w:color w:val="auto"/>
          <w:u w:val="single"/>
          <w:lang w:eastAsia="zh-CN"/>
        </w:rPr>
        <w:t xml:space="preserve">   </w:t>
      </w:r>
    </w:p>
    <w:p w14:paraId="4BC3CCD8">
      <w:pPr>
        <w:adjustRightInd w:val="0"/>
        <w:snapToGrid w:val="0"/>
        <w:spacing w:line="400" w:lineRule="exact"/>
        <w:ind w:firstLine="1365" w:firstLineChars="650"/>
        <w:rPr>
          <w:rFonts w:cs="Times New Roman" w:asciiTheme="minorEastAsia" w:hAnsiTheme="minorEastAsia" w:eastAsiaTheme="minorEastAsia"/>
          <w:color w:val="auto"/>
          <w:u w:val="single"/>
          <w:lang w:eastAsia="zh-CN"/>
        </w:rPr>
      </w:pPr>
      <w:r>
        <w:rPr>
          <w:rFonts w:hint="default" w:cs="Times New Roman" w:asciiTheme="minorEastAsia" w:hAnsiTheme="minorEastAsia" w:eastAsiaTheme="minorEastAsia"/>
          <w:color w:val="auto"/>
          <w:lang w:eastAsia="zh-CN"/>
        </w:rPr>
        <w:t>收取履约保证金金额：</w:t>
      </w:r>
      <w:r>
        <w:rPr>
          <w:rFonts w:hint="default" w:cs="Times New Roman" w:asciiTheme="minorEastAsia" w:hAnsiTheme="minorEastAsia" w:eastAsiaTheme="minorEastAsia"/>
          <w:color w:val="auto"/>
          <w:u w:val="single"/>
          <w:lang w:eastAsia="zh-CN"/>
        </w:rPr>
        <w:t xml:space="preserve">  </w:t>
      </w:r>
      <w:r>
        <w:rPr>
          <w:rFonts w:hint="default" w:cs="Times New Roman" w:asciiTheme="minorEastAsia" w:hAnsiTheme="minorEastAsia" w:eastAsiaTheme="minorEastAsia"/>
          <w:color w:val="auto"/>
          <w:u w:val="single"/>
          <w:lang w:val="en-US" w:eastAsia="zh-CN"/>
        </w:rPr>
        <w:t xml:space="preserve">  </w:t>
      </w:r>
      <w:r>
        <w:rPr>
          <w:rFonts w:cs="Times New Roman" w:asciiTheme="minorEastAsia" w:hAnsiTheme="minorEastAsia" w:eastAsiaTheme="minorEastAsia"/>
          <w:color w:val="auto"/>
          <w:u w:val="single"/>
          <w:lang w:val="en-US" w:eastAsia="zh-CN"/>
        </w:rPr>
        <w:t>合同金额的5 %</w:t>
      </w:r>
      <w:r>
        <w:rPr>
          <w:rFonts w:hint="default" w:cs="Times New Roman" w:asciiTheme="minorEastAsia" w:hAnsiTheme="minorEastAsia" w:eastAsiaTheme="minorEastAsia"/>
          <w:color w:val="auto"/>
          <w:u w:val="single"/>
          <w:lang w:eastAsia="zh-CN"/>
        </w:rPr>
        <w:t xml:space="preserve">     </w:t>
      </w:r>
    </w:p>
    <w:p w14:paraId="319652BC">
      <w:pPr>
        <w:adjustRightInd w:val="0"/>
        <w:snapToGrid w:val="0"/>
        <w:spacing w:line="400" w:lineRule="exact"/>
        <w:ind w:firstLine="1260" w:firstLineChars="600"/>
        <w:rPr>
          <w:rFonts w:cs="Times New Roman" w:asciiTheme="minorEastAsia" w:hAnsiTheme="minorEastAsia" w:eastAsiaTheme="minorEastAsia"/>
          <w:color w:val="auto"/>
          <w:u w:val="single"/>
          <w:lang w:val="en-US" w:eastAsia="zh-CN"/>
        </w:rPr>
      </w:pPr>
      <w:r>
        <w:rPr>
          <w:rFonts w:hint="default" w:cs="Times New Roman" w:asciiTheme="minorEastAsia" w:hAnsiTheme="minorEastAsia" w:eastAsiaTheme="minorEastAsia"/>
          <w:color w:val="auto"/>
          <w:lang w:val="en-US" w:eastAsia="zh-CN"/>
        </w:rPr>
        <w:t>履约担保期限</w:t>
      </w:r>
      <w:r>
        <w:rPr>
          <w:rFonts w:hint="default" w:cs="Times New Roman" w:asciiTheme="minorEastAsia" w:hAnsiTheme="minorEastAsia" w:eastAsiaTheme="minorEastAsia"/>
          <w:color w:val="auto"/>
          <w:lang w:eastAsia="zh-CN"/>
        </w:rPr>
        <w:t>：</w:t>
      </w:r>
      <w:r>
        <w:rPr>
          <w:rFonts w:cs="Times New Roman" w:asciiTheme="minorEastAsia" w:hAnsiTheme="minorEastAsia" w:eastAsiaTheme="minorEastAsia"/>
          <w:color w:val="auto"/>
          <w:u w:val="single"/>
          <w:lang w:val="en-US" w:eastAsia="zh-CN"/>
        </w:rPr>
        <w:t>应当自本合同生效之日起至本项目验收合格之日止。</w:t>
      </w:r>
    </w:p>
    <w:p w14:paraId="6EF0CF16">
      <w:pPr>
        <w:adjustRightInd w:val="0"/>
        <w:snapToGrid w:val="0"/>
        <w:spacing w:line="400" w:lineRule="exact"/>
        <w:ind w:firstLine="630" w:firstLineChars="300"/>
        <w:rPr>
          <w:rFonts w:cs="Times New Roman" w:asciiTheme="minorEastAsia" w:hAnsiTheme="minorEastAsia" w:eastAsiaTheme="minorEastAsia"/>
          <w:color w:val="auto"/>
          <w:u w:val="single"/>
          <w:lang w:eastAsia="zh-CN"/>
        </w:rPr>
      </w:pPr>
      <w:r>
        <w:rPr>
          <w:rFonts w:hint="default" w:cs="Times New Roman" w:asciiTheme="minorEastAsia" w:hAnsiTheme="minorEastAsia" w:eastAsiaTheme="minorEastAsia"/>
          <w:color w:val="auto"/>
          <w:lang w:eastAsia="zh-CN"/>
        </w:rPr>
        <w:t xml:space="preserve">（4）分期履行要求： </w:t>
      </w:r>
      <w:r>
        <w:rPr>
          <w:rFonts w:hint="default" w:cs="Times New Roman" w:asciiTheme="minorEastAsia" w:hAnsiTheme="minorEastAsia" w:eastAsiaTheme="minorEastAsia"/>
          <w:color w:val="auto"/>
          <w:u w:val="single"/>
          <w:lang w:eastAsia="zh-CN"/>
        </w:rPr>
        <w:t xml:space="preserve">                                            </w:t>
      </w:r>
      <w:r>
        <w:rPr>
          <w:rFonts w:hint="default" w:cs="Times New Roman" w:asciiTheme="minorEastAsia" w:hAnsiTheme="minorEastAsia" w:eastAsiaTheme="minorEastAsia"/>
          <w:color w:val="auto"/>
          <w:u w:val="single"/>
          <w:lang w:val="en-US" w:eastAsia="zh-CN"/>
        </w:rPr>
        <w:t xml:space="preserve"> </w:t>
      </w:r>
      <w:r>
        <w:rPr>
          <w:rFonts w:hint="default" w:cs="Times New Roman" w:asciiTheme="minorEastAsia" w:hAnsiTheme="minorEastAsia" w:eastAsiaTheme="minorEastAsia"/>
          <w:color w:val="auto"/>
          <w:u w:val="single"/>
          <w:lang w:eastAsia="zh-CN"/>
        </w:rPr>
        <w:t xml:space="preserve"> </w:t>
      </w:r>
    </w:p>
    <w:p w14:paraId="27456233">
      <w:pPr>
        <w:adjustRightInd w:val="0"/>
        <w:snapToGrid w:val="0"/>
        <w:spacing w:line="400" w:lineRule="exact"/>
        <w:ind w:firstLine="630" w:firstLineChars="300"/>
        <w:rPr>
          <w:rFonts w:cs="Times New Roman" w:asciiTheme="minorEastAsia" w:hAnsiTheme="minorEastAsia" w:eastAsiaTheme="minorEastAsia"/>
          <w:color w:val="auto"/>
          <w:u w:val="single"/>
          <w:lang w:eastAsia="zh-CN"/>
        </w:rPr>
      </w:pPr>
      <w:r>
        <w:rPr>
          <w:rFonts w:hint="default" w:cs="Times New Roman" w:asciiTheme="minorEastAsia" w:hAnsiTheme="minorEastAsia" w:eastAsiaTheme="minorEastAsia"/>
          <w:color w:val="auto"/>
          <w:lang w:eastAsia="zh-CN"/>
        </w:rPr>
        <w:t>（5）风险处置措施和替代方案：</w:t>
      </w:r>
      <w:r>
        <w:rPr>
          <w:rFonts w:hint="default" w:cs="Times New Roman" w:asciiTheme="minorEastAsia" w:hAnsiTheme="minorEastAsia" w:eastAsiaTheme="minorEastAsia"/>
          <w:color w:val="auto"/>
          <w:u w:val="single"/>
          <w:lang w:eastAsia="zh-CN"/>
        </w:rPr>
        <w:t xml:space="preserve">                                     </w:t>
      </w:r>
    </w:p>
    <w:p w14:paraId="2BD504E3">
      <w:pPr>
        <w:numPr>
          <w:ilvl w:val="0"/>
          <w:numId w:val="14"/>
        </w:numPr>
        <w:adjustRightInd w:val="0"/>
        <w:snapToGrid w:val="0"/>
        <w:spacing w:line="400" w:lineRule="exact"/>
        <w:ind w:firstLine="422" w:firstLineChars="200"/>
        <w:rPr>
          <w:rFonts w:cs="Times New Roman" w:asciiTheme="minorEastAsia" w:hAnsiTheme="minorEastAsia" w:eastAsiaTheme="minorEastAsia"/>
          <w:b/>
          <w:color w:val="auto"/>
        </w:rPr>
      </w:pPr>
      <w:r>
        <w:rPr>
          <w:rFonts w:hint="default" w:cs="Times New Roman" w:asciiTheme="minorEastAsia" w:hAnsiTheme="minorEastAsia" w:eastAsiaTheme="minorEastAsia"/>
          <w:b/>
          <w:color w:val="auto"/>
        </w:rPr>
        <w:t>合同验收</w:t>
      </w:r>
    </w:p>
    <w:p w14:paraId="26294172">
      <w:pPr>
        <w:numPr>
          <w:ilvl w:val="0"/>
          <w:numId w:val="16"/>
        </w:numPr>
        <w:adjustRightInd w:val="0"/>
        <w:snapToGrid w:val="0"/>
        <w:spacing w:line="400" w:lineRule="exact"/>
        <w:ind w:firstLine="420" w:firstLineChars="200"/>
        <w:rPr>
          <w:rFonts w:cs="Times New Roman" w:asciiTheme="minorEastAsia" w:hAnsiTheme="minorEastAsia" w:eastAsiaTheme="minorEastAsia"/>
          <w:bCs/>
          <w:color w:val="auto"/>
          <w:lang w:eastAsia="zh-CN"/>
        </w:rPr>
      </w:pPr>
      <w:r>
        <w:rPr>
          <w:rFonts w:hint="default" w:cs="Times New Roman" w:asciiTheme="minorEastAsia" w:hAnsiTheme="minorEastAsia" w:eastAsiaTheme="minorEastAsia"/>
          <w:bCs/>
          <w:color w:val="auto"/>
          <w:lang w:eastAsia="zh-CN"/>
        </w:rPr>
        <w:t>验收组织方式：</w:t>
      </w:r>
      <w:r>
        <w:rPr>
          <w:rFonts w:hint="default" w:cs="Times New Roman" w:asciiTheme="minorEastAsia" w:hAnsiTheme="minorEastAsia" w:eastAsiaTheme="minorEastAsia"/>
          <w:b/>
          <w:bCs/>
          <w:color w:val="auto"/>
        </w:rPr>
        <w:sym w:font="Wingdings" w:char="00A8"/>
      </w:r>
      <w:r>
        <w:rPr>
          <w:rFonts w:hint="default" w:cs="Times New Roman" w:asciiTheme="minorEastAsia" w:hAnsiTheme="minorEastAsia" w:eastAsiaTheme="minorEastAsia"/>
          <w:b/>
          <w:bCs/>
          <w:color w:val="auto"/>
          <w:lang w:eastAsia="zh-CN"/>
        </w:rPr>
        <w:t>自行组织</w:t>
      </w:r>
      <w:r>
        <w:rPr>
          <w:rFonts w:cs="Times New Roman" w:asciiTheme="minorEastAsia" w:hAnsiTheme="minorEastAsia" w:eastAsiaTheme="minorEastAsia"/>
          <w:b/>
          <w:bCs/>
          <w:color w:val="auto"/>
          <w:lang w:eastAsia="zh-CN"/>
        </w:rPr>
        <w:t xml:space="preserve">  </w:t>
      </w:r>
      <w:r>
        <w:rPr>
          <w:rFonts w:hint="default" w:cs="Times New Roman" w:asciiTheme="minorEastAsia" w:hAnsiTheme="minorEastAsia" w:eastAsiaTheme="minorEastAsia"/>
          <w:b/>
          <w:bCs/>
          <w:color w:val="auto"/>
        </w:rPr>
        <w:sym w:font="Wingdings" w:char="00FE"/>
      </w:r>
      <w:r>
        <w:rPr>
          <w:rFonts w:hint="default" w:cs="Times New Roman" w:asciiTheme="minorEastAsia" w:hAnsiTheme="minorEastAsia" w:eastAsiaTheme="minorEastAsia"/>
          <w:b/>
          <w:bCs/>
          <w:color w:val="auto"/>
          <w:lang w:eastAsia="zh-CN"/>
        </w:rPr>
        <w:t>委托第三方组织</w:t>
      </w:r>
    </w:p>
    <w:p w14:paraId="17C0891C">
      <w:pPr>
        <w:adjustRightInd w:val="0"/>
        <w:snapToGrid w:val="0"/>
        <w:spacing w:line="400" w:lineRule="exact"/>
        <w:rPr>
          <w:rFonts w:cs="Times New Roman" w:asciiTheme="minorEastAsia" w:hAnsiTheme="minorEastAsia" w:eastAsiaTheme="minorEastAsia"/>
          <w:bCs/>
          <w:color w:val="auto"/>
          <w:lang w:eastAsia="zh-CN"/>
        </w:rPr>
      </w:pPr>
      <w:r>
        <w:rPr>
          <w:rFonts w:hint="default" w:cs="Times New Roman" w:asciiTheme="minorEastAsia" w:hAnsiTheme="minorEastAsia" w:eastAsiaTheme="minorEastAsia"/>
          <w:bCs/>
          <w:color w:val="auto"/>
          <w:lang w:val="en-US" w:eastAsia="zh-CN"/>
        </w:rPr>
        <w:t xml:space="preserve">         </w:t>
      </w:r>
      <w:r>
        <w:rPr>
          <w:rFonts w:hint="default" w:cs="Times New Roman" w:asciiTheme="minorEastAsia" w:hAnsiTheme="minorEastAsia" w:eastAsiaTheme="minorEastAsia"/>
          <w:bCs/>
          <w:color w:val="auto"/>
          <w:lang w:eastAsia="zh-CN"/>
        </w:rPr>
        <w:t>验收主体：</w:t>
      </w:r>
      <w:r>
        <w:rPr>
          <w:rFonts w:hint="default" w:cs="Times New Roman" w:asciiTheme="minorEastAsia" w:hAnsiTheme="minorEastAsia" w:eastAsiaTheme="minorEastAsia"/>
          <w:bCs/>
          <w:color w:val="auto"/>
          <w:u w:val="single"/>
          <w:lang w:eastAsia="zh-CN"/>
        </w:rPr>
        <w:t xml:space="preserve">   </w:t>
      </w:r>
      <w:r>
        <w:rPr>
          <w:rFonts w:hint="default" w:cs="Times New Roman" w:asciiTheme="minorEastAsia" w:hAnsiTheme="minorEastAsia" w:eastAsiaTheme="minorEastAsia"/>
          <w:bCs/>
          <w:color w:val="auto"/>
          <w:u w:val="single"/>
          <w:lang w:val="en-US" w:eastAsia="zh-CN"/>
        </w:rPr>
        <w:t xml:space="preserve"> </w:t>
      </w:r>
      <w:r>
        <w:rPr>
          <w:rFonts w:cs="Times New Roman" w:asciiTheme="minorEastAsia" w:hAnsiTheme="minorEastAsia" w:eastAsiaTheme="minorEastAsia"/>
          <w:bCs/>
          <w:color w:val="auto"/>
          <w:u w:val="single"/>
          <w:lang w:val="en-US" w:eastAsia="zh-CN"/>
        </w:rPr>
        <w:t>郑州铁路职业技术学院</w:t>
      </w:r>
      <w:r>
        <w:rPr>
          <w:rFonts w:hint="default" w:cs="Times New Roman" w:asciiTheme="minorEastAsia" w:hAnsiTheme="minorEastAsia" w:eastAsiaTheme="minorEastAsia"/>
          <w:bCs/>
          <w:color w:val="auto"/>
          <w:u w:val="single"/>
          <w:lang w:val="en-US" w:eastAsia="zh-CN"/>
        </w:rPr>
        <w:t xml:space="preserve">  </w:t>
      </w:r>
      <w:r>
        <w:rPr>
          <w:rFonts w:hint="default" w:cs="Times New Roman" w:asciiTheme="minorEastAsia" w:hAnsiTheme="minorEastAsia" w:eastAsiaTheme="minorEastAsia"/>
          <w:bCs/>
          <w:color w:val="auto"/>
          <w:u w:val="single"/>
          <w:lang w:eastAsia="zh-CN"/>
        </w:rPr>
        <w:t xml:space="preserve">       </w:t>
      </w:r>
    </w:p>
    <w:p w14:paraId="5058B0B7">
      <w:pPr>
        <w:adjustRightInd w:val="0"/>
        <w:snapToGrid w:val="0"/>
        <w:spacing w:line="400" w:lineRule="exact"/>
        <w:rPr>
          <w:rFonts w:cs="Times New Roman" w:asciiTheme="minorEastAsia" w:hAnsiTheme="minorEastAsia" w:eastAsiaTheme="minorEastAsia"/>
          <w:bCs/>
          <w:color w:val="auto"/>
          <w:lang w:eastAsia="zh-CN"/>
        </w:rPr>
      </w:pPr>
      <w:r>
        <w:rPr>
          <w:rFonts w:hint="default" w:cs="Times New Roman" w:asciiTheme="minorEastAsia" w:hAnsiTheme="minorEastAsia" w:eastAsiaTheme="minorEastAsia"/>
          <w:bCs/>
          <w:color w:val="auto"/>
          <w:lang w:val="en-US" w:eastAsia="zh-CN"/>
        </w:rPr>
        <w:t xml:space="preserve">        </w:t>
      </w:r>
      <w:r>
        <w:rPr>
          <w:rFonts w:hint="default" w:cs="Times New Roman" w:asciiTheme="minorEastAsia" w:hAnsiTheme="minorEastAsia" w:eastAsiaTheme="minorEastAsia"/>
          <w:bCs/>
          <w:color w:val="auto"/>
          <w:lang w:eastAsia="zh-CN"/>
        </w:rPr>
        <w:t>是否邀请本项目的其他供应商参加验收：</w:t>
      </w:r>
      <w:r>
        <w:rPr>
          <w:rFonts w:hint="default" w:cs="Times New Roman" w:asciiTheme="minorEastAsia" w:hAnsiTheme="minorEastAsia" w:eastAsiaTheme="minorEastAsia"/>
          <w:color w:val="auto"/>
        </w:rPr>
        <w:sym w:font="Wingdings" w:char="00A8"/>
      </w:r>
      <w:r>
        <w:rPr>
          <w:rFonts w:hint="default" w:cs="Times New Roman" w:asciiTheme="minorEastAsia" w:hAnsiTheme="minorEastAsia" w:eastAsiaTheme="minorEastAsia"/>
          <w:bCs/>
          <w:color w:val="auto"/>
          <w:lang w:eastAsia="zh-CN"/>
        </w:rPr>
        <w:t xml:space="preserve">是  </w:t>
      </w:r>
      <w:r>
        <w:rPr>
          <w:rFonts w:hint="default" w:cs="Times New Roman" w:asciiTheme="minorEastAsia" w:hAnsiTheme="minorEastAsia" w:eastAsiaTheme="minorEastAsia"/>
          <w:color w:val="auto"/>
        </w:rPr>
        <w:sym w:font="Wingdings" w:char="00FE"/>
      </w:r>
      <w:r>
        <w:rPr>
          <w:rFonts w:hint="default" w:cs="Times New Roman" w:asciiTheme="minorEastAsia" w:hAnsiTheme="minorEastAsia" w:eastAsiaTheme="minorEastAsia"/>
          <w:bCs/>
          <w:color w:val="auto"/>
          <w:lang w:eastAsia="zh-CN"/>
        </w:rPr>
        <w:t>否</w:t>
      </w:r>
    </w:p>
    <w:p w14:paraId="75804980">
      <w:pPr>
        <w:adjustRightInd w:val="0"/>
        <w:snapToGrid w:val="0"/>
        <w:spacing w:line="400" w:lineRule="exact"/>
        <w:ind w:firstLine="840" w:firstLineChars="400"/>
        <w:rPr>
          <w:rFonts w:cs="Times New Roman" w:asciiTheme="minorEastAsia" w:hAnsiTheme="minorEastAsia" w:eastAsiaTheme="minorEastAsia"/>
          <w:bCs/>
          <w:color w:val="auto"/>
          <w:lang w:eastAsia="zh-CN"/>
        </w:rPr>
      </w:pPr>
      <w:r>
        <w:rPr>
          <w:rFonts w:hint="default" w:cs="Times New Roman" w:asciiTheme="minorEastAsia" w:hAnsiTheme="minorEastAsia" w:eastAsiaTheme="minorEastAsia"/>
          <w:bCs/>
          <w:color w:val="auto"/>
          <w:lang w:eastAsia="zh-CN"/>
        </w:rPr>
        <w:t>是否邀请专家参加验收：</w:t>
      </w:r>
      <w:r>
        <w:rPr>
          <w:rFonts w:hint="default" w:cs="Times New Roman" w:asciiTheme="minorEastAsia" w:hAnsiTheme="minorEastAsia" w:eastAsiaTheme="minorEastAsia"/>
          <w:color w:val="auto"/>
        </w:rPr>
        <w:sym w:font="Wingdings" w:char="00A8"/>
      </w:r>
      <w:r>
        <w:rPr>
          <w:rFonts w:hint="default" w:cs="Times New Roman" w:asciiTheme="minorEastAsia" w:hAnsiTheme="minorEastAsia" w:eastAsiaTheme="minorEastAsia"/>
          <w:bCs/>
          <w:color w:val="auto"/>
          <w:lang w:eastAsia="zh-CN"/>
        </w:rPr>
        <w:t xml:space="preserve">是  </w:t>
      </w:r>
      <w:r>
        <w:rPr>
          <w:rFonts w:hint="default" w:cs="Times New Roman" w:asciiTheme="minorEastAsia" w:hAnsiTheme="minorEastAsia" w:eastAsiaTheme="minorEastAsia"/>
          <w:color w:val="auto"/>
        </w:rPr>
        <w:sym w:font="Wingdings" w:char="00FE"/>
      </w:r>
      <w:r>
        <w:rPr>
          <w:rFonts w:hint="default" w:cs="Times New Roman" w:asciiTheme="minorEastAsia" w:hAnsiTheme="minorEastAsia" w:eastAsiaTheme="minorEastAsia"/>
          <w:bCs/>
          <w:color w:val="auto"/>
          <w:lang w:eastAsia="zh-CN"/>
        </w:rPr>
        <w:t>否</w:t>
      </w:r>
    </w:p>
    <w:p w14:paraId="5590985A">
      <w:pPr>
        <w:adjustRightInd w:val="0"/>
        <w:snapToGrid w:val="0"/>
        <w:spacing w:line="400" w:lineRule="exact"/>
        <w:ind w:firstLine="840" w:firstLineChars="400"/>
        <w:rPr>
          <w:rFonts w:cs="Times New Roman" w:asciiTheme="minorEastAsia" w:hAnsiTheme="minorEastAsia" w:eastAsiaTheme="minorEastAsia"/>
          <w:bCs/>
          <w:color w:val="auto"/>
          <w:lang w:eastAsia="zh-CN"/>
        </w:rPr>
      </w:pPr>
      <w:r>
        <w:rPr>
          <w:rFonts w:hint="default" w:cs="Times New Roman" w:asciiTheme="minorEastAsia" w:hAnsiTheme="minorEastAsia" w:eastAsiaTheme="minorEastAsia"/>
          <w:bCs/>
          <w:color w:val="auto"/>
          <w:lang w:eastAsia="zh-CN"/>
        </w:rPr>
        <w:t>是否邀请服务对象参加验收：</w:t>
      </w:r>
      <w:r>
        <w:rPr>
          <w:rFonts w:hint="default" w:cs="Times New Roman" w:asciiTheme="minorEastAsia" w:hAnsiTheme="minorEastAsia" w:eastAsiaTheme="minorEastAsia"/>
          <w:color w:val="auto"/>
        </w:rPr>
        <w:sym w:font="Wingdings" w:char="00A8"/>
      </w:r>
      <w:r>
        <w:rPr>
          <w:rFonts w:hint="default" w:cs="Times New Roman" w:asciiTheme="minorEastAsia" w:hAnsiTheme="minorEastAsia" w:eastAsiaTheme="minorEastAsia"/>
          <w:bCs/>
          <w:color w:val="auto"/>
          <w:lang w:eastAsia="zh-CN"/>
        </w:rPr>
        <w:t xml:space="preserve">是  </w:t>
      </w:r>
      <w:r>
        <w:rPr>
          <w:rFonts w:hint="default" w:cs="Times New Roman" w:asciiTheme="minorEastAsia" w:hAnsiTheme="minorEastAsia" w:eastAsiaTheme="minorEastAsia"/>
          <w:color w:val="auto"/>
        </w:rPr>
        <w:sym w:font="Wingdings" w:char="00FE"/>
      </w:r>
      <w:r>
        <w:rPr>
          <w:rFonts w:hint="default" w:cs="Times New Roman" w:asciiTheme="minorEastAsia" w:hAnsiTheme="minorEastAsia" w:eastAsiaTheme="minorEastAsia"/>
          <w:bCs/>
          <w:color w:val="auto"/>
          <w:lang w:eastAsia="zh-CN"/>
        </w:rPr>
        <w:t>否</w:t>
      </w:r>
    </w:p>
    <w:p w14:paraId="2731A16B">
      <w:pPr>
        <w:adjustRightInd w:val="0"/>
        <w:snapToGrid w:val="0"/>
        <w:spacing w:line="400" w:lineRule="exact"/>
        <w:ind w:firstLine="840" w:firstLineChars="400"/>
        <w:rPr>
          <w:rFonts w:cs="Times New Roman" w:asciiTheme="minorEastAsia" w:hAnsiTheme="minorEastAsia" w:eastAsiaTheme="minorEastAsia"/>
          <w:bCs/>
          <w:color w:val="auto"/>
          <w:lang w:eastAsia="zh-CN"/>
        </w:rPr>
      </w:pPr>
      <w:r>
        <w:rPr>
          <w:rFonts w:hint="default" w:cs="Times New Roman" w:asciiTheme="minorEastAsia" w:hAnsiTheme="minorEastAsia" w:eastAsiaTheme="minorEastAsia"/>
          <w:bCs/>
          <w:color w:val="auto"/>
          <w:lang w:eastAsia="zh-CN"/>
        </w:rPr>
        <w:t>是否邀请第三方检测机构参加验收：</w:t>
      </w:r>
      <w:r>
        <w:rPr>
          <w:rFonts w:hint="default" w:cs="Times New Roman" w:asciiTheme="minorEastAsia" w:hAnsiTheme="minorEastAsia" w:eastAsiaTheme="minorEastAsia"/>
          <w:color w:val="auto"/>
          <w:lang w:eastAsia="zh-CN"/>
        </w:rPr>
        <w:t xml:space="preserve"> </w:t>
      </w:r>
      <w:r>
        <w:rPr>
          <w:rFonts w:hint="default" w:cs="Times New Roman" w:asciiTheme="minorEastAsia" w:hAnsiTheme="minorEastAsia" w:eastAsiaTheme="minorEastAsia"/>
          <w:color w:val="auto"/>
        </w:rPr>
        <w:sym w:font="Wingdings" w:char="00FE"/>
      </w:r>
      <w:r>
        <w:rPr>
          <w:rFonts w:hint="default" w:cs="Times New Roman" w:asciiTheme="minorEastAsia" w:hAnsiTheme="minorEastAsia" w:eastAsiaTheme="minorEastAsia"/>
          <w:bCs/>
          <w:color w:val="auto"/>
          <w:lang w:eastAsia="zh-CN"/>
        </w:rPr>
        <w:t>是</w:t>
      </w:r>
      <w:r>
        <w:rPr>
          <w:rFonts w:cs="Times New Roman" w:asciiTheme="minorEastAsia" w:hAnsiTheme="minorEastAsia" w:eastAsiaTheme="minorEastAsia"/>
          <w:bCs/>
          <w:color w:val="auto"/>
          <w:lang w:eastAsia="zh-CN"/>
        </w:rPr>
        <w:t>（检测费用约为成交价格的1.6%，验收费用由成交供应商支付）</w:t>
      </w:r>
      <w:r>
        <w:rPr>
          <w:rFonts w:hint="default" w:cs="Times New Roman" w:asciiTheme="minorEastAsia" w:hAnsiTheme="minorEastAsia" w:eastAsiaTheme="minorEastAsia"/>
          <w:bCs/>
          <w:color w:val="auto"/>
          <w:lang w:eastAsia="zh-CN"/>
        </w:rPr>
        <w:t xml:space="preserve">  </w:t>
      </w:r>
      <w:r>
        <w:rPr>
          <w:rFonts w:hint="default" w:cs="Times New Roman" w:asciiTheme="minorEastAsia" w:hAnsiTheme="minorEastAsia" w:eastAsiaTheme="minorEastAsia"/>
          <w:color w:val="auto"/>
        </w:rPr>
        <w:sym w:font="Wingdings" w:char="00A8"/>
      </w:r>
      <w:r>
        <w:rPr>
          <w:rFonts w:hint="default" w:cs="Times New Roman" w:asciiTheme="minorEastAsia" w:hAnsiTheme="minorEastAsia" w:eastAsiaTheme="minorEastAsia"/>
          <w:bCs/>
          <w:color w:val="auto"/>
          <w:lang w:eastAsia="zh-CN"/>
        </w:rPr>
        <w:t>否</w:t>
      </w:r>
    </w:p>
    <w:p w14:paraId="360A4EDA">
      <w:pPr>
        <w:adjustRightInd w:val="0"/>
        <w:snapToGrid w:val="0"/>
        <w:spacing w:line="400" w:lineRule="exact"/>
        <w:ind w:firstLine="840" w:firstLineChars="400"/>
        <w:rPr>
          <w:rFonts w:cs="Times New Roman" w:asciiTheme="minorEastAsia" w:hAnsiTheme="minorEastAsia" w:eastAsiaTheme="minorEastAsia"/>
          <w:bCs/>
          <w:color w:val="auto"/>
          <w:lang w:eastAsia="zh-CN"/>
        </w:rPr>
      </w:pPr>
      <w:r>
        <w:rPr>
          <w:rFonts w:hint="default" w:cs="Times New Roman" w:asciiTheme="minorEastAsia" w:hAnsiTheme="minorEastAsia" w:eastAsiaTheme="minorEastAsia"/>
          <w:bCs/>
          <w:color w:val="auto"/>
          <w:lang w:eastAsia="zh-CN"/>
        </w:rPr>
        <w:t>是否进行抽查检测：</w:t>
      </w:r>
      <w:r>
        <w:rPr>
          <w:rFonts w:hint="default" w:cs="Times New Roman" w:asciiTheme="minorEastAsia" w:hAnsiTheme="minorEastAsia" w:eastAsiaTheme="minorEastAsia"/>
          <w:color w:val="auto"/>
        </w:rPr>
        <w:sym w:font="Wingdings" w:char="00A8"/>
      </w:r>
      <w:r>
        <w:rPr>
          <w:rFonts w:hint="default" w:cs="Times New Roman" w:asciiTheme="minorEastAsia" w:hAnsiTheme="minorEastAsia" w:eastAsiaTheme="minorEastAsia"/>
          <w:bCs/>
          <w:color w:val="auto"/>
          <w:lang w:eastAsia="zh-CN"/>
        </w:rPr>
        <w:t>是，抽查比例：</w:t>
      </w:r>
      <w:r>
        <w:rPr>
          <w:rFonts w:hint="default" w:cs="Times New Roman" w:asciiTheme="minorEastAsia" w:hAnsiTheme="minorEastAsia" w:eastAsiaTheme="minorEastAsia"/>
          <w:bCs/>
          <w:color w:val="auto"/>
          <w:u w:val="single"/>
          <w:lang w:eastAsia="zh-CN"/>
        </w:rPr>
        <w:t xml:space="preserve">   </w:t>
      </w:r>
      <w:r>
        <w:rPr>
          <w:rFonts w:hint="default" w:cs="Times New Roman" w:asciiTheme="minorEastAsia" w:hAnsiTheme="minorEastAsia" w:eastAsiaTheme="minorEastAsia"/>
          <w:bCs/>
          <w:color w:val="auto"/>
          <w:u w:val="single"/>
          <w:lang w:val="en-US" w:eastAsia="zh-CN"/>
        </w:rPr>
        <w:t xml:space="preserve">     </w:t>
      </w:r>
      <w:r>
        <w:rPr>
          <w:rFonts w:hint="default" w:cs="Times New Roman" w:asciiTheme="minorEastAsia" w:hAnsiTheme="minorEastAsia" w:eastAsiaTheme="minorEastAsia"/>
          <w:bCs/>
          <w:color w:val="auto"/>
          <w:lang w:eastAsia="zh-CN"/>
        </w:rPr>
        <w:t xml:space="preserve"> </w:t>
      </w:r>
      <w:r>
        <w:rPr>
          <w:rFonts w:hint="default" w:cs="Times New Roman" w:asciiTheme="minorEastAsia" w:hAnsiTheme="minorEastAsia" w:eastAsiaTheme="minorEastAsia"/>
          <w:color w:val="auto"/>
        </w:rPr>
        <w:sym w:font="Wingdings" w:char="00FE"/>
      </w:r>
      <w:r>
        <w:rPr>
          <w:rFonts w:hint="default" w:cs="Times New Roman" w:asciiTheme="minorEastAsia" w:hAnsiTheme="minorEastAsia" w:eastAsiaTheme="minorEastAsia"/>
          <w:bCs/>
          <w:color w:val="auto"/>
          <w:lang w:eastAsia="zh-CN"/>
        </w:rPr>
        <w:t>否</w:t>
      </w:r>
    </w:p>
    <w:p w14:paraId="447FD7E3">
      <w:pPr>
        <w:adjustRightInd w:val="0"/>
        <w:snapToGrid w:val="0"/>
        <w:spacing w:line="400" w:lineRule="exact"/>
        <w:ind w:firstLine="840" w:firstLineChars="400"/>
        <w:rPr>
          <w:rFonts w:cs="Times New Roman" w:asciiTheme="minorEastAsia" w:hAnsiTheme="minorEastAsia" w:eastAsiaTheme="minorEastAsia"/>
          <w:bCs/>
          <w:color w:val="auto"/>
          <w:u w:val="single"/>
          <w:lang w:eastAsia="zh-CN"/>
        </w:rPr>
      </w:pPr>
      <w:r>
        <w:rPr>
          <w:rFonts w:hint="default" w:cs="Times New Roman" w:asciiTheme="minorEastAsia" w:hAnsiTheme="minorEastAsia" w:eastAsiaTheme="minorEastAsia"/>
          <w:bCs/>
          <w:color w:val="auto"/>
          <w:lang w:val="en-US" w:eastAsia="zh-CN"/>
        </w:rPr>
        <w:t>是否存在破坏性检测：</w:t>
      </w:r>
      <w:r>
        <w:rPr>
          <w:rFonts w:hint="default" w:cs="Times New Roman" w:asciiTheme="minorEastAsia" w:hAnsiTheme="minorEastAsia" w:eastAsiaTheme="minorEastAsia"/>
          <w:color w:val="auto"/>
        </w:rPr>
        <w:sym w:font="Wingdings" w:char="00A8"/>
      </w:r>
      <w:r>
        <w:rPr>
          <w:rFonts w:hint="default" w:cs="Times New Roman" w:asciiTheme="minorEastAsia" w:hAnsiTheme="minorEastAsia" w:eastAsiaTheme="minorEastAsia"/>
          <w:bCs/>
          <w:color w:val="auto"/>
          <w:lang w:eastAsia="zh-CN"/>
        </w:rPr>
        <w:t>是，</w:t>
      </w:r>
      <w:r>
        <w:rPr>
          <w:rFonts w:hint="default" w:cs="Times New Roman" w:asciiTheme="minorEastAsia" w:hAnsiTheme="minorEastAsia" w:eastAsiaTheme="minorEastAsia"/>
          <w:bCs/>
          <w:color w:val="auto"/>
          <w:u w:val="single"/>
          <w:lang w:eastAsia="zh-CN"/>
        </w:rPr>
        <w:t>（应明确对被破坏的检测产品的处理方式）</w:t>
      </w:r>
    </w:p>
    <w:p w14:paraId="7789FF5F">
      <w:pPr>
        <w:adjustRightInd w:val="0"/>
        <w:snapToGrid w:val="0"/>
        <w:spacing w:line="400" w:lineRule="exact"/>
        <w:ind w:firstLine="840" w:firstLineChars="400"/>
        <w:rPr>
          <w:rFonts w:cs="Times New Roman" w:asciiTheme="minorEastAsia" w:hAnsiTheme="minorEastAsia" w:eastAsiaTheme="minorEastAsia"/>
          <w:bCs/>
          <w:color w:val="auto"/>
          <w:lang w:eastAsia="zh-CN"/>
        </w:rPr>
      </w:pPr>
      <w:r>
        <w:rPr>
          <w:rFonts w:hint="default" w:cs="Times New Roman" w:asciiTheme="minorEastAsia" w:hAnsiTheme="minorEastAsia" w:eastAsiaTheme="minorEastAsia"/>
          <w:bCs/>
          <w:color w:val="auto"/>
          <w:lang w:val="en-US" w:eastAsia="zh-CN"/>
        </w:rPr>
        <w:t xml:space="preserve">                    </w:t>
      </w:r>
      <w:r>
        <w:rPr>
          <w:rFonts w:hint="default" w:cs="Times New Roman" w:asciiTheme="minorEastAsia" w:hAnsiTheme="minorEastAsia" w:eastAsiaTheme="minorEastAsia"/>
          <w:color w:val="auto"/>
        </w:rPr>
        <w:sym w:font="Wingdings" w:char="00FE"/>
      </w:r>
      <w:r>
        <w:rPr>
          <w:rFonts w:hint="default" w:cs="Times New Roman" w:asciiTheme="minorEastAsia" w:hAnsiTheme="minorEastAsia" w:eastAsiaTheme="minorEastAsia"/>
          <w:bCs/>
          <w:color w:val="auto"/>
          <w:lang w:eastAsia="zh-CN"/>
        </w:rPr>
        <w:t>否</w:t>
      </w:r>
    </w:p>
    <w:p w14:paraId="0416CC89">
      <w:pPr>
        <w:adjustRightInd w:val="0"/>
        <w:snapToGrid w:val="0"/>
        <w:spacing w:line="400" w:lineRule="exact"/>
        <w:ind w:firstLine="840" w:firstLineChars="400"/>
        <w:rPr>
          <w:rFonts w:cs="Times New Roman" w:asciiTheme="minorEastAsia" w:hAnsiTheme="minorEastAsia" w:eastAsiaTheme="minorEastAsia"/>
          <w:bCs/>
          <w:color w:val="auto"/>
          <w:u w:val="single"/>
          <w:lang w:eastAsia="zh-CN"/>
        </w:rPr>
      </w:pPr>
      <w:r>
        <w:rPr>
          <w:rFonts w:hint="default" w:cs="Times New Roman" w:asciiTheme="minorEastAsia" w:hAnsiTheme="minorEastAsia" w:eastAsiaTheme="minorEastAsia"/>
          <w:bCs/>
          <w:color w:val="auto"/>
          <w:lang w:eastAsia="zh-CN"/>
        </w:rPr>
        <w:t>验收组织的其他事项：</w:t>
      </w:r>
      <w:r>
        <w:rPr>
          <w:rFonts w:hint="default" w:cs="Times New Roman" w:asciiTheme="minorEastAsia" w:hAnsiTheme="minorEastAsia" w:eastAsiaTheme="minorEastAsia"/>
          <w:bCs/>
          <w:color w:val="auto"/>
          <w:u w:val="single"/>
          <w:lang w:eastAsia="zh-CN"/>
        </w:rPr>
        <w:t xml:space="preserve">    </w:t>
      </w:r>
      <w:r>
        <w:rPr>
          <w:rFonts w:hint="default" w:cs="Times New Roman" w:asciiTheme="minorEastAsia" w:hAnsiTheme="minorEastAsia" w:eastAsiaTheme="minorEastAsia"/>
          <w:bCs/>
          <w:color w:val="auto"/>
          <w:u w:val="single"/>
          <w:lang w:val="en-US" w:eastAsia="zh-CN"/>
        </w:rPr>
        <w:t>无</w:t>
      </w:r>
      <w:r>
        <w:rPr>
          <w:rFonts w:hint="default" w:cs="Times New Roman" w:asciiTheme="minorEastAsia" w:hAnsiTheme="minorEastAsia" w:eastAsiaTheme="minorEastAsia"/>
          <w:bCs/>
          <w:color w:val="auto"/>
          <w:u w:val="single"/>
          <w:lang w:eastAsia="zh-CN"/>
        </w:rPr>
        <w:t xml:space="preserve">      </w:t>
      </w:r>
    </w:p>
    <w:p w14:paraId="79B16255">
      <w:pPr>
        <w:adjustRightInd w:val="0"/>
        <w:snapToGrid w:val="0"/>
        <w:spacing w:line="400" w:lineRule="exact"/>
        <w:ind w:firstLine="420" w:firstLineChars="200"/>
        <w:rPr>
          <w:rFonts w:cs="Times New Roman" w:asciiTheme="minorEastAsia" w:hAnsiTheme="minorEastAsia" w:eastAsiaTheme="minorEastAsia"/>
          <w:bCs/>
          <w:color w:val="auto"/>
          <w:u w:val="single"/>
          <w:lang w:eastAsia="zh-CN"/>
        </w:rPr>
      </w:pPr>
      <w:r>
        <w:rPr>
          <w:rFonts w:hint="default" w:cs="Times New Roman" w:asciiTheme="minorEastAsia" w:hAnsiTheme="minorEastAsia" w:eastAsiaTheme="minorEastAsia"/>
          <w:bCs/>
          <w:color w:val="auto"/>
          <w:lang w:eastAsia="zh-CN"/>
        </w:rPr>
        <w:t>（2）履约验收时间：</w:t>
      </w:r>
      <w:r>
        <w:rPr>
          <w:rFonts w:hint="default" w:cs="Times New Roman" w:asciiTheme="minorEastAsia" w:hAnsiTheme="minorEastAsia" w:eastAsiaTheme="minorEastAsia"/>
          <w:bCs/>
          <w:color w:val="auto"/>
          <w:u w:val="single"/>
          <w:lang w:eastAsia="zh-CN"/>
        </w:rPr>
        <w:t>（计划于何时验收/供应商提出验收申请之日起</w:t>
      </w:r>
      <w:r>
        <w:rPr>
          <w:rFonts w:cs="Times New Roman" w:asciiTheme="minorEastAsia" w:hAnsiTheme="minorEastAsia" w:eastAsiaTheme="minorEastAsia"/>
          <w:bCs/>
          <w:color w:val="auto"/>
          <w:u w:val="single"/>
          <w:lang w:val="en-US" w:eastAsia="zh-CN"/>
        </w:rPr>
        <w:t>7</w:t>
      </w:r>
      <w:r>
        <w:rPr>
          <w:rFonts w:hint="default" w:cs="Times New Roman" w:asciiTheme="minorEastAsia" w:hAnsiTheme="minorEastAsia" w:eastAsiaTheme="minorEastAsia"/>
          <w:bCs/>
          <w:color w:val="auto"/>
          <w:u w:val="single"/>
          <w:lang w:eastAsia="zh-CN"/>
        </w:rPr>
        <w:t>日内组织验收）</w:t>
      </w:r>
      <w:r>
        <w:rPr>
          <w:rFonts w:hint="default" w:cs="Times New Roman" w:asciiTheme="minorEastAsia" w:hAnsiTheme="minorEastAsia" w:eastAsiaTheme="minorEastAsia"/>
          <w:bCs/>
          <w:color w:val="auto"/>
          <w:u w:val="single"/>
          <w:lang w:val="en-US" w:eastAsia="zh-CN"/>
        </w:rPr>
        <w:t xml:space="preserve"> </w:t>
      </w:r>
    </w:p>
    <w:p w14:paraId="25164A6C">
      <w:pPr>
        <w:adjustRightInd w:val="0"/>
        <w:snapToGrid w:val="0"/>
        <w:spacing w:line="400" w:lineRule="exact"/>
        <w:ind w:firstLine="420" w:firstLineChars="200"/>
        <w:rPr>
          <w:rFonts w:cs="Times New Roman" w:asciiTheme="minorEastAsia" w:hAnsiTheme="minorEastAsia" w:eastAsiaTheme="minorEastAsia"/>
          <w:bCs/>
          <w:color w:val="auto"/>
          <w:lang w:eastAsia="zh-CN"/>
        </w:rPr>
      </w:pPr>
      <w:r>
        <w:rPr>
          <w:rFonts w:hint="default" w:cs="Times New Roman" w:asciiTheme="minorEastAsia" w:hAnsiTheme="minorEastAsia" w:eastAsiaTheme="minorEastAsia"/>
          <w:bCs/>
          <w:color w:val="auto"/>
          <w:lang w:eastAsia="zh-CN"/>
        </w:rPr>
        <w:t>（3）履约验收方式：</w:t>
      </w:r>
      <w:r>
        <w:rPr>
          <w:rFonts w:hint="default" w:cs="Times New Roman" w:asciiTheme="minorEastAsia" w:hAnsiTheme="minorEastAsia" w:eastAsiaTheme="minorEastAsia"/>
          <w:color w:val="auto"/>
          <w:lang w:eastAsia="zh-CN"/>
        </w:rPr>
        <w:t xml:space="preserve"> </w:t>
      </w:r>
      <w:r>
        <w:rPr>
          <w:rFonts w:hint="default" w:cs="Times New Roman" w:asciiTheme="minorEastAsia" w:hAnsiTheme="minorEastAsia" w:eastAsiaTheme="minorEastAsia"/>
          <w:color w:val="auto"/>
        </w:rPr>
        <w:sym w:font="Wingdings" w:char="00FE"/>
      </w:r>
      <w:r>
        <w:rPr>
          <w:rFonts w:hint="default" w:cs="Times New Roman" w:asciiTheme="minorEastAsia" w:hAnsiTheme="minorEastAsia" w:eastAsiaTheme="minorEastAsia"/>
          <w:bCs/>
          <w:color w:val="auto"/>
          <w:lang w:eastAsia="zh-CN"/>
        </w:rPr>
        <w:t xml:space="preserve">一次性验收         </w:t>
      </w:r>
    </w:p>
    <w:p w14:paraId="6331C84E">
      <w:pPr>
        <w:adjustRightInd w:val="0"/>
        <w:snapToGrid w:val="0"/>
        <w:spacing w:line="400" w:lineRule="exact"/>
        <w:rPr>
          <w:rFonts w:cs="Times New Roman" w:asciiTheme="minorEastAsia" w:hAnsiTheme="minorEastAsia" w:eastAsiaTheme="minorEastAsia"/>
          <w:bCs/>
          <w:color w:val="auto"/>
          <w:lang w:val="en-US" w:eastAsia="zh-CN"/>
        </w:rPr>
      </w:pPr>
      <w:r>
        <w:rPr>
          <w:rFonts w:hint="default" w:cs="Times New Roman" w:asciiTheme="minorEastAsia" w:hAnsiTheme="minorEastAsia" w:eastAsiaTheme="minorEastAsia"/>
          <w:bCs/>
          <w:color w:val="auto"/>
          <w:lang w:val="en-US" w:eastAsia="zh-CN"/>
        </w:rPr>
        <w:t xml:space="preserve">                      </w:t>
      </w:r>
      <w:r>
        <w:rPr>
          <w:rFonts w:cs="Times New Roman" w:asciiTheme="minorEastAsia" w:hAnsiTheme="minorEastAsia" w:eastAsiaTheme="minorEastAsia"/>
          <w:bCs/>
          <w:color w:val="auto"/>
          <w:lang w:val="en-US" w:eastAsia="zh-CN"/>
        </w:rPr>
        <w:t xml:space="preserve"> </w:t>
      </w:r>
      <w:r>
        <w:rPr>
          <w:rFonts w:hint="default" w:cs="Times New Roman" w:asciiTheme="minorEastAsia" w:hAnsiTheme="minorEastAsia" w:eastAsiaTheme="minorEastAsia"/>
          <w:bCs/>
          <w:color w:val="auto"/>
          <w:lang w:val="en-US" w:eastAsia="zh-CN"/>
        </w:rPr>
        <w:t xml:space="preserve"> </w:t>
      </w:r>
      <w:r>
        <w:rPr>
          <w:rFonts w:hint="default" w:cs="Times New Roman" w:asciiTheme="minorEastAsia" w:hAnsiTheme="minorEastAsia" w:eastAsiaTheme="minorEastAsia"/>
          <w:color w:val="auto"/>
        </w:rPr>
        <w:sym w:font="Wingdings" w:char="00A8"/>
      </w:r>
      <w:r>
        <w:rPr>
          <w:rFonts w:hint="default" w:cs="Times New Roman" w:asciiTheme="minorEastAsia" w:hAnsiTheme="minorEastAsia" w:eastAsiaTheme="minorEastAsia"/>
          <w:bCs/>
          <w:color w:val="auto"/>
          <w:lang w:eastAsia="zh-CN"/>
        </w:rPr>
        <w:t>分期/分项验收： （应明确分期</w:t>
      </w:r>
      <w:r>
        <w:rPr>
          <w:rFonts w:hint="default" w:cs="Times New Roman" w:asciiTheme="minorEastAsia" w:hAnsiTheme="minorEastAsia" w:eastAsiaTheme="minorEastAsia"/>
          <w:bCs/>
          <w:color w:val="auto"/>
          <w:lang w:val="en" w:eastAsia="zh-CN"/>
        </w:rPr>
        <w:t>/分项验收的工作安排</w:t>
      </w:r>
      <w:r>
        <w:rPr>
          <w:rFonts w:hint="default" w:cs="Times New Roman" w:asciiTheme="minorEastAsia" w:hAnsiTheme="minorEastAsia" w:eastAsiaTheme="minorEastAsia"/>
          <w:bCs/>
          <w:color w:val="auto"/>
          <w:lang w:eastAsia="zh-CN"/>
        </w:rPr>
        <w:t xml:space="preserve">） </w:t>
      </w:r>
      <w:r>
        <w:rPr>
          <w:rFonts w:hint="default" w:cs="Times New Roman" w:asciiTheme="minorEastAsia" w:hAnsiTheme="minorEastAsia" w:eastAsiaTheme="minorEastAsia"/>
          <w:bCs/>
          <w:color w:val="auto"/>
          <w:lang w:val="en-US" w:eastAsia="zh-CN"/>
        </w:rPr>
        <w:t xml:space="preserve"> </w:t>
      </w:r>
    </w:p>
    <w:p w14:paraId="07DE4596">
      <w:pPr>
        <w:adjustRightInd w:val="0"/>
        <w:snapToGrid w:val="0"/>
        <w:spacing w:line="400" w:lineRule="exact"/>
        <w:ind w:firstLine="420" w:firstLineChars="200"/>
        <w:rPr>
          <w:rFonts w:cs="Times New Roman" w:asciiTheme="minorEastAsia" w:hAnsiTheme="minorEastAsia" w:eastAsiaTheme="minorEastAsia"/>
          <w:bCs/>
          <w:color w:val="auto"/>
          <w:lang w:val="en-US" w:eastAsia="zh-CN"/>
        </w:rPr>
      </w:pPr>
      <w:r>
        <w:rPr>
          <w:rFonts w:hint="default" w:cs="Times New Roman" w:asciiTheme="minorEastAsia" w:hAnsiTheme="minorEastAsia" w:eastAsiaTheme="minorEastAsia"/>
          <w:bCs/>
          <w:color w:val="auto"/>
          <w:lang w:eastAsia="zh-CN"/>
        </w:rPr>
        <w:t>（4）履约验收程序：</w:t>
      </w:r>
      <w:r>
        <w:rPr>
          <w:rFonts w:cs="Times New Roman" w:asciiTheme="minorEastAsia" w:hAnsiTheme="minorEastAsia" w:eastAsiaTheme="minorEastAsia"/>
          <w:bCs/>
          <w:color w:val="auto"/>
          <w:lang w:val="en-US" w:eastAsia="zh-CN"/>
        </w:rPr>
        <w:t>1.</w:t>
      </w:r>
      <w:r>
        <w:rPr>
          <w:rFonts w:hint="default" w:cs="Times New Roman" w:asciiTheme="minorEastAsia" w:hAnsiTheme="minorEastAsia" w:eastAsiaTheme="minorEastAsia"/>
          <w:bCs/>
          <w:color w:val="auto"/>
          <w:lang w:val="en-US" w:eastAsia="zh-CN"/>
        </w:rPr>
        <w:t>到货验收。到货后，检查仪器设备内外包装是否完好，有无破损、碰伤、浸湿、受潮、 变形等情况。确认所验收货物件数与运输单据填写的件数一致。如发现上述问题，应做详细记录，并拍照留据。</w:t>
      </w:r>
    </w:p>
    <w:p w14:paraId="75203885">
      <w:pPr>
        <w:adjustRightInd w:val="0"/>
        <w:snapToGrid w:val="0"/>
        <w:spacing w:line="400" w:lineRule="exact"/>
        <w:ind w:firstLine="420" w:firstLineChars="200"/>
        <w:rPr>
          <w:rFonts w:cs="Times New Roman" w:asciiTheme="minorEastAsia" w:hAnsiTheme="minorEastAsia" w:eastAsiaTheme="minorEastAsia"/>
          <w:bCs/>
          <w:color w:val="auto"/>
          <w:lang w:val="en-US" w:eastAsia="zh-CN"/>
        </w:rPr>
      </w:pPr>
      <w:r>
        <w:rPr>
          <w:rFonts w:cs="Times New Roman" w:asciiTheme="minorEastAsia" w:hAnsiTheme="minorEastAsia" w:eastAsiaTheme="minorEastAsia"/>
          <w:bCs/>
          <w:color w:val="auto"/>
          <w:lang w:val="en-US" w:eastAsia="zh-CN"/>
        </w:rPr>
        <w:t>2.</w:t>
      </w:r>
      <w:r>
        <w:rPr>
          <w:rFonts w:hint="default" w:cs="Times New Roman" w:asciiTheme="minorEastAsia" w:hAnsiTheme="minorEastAsia" w:eastAsiaTheme="minorEastAsia"/>
          <w:bCs/>
          <w:color w:val="auto"/>
          <w:lang w:val="en-US" w:eastAsia="zh-CN"/>
        </w:rPr>
        <w:t>开箱(实物及数量参数)验收。到货后开箱检查仪器设备及附件外表有无残损、锈蚀、碰伤等，检查随机资料是否齐全，如仪器说明书、操作规程、检修手册、产品检验合格证书等。以装箱单为依据，逐件核对检查主机、附件的规格、型号、配置及数量。以供货合同为依据与装箱单进行核对，做好货物(设备)验收清单记录。</w:t>
      </w:r>
    </w:p>
    <w:p w14:paraId="70254CE3">
      <w:pPr>
        <w:adjustRightInd w:val="0"/>
        <w:snapToGrid w:val="0"/>
        <w:spacing w:line="400" w:lineRule="exact"/>
        <w:ind w:firstLine="420" w:firstLineChars="200"/>
        <w:rPr>
          <w:rFonts w:cs="Times New Roman" w:asciiTheme="minorEastAsia" w:hAnsiTheme="minorEastAsia" w:eastAsiaTheme="minorEastAsia"/>
          <w:bCs/>
          <w:color w:val="auto"/>
          <w:lang w:val="en-US" w:eastAsia="zh-CN"/>
        </w:rPr>
      </w:pPr>
      <w:r>
        <w:rPr>
          <w:rFonts w:cs="Times New Roman" w:asciiTheme="minorEastAsia" w:hAnsiTheme="minorEastAsia" w:eastAsiaTheme="minorEastAsia"/>
          <w:bCs/>
          <w:color w:val="auto"/>
          <w:lang w:val="en-US" w:eastAsia="zh-CN"/>
        </w:rPr>
        <w:t>3.</w:t>
      </w:r>
      <w:r>
        <w:rPr>
          <w:rFonts w:hint="default" w:cs="Times New Roman" w:asciiTheme="minorEastAsia" w:hAnsiTheme="minorEastAsia" w:eastAsiaTheme="minorEastAsia"/>
          <w:bCs/>
          <w:color w:val="auto"/>
          <w:lang w:val="en-US" w:eastAsia="zh-CN"/>
        </w:rPr>
        <w:t>质量验收。按照合同条款、货物(设备) 使用说明书及操作手册的规定和程序进行安装、 调试后进行质量验收，乙方技术人员参加，必要时可委托有资质的第三方(或政府主管部门)进行验收，所需费用由乙方承担。验收时对照货物(设备)使用说明书，进行各种技术参数测试，检查仪器的技术指标和性能是否达到要求，做好质量验收记录，验收结束出具验收报告。若仪器出现质量问题，</w:t>
      </w:r>
      <w:r>
        <w:rPr>
          <w:rFonts w:cs="Times New Roman" w:asciiTheme="minorEastAsia" w:hAnsiTheme="minorEastAsia" w:eastAsiaTheme="minorEastAsia"/>
          <w:bCs/>
          <w:color w:val="auto"/>
          <w:lang w:val="en-US" w:eastAsia="zh-CN"/>
        </w:rPr>
        <w:t>甲方</w:t>
      </w:r>
      <w:r>
        <w:rPr>
          <w:rFonts w:hint="default" w:cs="Times New Roman" w:asciiTheme="minorEastAsia" w:hAnsiTheme="minorEastAsia" w:eastAsiaTheme="minorEastAsia"/>
          <w:bCs/>
          <w:color w:val="auto"/>
          <w:lang w:val="en-US" w:eastAsia="zh-CN"/>
        </w:rPr>
        <w:t>应将详细情况书面通知</w:t>
      </w:r>
      <w:r>
        <w:rPr>
          <w:rFonts w:cs="Times New Roman" w:asciiTheme="minorEastAsia" w:hAnsiTheme="minorEastAsia" w:eastAsiaTheme="minorEastAsia"/>
          <w:bCs/>
          <w:color w:val="auto"/>
          <w:lang w:val="en-US" w:eastAsia="zh-CN"/>
        </w:rPr>
        <w:t>乙方</w:t>
      </w:r>
      <w:r>
        <w:rPr>
          <w:rFonts w:hint="default" w:cs="Times New Roman" w:asciiTheme="minorEastAsia" w:hAnsiTheme="minorEastAsia" w:eastAsiaTheme="minorEastAsia"/>
          <w:bCs/>
          <w:color w:val="auto"/>
          <w:lang w:val="en-US" w:eastAsia="zh-CN"/>
        </w:rPr>
        <w:t>。</w:t>
      </w:r>
    </w:p>
    <w:p w14:paraId="620382FE">
      <w:pPr>
        <w:adjustRightInd w:val="0"/>
        <w:snapToGrid w:val="0"/>
        <w:spacing w:line="400" w:lineRule="exact"/>
        <w:ind w:firstLine="420" w:firstLineChars="200"/>
        <w:rPr>
          <w:rFonts w:cs="Times New Roman" w:asciiTheme="minorEastAsia" w:hAnsiTheme="minorEastAsia" w:eastAsiaTheme="minorEastAsia"/>
          <w:bCs/>
          <w:color w:val="auto"/>
          <w:lang w:eastAsia="zh-CN"/>
        </w:rPr>
      </w:pPr>
      <w:r>
        <w:rPr>
          <w:rFonts w:cs="Times New Roman" w:asciiTheme="minorEastAsia" w:hAnsiTheme="minorEastAsia" w:eastAsiaTheme="minorEastAsia"/>
          <w:bCs/>
          <w:color w:val="auto"/>
          <w:lang w:val="en-US" w:eastAsia="zh-CN"/>
        </w:rPr>
        <w:t>4.正式验收。使用单位初验合格后，由学校或第三方验收机构进行正式验收，验收所产生的费用由乙方承担。</w:t>
      </w:r>
    </w:p>
    <w:p w14:paraId="3BC54515">
      <w:pPr>
        <w:adjustRightInd w:val="0"/>
        <w:snapToGrid w:val="0"/>
        <w:spacing w:line="400" w:lineRule="exact"/>
        <w:ind w:firstLine="420" w:firstLineChars="200"/>
        <w:rPr>
          <w:rFonts w:cs="Times New Roman" w:asciiTheme="minorEastAsia" w:hAnsiTheme="minorEastAsia" w:eastAsiaTheme="minorEastAsia"/>
          <w:bCs/>
          <w:color w:val="auto"/>
          <w:lang w:eastAsia="zh-CN"/>
        </w:rPr>
      </w:pPr>
      <w:r>
        <w:rPr>
          <w:rFonts w:hint="default" w:cs="Times New Roman" w:asciiTheme="minorEastAsia" w:hAnsiTheme="minorEastAsia" w:eastAsiaTheme="minorEastAsia"/>
          <w:bCs/>
          <w:color w:val="auto"/>
          <w:lang w:eastAsia="zh-CN"/>
        </w:rPr>
        <w:t xml:space="preserve">（5）履约验收的内容： （应当包括每一项技术和商务要求的履约情况，特别是落实政府采购扶持中小企业，支持绿色发展和乡村振兴等政策情况）                                      </w:t>
      </w:r>
    </w:p>
    <w:p w14:paraId="19F8054E">
      <w:pPr>
        <w:adjustRightInd w:val="0"/>
        <w:snapToGrid w:val="0"/>
        <w:spacing w:line="400" w:lineRule="exact"/>
        <w:ind w:firstLine="420" w:firstLineChars="200"/>
        <w:rPr>
          <w:rFonts w:cs="Times New Roman" w:asciiTheme="minorEastAsia" w:hAnsiTheme="minorEastAsia" w:eastAsiaTheme="minorEastAsia"/>
          <w:bCs/>
          <w:color w:val="auto"/>
          <w:u w:val="single"/>
          <w:lang w:eastAsia="zh-CN"/>
        </w:rPr>
      </w:pPr>
      <w:r>
        <w:rPr>
          <w:rFonts w:hint="default" w:cs="Times New Roman" w:asciiTheme="minorEastAsia" w:hAnsiTheme="minorEastAsia" w:eastAsiaTheme="minorEastAsia"/>
          <w:bCs/>
          <w:color w:val="auto"/>
          <w:lang w:eastAsia="zh-CN"/>
        </w:rPr>
        <w:t xml:space="preserve">（6）履约验收标准： </w:t>
      </w:r>
      <w:r>
        <w:rPr>
          <w:rFonts w:hint="default" w:cs="Times New Roman" w:asciiTheme="minorEastAsia" w:hAnsiTheme="minorEastAsia" w:eastAsiaTheme="minorEastAsia"/>
          <w:bCs/>
          <w:color w:val="auto"/>
          <w:u w:val="single"/>
          <w:lang w:eastAsia="zh-CN"/>
        </w:rPr>
        <w:t xml:space="preserve"> </w:t>
      </w:r>
      <w:r>
        <w:rPr>
          <w:rFonts w:hint="default" w:cs="Times New Roman" w:asciiTheme="minorEastAsia" w:hAnsiTheme="minorEastAsia" w:eastAsiaTheme="minorEastAsia"/>
          <w:bCs/>
          <w:color w:val="auto"/>
          <w:u w:val="single"/>
          <w:lang w:val="en-US" w:eastAsia="zh-CN"/>
        </w:rPr>
        <w:t>符合国家相关行业合格标准且满足采购人需求。</w:t>
      </w:r>
      <w:r>
        <w:rPr>
          <w:rFonts w:hint="default" w:cs="Times New Roman" w:asciiTheme="minorEastAsia" w:hAnsiTheme="minorEastAsia" w:eastAsiaTheme="minorEastAsia"/>
          <w:bCs/>
          <w:color w:val="auto"/>
          <w:u w:val="single"/>
          <w:lang w:eastAsia="zh-CN"/>
        </w:rPr>
        <w:t xml:space="preserve">     </w:t>
      </w:r>
    </w:p>
    <w:p w14:paraId="5AF05089">
      <w:pPr>
        <w:pStyle w:val="260"/>
        <w:ind w:firstLine="420"/>
        <w:rPr>
          <w:rFonts w:hint="eastAsia" w:cs="Times New Roman" w:asciiTheme="minorEastAsia" w:hAnsiTheme="minorEastAsia" w:eastAsiaTheme="minorEastAsia"/>
          <w:sz w:val="21"/>
        </w:rPr>
      </w:pPr>
      <w:r>
        <w:rPr>
          <w:rFonts w:cs="Times New Roman" w:asciiTheme="minorEastAsia" w:hAnsiTheme="minorEastAsia" w:eastAsiaTheme="minorEastAsia"/>
          <w:bCs/>
          <w:sz w:val="21"/>
        </w:rPr>
        <w:t>（7）是否以采购活动中供应商提供的样品作为参考：</w:t>
      </w:r>
      <w:r>
        <w:rPr>
          <w:rFonts w:cs="Times New Roman" w:asciiTheme="minorEastAsia" w:hAnsiTheme="minorEastAsia" w:eastAsiaTheme="minorEastAsia"/>
          <w:sz w:val="21"/>
        </w:rPr>
        <w:sym w:font="Wingdings" w:char="00A8"/>
      </w:r>
      <w:r>
        <w:rPr>
          <w:rFonts w:cs="Times New Roman" w:asciiTheme="minorEastAsia" w:hAnsiTheme="minorEastAsia" w:eastAsiaTheme="minorEastAsia"/>
          <w:bCs/>
          <w:sz w:val="21"/>
        </w:rPr>
        <w:t xml:space="preserve">是  </w:t>
      </w:r>
      <w:r>
        <w:rPr>
          <w:rFonts w:cs="Times New Roman" w:asciiTheme="minorEastAsia" w:hAnsiTheme="minorEastAsia" w:eastAsiaTheme="minorEastAsia"/>
          <w:sz w:val="21"/>
        </w:rPr>
        <w:sym w:font="Wingdings" w:char="00FE"/>
      </w:r>
      <w:r>
        <w:rPr>
          <w:rFonts w:cs="Times New Roman" w:asciiTheme="minorEastAsia" w:hAnsiTheme="minorEastAsia" w:eastAsiaTheme="minorEastAsia"/>
          <w:bCs/>
          <w:sz w:val="21"/>
        </w:rPr>
        <w:t>否</w:t>
      </w:r>
    </w:p>
    <w:p w14:paraId="504E7162">
      <w:pPr>
        <w:adjustRightInd w:val="0"/>
        <w:snapToGrid w:val="0"/>
        <w:spacing w:line="400" w:lineRule="exact"/>
        <w:ind w:firstLine="420" w:firstLineChars="200"/>
        <w:rPr>
          <w:rFonts w:cs="Times New Roman" w:asciiTheme="minorEastAsia" w:hAnsiTheme="minorEastAsia" w:eastAsiaTheme="minorEastAsia"/>
          <w:bCs/>
          <w:color w:val="auto"/>
          <w:u w:val="single"/>
          <w:lang w:eastAsia="zh-CN"/>
        </w:rPr>
      </w:pPr>
      <w:r>
        <w:rPr>
          <w:rFonts w:hint="default" w:cs="Times New Roman" w:asciiTheme="minorEastAsia" w:hAnsiTheme="minorEastAsia" w:eastAsiaTheme="minorEastAsia"/>
          <w:bCs/>
          <w:color w:val="auto"/>
          <w:lang w:eastAsia="zh-CN"/>
        </w:rPr>
        <w:t>（8）履约验收其他事项：</w:t>
      </w:r>
      <w:r>
        <w:rPr>
          <w:rFonts w:hint="default" w:cs="Times New Roman" w:asciiTheme="minorEastAsia" w:hAnsiTheme="minorEastAsia" w:eastAsiaTheme="minorEastAsia"/>
          <w:bCs/>
          <w:color w:val="auto"/>
          <w:u w:val="single"/>
          <w:lang w:eastAsia="zh-CN"/>
        </w:rPr>
        <w:t xml:space="preserve"> </w:t>
      </w:r>
      <w:r>
        <w:rPr>
          <w:rFonts w:cs="Times New Roman" w:asciiTheme="minorEastAsia" w:hAnsiTheme="minorEastAsia" w:eastAsiaTheme="minorEastAsia"/>
          <w:bCs/>
          <w:color w:val="auto"/>
          <w:u w:val="single"/>
          <w:lang w:eastAsia="zh-CN"/>
        </w:rPr>
        <w:t xml:space="preserve">  </w:t>
      </w:r>
      <w:r>
        <w:rPr>
          <w:rFonts w:cs="Times New Roman" w:asciiTheme="minorEastAsia" w:hAnsiTheme="minorEastAsia" w:eastAsiaTheme="minorEastAsia"/>
          <w:bCs/>
          <w:color w:val="auto"/>
          <w:u w:val="single"/>
          <w:lang w:val="en-US" w:eastAsia="zh-CN"/>
        </w:rPr>
        <w:t xml:space="preserve">  无                               </w:t>
      </w:r>
      <w:r>
        <w:rPr>
          <w:rFonts w:cs="Times New Roman" w:asciiTheme="minorEastAsia" w:hAnsiTheme="minorEastAsia" w:eastAsiaTheme="minorEastAsia"/>
          <w:bCs/>
          <w:color w:val="auto"/>
          <w:u w:val="single"/>
          <w:lang w:eastAsia="zh-CN"/>
        </w:rPr>
        <w:t xml:space="preserve">    </w:t>
      </w:r>
      <w:r>
        <w:rPr>
          <w:rFonts w:hint="default" w:cs="Times New Roman" w:asciiTheme="minorEastAsia" w:hAnsiTheme="minorEastAsia" w:eastAsiaTheme="minorEastAsia"/>
          <w:bCs/>
          <w:color w:val="auto"/>
          <w:lang w:eastAsia="zh-CN"/>
        </w:rPr>
        <w:t xml:space="preserve">。      </w:t>
      </w:r>
    </w:p>
    <w:p w14:paraId="6C609FBB">
      <w:pPr>
        <w:numPr>
          <w:ilvl w:val="0"/>
          <w:numId w:val="14"/>
        </w:numPr>
        <w:adjustRightInd w:val="0"/>
        <w:snapToGrid w:val="0"/>
        <w:spacing w:line="400" w:lineRule="exact"/>
        <w:ind w:firstLine="422" w:firstLineChars="200"/>
        <w:rPr>
          <w:rFonts w:cs="Times New Roman" w:asciiTheme="minorEastAsia" w:hAnsiTheme="minorEastAsia" w:eastAsiaTheme="minorEastAsia"/>
          <w:b/>
          <w:color w:val="auto"/>
        </w:rPr>
      </w:pPr>
      <w:r>
        <w:rPr>
          <w:rFonts w:hint="default" w:cs="Times New Roman" w:asciiTheme="minorEastAsia" w:hAnsiTheme="minorEastAsia" w:eastAsiaTheme="minorEastAsia"/>
          <w:b/>
          <w:color w:val="auto"/>
        </w:rPr>
        <w:t>组成合同的文件</w:t>
      </w:r>
    </w:p>
    <w:p w14:paraId="51DCAEAF">
      <w:pPr>
        <w:adjustRightInd w:val="0"/>
        <w:snapToGrid w:val="0"/>
        <w:spacing w:line="400" w:lineRule="exact"/>
        <w:ind w:firstLine="420" w:firstLineChars="200"/>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本协议书与下列文件一起构成合同文件，如下述文件之间有任何抵触、矛盾或歧义，应按以下顺序解释：</w:t>
      </w:r>
    </w:p>
    <w:p w14:paraId="1A266331">
      <w:pPr>
        <w:adjustRightInd w:val="0"/>
        <w:snapToGrid w:val="0"/>
        <w:spacing w:line="400" w:lineRule="exact"/>
        <w:ind w:firstLine="420" w:firstLineChars="200"/>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（1）政府采购合同协议书及其变更、补充协议</w:t>
      </w:r>
    </w:p>
    <w:p w14:paraId="4DB80CB1">
      <w:pPr>
        <w:adjustRightInd w:val="0"/>
        <w:snapToGrid w:val="0"/>
        <w:spacing w:line="400" w:lineRule="exact"/>
        <w:ind w:firstLine="420" w:firstLineChars="200"/>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w:t>
      </w:r>
      <w:r>
        <w:rPr>
          <w:rFonts w:hint="default" w:cs="Times New Roman" w:asciiTheme="minorEastAsia" w:hAnsiTheme="minorEastAsia" w:eastAsiaTheme="minorEastAsia"/>
          <w:color w:val="auto"/>
          <w:lang w:val="en-US" w:eastAsia="zh-CN"/>
        </w:rPr>
        <w:t>2</w:t>
      </w:r>
      <w:r>
        <w:rPr>
          <w:rFonts w:hint="default" w:cs="Times New Roman" w:asciiTheme="minorEastAsia" w:hAnsiTheme="minorEastAsia" w:eastAsiaTheme="minorEastAsia"/>
          <w:color w:val="auto"/>
          <w:lang w:eastAsia="zh-CN"/>
        </w:rPr>
        <w:t>）政府采购合同专用条款</w:t>
      </w:r>
    </w:p>
    <w:p w14:paraId="28CBBD7E">
      <w:pPr>
        <w:adjustRightInd w:val="0"/>
        <w:snapToGrid w:val="0"/>
        <w:spacing w:line="400" w:lineRule="exact"/>
        <w:ind w:firstLine="420" w:firstLineChars="200"/>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w:t>
      </w:r>
      <w:r>
        <w:rPr>
          <w:rFonts w:hint="default" w:cs="Times New Roman" w:asciiTheme="minorEastAsia" w:hAnsiTheme="minorEastAsia" w:eastAsiaTheme="minorEastAsia"/>
          <w:color w:val="auto"/>
          <w:lang w:val="en-US" w:eastAsia="zh-CN"/>
        </w:rPr>
        <w:t>3</w:t>
      </w:r>
      <w:r>
        <w:rPr>
          <w:rFonts w:hint="default" w:cs="Times New Roman" w:asciiTheme="minorEastAsia" w:hAnsiTheme="minorEastAsia" w:eastAsiaTheme="minorEastAsia"/>
          <w:color w:val="auto"/>
          <w:lang w:eastAsia="zh-CN"/>
        </w:rPr>
        <w:t>）政府采购合同通用条款</w:t>
      </w:r>
    </w:p>
    <w:p w14:paraId="2B31406C">
      <w:pPr>
        <w:adjustRightInd w:val="0"/>
        <w:snapToGrid w:val="0"/>
        <w:spacing w:line="400" w:lineRule="exact"/>
        <w:ind w:firstLine="420" w:firstLineChars="200"/>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w:t>
      </w:r>
      <w:r>
        <w:rPr>
          <w:rFonts w:hint="default" w:cs="Times New Roman" w:asciiTheme="minorEastAsia" w:hAnsiTheme="minorEastAsia" w:eastAsiaTheme="minorEastAsia"/>
          <w:color w:val="auto"/>
          <w:lang w:val="en-US" w:eastAsia="zh-CN"/>
        </w:rPr>
        <w:t>4</w:t>
      </w:r>
      <w:r>
        <w:rPr>
          <w:rFonts w:hint="default" w:cs="Times New Roman" w:asciiTheme="minorEastAsia" w:hAnsiTheme="minorEastAsia" w:eastAsiaTheme="minorEastAsia"/>
          <w:color w:val="auto"/>
          <w:lang w:eastAsia="zh-CN"/>
        </w:rPr>
        <w:t>）中标（成交）通知书</w:t>
      </w:r>
    </w:p>
    <w:p w14:paraId="1B814B2D">
      <w:pPr>
        <w:adjustRightInd w:val="0"/>
        <w:snapToGrid w:val="0"/>
        <w:spacing w:line="400" w:lineRule="exact"/>
        <w:ind w:firstLine="420" w:firstLineChars="200"/>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w:t>
      </w:r>
      <w:r>
        <w:rPr>
          <w:rFonts w:hint="default" w:cs="Times New Roman" w:asciiTheme="minorEastAsia" w:hAnsiTheme="minorEastAsia" w:eastAsiaTheme="minorEastAsia"/>
          <w:color w:val="auto"/>
          <w:lang w:val="en-US" w:eastAsia="zh-CN"/>
        </w:rPr>
        <w:t>5</w:t>
      </w:r>
      <w:r>
        <w:rPr>
          <w:rFonts w:hint="default" w:cs="Times New Roman" w:asciiTheme="minorEastAsia" w:hAnsiTheme="minorEastAsia" w:eastAsiaTheme="minorEastAsia"/>
          <w:color w:val="auto"/>
          <w:lang w:eastAsia="zh-CN"/>
        </w:rPr>
        <w:t>）投标（响应）文件</w:t>
      </w:r>
    </w:p>
    <w:p w14:paraId="4A2DABF4">
      <w:pPr>
        <w:adjustRightInd w:val="0"/>
        <w:snapToGrid w:val="0"/>
        <w:spacing w:line="400" w:lineRule="exact"/>
        <w:ind w:firstLine="420" w:firstLineChars="200"/>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（6）采购文件</w:t>
      </w:r>
    </w:p>
    <w:p w14:paraId="552A88BB">
      <w:pPr>
        <w:adjustRightInd w:val="0"/>
        <w:snapToGrid w:val="0"/>
        <w:spacing w:line="400" w:lineRule="exact"/>
        <w:ind w:firstLine="420" w:firstLineChars="200"/>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（7）有关技术文件，图纸</w:t>
      </w:r>
    </w:p>
    <w:p w14:paraId="5BCC46A6">
      <w:pPr>
        <w:pStyle w:val="260"/>
        <w:ind w:firstLine="420"/>
        <w:rPr>
          <w:rFonts w:hint="eastAsia" w:cs="Times New Roman" w:asciiTheme="minorEastAsia" w:hAnsiTheme="minorEastAsia" w:eastAsiaTheme="minorEastAsia"/>
          <w:kern w:val="2"/>
          <w:sz w:val="21"/>
        </w:rPr>
      </w:pPr>
      <w:r>
        <w:rPr>
          <w:rFonts w:cs="Times New Roman" w:asciiTheme="minorEastAsia" w:hAnsiTheme="minorEastAsia" w:eastAsiaTheme="minorEastAsia"/>
          <w:sz w:val="21"/>
        </w:rPr>
        <w:t>（8）</w:t>
      </w:r>
      <w:r>
        <w:rPr>
          <w:rFonts w:cs="Times New Roman" w:asciiTheme="minorEastAsia" w:hAnsiTheme="minorEastAsia" w:eastAsiaTheme="minorEastAsia"/>
          <w:kern w:val="2"/>
          <w:sz w:val="21"/>
        </w:rPr>
        <w:t>国家法律、行政法规和规章制度规定或合同约定的作为合同组成部分的其他文件</w:t>
      </w:r>
    </w:p>
    <w:p w14:paraId="46BF2A8B">
      <w:pPr>
        <w:numPr>
          <w:ilvl w:val="0"/>
          <w:numId w:val="14"/>
        </w:numPr>
        <w:adjustRightInd w:val="0"/>
        <w:snapToGrid w:val="0"/>
        <w:spacing w:line="400" w:lineRule="exact"/>
        <w:ind w:firstLine="422" w:firstLineChars="200"/>
        <w:rPr>
          <w:rFonts w:cs="Times New Roman" w:asciiTheme="minorEastAsia" w:hAnsiTheme="minorEastAsia" w:eastAsiaTheme="minorEastAsia"/>
          <w:b/>
          <w:color w:val="auto"/>
        </w:rPr>
      </w:pPr>
      <w:r>
        <w:rPr>
          <w:rFonts w:hint="default" w:cs="Times New Roman" w:asciiTheme="minorEastAsia" w:hAnsiTheme="minorEastAsia" w:eastAsiaTheme="minorEastAsia"/>
          <w:b/>
          <w:color w:val="auto"/>
        </w:rPr>
        <w:t>合同生效</w:t>
      </w:r>
    </w:p>
    <w:p w14:paraId="2ECFE0FA">
      <w:pPr>
        <w:adjustRightInd w:val="0"/>
        <w:snapToGrid w:val="0"/>
        <w:spacing w:line="400" w:lineRule="exact"/>
        <w:ind w:firstLine="420" w:firstLineChars="200"/>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本合同自</w:t>
      </w:r>
      <w:r>
        <w:rPr>
          <w:rFonts w:hint="default" w:cs="Times New Roman" w:asciiTheme="minorEastAsia" w:hAnsiTheme="minorEastAsia" w:eastAsiaTheme="minorEastAsia"/>
          <w:color w:val="auto"/>
          <w:u w:val="single"/>
        </w:rPr>
        <w:t xml:space="preserve">                             </w:t>
      </w:r>
      <w:r>
        <w:rPr>
          <w:rFonts w:hint="default" w:cs="Times New Roman" w:asciiTheme="minorEastAsia" w:hAnsiTheme="minorEastAsia" w:eastAsiaTheme="minorEastAsia"/>
          <w:color w:val="auto"/>
        </w:rPr>
        <w:t>生效。</w:t>
      </w:r>
    </w:p>
    <w:p w14:paraId="77F69F6C">
      <w:pPr>
        <w:numPr>
          <w:ilvl w:val="0"/>
          <w:numId w:val="14"/>
        </w:numPr>
        <w:adjustRightInd w:val="0"/>
        <w:snapToGrid w:val="0"/>
        <w:spacing w:line="400" w:lineRule="exact"/>
        <w:ind w:firstLine="422" w:firstLineChars="200"/>
        <w:rPr>
          <w:rFonts w:cs="Times New Roman" w:asciiTheme="minorEastAsia" w:hAnsiTheme="minorEastAsia" w:eastAsiaTheme="minorEastAsia"/>
          <w:b/>
          <w:color w:val="auto"/>
        </w:rPr>
      </w:pPr>
      <w:r>
        <w:rPr>
          <w:rFonts w:hint="default" w:cs="Times New Roman" w:asciiTheme="minorEastAsia" w:hAnsiTheme="minorEastAsia" w:eastAsiaTheme="minorEastAsia"/>
          <w:b/>
          <w:color w:val="auto"/>
        </w:rPr>
        <w:t>合同份数</w:t>
      </w:r>
    </w:p>
    <w:p w14:paraId="4B4EF2D0">
      <w:pPr>
        <w:adjustRightInd w:val="0"/>
        <w:snapToGrid w:val="0"/>
        <w:spacing w:line="400" w:lineRule="exact"/>
        <w:ind w:firstLine="420" w:firstLineChars="200"/>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本合同一式</w:t>
      </w:r>
      <w:r>
        <w:rPr>
          <w:rFonts w:hint="default" w:cs="Times New Roman" w:asciiTheme="minorEastAsia" w:hAnsiTheme="minorEastAsia" w:eastAsiaTheme="minorEastAsia"/>
          <w:color w:val="auto"/>
          <w:u w:val="single"/>
          <w:lang w:eastAsia="zh-CN"/>
        </w:rPr>
        <w:t xml:space="preserve">    </w:t>
      </w:r>
      <w:r>
        <w:rPr>
          <w:rFonts w:hint="default" w:cs="Times New Roman" w:asciiTheme="minorEastAsia" w:hAnsiTheme="minorEastAsia" w:eastAsiaTheme="minorEastAsia"/>
          <w:color w:val="auto"/>
          <w:lang w:eastAsia="zh-CN"/>
        </w:rPr>
        <w:t>份，甲方执</w:t>
      </w:r>
      <w:r>
        <w:rPr>
          <w:rFonts w:hint="default" w:cs="Times New Roman" w:asciiTheme="minorEastAsia" w:hAnsiTheme="minorEastAsia" w:eastAsiaTheme="minorEastAsia"/>
          <w:color w:val="auto"/>
          <w:u w:val="single"/>
          <w:lang w:eastAsia="zh-CN"/>
        </w:rPr>
        <w:t xml:space="preserve"> </w:t>
      </w:r>
      <w:r>
        <w:rPr>
          <w:rFonts w:hint="default" w:cs="Times New Roman" w:asciiTheme="minorEastAsia" w:hAnsiTheme="minorEastAsia" w:eastAsiaTheme="minorEastAsia"/>
          <w:color w:val="auto"/>
          <w:u w:val="single"/>
          <w:lang w:val="en-US" w:eastAsia="zh-CN"/>
        </w:rPr>
        <w:t xml:space="preserve"> </w:t>
      </w:r>
      <w:r>
        <w:rPr>
          <w:rFonts w:hint="default" w:cs="Times New Roman" w:asciiTheme="minorEastAsia" w:hAnsiTheme="minorEastAsia" w:eastAsiaTheme="minorEastAsia"/>
          <w:color w:val="auto"/>
          <w:u w:val="single"/>
          <w:lang w:eastAsia="zh-CN"/>
        </w:rPr>
        <w:t xml:space="preserve">  </w:t>
      </w:r>
      <w:r>
        <w:rPr>
          <w:rFonts w:hint="default" w:cs="Times New Roman" w:asciiTheme="minorEastAsia" w:hAnsiTheme="minorEastAsia" w:eastAsiaTheme="minorEastAsia"/>
          <w:color w:val="auto"/>
          <w:lang w:eastAsia="zh-CN"/>
        </w:rPr>
        <w:t>份，乙方执</w:t>
      </w:r>
      <w:r>
        <w:rPr>
          <w:rFonts w:hint="default" w:cs="Times New Roman" w:asciiTheme="minorEastAsia" w:hAnsiTheme="minorEastAsia" w:eastAsiaTheme="minorEastAsia"/>
          <w:color w:val="auto"/>
          <w:u w:val="single"/>
          <w:lang w:eastAsia="zh-CN"/>
        </w:rPr>
        <w:t xml:space="preserve">  </w:t>
      </w:r>
      <w:r>
        <w:rPr>
          <w:rFonts w:hint="default" w:cs="Times New Roman" w:asciiTheme="minorEastAsia" w:hAnsiTheme="minorEastAsia" w:eastAsiaTheme="minorEastAsia"/>
          <w:color w:val="auto"/>
          <w:u w:val="single"/>
          <w:lang w:val="en-US" w:eastAsia="zh-CN"/>
        </w:rPr>
        <w:t xml:space="preserve"> </w:t>
      </w:r>
      <w:r>
        <w:rPr>
          <w:rFonts w:hint="default" w:cs="Times New Roman" w:asciiTheme="minorEastAsia" w:hAnsiTheme="minorEastAsia" w:eastAsiaTheme="minorEastAsia"/>
          <w:color w:val="auto"/>
          <w:u w:val="single"/>
          <w:lang w:eastAsia="zh-CN"/>
        </w:rPr>
        <w:t xml:space="preserve"> </w:t>
      </w:r>
      <w:r>
        <w:rPr>
          <w:rFonts w:hint="default" w:cs="Times New Roman" w:asciiTheme="minorEastAsia" w:hAnsiTheme="minorEastAsia" w:eastAsiaTheme="minorEastAsia"/>
          <w:color w:val="auto"/>
          <w:lang w:eastAsia="zh-CN"/>
        </w:rPr>
        <w:t>份，均具有同等法律效力。</w:t>
      </w:r>
    </w:p>
    <w:p w14:paraId="2EC5E3B7">
      <w:pPr>
        <w:adjustRightInd w:val="0"/>
        <w:snapToGrid w:val="0"/>
        <w:spacing w:line="400" w:lineRule="exact"/>
        <w:ind w:firstLine="420" w:firstLineChars="200"/>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合同订立时间：</w:t>
      </w:r>
      <w:r>
        <w:rPr>
          <w:rFonts w:hint="default" w:cs="Times New Roman" w:asciiTheme="minorEastAsia" w:hAnsiTheme="minorEastAsia" w:eastAsiaTheme="minorEastAsia"/>
          <w:color w:val="auto"/>
          <w:u w:val="single"/>
          <w:lang w:eastAsia="zh-CN"/>
        </w:rPr>
        <w:t xml:space="preserve">         </w:t>
      </w:r>
      <w:r>
        <w:rPr>
          <w:rFonts w:hint="default" w:cs="Times New Roman" w:asciiTheme="minorEastAsia" w:hAnsiTheme="minorEastAsia" w:eastAsiaTheme="minorEastAsia"/>
          <w:color w:val="auto"/>
          <w:lang w:eastAsia="zh-CN"/>
        </w:rPr>
        <w:t>年</w:t>
      </w:r>
      <w:r>
        <w:rPr>
          <w:rFonts w:hint="default" w:cs="Times New Roman" w:asciiTheme="minorEastAsia" w:hAnsiTheme="minorEastAsia" w:eastAsiaTheme="minorEastAsia"/>
          <w:color w:val="auto"/>
          <w:u w:val="single"/>
          <w:lang w:eastAsia="zh-CN"/>
        </w:rPr>
        <w:t xml:space="preserve">      </w:t>
      </w:r>
      <w:r>
        <w:rPr>
          <w:rFonts w:hint="default" w:cs="Times New Roman" w:asciiTheme="minorEastAsia" w:hAnsiTheme="minorEastAsia" w:eastAsiaTheme="minorEastAsia"/>
          <w:color w:val="auto"/>
          <w:lang w:eastAsia="zh-CN"/>
        </w:rPr>
        <w:t>月</w:t>
      </w:r>
      <w:r>
        <w:rPr>
          <w:rFonts w:hint="default" w:cs="Times New Roman" w:asciiTheme="minorEastAsia" w:hAnsiTheme="minorEastAsia" w:eastAsiaTheme="minorEastAsia"/>
          <w:color w:val="auto"/>
          <w:u w:val="single"/>
          <w:lang w:eastAsia="zh-CN"/>
        </w:rPr>
        <w:t xml:space="preserve">      </w:t>
      </w:r>
      <w:r>
        <w:rPr>
          <w:rFonts w:hint="default" w:cs="Times New Roman" w:asciiTheme="minorEastAsia" w:hAnsiTheme="minorEastAsia" w:eastAsiaTheme="minorEastAsia"/>
          <w:color w:val="auto"/>
          <w:lang w:eastAsia="zh-CN"/>
        </w:rPr>
        <w:t>日</w:t>
      </w:r>
    </w:p>
    <w:p w14:paraId="78BDA843">
      <w:pPr>
        <w:adjustRightInd w:val="0"/>
        <w:snapToGrid w:val="0"/>
        <w:spacing w:line="400" w:lineRule="exact"/>
        <w:ind w:firstLine="420" w:firstLineChars="200"/>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合同订立地点：</w:t>
      </w:r>
      <w:r>
        <w:rPr>
          <w:rFonts w:hint="default" w:cs="Times New Roman" w:asciiTheme="minorEastAsia" w:hAnsiTheme="minorEastAsia" w:eastAsiaTheme="minorEastAsia"/>
          <w:color w:val="auto"/>
          <w:u w:val="single"/>
          <w:lang w:eastAsia="zh-CN"/>
        </w:rPr>
        <w:t xml:space="preserve">                           </w:t>
      </w:r>
    </w:p>
    <w:p w14:paraId="1EED08CE">
      <w:pPr>
        <w:adjustRightInd w:val="0"/>
        <w:snapToGrid w:val="0"/>
        <w:spacing w:line="400" w:lineRule="exact"/>
        <w:ind w:firstLine="420" w:firstLineChars="200"/>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附件：具体标的及其</w:t>
      </w:r>
      <w:r>
        <w:rPr>
          <w:rFonts w:hint="default" w:cs="Times New Roman" w:asciiTheme="minorEastAsia" w:hAnsiTheme="minorEastAsia" w:eastAsiaTheme="minorEastAsia"/>
          <w:color w:val="auto"/>
          <w:lang w:val="en-US" w:eastAsia="zh-CN"/>
        </w:rPr>
        <w:t>技术要求和商务要求</w:t>
      </w:r>
      <w:r>
        <w:rPr>
          <w:rFonts w:hint="default" w:cs="Times New Roman" w:asciiTheme="minorEastAsia" w:hAnsiTheme="minorEastAsia" w:eastAsiaTheme="minorEastAsia"/>
          <w:color w:val="auto"/>
          <w:lang w:eastAsia="zh-CN"/>
        </w:rPr>
        <w:t>、联合协议、分包意向协议等。</w:t>
      </w:r>
    </w:p>
    <w:p w14:paraId="0677810F">
      <w:pPr>
        <w:pStyle w:val="193"/>
        <w:spacing w:line="400" w:lineRule="exact"/>
        <w:rPr>
          <w:rFonts w:hint="eastAsia" w:asciiTheme="minorEastAsia" w:hAnsiTheme="minorEastAsia" w:eastAsiaTheme="minorEastAsia"/>
        </w:rPr>
      </w:pPr>
    </w:p>
    <w:p w14:paraId="319ED519">
      <w:pPr>
        <w:spacing w:line="400" w:lineRule="exact"/>
        <w:rPr>
          <w:rFonts w:cs="Times New Roman" w:asciiTheme="minorEastAsia" w:hAnsiTheme="minorEastAsia" w:eastAsiaTheme="minorEastAsia"/>
          <w:color w:val="auto"/>
          <w:lang w:val="en-US" w:eastAsia="zh-CN"/>
        </w:rPr>
      </w:pPr>
      <w:r>
        <w:rPr>
          <w:rFonts w:hint="default" w:cs="Times New Roman" w:asciiTheme="minorEastAsia" w:hAnsiTheme="minorEastAsia" w:eastAsiaTheme="minorEastAsia"/>
          <w:color w:val="auto"/>
          <w:lang w:val="en" w:eastAsia="zh-CN"/>
        </w:rPr>
        <w:t xml:space="preserve">   </w:t>
      </w:r>
    </w:p>
    <w:p w14:paraId="3561DFD9">
      <w:pPr>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br w:type="page"/>
      </w:r>
    </w:p>
    <w:p w14:paraId="06D5516A">
      <w:pPr>
        <w:pStyle w:val="193"/>
        <w:rPr>
          <w:rFonts w:hint="eastAsia" w:asciiTheme="minorEastAsia" w:hAnsiTheme="minorEastAsia" w:eastAsiaTheme="minorEastAsia"/>
        </w:rPr>
      </w:pPr>
    </w:p>
    <w:tbl>
      <w:tblPr>
        <w:tblStyle w:val="52"/>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1841"/>
        <w:gridCol w:w="2348"/>
        <w:gridCol w:w="1926"/>
        <w:gridCol w:w="2060"/>
      </w:tblGrid>
      <w:tr w14:paraId="71BA87F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490" w:hRule="atLeast"/>
        </w:trPr>
        <w:tc>
          <w:tcPr>
            <w:tcW w:w="2562" w:type="pct"/>
            <w:gridSpan w:val="2"/>
            <w:tcBorders>
              <w:bottom w:val="single" w:color="auto" w:sz="2" w:space="0"/>
              <w:right w:val="single" w:color="auto" w:sz="2" w:space="0"/>
            </w:tcBorders>
            <w:vAlign w:val="center"/>
          </w:tcPr>
          <w:p w14:paraId="40A11138">
            <w:pPr>
              <w:adjustRightInd w:val="0"/>
              <w:snapToGrid w:val="0"/>
              <w:spacing w:line="300" w:lineRule="exact"/>
              <w:jc w:val="center"/>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甲方（采购人、受采购人委托签订合同的单位或采购文件约定的合同甲方）</w:t>
            </w:r>
          </w:p>
        </w:tc>
        <w:tc>
          <w:tcPr>
            <w:tcW w:w="2437" w:type="pct"/>
            <w:gridSpan w:val="2"/>
            <w:tcBorders>
              <w:left w:val="single" w:color="auto" w:sz="2" w:space="0"/>
              <w:bottom w:val="single" w:color="auto" w:sz="2" w:space="0"/>
            </w:tcBorders>
            <w:vAlign w:val="center"/>
          </w:tcPr>
          <w:p w14:paraId="7E1E76A5">
            <w:pPr>
              <w:adjustRightInd w:val="0"/>
              <w:snapToGrid w:val="0"/>
              <w:spacing w:line="300" w:lineRule="exact"/>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乙方（供应商）</w:t>
            </w:r>
          </w:p>
        </w:tc>
      </w:tr>
      <w:tr w14:paraId="70A0AF0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vAlign w:val="center"/>
          </w:tcPr>
          <w:p w14:paraId="1BFEB120">
            <w:pPr>
              <w:adjustRightInd w:val="0"/>
              <w:snapToGrid w:val="0"/>
              <w:spacing w:line="300" w:lineRule="exact"/>
              <w:jc w:val="center"/>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单位名称（公章或合同章）</w:t>
            </w:r>
          </w:p>
        </w:tc>
        <w:tc>
          <w:tcPr>
            <w:tcW w:w="1436" w:type="pct"/>
            <w:tcBorders>
              <w:top w:val="single" w:color="auto" w:sz="2" w:space="0"/>
              <w:left w:val="single" w:color="auto" w:sz="2" w:space="0"/>
              <w:bottom w:val="single" w:color="auto" w:sz="2" w:space="0"/>
              <w:right w:val="single" w:color="auto" w:sz="2" w:space="0"/>
            </w:tcBorders>
            <w:vAlign w:val="center"/>
          </w:tcPr>
          <w:p w14:paraId="14DDDA7D">
            <w:pPr>
              <w:adjustRightInd w:val="0"/>
              <w:snapToGrid w:val="0"/>
              <w:spacing w:line="300" w:lineRule="exact"/>
              <w:jc w:val="center"/>
              <w:rPr>
                <w:rFonts w:cs="Times New Roman" w:asciiTheme="minorEastAsia" w:hAnsiTheme="minorEastAsia" w:eastAsiaTheme="minorEastAsia"/>
                <w:color w:val="auto"/>
                <w:lang w:eastAsia="zh-CN"/>
              </w:rPr>
            </w:pPr>
          </w:p>
        </w:tc>
        <w:tc>
          <w:tcPr>
            <w:tcW w:w="1178" w:type="pct"/>
            <w:tcBorders>
              <w:top w:val="single" w:color="auto" w:sz="2" w:space="0"/>
              <w:left w:val="single" w:color="auto" w:sz="2" w:space="0"/>
              <w:bottom w:val="single" w:color="auto" w:sz="2" w:space="0"/>
              <w:right w:val="single" w:color="auto" w:sz="2" w:space="0"/>
            </w:tcBorders>
            <w:vAlign w:val="center"/>
          </w:tcPr>
          <w:p w14:paraId="1E13BA4A">
            <w:pPr>
              <w:adjustRightInd w:val="0"/>
              <w:snapToGrid w:val="0"/>
              <w:spacing w:line="300" w:lineRule="exact"/>
              <w:jc w:val="center"/>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单位名称（公章或合同章）</w:t>
            </w:r>
          </w:p>
        </w:tc>
        <w:tc>
          <w:tcPr>
            <w:tcW w:w="1259" w:type="pct"/>
            <w:tcBorders>
              <w:top w:val="single" w:color="auto" w:sz="2" w:space="0"/>
              <w:left w:val="single" w:color="auto" w:sz="2" w:space="0"/>
              <w:bottom w:val="single" w:color="auto" w:sz="2" w:space="0"/>
            </w:tcBorders>
            <w:vAlign w:val="center"/>
          </w:tcPr>
          <w:p w14:paraId="75DE6A4B">
            <w:pPr>
              <w:adjustRightInd w:val="0"/>
              <w:snapToGrid w:val="0"/>
              <w:spacing w:line="300" w:lineRule="exact"/>
              <w:jc w:val="center"/>
              <w:rPr>
                <w:rFonts w:cs="Times New Roman" w:asciiTheme="minorEastAsia" w:hAnsiTheme="minorEastAsia" w:eastAsiaTheme="minorEastAsia"/>
                <w:color w:val="auto"/>
                <w:spacing w:val="20"/>
                <w:lang w:eastAsia="zh-CN"/>
              </w:rPr>
            </w:pPr>
          </w:p>
        </w:tc>
      </w:tr>
      <w:tr w14:paraId="56FAFD5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vAlign w:val="center"/>
          </w:tcPr>
          <w:p w14:paraId="5F67ECC5">
            <w:pPr>
              <w:adjustRightInd w:val="0"/>
              <w:snapToGrid w:val="0"/>
              <w:spacing w:line="300" w:lineRule="exact"/>
              <w:jc w:val="center"/>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法定代表人</w:t>
            </w:r>
          </w:p>
          <w:p w14:paraId="30F32F30">
            <w:pPr>
              <w:adjustRightInd w:val="0"/>
              <w:snapToGrid w:val="0"/>
              <w:spacing w:line="300" w:lineRule="exact"/>
              <w:ind w:firstLine="100" w:firstLineChars="48"/>
              <w:jc w:val="center"/>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或其委托代理人（签章）</w:t>
            </w:r>
          </w:p>
        </w:tc>
        <w:tc>
          <w:tcPr>
            <w:tcW w:w="1436" w:type="pct"/>
            <w:vMerge w:val="restart"/>
            <w:tcBorders>
              <w:top w:val="single" w:color="auto" w:sz="2" w:space="0"/>
              <w:left w:val="single" w:color="auto" w:sz="2" w:space="0"/>
              <w:right w:val="single" w:color="auto" w:sz="2" w:space="0"/>
            </w:tcBorders>
            <w:vAlign w:val="center"/>
          </w:tcPr>
          <w:p w14:paraId="7C66144F">
            <w:pPr>
              <w:adjustRightInd w:val="0"/>
              <w:snapToGrid w:val="0"/>
              <w:spacing w:line="300" w:lineRule="exact"/>
              <w:jc w:val="center"/>
              <w:rPr>
                <w:rFonts w:cs="Times New Roman" w:asciiTheme="minorEastAsia" w:hAnsiTheme="minorEastAsia" w:eastAsiaTheme="minorEastAsia"/>
                <w:color w:val="auto"/>
                <w:lang w:eastAsia="zh-CN"/>
              </w:rPr>
            </w:pPr>
          </w:p>
        </w:tc>
        <w:tc>
          <w:tcPr>
            <w:tcW w:w="1178" w:type="pct"/>
            <w:tcBorders>
              <w:top w:val="single" w:color="auto" w:sz="2" w:space="0"/>
              <w:left w:val="single" w:color="auto" w:sz="2" w:space="0"/>
              <w:right w:val="single" w:color="auto" w:sz="2" w:space="0"/>
            </w:tcBorders>
            <w:vAlign w:val="center"/>
          </w:tcPr>
          <w:p w14:paraId="73260CAA">
            <w:pPr>
              <w:adjustRightInd w:val="0"/>
              <w:snapToGrid w:val="0"/>
              <w:spacing w:line="300" w:lineRule="exact"/>
              <w:jc w:val="center"/>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法定代表人</w:t>
            </w:r>
          </w:p>
          <w:p w14:paraId="15C0BA3D">
            <w:pPr>
              <w:adjustRightInd w:val="0"/>
              <w:snapToGrid w:val="0"/>
              <w:spacing w:line="300" w:lineRule="exact"/>
              <w:jc w:val="center"/>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或其委托代理人（签章）</w:t>
            </w:r>
          </w:p>
        </w:tc>
        <w:tc>
          <w:tcPr>
            <w:tcW w:w="1259" w:type="pct"/>
            <w:tcBorders>
              <w:top w:val="single" w:color="auto" w:sz="2" w:space="0"/>
              <w:left w:val="single" w:color="auto" w:sz="2" w:space="0"/>
              <w:bottom w:val="single" w:color="auto" w:sz="2" w:space="0"/>
            </w:tcBorders>
            <w:vAlign w:val="center"/>
          </w:tcPr>
          <w:p w14:paraId="1DB57FF8">
            <w:pPr>
              <w:adjustRightInd w:val="0"/>
              <w:snapToGrid w:val="0"/>
              <w:spacing w:line="300" w:lineRule="exact"/>
              <w:jc w:val="center"/>
              <w:rPr>
                <w:rFonts w:cs="Times New Roman" w:asciiTheme="minorEastAsia" w:hAnsiTheme="minorEastAsia" w:eastAsiaTheme="minorEastAsia"/>
                <w:color w:val="auto"/>
                <w:lang w:eastAsia="zh-CN"/>
              </w:rPr>
            </w:pPr>
          </w:p>
        </w:tc>
      </w:tr>
      <w:tr w14:paraId="60C24AF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vAlign w:val="center"/>
          </w:tcPr>
          <w:p w14:paraId="75D61845">
            <w:pPr>
              <w:adjustRightInd w:val="0"/>
              <w:snapToGrid w:val="0"/>
              <w:spacing w:line="300" w:lineRule="exact"/>
              <w:jc w:val="center"/>
              <w:rPr>
                <w:rFonts w:cs="Times New Roman" w:asciiTheme="minorEastAsia" w:hAnsiTheme="minorEastAsia" w:eastAsiaTheme="minorEastAsia"/>
                <w:color w:val="auto"/>
                <w:lang w:eastAsia="zh-CN"/>
              </w:rPr>
            </w:pPr>
          </w:p>
        </w:tc>
        <w:tc>
          <w:tcPr>
            <w:tcW w:w="1436" w:type="pct"/>
            <w:vMerge w:val="continue"/>
            <w:tcBorders>
              <w:left w:val="single" w:color="auto" w:sz="2" w:space="0"/>
              <w:bottom w:val="single" w:color="auto" w:sz="2" w:space="0"/>
              <w:right w:val="single" w:color="auto" w:sz="2" w:space="0"/>
            </w:tcBorders>
            <w:vAlign w:val="center"/>
          </w:tcPr>
          <w:p w14:paraId="316E0036">
            <w:pPr>
              <w:adjustRightInd w:val="0"/>
              <w:snapToGrid w:val="0"/>
              <w:spacing w:line="300" w:lineRule="exact"/>
              <w:jc w:val="center"/>
              <w:rPr>
                <w:rFonts w:cs="Times New Roman" w:asciiTheme="minorEastAsia" w:hAnsiTheme="minorEastAsia" w:eastAsiaTheme="minorEastAsia"/>
                <w:color w:val="auto"/>
                <w:lang w:eastAsia="zh-CN"/>
              </w:rPr>
            </w:pPr>
          </w:p>
        </w:tc>
        <w:tc>
          <w:tcPr>
            <w:tcW w:w="1178" w:type="pct"/>
            <w:tcBorders>
              <w:top w:val="single" w:color="auto" w:sz="2" w:space="0"/>
              <w:left w:val="single" w:color="auto" w:sz="2" w:space="0"/>
              <w:bottom w:val="single" w:color="auto" w:sz="2" w:space="0"/>
              <w:right w:val="single" w:color="auto" w:sz="2" w:space="0"/>
            </w:tcBorders>
            <w:vAlign w:val="center"/>
          </w:tcPr>
          <w:p w14:paraId="640AD5E1">
            <w:pPr>
              <w:adjustRightInd w:val="0"/>
              <w:snapToGrid w:val="0"/>
              <w:spacing w:line="300" w:lineRule="exact"/>
              <w:jc w:val="center"/>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拥有者性别</w:t>
            </w:r>
          </w:p>
        </w:tc>
        <w:tc>
          <w:tcPr>
            <w:tcW w:w="1259" w:type="pct"/>
            <w:tcBorders>
              <w:top w:val="single" w:color="auto" w:sz="2" w:space="0"/>
              <w:left w:val="single" w:color="auto" w:sz="2" w:space="0"/>
              <w:bottom w:val="single" w:color="auto" w:sz="2" w:space="0"/>
            </w:tcBorders>
            <w:vAlign w:val="center"/>
          </w:tcPr>
          <w:p w14:paraId="0EBC16C5">
            <w:pPr>
              <w:adjustRightInd w:val="0"/>
              <w:snapToGrid w:val="0"/>
              <w:spacing w:line="300" w:lineRule="exact"/>
              <w:jc w:val="center"/>
              <w:rPr>
                <w:rFonts w:cs="Times New Roman" w:asciiTheme="minorEastAsia" w:hAnsiTheme="minorEastAsia" w:eastAsiaTheme="minorEastAsia"/>
                <w:color w:val="auto"/>
                <w:spacing w:val="20"/>
              </w:rPr>
            </w:pPr>
          </w:p>
        </w:tc>
      </w:tr>
      <w:tr w14:paraId="0050834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18C31045">
            <w:pPr>
              <w:adjustRightInd w:val="0"/>
              <w:snapToGrid w:val="0"/>
              <w:spacing w:line="300" w:lineRule="exact"/>
              <w:jc w:val="center"/>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住</w:t>
            </w:r>
            <w:r>
              <w:rPr>
                <w:rFonts w:hint="default" w:cs="Times New Roman" w:asciiTheme="minorEastAsia" w:hAnsiTheme="minorEastAsia" w:eastAsiaTheme="minorEastAsia"/>
                <w:color w:val="auto"/>
                <w:lang w:val="en-US" w:eastAsia="zh-CN"/>
              </w:rPr>
              <w:t xml:space="preserve">  </w:t>
            </w:r>
            <w:r>
              <w:rPr>
                <w:rFonts w:hint="default" w:cs="Times New Roman" w:asciiTheme="minorEastAsia" w:hAnsiTheme="minorEastAsia" w:eastAsiaTheme="minorEastAsia"/>
                <w:color w:val="auto"/>
                <w:lang w:eastAsia="zh-CN"/>
              </w:rPr>
              <w:t>所</w:t>
            </w:r>
          </w:p>
        </w:tc>
        <w:tc>
          <w:tcPr>
            <w:tcW w:w="1436" w:type="pct"/>
            <w:tcBorders>
              <w:top w:val="single" w:color="auto" w:sz="2" w:space="0"/>
              <w:left w:val="single" w:color="auto" w:sz="2" w:space="0"/>
              <w:bottom w:val="single" w:color="auto" w:sz="2" w:space="0"/>
              <w:right w:val="single" w:color="auto" w:sz="2" w:space="0"/>
            </w:tcBorders>
            <w:vAlign w:val="center"/>
          </w:tcPr>
          <w:p w14:paraId="0E53EA6E">
            <w:pPr>
              <w:adjustRightInd w:val="0"/>
              <w:snapToGrid w:val="0"/>
              <w:spacing w:line="300" w:lineRule="exact"/>
              <w:jc w:val="center"/>
              <w:rPr>
                <w:rFonts w:cs="Times New Roman" w:asciiTheme="minorEastAsia" w:hAnsiTheme="minorEastAsia" w:eastAsiaTheme="minorEastAsia"/>
                <w:color w:val="auto"/>
              </w:rPr>
            </w:pPr>
          </w:p>
        </w:tc>
        <w:tc>
          <w:tcPr>
            <w:tcW w:w="1178" w:type="pct"/>
            <w:tcBorders>
              <w:top w:val="single" w:color="auto" w:sz="2" w:space="0"/>
              <w:left w:val="single" w:color="auto" w:sz="2" w:space="0"/>
              <w:bottom w:val="single" w:color="auto" w:sz="2" w:space="0"/>
              <w:right w:val="single" w:color="auto" w:sz="2" w:space="0"/>
            </w:tcBorders>
            <w:vAlign w:val="center"/>
          </w:tcPr>
          <w:p w14:paraId="44553CC0">
            <w:pPr>
              <w:adjustRightInd w:val="0"/>
              <w:snapToGrid w:val="0"/>
              <w:spacing w:line="300" w:lineRule="exact"/>
              <w:jc w:val="center"/>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住</w:t>
            </w:r>
            <w:r>
              <w:rPr>
                <w:rFonts w:hint="default" w:cs="Times New Roman" w:asciiTheme="minorEastAsia" w:hAnsiTheme="minorEastAsia" w:eastAsiaTheme="minorEastAsia"/>
                <w:color w:val="auto"/>
                <w:lang w:val="en-US" w:eastAsia="zh-CN"/>
              </w:rPr>
              <w:t xml:space="preserve">  </w:t>
            </w:r>
            <w:r>
              <w:rPr>
                <w:rFonts w:hint="default" w:cs="Times New Roman" w:asciiTheme="minorEastAsia" w:hAnsiTheme="minorEastAsia" w:eastAsiaTheme="minorEastAsia"/>
                <w:color w:val="auto"/>
                <w:lang w:eastAsia="zh-CN"/>
              </w:rPr>
              <w:t>所</w:t>
            </w:r>
          </w:p>
        </w:tc>
        <w:tc>
          <w:tcPr>
            <w:tcW w:w="1259" w:type="pct"/>
            <w:tcBorders>
              <w:top w:val="single" w:color="auto" w:sz="2" w:space="0"/>
              <w:left w:val="single" w:color="auto" w:sz="2" w:space="0"/>
              <w:bottom w:val="single" w:color="auto" w:sz="2" w:space="0"/>
            </w:tcBorders>
            <w:vAlign w:val="center"/>
          </w:tcPr>
          <w:p w14:paraId="150873D6">
            <w:pPr>
              <w:adjustRightInd w:val="0"/>
              <w:snapToGrid w:val="0"/>
              <w:spacing w:line="300" w:lineRule="exact"/>
              <w:jc w:val="center"/>
              <w:rPr>
                <w:rFonts w:cs="Times New Roman" w:asciiTheme="minorEastAsia" w:hAnsiTheme="minorEastAsia" w:eastAsiaTheme="minorEastAsia"/>
                <w:color w:val="auto"/>
                <w:spacing w:val="20"/>
              </w:rPr>
            </w:pPr>
          </w:p>
        </w:tc>
      </w:tr>
      <w:tr w14:paraId="624015E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483" w:hRule="atLeast"/>
        </w:trPr>
        <w:tc>
          <w:tcPr>
            <w:tcW w:w="1126" w:type="pct"/>
            <w:tcBorders>
              <w:top w:val="single" w:color="auto" w:sz="2" w:space="0"/>
              <w:bottom w:val="single" w:color="auto" w:sz="2" w:space="0"/>
              <w:right w:val="single" w:color="auto" w:sz="2" w:space="0"/>
            </w:tcBorders>
            <w:vAlign w:val="center"/>
          </w:tcPr>
          <w:p w14:paraId="2BCA0168">
            <w:pPr>
              <w:adjustRightInd w:val="0"/>
              <w:snapToGrid w:val="0"/>
              <w:spacing w:line="300" w:lineRule="exact"/>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7FA4C3DA">
            <w:pPr>
              <w:adjustRightInd w:val="0"/>
              <w:snapToGrid w:val="0"/>
              <w:spacing w:line="300" w:lineRule="exact"/>
              <w:jc w:val="center"/>
              <w:rPr>
                <w:rFonts w:cs="Times New Roman" w:asciiTheme="minorEastAsia" w:hAnsiTheme="minorEastAsia" w:eastAsiaTheme="minorEastAsia"/>
                <w:color w:val="auto"/>
              </w:rPr>
            </w:pPr>
          </w:p>
        </w:tc>
        <w:tc>
          <w:tcPr>
            <w:tcW w:w="1178" w:type="pct"/>
            <w:tcBorders>
              <w:top w:val="single" w:color="auto" w:sz="2" w:space="0"/>
              <w:left w:val="single" w:color="auto" w:sz="2" w:space="0"/>
              <w:bottom w:val="single" w:color="auto" w:sz="2" w:space="0"/>
              <w:right w:val="single" w:color="auto" w:sz="2" w:space="0"/>
            </w:tcBorders>
            <w:vAlign w:val="center"/>
          </w:tcPr>
          <w:p w14:paraId="6EFA7EF3">
            <w:pPr>
              <w:adjustRightInd w:val="0"/>
              <w:snapToGrid w:val="0"/>
              <w:spacing w:line="300" w:lineRule="exact"/>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联 系 人</w:t>
            </w:r>
          </w:p>
        </w:tc>
        <w:tc>
          <w:tcPr>
            <w:tcW w:w="1259" w:type="pct"/>
            <w:tcBorders>
              <w:top w:val="single" w:color="auto" w:sz="2" w:space="0"/>
              <w:left w:val="single" w:color="auto" w:sz="2" w:space="0"/>
              <w:bottom w:val="single" w:color="auto" w:sz="2" w:space="0"/>
            </w:tcBorders>
            <w:vAlign w:val="center"/>
          </w:tcPr>
          <w:p w14:paraId="1AE51AC1">
            <w:pPr>
              <w:adjustRightInd w:val="0"/>
              <w:snapToGrid w:val="0"/>
              <w:spacing w:line="300" w:lineRule="exact"/>
              <w:jc w:val="center"/>
              <w:rPr>
                <w:rFonts w:cs="Times New Roman" w:asciiTheme="minorEastAsia" w:hAnsiTheme="minorEastAsia" w:eastAsiaTheme="minorEastAsia"/>
                <w:color w:val="auto"/>
                <w:spacing w:val="20"/>
              </w:rPr>
            </w:pPr>
          </w:p>
        </w:tc>
      </w:tr>
      <w:tr w14:paraId="12644A6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4F965807">
            <w:pPr>
              <w:adjustRightInd w:val="0"/>
              <w:snapToGrid w:val="0"/>
              <w:spacing w:line="300" w:lineRule="exact"/>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55BBD517">
            <w:pPr>
              <w:adjustRightInd w:val="0"/>
              <w:snapToGrid w:val="0"/>
              <w:spacing w:line="300" w:lineRule="exact"/>
              <w:jc w:val="center"/>
              <w:rPr>
                <w:rFonts w:cs="Times New Roman" w:asciiTheme="minorEastAsia" w:hAnsiTheme="minorEastAsia" w:eastAsiaTheme="minorEastAsia"/>
                <w:color w:val="auto"/>
              </w:rPr>
            </w:pPr>
          </w:p>
        </w:tc>
        <w:tc>
          <w:tcPr>
            <w:tcW w:w="1178" w:type="pct"/>
            <w:tcBorders>
              <w:top w:val="single" w:color="auto" w:sz="2" w:space="0"/>
              <w:left w:val="single" w:color="auto" w:sz="2" w:space="0"/>
              <w:bottom w:val="single" w:color="auto" w:sz="2" w:space="0"/>
              <w:right w:val="single" w:color="auto" w:sz="2" w:space="0"/>
            </w:tcBorders>
            <w:vAlign w:val="center"/>
          </w:tcPr>
          <w:p w14:paraId="21EAB750">
            <w:pPr>
              <w:adjustRightInd w:val="0"/>
              <w:snapToGrid w:val="0"/>
              <w:spacing w:line="300" w:lineRule="exact"/>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联系电话</w:t>
            </w:r>
          </w:p>
        </w:tc>
        <w:tc>
          <w:tcPr>
            <w:tcW w:w="1259" w:type="pct"/>
            <w:tcBorders>
              <w:top w:val="single" w:color="auto" w:sz="2" w:space="0"/>
              <w:left w:val="single" w:color="auto" w:sz="2" w:space="0"/>
              <w:bottom w:val="single" w:color="auto" w:sz="2" w:space="0"/>
            </w:tcBorders>
            <w:vAlign w:val="center"/>
          </w:tcPr>
          <w:p w14:paraId="44873761">
            <w:pPr>
              <w:adjustRightInd w:val="0"/>
              <w:snapToGrid w:val="0"/>
              <w:spacing w:line="300" w:lineRule="exact"/>
              <w:jc w:val="center"/>
              <w:rPr>
                <w:rFonts w:cs="Times New Roman" w:asciiTheme="minorEastAsia" w:hAnsiTheme="minorEastAsia" w:eastAsiaTheme="minorEastAsia"/>
                <w:color w:val="auto"/>
                <w:spacing w:val="20"/>
              </w:rPr>
            </w:pPr>
          </w:p>
        </w:tc>
      </w:tr>
      <w:tr w14:paraId="3DE7012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483" w:hRule="atLeast"/>
        </w:trPr>
        <w:tc>
          <w:tcPr>
            <w:tcW w:w="1126" w:type="pct"/>
            <w:tcBorders>
              <w:top w:val="single" w:color="auto" w:sz="2" w:space="0"/>
              <w:bottom w:val="single" w:color="auto" w:sz="2" w:space="0"/>
              <w:right w:val="single" w:color="auto" w:sz="2" w:space="0"/>
            </w:tcBorders>
            <w:vAlign w:val="center"/>
          </w:tcPr>
          <w:p w14:paraId="2C85F8F4">
            <w:pPr>
              <w:adjustRightInd w:val="0"/>
              <w:snapToGrid w:val="0"/>
              <w:spacing w:line="300" w:lineRule="exact"/>
              <w:jc w:val="center"/>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2AAC6556">
            <w:pPr>
              <w:adjustRightInd w:val="0"/>
              <w:snapToGrid w:val="0"/>
              <w:spacing w:line="300" w:lineRule="exact"/>
              <w:jc w:val="center"/>
              <w:rPr>
                <w:rFonts w:cs="Times New Roman" w:asciiTheme="minorEastAsia" w:hAnsiTheme="minorEastAsia" w:eastAsiaTheme="minorEastAsia"/>
                <w:color w:val="auto"/>
              </w:rPr>
            </w:pPr>
          </w:p>
        </w:tc>
        <w:tc>
          <w:tcPr>
            <w:tcW w:w="1178" w:type="pct"/>
            <w:tcBorders>
              <w:top w:val="single" w:color="auto" w:sz="2" w:space="0"/>
              <w:left w:val="single" w:color="auto" w:sz="2" w:space="0"/>
              <w:bottom w:val="single" w:color="auto" w:sz="2" w:space="0"/>
              <w:right w:val="single" w:color="auto" w:sz="2" w:space="0"/>
            </w:tcBorders>
            <w:vAlign w:val="center"/>
          </w:tcPr>
          <w:p w14:paraId="32B84CAA">
            <w:pPr>
              <w:adjustRightInd w:val="0"/>
              <w:snapToGrid w:val="0"/>
              <w:spacing w:line="300" w:lineRule="exact"/>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lang w:eastAsia="zh-CN"/>
              </w:rPr>
              <w:t>通信地址</w:t>
            </w:r>
          </w:p>
        </w:tc>
        <w:tc>
          <w:tcPr>
            <w:tcW w:w="1259" w:type="pct"/>
            <w:tcBorders>
              <w:top w:val="single" w:color="auto" w:sz="2" w:space="0"/>
              <w:left w:val="single" w:color="auto" w:sz="2" w:space="0"/>
              <w:bottom w:val="single" w:color="auto" w:sz="2" w:space="0"/>
            </w:tcBorders>
            <w:vAlign w:val="center"/>
          </w:tcPr>
          <w:p w14:paraId="6361E6FA">
            <w:pPr>
              <w:adjustRightInd w:val="0"/>
              <w:snapToGrid w:val="0"/>
              <w:spacing w:line="300" w:lineRule="exact"/>
              <w:jc w:val="center"/>
              <w:rPr>
                <w:rFonts w:cs="Times New Roman" w:asciiTheme="minorEastAsia" w:hAnsiTheme="minorEastAsia" w:eastAsiaTheme="minorEastAsia"/>
                <w:color w:val="auto"/>
                <w:spacing w:val="20"/>
              </w:rPr>
            </w:pPr>
          </w:p>
        </w:tc>
      </w:tr>
      <w:tr w14:paraId="0F3A6C6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483" w:hRule="atLeast"/>
        </w:trPr>
        <w:tc>
          <w:tcPr>
            <w:tcW w:w="1126" w:type="pct"/>
            <w:tcBorders>
              <w:top w:val="single" w:color="auto" w:sz="2" w:space="0"/>
              <w:bottom w:val="single" w:color="auto" w:sz="2" w:space="0"/>
              <w:right w:val="single" w:color="auto" w:sz="2" w:space="0"/>
            </w:tcBorders>
            <w:vAlign w:val="center"/>
          </w:tcPr>
          <w:p w14:paraId="62230F93">
            <w:pPr>
              <w:adjustRightInd w:val="0"/>
              <w:snapToGrid w:val="0"/>
              <w:spacing w:line="300" w:lineRule="exact"/>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76196A44">
            <w:pPr>
              <w:adjustRightInd w:val="0"/>
              <w:snapToGrid w:val="0"/>
              <w:spacing w:line="300" w:lineRule="exact"/>
              <w:jc w:val="center"/>
              <w:rPr>
                <w:rFonts w:cs="Times New Roman" w:asciiTheme="minorEastAsia" w:hAnsiTheme="minorEastAsia" w:eastAsiaTheme="minorEastAsia"/>
                <w:color w:val="auto"/>
              </w:rPr>
            </w:pPr>
          </w:p>
        </w:tc>
        <w:tc>
          <w:tcPr>
            <w:tcW w:w="1178" w:type="pct"/>
            <w:tcBorders>
              <w:top w:val="single" w:color="auto" w:sz="2" w:space="0"/>
              <w:left w:val="single" w:color="auto" w:sz="2" w:space="0"/>
              <w:bottom w:val="single" w:color="auto" w:sz="2" w:space="0"/>
              <w:right w:val="single" w:color="auto" w:sz="2" w:space="0"/>
            </w:tcBorders>
            <w:vAlign w:val="center"/>
          </w:tcPr>
          <w:p w14:paraId="480EBA2C">
            <w:pPr>
              <w:adjustRightInd w:val="0"/>
              <w:snapToGrid w:val="0"/>
              <w:spacing w:line="300" w:lineRule="exact"/>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邮政编码</w:t>
            </w:r>
          </w:p>
        </w:tc>
        <w:tc>
          <w:tcPr>
            <w:tcW w:w="1259" w:type="pct"/>
            <w:tcBorders>
              <w:top w:val="single" w:color="auto" w:sz="2" w:space="0"/>
              <w:left w:val="single" w:color="auto" w:sz="2" w:space="0"/>
              <w:bottom w:val="single" w:color="auto" w:sz="2" w:space="0"/>
            </w:tcBorders>
            <w:vAlign w:val="center"/>
          </w:tcPr>
          <w:p w14:paraId="78091368">
            <w:pPr>
              <w:adjustRightInd w:val="0"/>
              <w:snapToGrid w:val="0"/>
              <w:spacing w:line="300" w:lineRule="exact"/>
              <w:jc w:val="center"/>
              <w:rPr>
                <w:rFonts w:cs="Times New Roman" w:asciiTheme="minorEastAsia" w:hAnsiTheme="minorEastAsia" w:eastAsiaTheme="minorEastAsia"/>
                <w:color w:val="auto"/>
                <w:spacing w:val="20"/>
              </w:rPr>
            </w:pPr>
          </w:p>
        </w:tc>
      </w:tr>
      <w:tr w14:paraId="668F869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483" w:hRule="atLeast"/>
        </w:trPr>
        <w:tc>
          <w:tcPr>
            <w:tcW w:w="1126" w:type="pct"/>
            <w:tcBorders>
              <w:top w:val="single" w:color="auto" w:sz="2" w:space="0"/>
              <w:bottom w:val="single" w:color="auto" w:sz="2" w:space="0"/>
              <w:right w:val="single" w:color="auto" w:sz="2" w:space="0"/>
            </w:tcBorders>
            <w:vAlign w:val="center"/>
          </w:tcPr>
          <w:p w14:paraId="4F5E5DF3">
            <w:pPr>
              <w:adjustRightInd w:val="0"/>
              <w:snapToGrid w:val="0"/>
              <w:spacing w:line="300" w:lineRule="exact"/>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724710A3">
            <w:pPr>
              <w:adjustRightInd w:val="0"/>
              <w:snapToGrid w:val="0"/>
              <w:spacing w:line="300" w:lineRule="exact"/>
              <w:jc w:val="center"/>
              <w:rPr>
                <w:rFonts w:cs="Times New Roman" w:asciiTheme="minorEastAsia" w:hAnsiTheme="minorEastAsia" w:eastAsiaTheme="minorEastAsia"/>
                <w:color w:val="auto"/>
              </w:rPr>
            </w:pPr>
          </w:p>
        </w:tc>
        <w:tc>
          <w:tcPr>
            <w:tcW w:w="1178" w:type="pct"/>
            <w:tcBorders>
              <w:top w:val="single" w:color="auto" w:sz="2" w:space="0"/>
              <w:left w:val="single" w:color="auto" w:sz="2" w:space="0"/>
              <w:bottom w:val="single" w:color="auto" w:sz="2" w:space="0"/>
              <w:right w:val="single" w:color="auto" w:sz="2" w:space="0"/>
            </w:tcBorders>
            <w:vAlign w:val="center"/>
          </w:tcPr>
          <w:p w14:paraId="2B56237E">
            <w:pPr>
              <w:adjustRightInd w:val="0"/>
              <w:snapToGrid w:val="0"/>
              <w:spacing w:line="300" w:lineRule="exact"/>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电子邮箱</w:t>
            </w:r>
          </w:p>
        </w:tc>
        <w:tc>
          <w:tcPr>
            <w:tcW w:w="1259" w:type="pct"/>
            <w:tcBorders>
              <w:top w:val="single" w:color="auto" w:sz="2" w:space="0"/>
              <w:left w:val="single" w:color="auto" w:sz="2" w:space="0"/>
              <w:bottom w:val="single" w:color="auto" w:sz="2" w:space="0"/>
            </w:tcBorders>
            <w:vAlign w:val="center"/>
          </w:tcPr>
          <w:p w14:paraId="229C705E">
            <w:pPr>
              <w:adjustRightInd w:val="0"/>
              <w:snapToGrid w:val="0"/>
              <w:spacing w:line="300" w:lineRule="exact"/>
              <w:jc w:val="center"/>
              <w:rPr>
                <w:rFonts w:cs="Times New Roman" w:asciiTheme="minorEastAsia" w:hAnsiTheme="minorEastAsia" w:eastAsiaTheme="minorEastAsia"/>
                <w:color w:val="auto"/>
                <w:spacing w:val="20"/>
              </w:rPr>
            </w:pPr>
          </w:p>
        </w:tc>
      </w:tr>
      <w:tr w14:paraId="655C44F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2B2B0A6D">
            <w:pPr>
              <w:adjustRightInd w:val="0"/>
              <w:snapToGrid w:val="0"/>
              <w:spacing w:line="300" w:lineRule="exact"/>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2D3BBA96">
            <w:pPr>
              <w:adjustRightInd w:val="0"/>
              <w:snapToGrid w:val="0"/>
              <w:spacing w:line="300" w:lineRule="exact"/>
              <w:jc w:val="center"/>
              <w:rPr>
                <w:rFonts w:cs="Times New Roman" w:asciiTheme="minorEastAsia" w:hAnsiTheme="minorEastAsia" w:eastAsiaTheme="minorEastAsia"/>
                <w:color w:val="auto"/>
              </w:rPr>
            </w:pPr>
          </w:p>
        </w:tc>
        <w:tc>
          <w:tcPr>
            <w:tcW w:w="1178" w:type="pct"/>
            <w:tcBorders>
              <w:top w:val="single" w:color="auto" w:sz="2" w:space="0"/>
              <w:left w:val="single" w:color="auto" w:sz="2" w:space="0"/>
              <w:bottom w:val="single" w:color="auto" w:sz="2" w:space="0"/>
              <w:right w:val="single" w:color="auto" w:sz="2" w:space="0"/>
            </w:tcBorders>
            <w:vAlign w:val="center"/>
          </w:tcPr>
          <w:p w14:paraId="6771CECD">
            <w:pPr>
              <w:adjustRightInd w:val="0"/>
              <w:snapToGrid w:val="0"/>
              <w:spacing w:line="300" w:lineRule="exact"/>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统一社会信用代码</w:t>
            </w:r>
          </w:p>
        </w:tc>
        <w:tc>
          <w:tcPr>
            <w:tcW w:w="1259" w:type="pct"/>
            <w:tcBorders>
              <w:top w:val="single" w:color="auto" w:sz="2" w:space="0"/>
              <w:left w:val="single" w:color="auto" w:sz="2" w:space="0"/>
              <w:bottom w:val="single" w:color="auto" w:sz="2" w:space="0"/>
            </w:tcBorders>
            <w:vAlign w:val="center"/>
          </w:tcPr>
          <w:p w14:paraId="14178529">
            <w:pPr>
              <w:adjustRightInd w:val="0"/>
              <w:snapToGrid w:val="0"/>
              <w:spacing w:line="300" w:lineRule="exact"/>
              <w:jc w:val="center"/>
              <w:rPr>
                <w:rFonts w:cs="Times New Roman" w:asciiTheme="minorEastAsia" w:hAnsiTheme="minorEastAsia" w:eastAsiaTheme="minorEastAsia"/>
                <w:color w:val="auto"/>
                <w:spacing w:val="20"/>
              </w:rPr>
            </w:pPr>
          </w:p>
        </w:tc>
      </w:tr>
      <w:tr w14:paraId="32A2338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1FCDC398">
            <w:pPr>
              <w:adjustRightInd w:val="0"/>
              <w:snapToGrid w:val="0"/>
              <w:spacing w:line="300" w:lineRule="exact"/>
              <w:jc w:val="center"/>
              <w:rPr>
                <w:rFonts w:cs="Times New Roman" w:asciiTheme="minorEastAsia" w:hAnsiTheme="minorEastAsia" w:eastAsiaTheme="minorEastAsia"/>
                <w:color w:val="auto"/>
              </w:rPr>
            </w:pPr>
          </w:p>
        </w:tc>
        <w:tc>
          <w:tcPr>
            <w:tcW w:w="1436" w:type="pct"/>
            <w:tcBorders>
              <w:top w:val="single" w:color="auto" w:sz="2" w:space="0"/>
              <w:left w:val="single" w:color="auto" w:sz="2" w:space="0"/>
              <w:bottom w:val="single" w:color="auto" w:sz="2" w:space="0"/>
              <w:right w:val="single" w:color="auto" w:sz="2" w:space="0"/>
            </w:tcBorders>
            <w:vAlign w:val="center"/>
          </w:tcPr>
          <w:p w14:paraId="33D5633B">
            <w:pPr>
              <w:adjustRightInd w:val="0"/>
              <w:snapToGrid w:val="0"/>
              <w:spacing w:line="300" w:lineRule="exact"/>
              <w:jc w:val="center"/>
              <w:rPr>
                <w:rFonts w:cs="Times New Roman" w:asciiTheme="minorEastAsia" w:hAnsiTheme="minorEastAsia" w:eastAsiaTheme="minorEastAsia"/>
                <w:color w:val="auto"/>
              </w:rPr>
            </w:pPr>
          </w:p>
        </w:tc>
        <w:tc>
          <w:tcPr>
            <w:tcW w:w="1178" w:type="pct"/>
            <w:tcBorders>
              <w:top w:val="single" w:color="auto" w:sz="2" w:space="0"/>
              <w:left w:val="single" w:color="auto" w:sz="2" w:space="0"/>
              <w:bottom w:val="single" w:color="auto" w:sz="2" w:space="0"/>
              <w:right w:val="single" w:color="auto" w:sz="2" w:space="0"/>
            </w:tcBorders>
            <w:vAlign w:val="center"/>
          </w:tcPr>
          <w:p w14:paraId="1C4C8D13">
            <w:pPr>
              <w:adjustRightInd w:val="0"/>
              <w:snapToGrid w:val="0"/>
              <w:spacing w:line="300" w:lineRule="exact"/>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开户名称</w:t>
            </w:r>
          </w:p>
        </w:tc>
        <w:tc>
          <w:tcPr>
            <w:tcW w:w="1259" w:type="pct"/>
            <w:tcBorders>
              <w:top w:val="single" w:color="auto" w:sz="2" w:space="0"/>
              <w:left w:val="single" w:color="auto" w:sz="2" w:space="0"/>
              <w:bottom w:val="single" w:color="auto" w:sz="2" w:space="0"/>
            </w:tcBorders>
            <w:vAlign w:val="center"/>
          </w:tcPr>
          <w:p w14:paraId="3FCCE60C">
            <w:pPr>
              <w:adjustRightInd w:val="0"/>
              <w:snapToGrid w:val="0"/>
              <w:spacing w:line="300" w:lineRule="exact"/>
              <w:jc w:val="center"/>
              <w:rPr>
                <w:rFonts w:cs="Times New Roman" w:asciiTheme="minorEastAsia" w:hAnsiTheme="minorEastAsia" w:eastAsiaTheme="minorEastAsia"/>
                <w:color w:val="auto"/>
                <w:spacing w:val="20"/>
              </w:rPr>
            </w:pPr>
          </w:p>
        </w:tc>
      </w:tr>
      <w:tr w14:paraId="3DED621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139F7B5E">
            <w:pPr>
              <w:adjustRightInd w:val="0"/>
              <w:snapToGrid w:val="0"/>
              <w:spacing w:line="300" w:lineRule="exact"/>
              <w:jc w:val="center"/>
              <w:rPr>
                <w:rFonts w:cs="Times New Roman" w:asciiTheme="minorEastAsia" w:hAnsiTheme="minorEastAsia" w:eastAsiaTheme="minorEastAsia"/>
                <w:color w:val="auto"/>
              </w:rPr>
            </w:pPr>
          </w:p>
        </w:tc>
        <w:tc>
          <w:tcPr>
            <w:tcW w:w="1436" w:type="pct"/>
            <w:tcBorders>
              <w:top w:val="single" w:color="auto" w:sz="2" w:space="0"/>
              <w:left w:val="single" w:color="auto" w:sz="2" w:space="0"/>
              <w:bottom w:val="single" w:color="auto" w:sz="2" w:space="0"/>
              <w:right w:val="single" w:color="auto" w:sz="2" w:space="0"/>
            </w:tcBorders>
            <w:vAlign w:val="center"/>
          </w:tcPr>
          <w:p w14:paraId="684C76E6">
            <w:pPr>
              <w:adjustRightInd w:val="0"/>
              <w:snapToGrid w:val="0"/>
              <w:spacing w:line="300" w:lineRule="exact"/>
              <w:jc w:val="center"/>
              <w:rPr>
                <w:rFonts w:cs="Times New Roman" w:asciiTheme="minorEastAsia" w:hAnsiTheme="minorEastAsia" w:eastAsiaTheme="minorEastAsia"/>
                <w:color w:val="auto"/>
              </w:rPr>
            </w:pPr>
          </w:p>
        </w:tc>
        <w:tc>
          <w:tcPr>
            <w:tcW w:w="1178" w:type="pct"/>
            <w:tcBorders>
              <w:top w:val="single" w:color="auto" w:sz="2" w:space="0"/>
              <w:left w:val="single" w:color="auto" w:sz="2" w:space="0"/>
              <w:bottom w:val="single" w:color="auto" w:sz="2" w:space="0"/>
              <w:right w:val="single" w:color="auto" w:sz="2" w:space="0"/>
            </w:tcBorders>
            <w:vAlign w:val="center"/>
          </w:tcPr>
          <w:p w14:paraId="587A46C5">
            <w:pPr>
              <w:adjustRightInd w:val="0"/>
              <w:snapToGrid w:val="0"/>
              <w:spacing w:line="300" w:lineRule="exact"/>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开户银行</w:t>
            </w:r>
          </w:p>
        </w:tc>
        <w:tc>
          <w:tcPr>
            <w:tcW w:w="1259" w:type="pct"/>
            <w:tcBorders>
              <w:top w:val="single" w:color="auto" w:sz="2" w:space="0"/>
              <w:left w:val="single" w:color="auto" w:sz="2" w:space="0"/>
              <w:bottom w:val="single" w:color="auto" w:sz="2" w:space="0"/>
            </w:tcBorders>
            <w:vAlign w:val="center"/>
          </w:tcPr>
          <w:p w14:paraId="65F9DF03">
            <w:pPr>
              <w:adjustRightInd w:val="0"/>
              <w:snapToGrid w:val="0"/>
              <w:spacing w:line="300" w:lineRule="exact"/>
              <w:jc w:val="center"/>
              <w:rPr>
                <w:rFonts w:cs="Times New Roman" w:asciiTheme="minorEastAsia" w:hAnsiTheme="minorEastAsia" w:eastAsiaTheme="minorEastAsia"/>
                <w:color w:val="auto"/>
                <w:spacing w:val="20"/>
              </w:rPr>
            </w:pPr>
          </w:p>
        </w:tc>
      </w:tr>
      <w:tr w14:paraId="2B30FBB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56D7CFD6">
            <w:pPr>
              <w:adjustRightInd w:val="0"/>
              <w:snapToGrid w:val="0"/>
              <w:spacing w:line="300" w:lineRule="exact"/>
              <w:jc w:val="center"/>
              <w:rPr>
                <w:rFonts w:cs="Times New Roman" w:asciiTheme="minorEastAsia" w:hAnsiTheme="minorEastAsia" w:eastAsiaTheme="minorEastAsia"/>
                <w:color w:val="auto"/>
              </w:rPr>
            </w:pPr>
          </w:p>
        </w:tc>
        <w:tc>
          <w:tcPr>
            <w:tcW w:w="1436" w:type="pct"/>
            <w:tcBorders>
              <w:top w:val="single" w:color="auto" w:sz="2" w:space="0"/>
              <w:left w:val="single" w:color="auto" w:sz="2" w:space="0"/>
              <w:bottom w:val="single" w:color="auto" w:sz="2" w:space="0"/>
              <w:right w:val="single" w:color="auto" w:sz="2" w:space="0"/>
            </w:tcBorders>
            <w:vAlign w:val="center"/>
          </w:tcPr>
          <w:p w14:paraId="304D1E48">
            <w:pPr>
              <w:adjustRightInd w:val="0"/>
              <w:snapToGrid w:val="0"/>
              <w:spacing w:line="300" w:lineRule="exact"/>
              <w:jc w:val="center"/>
              <w:rPr>
                <w:rFonts w:cs="Times New Roman" w:asciiTheme="minorEastAsia" w:hAnsiTheme="minorEastAsia" w:eastAsiaTheme="minorEastAsia"/>
                <w:color w:val="auto"/>
              </w:rPr>
            </w:pPr>
          </w:p>
        </w:tc>
        <w:tc>
          <w:tcPr>
            <w:tcW w:w="1178" w:type="pct"/>
            <w:tcBorders>
              <w:top w:val="single" w:color="auto" w:sz="2" w:space="0"/>
              <w:left w:val="single" w:color="auto" w:sz="2" w:space="0"/>
              <w:bottom w:val="single" w:color="auto" w:sz="2" w:space="0"/>
              <w:right w:val="single" w:color="auto" w:sz="2" w:space="0"/>
            </w:tcBorders>
            <w:vAlign w:val="center"/>
          </w:tcPr>
          <w:p w14:paraId="198F8C52">
            <w:pPr>
              <w:adjustRightInd w:val="0"/>
              <w:snapToGrid w:val="0"/>
              <w:spacing w:line="300" w:lineRule="exact"/>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银行账号</w:t>
            </w:r>
          </w:p>
        </w:tc>
        <w:tc>
          <w:tcPr>
            <w:tcW w:w="1259" w:type="pct"/>
            <w:tcBorders>
              <w:top w:val="single" w:color="auto" w:sz="2" w:space="0"/>
              <w:left w:val="single" w:color="auto" w:sz="2" w:space="0"/>
              <w:bottom w:val="single" w:color="auto" w:sz="2" w:space="0"/>
            </w:tcBorders>
            <w:vAlign w:val="center"/>
          </w:tcPr>
          <w:p w14:paraId="3306E94D">
            <w:pPr>
              <w:adjustRightInd w:val="0"/>
              <w:snapToGrid w:val="0"/>
              <w:spacing w:line="300" w:lineRule="exact"/>
              <w:jc w:val="center"/>
              <w:rPr>
                <w:rFonts w:cs="Times New Roman" w:asciiTheme="minorEastAsia" w:hAnsiTheme="minorEastAsia" w:eastAsiaTheme="minorEastAsia"/>
                <w:color w:val="auto"/>
                <w:spacing w:val="20"/>
              </w:rPr>
            </w:pPr>
          </w:p>
        </w:tc>
      </w:tr>
      <w:tr w14:paraId="33E3A55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vAlign w:val="center"/>
          </w:tcPr>
          <w:p w14:paraId="1134DBDF">
            <w:pPr>
              <w:pStyle w:val="17"/>
              <w:adjustRightInd w:val="0"/>
              <w:snapToGrid w:val="0"/>
              <w:spacing w:before="120" w:beforeLines="50"/>
              <w:jc w:val="left"/>
              <w:rPr>
                <w:rFonts w:hint="eastAsia" w:asciiTheme="minorEastAsia" w:hAnsiTheme="minorEastAsia" w:eastAsiaTheme="minorEastAsia"/>
                <w:spacing w:val="20"/>
                <w:szCs w:val="21"/>
              </w:rPr>
            </w:pPr>
            <w:r>
              <w:rPr>
                <w:rFonts w:asciiTheme="minorEastAsia" w:hAnsiTheme="minorEastAsia" w:eastAsiaTheme="minorEastAsia"/>
                <w:szCs w:val="21"/>
              </w:rPr>
              <w:t>注：涉及联合体或其他合同主体的信息应按上表格式加列。</w:t>
            </w:r>
          </w:p>
        </w:tc>
      </w:tr>
    </w:tbl>
    <w:p w14:paraId="3F4A142E">
      <w:pPr>
        <w:adjustRightInd w:val="0"/>
        <w:snapToGrid w:val="0"/>
        <w:spacing w:before="120" w:beforeLines="50"/>
        <w:jc w:val="center"/>
        <w:rPr>
          <w:rFonts w:cs="Times New Roman" w:asciiTheme="minorEastAsia" w:hAnsiTheme="minorEastAsia" w:eastAsiaTheme="minorEastAsia"/>
          <w:color w:val="auto"/>
          <w:u w:val="single"/>
          <w:lang w:eastAsia="zh-CN"/>
        </w:rPr>
      </w:pPr>
    </w:p>
    <w:p w14:paraId="17F4F6F0">
      <w:pPr>
        <w:rPr>
          <w:rFonts w:cs="Times New Roman" w:asciiTheme="minorEastAsia" w:hAnsiTheme="minorEastAsia" w:eastAsiaTheme="minorEastAsia"/>
          <w:color w:val="auto"/>
          <w:u w:val="single"/>
          <w:lang w:eastAsia="zh-CN"/>
        </w:rPr>
      </w:pPr>
    </w:p>
    <w:p w14:paraId="2BB220F1">
      <w:pPr>
        <w:pStyle w:val="70"/>
        <w:rPr>
          <w:rFonts w:ascii="Times New Roman" w:hAnsi="Times New Roman" w:cs="Times New Roman"/>
          <w:color w:val="auto"/>
          <w:sz w:val="21"/>
          <w:szCs w:val="21"/>
          <w:u w:val="single"/>
        </w:rPr>
      </w:pPr>
    </w:p>
    <w:p w14:paraId="6BA68987">
      <w:pPr>
        <w:pStyle w:val="39"/>
        <w:ind w:left="556" w:hanging="278"/>
        <w:rPr>
          <w:rFonts w:hint="default" w:cs="Times New Roman"/>
          <w:color w:val="auto"/>
          <w:u w:val="single"/>
          <w:lang w:eastAsia="zh-CN"/>
        </w:rPr>
      </w:pPr>
    </w:p>
    <w:p w14:paraId="6EF6E0EC">
      <w:pPr>
        <w:rPr>
          <w:rFonts w:hint="default" w:ascii="Times New Roman" w:hAnsi="Times New Roman" w:cs="Times New Roman"/>
          <w:color w:val="auto"/>
          <w:u w:val="single"/>
          <w:lang w:eastAsia="zh-CN"/>
        </w:rPr>
      </w:pPr>
    </w:p>
    <w:p w14:paraId="101FB8B2">
      <w:pPr>
        <w:pStyle w:val="3"/>
        <w:adjustRightInd w:val="0"/>
        <w:snapToGrid w:val="0"/>
        <w:spacing w:before="120" w:beforeLines="50"/>
        <w:jc w:val="center"/>
        <w:rPr>
          <w:rFonts w:hint="default" w:ascii="Times New Roman" w:hAnsi="Times New Roman" w:eastAsia="黑体"/>
          <w:color w:val="auto"/>
          <w:sz w:val="28"/>
          <w:szCs w:val="28"/>
          <w:lang w:eastAsia="zh-CN"/>
        </w:rPr>
      </w:pPr>
      <w:r>
        <w:rPr>
          <w:rFonts w:hint="default" w:ascii="Times New Roman" w:hAnsi="Times New Roman"/>
          <w:color w:val="auto"/>
          <w:sz w:val="21"/>
          <w:szCs w:val="21"/>
          <w:u w:val="single"/>
          <w:lang w:eastAsia="zh-CN"/>
        </w:rPr>
        <w:br w:type="page"/>
      </w:r>
      <w:bookmarkStart w:id="312" w:name="_Toc27624"/>
      <w:r>
        <w:rPr>
          <w:rFonts w:hint="default" w:ascii="Times New Roman" w:hAnsi="Times New Roman" w:eastAsia="黑体"/>
          <w:b w:val="0"/>
          <w:bCs w:val="0"/>
          <w:color w:val="auto"/>
          <w:sz w:val="28"/>
          <w:szCs w:val="28"/>
          <w:lang w:eastAsia="zh-CN"/>
        </w:rPr>
        <w:t>第二节 政府采购合同通用条款</w:t>
      </w:r>
      <w:bookmarkEnd w:id="312"/>
    </w:p>
    <w:p w14:paraId="2BFD3AFD">
      <w:pPr>
        <w:tabs>
          <w:tab w:val="left" w:pos="8820"/>
          <w:tab w:val="left" w:pos="9345"/>
          <w:tab w:val="left" w:pos="9765"/>
        </w:tabs>
        <w:adjustRightInd w:val="0"/>
        <w:snapToGrid w:val="0"/>
        <w:spacing w:line="400" w:lineRule="exact"/>
        <w:jc w:val="left"/>
        <w:rPr>
          <w:rFonts w:cs="Times New Roman" w:asciiTheme="minorEastAsia" w:hAnsiTheme="minorEastAsia" w:eastAsiaTheme="minorEastAsia"/>
          <w:b/>
          <w:bCs/>
          <w:color w:val="auto"/>
          <w:sz w:val="24"/>
          <w:lang w:eastAsia="zh-CN"/>
        </w:rPr>
      </w:pPr>
      <w:r>
        <w:rPr>
          <w:rFonts w:hint="default" w:cs="Times New Roman" w:asciiTheme="minorEastAsia" w:hAnsiTheme="minorEastAsia" w:eastAsiaTheme="minorEastAsia"/>
          <w:b/>
          <w:color w:val="auto"/>
          <w:sz w:val="24"/>
          <w:lang w:eastAsia="zh-CN"/>
        </w:rPr>
        <w:t>1.</w:t>
      </w:r>
      <w:r>
        <w:rPr>
          <w:rFonts w:hint="default" w:cs="Times New Roman" w:asciiTheme="minorEastAsia" w:hAnsiTheme="minorEastAsia" w:eastAsiaTheme="minorEastAsia"/>
          <w:b/>
          <w:color w:val="auto"/>
          <w:sz w:val="24"/>
          <w:lang w:val="en-US" w:eastAsia="zh-CN"/>
        </w:rPr>
        <w:t xml:space="preserve"> </w:t>
      </w:r>
      <w:r>
        <w:rPr>
          <w:rFonts w:hint="default" w:cs="Times New Roman" w:asciiTheme="minorEastAsia" w:hAnsiTheme="minorEastAsia" w:eastAsiaTheme="minorEastAsia"/>
          <w:b/>
          <w:bCs/>
          <w:color w:val="auto"/>
          <w:sz w:val="24"/>
          <w:lang w:eastAsia="zh-CN"/>
        </w:rPr>
        <w:t>定义</w:t>
      </w:r>
    </w:p>
    <w:p w14:paraId="2CCCC9D6">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1.1合同当事人</w:t>
      </w:r>
    </w:p>
    <w:p w14:paraId="4767ECFC">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（1）采购人（以下称甲方）是指使用财政性资金，通过政府采购方式向供应商购买货物</w:t>
      </w:r>
      <w:r>
        <w:rPr>
          <w:rFonts w:hint="default" w:cs="Times New Roman" w:asciiTheme="minorEastAsia" w:hAnsiTheme="minorEastAsia" w:eastAsiaTheme="minorEastAsia"/>
          <w:color w:val="auto"/>
          <w:lang w:val="en-US" w:eastAsia="zh-CN"/>
        </w:rPr>
        <w:t>及其相关服务的</w:t>
      </w:r>
      <w:r>
        <w:rPr>
          <w:rFonts w:hint="default" w:cs="Times New Roman" w:asciiTheme="minorEastAsia" w:hAnsiTheme="minorEastAsia" w:eastAsiaTheme="minorEastAsia"/>
          <w:color w:val="auto"/>
          <w:lang w:eastAsia="zh-CN"/>
        </w:rPr>
        <w:t>国家机关、事业单位、团体组织。</w:t>
      </w:r>
    </w:p>
    <w:p w14:paraId="78FB5C01">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（2）供应商（以下称乙方）是指参加政府采购活动并且中标（成交），向采购人提供</w:t>
      </w:r>
      <w:r>
        <w:rPr>
          <w:rFonts w:hint="default" w:cs="Times New Roman" w:asciiTheme="minorEastAsia" w:hAnsiTheme="minorEastAsia" w:eastAsiaTheme="minorEastAsia"/>
          <w:color w:val="auto"/>
          <w:lang w:val="en-US" w:eastAsia="zh-CN"/>
        </w:rPr>
        <w:t>合同约定的货物及其相关服务的法人、非法人组织或者自然人</w:t>
      </w:r>
      <w:r>
        <w:rPr>
          <w:rFonts w:hint="default" w:cs="Times New Roman" w:asciiTheme="minorEastAsia" w:hAnsiTheme="minorEastAsia" w:eastAsiaTheme="minorEastAsia"/>
          <w:color w:val="auto"/>
          <w:lang w:eastAsia="zh-CN"/>
        </w:rPr>
        <w:t>。</w:t>
      </w:r>
    </w:p>
    <w:p w14:paraId="5E05981C">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（3）其他合同主体是指除采购人和供应商以外，</w:t>
      </w:r>
      <w:r>
        <w:rPr>
          <w:rFonts w:hint="default" w:cs="Times New Roman" w:asciiTheme="minorEastAsia" w:hAnsiTheme="minorEastAsia" w:eastAsiaTheme="minorEastAsia"/>
          <w:bCs/>
          <w:color w:val="auto"/>
          <w:lang w:eastAsia="zh-CN"/>
        </w:rPr>
        <w:t>依法参与合同缔结或履行，享有权利、承担义务的合同当事人</w:t>
      </w:r>
      <w:r>
        <w:rPr>
          <w:rFonts w:hint="default" w:cs="Times New Roman" w:asciiTheme="minorEastAsia" w:hAnsiTheme="minorEastAsia" w:eastAsiaTheme="minorEastAsia"/>
          <w:color w:val="auto"/>
          <w:lang w:eastAsia="zh-CN"/>
        </w:rPr>
        <w:t>。</w:t>
      </w:r>
    </w:p>
    <w:p w14:paraId="17A94CDB">
      <w:pPr>
        <w:tabs>
          <w:tab w:val="left" w:pos="570"/>
          <w:tab w:val="left" w:pos="9240"/>
          <w:tab w:val="left" w:pos="9555"/>
        </w:tabs>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1.2本合同下列术语应解释为：</w:t>
      </w:r>
    </w:p>
    <w:p w14:paraId="54F62980">
      <w:pPr>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（1）“合同”系指</w:t>
      </w:r>
      <w:r>
        <w:rPr>
          <w:rFonts w:hint="default" w:cs="Times New Roman" w:asciiTheme="minorEastAsia" w:hAnsiTheme="minorEastAsia" w:eastAsiaTheme="minorEastAsia"/>
          <w:bCs/>
          <w:color w:val="auto"/>
          <w:lang w:eastAsia="zh-CN"/>
        </w:rPr>
        <w:t>合同当事人意思表示达成一致的任何协议，包括签署的</w:t>
      </w:r>
      <w:r>
        <w:rPr>
          <w:rFonts w:hint="default" w:cs="Times New Roman" w:asciiTheme="minorEastAsia" w:hAnsiTheme="minorEastAsia" w:eastAsiaTheme="minorEastAsia"/>
          <w:color w:val="auto"/>
          <w:lang w:eastAsia="zh-CN"/>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02A2F955">
      <w:pPr>
        <w:tabs>
          <w:tab w:val="left" w:pos="570"/>
          <w:tab w:val="left" w:pos="9240"/>
          <w:tab w:val="left" w:pos="9555"/>
        </w:tabs>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w:t>
      </w:r>
      <w:r>
        <w:rPr>
          <w:rFonts w:hint="default" w:cs="Times New Roman" w:asciiTheme="minorEastAsia" w:hAnsiTheme="minorEastAsia" w:eastAsiaTheme="minorEastAsia"/>
          <w:color w:val="auto"/>
          <w:lang w:val="en-US" w:eastAsia="zh-CN"/>
        </w:rPr>
        <w:t>2</w:t>
      </w:r>
      <w:r>
        <w:rPr>
          <w:rFonts w:hint="default" w:cs="Times New Roman" w:asciiTheme="minorEastAsia" w:hAnsiTheme="minorEastAsia" w:eastAsiaTheme="minorEastAsia"/>
          <w:color w:val="auto"/>
          <w:lang w:eastAsia="zh-CN"/>
        </w:rPr>
        <w:t>）“合同价</w:t>
      </w:r>
      <w:r>
        <w:rPr>
          <w:rFonts w:hint="default" w:cs="Times New Roman" w:asciiTheme="minorEastAsia" w:hAnsiTheme="minorEastAsia" w:eastAsiaTheme="minorEastAsia"/>
          <w:color w:val="auto"/>
          <w:lang w:val="en-US" w:eastAsia="zh-CN"/>
        </w:rPr>
        <w:t>款</w:t>
      </w:r>
      <w:r>
        <w:rPr>
          <w:rFonts w:hint="default" w:cs="Times New Roman" w:asciiTheme="minorEastAsia" w:hAnsiTheme="minorEastAsia" w:eastAsiaTheme="minorEastAsia"/>
          <w:color w:val="auto"/>
          <w:lang w:eastAsia="zh-CN"/>
        </w:rPr>
        <w:t>”系指根据本合同规定乙方在全面履行合同义务后甲方应支付给乙方的价款。</w:t>
      </w:r>
    </w:p>
    <w:p w14:paraId="4143DF96">
      <w:pPr>
        <w:tabs>
          <w:tab w:val="left" w:pos="570"/>
          <w:tab w:val="left" w:pos="9240"/>
          <w:tab w:val="left" w:pos="9555"/>
        </w:tabs>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w:t>
      </w:r>
      <w:r>
        <w:rPr>
          <w:rFonts w:hint="default" w:cs="Times New Roman" w:asciiTheme="minorEastAsia" w:hAnsiTheme="minorEastAsia" w:eastAsiaTheme="minorEastAsia"/>
          <w:color w:val="auto"/>
          <w:lang w:val="en-US" w:eastAsia="zh-CN"/>
        </w:rPr>
        <w:t>3</w:t>
      </w:r>
      <w:r>
        <w:rPr>
          <w:rFonts w:hint="default" w:cs="Times New Roman" w:asciiTheme="minorEastAsia" w:hAnsiTheme="minorEastAsia" w:eastAsiaTheme="minorEastAsia"/>
          <w:color w:val="auto"/>
          <w:lang w:eastAsia="zh-CN"/>
        </w:rPr>
        <w:t>）“货物”系指乙方根据本合同规定须向甲方提供的各种形态和种类的物品，包括原材料、设备、产品（包括软件）及相关的其备品备件、工具、手册及</w:t>
      </w:r>
      <w:r>
        <w:rPr>
          <w:rFonts w:hint="default" w:cs="Times New Roman" w:asciiTheme="minorEastAsia" w:hAnsiTheme="minorEastAsia" w:eastAsiaTheme="minorEastAsia"/>
          <w:color w:val="auto"/>
          <w:lang w:val="en" w:eastAsia="zh-CN"/>
        </w:rPr>
        <w:t>其他</w:t>
      </w:r>
      <w:r>
        <w:rPr>
          <w:rFonts w:hint="default" w:cs="Times New Roman" w:asciiTheme="minorEastAsia" w:hAnsiTheme="minorEastAsia" w:eastAsiaTheme="minorEastAsia"/>
          <w:color w:val="auto"/>
          <w:lang w:eastAsia="zh-CN"/>
        </w:rPr>
        <w:t>技术资料和材料等。</w:t>
      </w:r>
    </w:p>
    <w:p w14:paraId="63E54FB0">
      <w:pPr>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w:t>
      </w:r>
      <w:r>
        <w:rPr>
          <w:rFonts w:hint="default" w:cs="Times New Roman" w:asciiTheme="minorEastAsia" w:hAnsiTheme="minorEastAsia" w:eastAsiaTheme="minorEastAsia"/>
          <w:color w:val="auto"/>
          <w:lang w:val="en-US" w:eastAsia="zh-CN"/>
        </w:rPr>
        <w:t>4</w:t>
      </w:r>
      <w:r>
        <w:rPr>
          <w:rFonts w:hint="default" w:cs="Times New Roman" w:asciiTheme="minorEastAsia" w:hAnsiTheme="minorEastAsia" w:eastAsiaTheme="minorEastAsia"/>
          <w:color w:val="auto"/>
          <w:lang w:eastAsia="zh-CN"/>
        </w:rPr>
        <w:t>）“</w:t>
      </w:r>
      <w:r>
        <w:rPr>
          <w:rFonts w:hint="default" w:cs="Times New Roman" w:asciiTheme="minorEastAsia" w:hAnsiTheme="minorEastAsia" w:eastAsiaTheme="minorEastAsia"/>
          <w:color w:val="auto"/>
          <w:lang w:val="en-US" w:eastAsia="zh-CN"/>
        </w:rPr>
        <w:t>相关</w:t>
      </w:r>
      <w:r>
        <w:rPr>
          <w:rFonts w:hint="default" w:cs="Times New Roman" w:asciiTheme="minorEastAsia" w:hAnsiTheme="minorEastAsia" w:eastAsiaTheme="minorEastAsia"/>
          <w:color w:val="auto"/>
          <w:lang w:eastAsia="zh-CN"/>
        </w:rPr>
        <w:t>服务”系指根据合同规定，乙方应提供的</w:t>
      </w:r>
      <w:r>
        <w:rPr>
          <w:rFonts w:hint="default" w:cs="Times New Roman" w:asciiTheme="minorEastAsia" w:hAnsiTheme="minorEastAsia" w:eastAsiaTheme="minorEastAsia"/>
          <w:color w:val="auto"/>
          <w:lang w:val="en-US" w:eastAsia="zh-CN"/>
        </w:rPr>
        <w:t>与货物有关的</w:t>
      </w:r>
      <w:r>
        <w:rPr>
          <w:rFonts w:hint="default" w:cs="Times New Roman" w:asciiTheme="minorEastAsia" w:hAnsiTheme="minorEastAsia" w:eastAsiaTheme="minorEastAsia"/>
          <w:color w:val="auto"/>
          <w:lang w:eastAsia="zh-CN"/>
        </w:rPr>
        <w:t>技术、管理和</w:t>
      </w:r>
      <w:r>
        <w:rPr>
          <w:rFonts w:hint="default" w:cs="Times New Roman" w:asciiTheme="minorEastAsia" w:hAnsiTheme="minorEastAsia" w:eastAsiaTheme="minorEastAsia"/>
          <w:color w:val="auto"/>
          <w:lang w:val="en" w:eastAsia="zh-CN"/>
        </w:rPr>
        <w:t>其他</w:t>
      </w:r>
      <w:r>
        <w:rPr>
          <w:rFonts w:hint="default" w:cs="Times New Roman" w:asciiTheme="minorEastAsia" w:hAnsiTheme="minorEastAsia" w:eastAsiaTheme="minorEastAsia"/>
          <w:color w:val="auto"/>
          <w:lang w:eastAsia="zh-CN"/>
        </w:rPr>
        <w:t>服务，包括但不限于：管理和质量保证、运输、保险、检验、现场准备、安装、集成、调试、培训、维修、废弃处置、技术支持等以及合同中规定乙方应承担的</w:t>
      </w:r>
      <w:r>
        <w:rPr>
          <w:rFonts w:hint="default" w:cs="Times New Roman" w:asciiTheme="minorEastAsia" w:hAnsiTheme="minorEastAsia" w:eastAsiaTheme="minorEastAsia"/>
          <w:color w:val="auto"/>
          <w:lang w:val="en" w:eastAsia="zh-CN"/>
        </w:rPr>
        <w:t>其他</w:t>
      </w:r>
      <w:r>
        <w:rPr>
          <w:rFonts w:hint="default" w:cs="Times New Roman" w:asciiTheme="minorEastAsia" w:hAnsiTheme="minorEastAsia" w:eastAsiaTheme="minorEastAsia"/>
          <w:color w:val="auto"/>
          <w:lang w:eastAsia="zh-CN"/>
        </w:rPr>
        <w:t>义务。</w:t>
      </w:r>
    </w:p>
    <w:p w14:paraId="6F2F0DBE">
      <w:pPr>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w:t>
      </w:r>
      <w:r>
        <w:rPr>
          <w:rFonts w:hint="default" w:cs="Times New Roman" w:asciiTheme="minorEastAsia" w:hAnsiTheme="minorEastAsia" w:eastAsiaTheme="minorEastAsia"/>
          <w:color w:val="auto"/>
          <w:lang w:val="en-US" w:eastAsia="zh-CN"/>
        </w:rPr>
        <w:t>5</w:t>
      </w:r>
      <w:r>
        <w:rPr>
          <w:rFonts w:hint="default" w:cs="Times New Roman" w:asciiTheme="minorEastAsia" w:hAnsiTheme="minorEastAsia" w:eastAsiaTheme="minorEastAsia"/>
          <w:color w:val="auto"/>
          <w:lang w:eastAsia="zh-CN"/>
        </w:rPr>
        <w:t>）“分包”系指中标（成交）供应商按采购文件、投标（响应）文件的规定，根据分包意向协议，将中标（成交）项目中的部分履约内容，分给具有相应资质条件的供应商履行合同的行为。</w:t>
      </w:r>
    </w:p>
    <w:p w14:paraId="7B2F270F">
      <w:pPr>
        <w:tabs>
          <w:tab w:val="left" w:pos="570"/>
          <w:tab w:val="left" w:pos="9240"/>
          <w:tab w:val="left" w:pos="9555"/>
        </w:tabs>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w:t>
      </w:r>
      <w:r>
        <w:rPr>
          <w:rFonts w:hint="default" w:cs="Times New Roman" w:asciiTheme="minorEastAsia" w:hAnsiTheme="minorEastAsia" w:eastAsiaTheme="minorEastAsia"/>
          <w:color w:val="auto"/>
          <w:lang w:val="en-US" w:eastAsia="zh-CN"/>
        </w:rPr>
        <w:t>6</w:t>
      </w:r>
      <w:r>
        <w:rPr>
          <w:rFonts w:hint="default" w:cs="Times New Roman" w:asciiTheme="minorEastAsia" w:hAnsiTheme="minorEastAsia" w:eastAsiaTheme="minorEastAsia"/>
          <w:color w:val="auto"/>
          <w:lang w:eastAsia="zh-CN"/>
        </w:rPr>
        <w:t>）“联合体”系指由两个以上的自然人、法人或者</w:t>
      </w:r>
      <w:r>
        <w:rPr>
          <w:rFonts w:hint="default" w:cs="Times New Roman" w:asciiTheme="minorEastAsia" w:hAnsiTheme="minorEastAsia" w:eastAsiaTheme="minorEastAsia"/>
          <w:color w:val="auto"/>
          <w:lang w:val="en-US" w:eastAsia="zh-CN"/>
        </w:rPr>
        <w:t>非法人</w:t>
      </w:r>
      <w:r>
        <w:rPr>
          <w:rFonts w:hint="default" w:cs="Times New Roman" w:asciiTheme="minorEastAsia" w:hAnsiTheme="minorEastAsia" w:eastAsiaTheme="minorEastAsia"/>
          <w:color w:val="auto"/>
          <w:lang w:eastAsia="zh-CN"/>
        </w:rPr>
        <w:t>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default" w:cs="Times New Roman" w:asciiTheme="minorEastAsia" w:hAnsiTheme="minorEastAsia" w:eastAsiaTheme="minorEastAsia"/>
          <w:b/>
          <w:bCs/>
          <w:color w:val="auto"/>
          <w:lang w:eastAsia="zh-CN"/>
        </w:rPr>
        <w:t>政府采购合同专用条款</w:t>
      </w:r>
      <w:r>
        <w:rPr>
          <w:rFonts w:hint="default" w:cs="Times New Roman" w:asciiTheme="minorEastAsia" w:hAnsiTheme="minorEastAsia" w:eastAsiaTheme="minorEastAsia"/>
          <w:color w:val="auto"/>
          <w:lang w:eastAsia="zh-CN"/>
        </w:rPr>
        <w:t>】。</w:t>
      </w:r>
    </w:p>
    <w:p w14:paraId="5AFA6029">
      <w:pPr>
        <w:tabs>
          <w:tab w:val="left" w:pos="570"/>
          <w:tab w:val="left" w:pos="9240"/>
          <w:tab w:val="left" w:pos="9555"/>
        </w:tabs>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w:t>
      </w:r>
      <w:r>
        <w:rPr>
          <w:rFonts w:hint="default" w:cs="Times New Roman" w:asciiTheme="minorEastAsia" w:hAnsiTheme="minorEastAsia" w:eastAsiaTheme="minorEastAsia"/>
          <w:color w:val="auto"/>
          <w:lang w:val="en-US" w:eastAsia="zh-CN"/>
        </w:rPr>
        <w:t>7</w:t>
      </w:r>
      <w:r>
        <w:rPr>
          <w:rFonts w:hint="default" w:cs="Times New Roman" w:asciiTheme="minorEastAsia" w:hAnsiTheme="minorEastAsia" w:eastAsiaTheme="minorEastAsia"/>
          <w:color w:val="auto"/>
          <w:lang w:eastAsia="zh-CN"/>
        </w:rPr>
        <w:t>）其他术语解释，见【</w:t>
      </w:r>
      <w:r>
        <w:rPr>
          <w:rFonts w:hint="default" w:cs="Times New Roman" w:asciiTheme="minorEastAsia" w:hAnsiTheme="minorEastAsia" w:eastAsiaTheme="minorEastAsia"/>
          <w:b/>
          <w:bCs/>
          <w:color w:val="auto"/>
          <w:lang w:eastAsia="zh-CN"/>
        </w:rPr>
        <w:t>政府采购合同专用条款</w:t>
      </w:r>
      <w:r>
        <w:rPr>
          <w:rFonts w:hint="default" w:cs="Times New Roman" w:asciiTheme="minorEastAsia" w:hAnsiTheme="minorEastAsia" w:eastAsiaTheme="minorEastAsia"/>
          <w:color w:val="auto"/>
          <w:lang w:eastAsia="zh-CN"/>
        </w:rPr>
        <w:t>】。</w:t>
      </w:r>
    </w:p>
    <w:p w14:paraId="5247EC85">
      <w:pPr>
        <w:numPr>
          <w:ilvl w:val="0"/>
          <w:numId w:val="17"/>
        </w:numPr>
        <w:autoSpaceDE w:val="0"/>
        <w:autoSpaceDN w:val="0"/>
        <w:adjustRightInd w:val="0"/>
        <w:snapToGrid w:val="0"/>
        <w:spacing w:line="400" w:lineRule="exact"/>
        <w:jc w:val="left"/>
        <w:rPr>
          <w:rFonts w:cs="Times New Roman" w:asciiTheme="minorEastAsia" w:hAnsiTheme="minorEastAsia" w:eastAsiaTheme="minorEastAsia"/>
          <w:b/>
          <w:bCs/>
          <w:color w:val="auto"/>
          <w:sz w:val="24"/>
        </w:rPr>
      </w:pPr>
      <w:r>
        <w:rPr>
          <w:rFonts w:hint="default" w:cs="Times New Roman" w:asciiTheme="minorEastAsia" w:hAnsiTheme="minorEastAsia" w:eastAsiaTheme="minorEastAsia"/>
          <w:b/>
          <w:color w:val="auto"/>
          <w:sz w:val="24"/>
        </w:rPr>
        <w:t>合同标的及金额</w:t>
      </w:r>
    </w:p>
    <w:p w14:paraId="2C498C2D">
      <w:pPr>
        <w:autoSpaceDE w:val="0"/>
        <w:autoSpaceDN w:val="0"/>
        <w:adjustRightInd w:val="0"/>
        <w:snapToGrid w:val="0"/>
        <w:spacing w:line="400" w:lineRule="exact"/>
        <w:ind w:firstLine="420" w:firstLineChars="200"/>
        <w:jc w:val="left"/>
        <w:rPr>
          <w:rFonts w:cs="Times New Roman" w:asciiTheme="minorEastAsia" w:hAnsiTheme="minorEastAsia" w:eastAsiaTheme="minorEastAsia"/>
          <w:b/>
          <w:bCs/>
          <w:i/>
          <w:iCs/>
          <w:color w:val="auto"/>
          <w:lang w:eastAsia="zh-CN"/>
        </w:rPr>
      </w:pPr>
      <w:r>
        <w:rPr>
          <w:rFonts w:hint="default" w:cs="Times New Roman" w:asciiTheme="minorEastAsia" w:hAnsiTheme="minorEastAsia" w:eastAsiaTheme="minorEastAsia"/>
          <w:color w:val="auto"/>
          <w:lang w:eastAsia="zh-CN"/>
        </w:rPr>
        <w:t>2.1 合同标的及金额应与中标（成交）结果一致。乙方为履行本合同而发生的所有费用均应包含在合同价款中，甲方不再另行支付</w:t>
      </w:r>
      <w:r>
        <w:rPr>
          <w:rFonts w:hint="default" w:cs="Times New Roman" w:asciiTheme="minorEastAsia" w:hAnsiTheme="minorEastAsia" w:eastAsiaTheme="minorEastAsia"/>
          <w:color w:val="auto"/>
          <w:lang w:val="en" w:eastAsia="zh-CN"/>
        </w:rPr>
        <w:t>其他</w:t>
      </w:r>
      <w:r>
        <w:rPr>
          <w:rFonts w:hint="default" w:cs="Times New Roman" w:asciiTheme="minorEastAsia" w:hAnsiTheme="minorEastAsia" w:eastAsiaTheme="minorEastAsia"/>
          <w:color w:val="auto"/>
          <w:lang w:eastAsia="zh-CN"/>
        </w:rPr>
        <w:t>任何费用。</w:t>
      </w:r>
    </w:p>
    <w:p w14:paraId="1C93565E">
      <w:pPr>
        <w:adjustRightInd w:val="0"/>
        <w:snapToGrid w:val="0"/>
        <w:spacing w:line="400" w:lineRule="exact"/>
        <w:jc w:val="left"/>
        <w:rPr>
          <w:rFonts w:cs="Times New Roman" w:asciiTheme="minorEastAsia" w:hAnsiTheme="minorEastAsia" w:eastAsiaTheme="minorEastAsia"/>
          <w:b/>
          <w:color w:val="auto"/>
          <w:sz w:val="24"/>
          <w:lang w:eastAsia="zh-CN"/>
        </w:rPr>
      </w:pPr>
      <w:r>
        <w:rPr>
          <w:rFonts w:hint="default" w:cs="Times New Roman" w:asciiTheme="minorEastAsia" w:hAnsiTheme="minorEastAsia" w:eastAsiaTheme="minorEastAsia"/>
          <w:b/>
          <w:color w:val="auto"/>
          <w:sz w:val="24"/>
          <w:lang w:eastAsia="zh-CN"/>
        </w:rPr>
        <w:t>3</w:t>
      </w:r>
      <w:r>
        <w:rPr>
          <w:rFonts w:hint="default" w:cs="Times New Roman" w:asciiTheme="minorEastAsia" w:hAnsiTheme="minorEastAsia" w:eastAsiaTheme="minorEastAsia"/>
          <w:b/>
          <w:color w:val="auto"/>
          <w:sz w:val="24"/>
          <w:lang w:val="en-US" w:eastAsia="zh-CN"/>
        </w:rPr>
        <w:t xml:space="preserve">. </w:t>
      </w:r>
      <w:r>
        <w:rPr>
          <w:rFonts w:hint="default" w:cs="Times New Roman" w:asciiTheme="minorEastAsia" w:hAnsiTheme="minorEastAsia" w:eastAsiaTheme="minorEastAsia"/>
          <w:b/>
          <w:color w:val="auto"/>
          <w:sz w:val="24"/>
          <w:lang w:eastAsia="zh-CN"/>
        </w:rPr>
        <w:t>履行合同的时间、地点和方式</w:t>
      </w:r>
    </w:p>
    <w:p w14:paraId="5B651A94">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3.1 乙方应当在约定的时间、地点，按照约定方式履行合同。</w:t>
      </w:r>
    </w:p>
    <w:p w14:paraId="50B99614">
      <w:pPr>
        <w:autoSpaceDE w:val="0"/>
        <w:autoSpaceDN w:val="0"/>
        <w:adjustRightInd w:val="0"/>
        <w:snapToGrid w:val="0"/>
        <w:spacing w:line="400" w:lineRule="exact"/>
        <w:jc w:val="left"/>
        <w:rPr>
          <w:rFonts w:cs="Times New Roman" w:asciiTheme="minorEastAsia" w:hAnsiTheme="minorEastAsia" w:eastAsiaTheme="minorEastAsia"/>
          <w:b/>
          <w:bCs/>
          <w:color w:val="auto"/>
          <w:sz w:val="24"/>
          <w:lang w:eastAsia="zh-CN"/>
        </w:rPr>
      </w:pPr>
      <w:r>
        <w:rPr>
          <w:rFonts w:hint="default" w:cs="Times New Roman" w:asciiTheme="minorEastAsia" w:hAnsiTheme="minorEastAsia" w:eastAsiaTheme="minorEastAsia"/>
          <w:b/>
          <w:bCs/>
          <w:color w:val="auto"/>
          <w:sz w:val="24"/>
          <w:lang w:eastAsia="zh-CN"/>
        </w:rPr>
        <w:t>4</w:t>
      </w:r>
      <w:r>
        <w:rPr>
          <w:rFonts w:hint="default" w:cs="Times New Roman" w:asciiTheme="minorEastAsia" w:hAnsiTheme="minorEastAsia" w:eastAsiaTheme="minorEastAsia"/>
          <w:b/>
          <w:bCs/>
          <w:color w:val="auto"/>
          <w:sz w:val="24"/>
          <w:lang w:val="en-US" w:eastAsia="zh-CN"/>
        </w:rPr>
        <w:t xml:space="preserve">. </w:t>
      </w:r>
      <w:r>
        <w:rPr>
          <w:rFonts w:hint="default" w:cs="Times New Roman" w:asciiTheme="minorEastAsia" w:hAnsiTheme="minorEastAsia" w:eastAsiaTheme="minorEastAsia"/>
          <w:b/>
          <w:bCs/>
          <w:color w:val="auto"/>
          <w:sz w:val="24"/>
          <w:lang w:eastAsia="zh-CN"/>
        </w:rPr>
        <w:t>甲方的权利和义务</w:t>
      </w:r>
    </w:p>
    <w:p w14:paraId="7ABF4FD5">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4.1 签署合同后，甲方应确定</w:t>
      </w:r>
      <w:r>
        <w:rPr>
          <w:rFonts w:hint="default" w:cs="Times New Roman" w:asciiTheme="minorEastAsia" w:hAnsiTheme="minorEastAsia" w:eastAsiaTheme="minorEastAsia"/>
          <w:color w:val="auto"/>
          <w:lang w:val="en-US" w:eastAsia="zh-CN"/>
        </w:rPr>
        <w:t>项目负责人（或项目联系人）</w:t>
      </w:r>
      <w:r>
        <w:rPr>
          <w:rFonts w:hint="default" w:cs="Times New Roman" w:asciiTheme="minorEastAsia" w:hAnsiTheme="minorEastAsia" w:eastAsiaTheme="minorEastAsia"/>
          <w:color w:val="auto"/>
          <w:lang w:eastAsia="zh-CN"/>
        </w:rPr>
        <w:t>，负责与本合同有关的事务。甲方有权对乙方的履约行为进行检查，并及时确认乙方提交的事项。甲方应当配合乙方完成相关项目实施工作。</w:t>
      </w:r>
    </w:p>
    <w:p w14:paraId="1866A507">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4.2 甲方有权要求乙方按时提交各阶段有关安排计划，并有权定期核对乙方提供货物数量、规格、质量等内容。甲方有权督促乙方工作并要求乙方更换不符合要求的货物。</w:t>
      </w:r>
    </w:p>
    <w:p w14:paraId="34D5C0C1">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4.3 甲方有权要求乙方对缺陷部分予以修复，并按合同约定享有货物保修及其他合同约定的权利。</w:t>
      </w:r>
    </w:p>
    <w:p w14:paraId="07508355">
      <w:pPr>
        <w:snapToGrid w:val="0"/>
        <w:spacing w:line="400" w:lineRule="exact"/>
        <w:ind w:firstLine="420" w:firstLineChars="200"/>
        <w:rPr>
          <w:rFonts w:cs="Times New Roman" w:asciiTheme="minorEastAsia" w:hAnsiTheme="minorEastAsia" w:eastAsiaTheme="minorEastAsia"/>
          <w:color w:val="auto"/>
          <w:lang w:val="en-US" w:eastAsia="zh-CN"/>
        </w:rPr>
      </w:pPr>
      <w:r>
        <w:rPr>
          <w:rFonts w:hint="default" w:cs="Times New Roman" w:asciiTheme="minorEastAsia" w:hAnsiTheme="minorEastAsia" w:eastAsiaTheme="minorEastAsia"/>
          <w:color w:val="auto"/>
          <w:lang w:val="en-US" w:eastAsia="zh-CN"/>
        </w:rPr>
        <w:t>4.4 甲方应当按照合同约定及时对交付的货物进行验收，</w:t>
      </w:r>
      <w:r>
        <w:rPr>
          <w:rFonts w:hint="default" w:cs="Times New Roman" w:asciiTheme="minorEastAsia" w:hAnsiTheme="minorEastAsia" w:eastAsiaTheme="minorEastAsia"/>
          <w:color w:val="auto"/>
          <w:lang w:eastAsia="zh-CN"/>
        </w:rPr>
        <w:t>未</w:t>
      </w:r>
      <w:r>
        <w:rPr>
          <w:rFonts w:hint="default" w:cs="Times New Roman" w:asciiTheme="minorEastAsia" w:hAnsiTheme="minorEastAsia" w:eastAsiaTheme="minorEastAsia"/>
          <w:color w:val="auto"/>
          <w:lang w:val="en-US" w:eastAsia="zh-CN"/>
        </w:rPr>
        <w:t>在</w:t>
      </w:r>
      <w:r>
        <w:rPr>
          <w:rFonts w:hint="default" w:cs="Times New Roman" w:asciiTheme="minorEastAsia" w:hAnsiTheme="minorEastAsia" w:eastAsiaTheme="minorEastAsia"/>
          <w:b/>
          <w:bCs/>
          <w:color w:val="auto"/>
          <w:lang w:eastAsia="zh-CN"/>
        </w:rPr>
        <w:t>【政府采购合同专用条款】</w:t>
      </w:r>
      <w:r>
        <w:rPr>
          <w:rFonts w:hint="default" w:cs="Times New Roman" w:asciiTheme="minorEastAsia" w:hAnsiTheme="minorEastAsia" w:eastAsiaTheme="minorEastAsia"/>
          <w:color w:val="auto"/>
          <w:lang w:eastAsia="zh-CN"/>
        </w:rPr>
        <w:t>约定的期限内对乙方履约提出任何异议或者向乙方作出任何说明的，</w:t>
      </w:r>
      <w:r>
        <w:rPr>
          <w:rFonts w:hint="default" w:cs="Times New Roman" w:asciiTheme="minorEastAsia" w:hAnsiTheme="minorEastAsia" w:eastAsiaTheme="minorEastAsia"/>
          <w:color w:val="auto"/>
          <w:lang w:val="en-US" w:eastAsia="zh-CN"/>
        </w:rPr>
        <w:t>视为验收通过。</w:t>
      </w:r>
    </w:p>
    <w:p w14:paraId="36CB17D7">
      <w:pPr>
        <w:autoSpaceDE w:val="0"/>
        <w:autoSpaceDN w:val="0"/>
        <w:adjustRightInd w:val="0"/>
        <w:snapToGrid w:val="0"/>
        <w:spacing w:line="400" w:lineRule="exact"/>
        <w:ind w:firstLine="480" w:firstLineChars="200"/>
        <w:jc w:val="left"/>
        <w:rPr>
          <w:rFonts w:cs="Times New Roman" w:asciiTheme="minorEastAsia" w:hAnsiTheme="minorEastAsia" w:eastAsiaTheme="minorEastAsia"/>
          <w:color w:val="auto"/>
          <w:sz w:val="24"/>
          <w:szCs w:val="24"/>
          <w:lang w:eastAsia="zh-CN"/>
        </w:rPr>
      </w:pPr>
      <w:r>
        <w:rPr>
          <w:rFonts w:hint="default" w:cs="Times New Roman" w:asciiTheme="minorEastAsia" w:hAnsiTheme="minorEastAsia" w:eastAsiaTheme="minorEastAsia"/>
          <w:color w:val="auto"/>
          <w:sz w:val="24"/>
          <w:szCs w:val="24"/>
          <w:lang w:eastAsia="zh-CN"/>
        </w:rPr>
        <w:t>4.</w:t>
      </w:r>
      <w:r>
        <w:rPr>
          <w:rFonts w:hint="default" w:cs="Times New Roman" w:asciiTheme="minorEastAsia" w:hAnsiTheme="minorEastAsia" w:eastAsiaTheme="minorEastAsia"/>
          <w:color w:val="auto"/>
          <w:sz w:val="24"/>
          <w:szCs w:val="24"/>
          <w:lang w:val="en-US" w:eastAsia="zh-CN"/>
        </w:rPr>
        <w:t>5</w:t>
      </w:r>
      <w:r>
        <w:rPr>
          <w:rFonts w:hint="default" w:cs="Times New Roman" w:asciiTheme="minorEastAsia" w:hAnsiTheme="minorEastAsia" w:eastAsiaTheme="minorEastAsia"/>
          <w:color w:val="auto"/>
          <w:sz w:val="24"/>
          <w:szCs w:val="24"/>
          <w:lang w:eastAsia="zh-CN"/>
        </w:rPr>
        <w:t xml:space="preserve"> 甲方应当根据合同约定及时向乙方支付合同价款，不得以内部人员变更、履行内部付款流程等为由，拒绝或迟延支付。</w:t>
      </w:r>
    </w:p>
    <w:p w14:paraId="285E6348">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4.</w:t>
      </w:r>
      <w:r>
        <w:rPr>
          <w:rFonts w:hint="default" w:cs="Times New Roman" w:asciiTheme="minorEastAsia" w:hAnsiTheme="minorEastAsia" w:eastAsiaTheme="minorEastAsia"/>
          <w:color w:val="auto"/>
          <w:lang w:val="en-US" w:eastAsia="zh-CN"/>
        </w:rPr>
        <w:t>6</w:t>
      </w:r>
      <w:r>
        <w:rPr>
          <w:rFonts w:hint="default" w:cs="Times New Roman" w:asciiTheme="minorEastAsia" w:hAnsiTheme="minorEastAsia" w:eastAsiaTheme="minorEastAsia"/>
          <w:color w:val="auto"/>
          <w:lang w:eastAsia="zh-CN"/>
        </w:rPr>
        <w:t xml:space="preserve"> 国家法律法规规定及</w:t>
      </w:r>
      <w:r>
        <w:rPr>
          <w:rFonts w:hint="default" w:cs="Times New Roman" w:asciiTheme="minorEastAsia" w:hAnsiTheme="minorEastAsia" w:eastAsiaTheme="minorEastAsia"/>
          <w:b/>
          <w:bCs/>
          <w:color w:val="auto"/>
          <w:lang w:eastAsia="zh-CN"/>
        </w:rPr>
        <w:t>【政府采购合同专用条款】</w:t>
      </w:r>
      <w:r>
        <w:rPr>
          <w:rFonts w:hint="default" w:cs="Times New Roman" w:asciiTheme="minorEastAsia" w:hAnsiTheme="minorEastAsia" w:eastAsiaTheme="minorEastAsia"/>
          <w:color w:val="auto"/>
          <w:lang w:eastAsia="zh-CN"/>
        </w:rPr>
        <w:t>约定应由甲方承担的其他义务和责任。</w:t>
      </w:r>
    </w:p>
    <w:p w14:paraId="48138245">
      <w:pPr>
        <w:autoSpaceDE w:val="0"/>
        <w:autoSpaceDN w:val="0"/>
        <w:adjustRightInd w:val="0"/>
        <w:snapToGrid w:val="0"/>
        <w:spacing w:line="400" w:lineRule="exact"/>
        <w:jc w:val="left"/>
        <w:rPr>
          <w:rFonts w:cs="Times New Roman" w:asciiTheme="minorEastAsia" w:hAnsiTheme="minorEastAsia" w:eastAsiaTheme="minorEastAsia"/>
          <w:b/>
          <w:bCs/>
          <w:color w:val="auto"/>
          <w:sz w:val="24"/>
          <w:lang w:eastAsia="zh-CN"/>
        </w:rPr>
      </w:pPr>
      <w:r>
        <w:rPr>
          <w:rFonts w:hint="default" w:cs="Times New Roman" w:asciiTheme="minorEastAsia" w:hAnsiTheme="minorEastAsia" w:eastAsiaTheme="minorEastAsia"/>
          <w:b/>
          <w:bCs/>
          <w:color w:val="auto"/>
          <w:sz w:val="24"/>
          <w:lang w:eastAsia="zh-CN"/>
        </w:rPr>
        <w:t>5</w:t>
      </w:r>
      <w:r>
        <w:rPr>
          <w:rFonts w:hint="default" w:cs="Times New Roman" w:asciiTheme="minorEastAsia" w:hAnsiTheme="minorEastAsia" w:eastAsiaTheme="minorEastAsia"/>
          <w:b/>
          <w:bCs/>
          <w:color w:val="auto"/>
          <w:sz w:val="24"/>
          <w:lang w:val="en-US" w:eastAsia="zh-CN"/>
        </w:rPr>
        <w:t xml:space="preserve">. </w:t>
      </w:r>
      <w:r>
        <w:rPr>
          <w:rFonts w:hint="default" w:cs="Times New Roman" w:asciiTheme="minorEastAsia" w:hAnsiTheme="minorEastAsia" w:eastAsiaTheme="minorEastAsia"/>
          <w:b/>
          <w:bCs/>
          <w:color w:val="auto"/>
          <w:sz w:val="24"/>
          <w:lang w:eastAsia="zh-CN"/>
        </w:rPr>
        <w:t>乙方的权利和义务</w:t>
      </w:r>
    </w:p>
    <w:p w14:paraId="2F7964FD">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5.1 签署合同后，乙方应确定</w:t>
      </w:r>
      <w:r>
        <w:rPr>
          <w:rFonts w:hint="default" w:cs="Times New Roman" w:asciiTheme="minorEastAsia" w:hAnsiTheme="minorEastAsia" w:eastAsiaTheme="minorEastAsia"/>
          <w:color w:val="auto"/>
          <w:lang w:val="en-US" w:eastAsia="zh-CN"/>
        </w:rPr>
        <w:t>项目负责人（或项目联系人）</w:t>
      </w:r>
      <w:r>
        <w:rPr>
          <w:rFonts w:hint="default" w:cs="Times New Roman" w:asciiTheme="minorEastAsia" w:hAnsiTheme="minorEastAsia" w:eastAsiaTheme="minorEastAsia"/>
          <w:color w:val="auto"/>
          <w:lang w:eastAsia="zh-CN"/>
        </w:rPr>
        <w:t>，负责与本合同有关的事务。</w:t>
      </w:r>
    </w:p>
    <w:p w14:paraId="5F24022B">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037417AC">
      <w:pPr>
        <w:pStyle w:val="16"/>
        <w:spacing w:line="400" w:lineRule="exact"/>
        <w:ind w:firstLine="422" w:firstLineChars="176"/>
        <w:rPr>
          <w:rFonts w:hint="eastAsia" w:asciiTheme="minorEastAsia" w:hAnsiTheme="minorEastAsia" w:eastAsiaTheme="minorEastAsia"/>
          <w:szCs w:val="21"/>
        </w:rPr>
      </w:pPr>
      <w:r>
        <w:rPr>
          <w:rFonts w:asciiTheme="minorEastAsia" w:hAnsiTheme="minorEastAsia" w:eastAsiaTheme="minorEastAsia"/>
          <w:szCs w:val="21"/>
        </w:rPr>
        <w:t>5.3乙方有权根据合同约定向甲方收取合同价款。</w:t>
      </w:r>
    </w:p>
    <w:p w14:paraId="17BCD21E">
      <w:pPr>
        <w:pStyle w:val="16"/>
        <w:spacing w:line="400" w:lineRule="exact"/>
        <w:ind w:firstLine="422" w:firstLineChars="176"/>
        <w:rPr>
          <w:rFonts w:hint="eastAsia" w:asciiTheme="minorEastAsia" w:hAnsiTheme="minorEastAsia" w:eastAsiaTheme="minorEastAsia"/>
          <w:szCs w:val="21"/>
        </w:rPr>
      </w:pPr>
      <w:r>
        <w:rPr>
          <w:rFonts w:asciiTheme="minorEastAsia" w:hAnsiTheme="minorEastAsia" w:eastAsiaTheme="minorEastAsia"/>
          <w:szCs w:val="21"/>
        </w:rPr>
        <w:t>5.4国家法律法规规定及</w:t>
      </w:r>
      <w:r>
        <w:rPr>
          <w:rFonts w:asciiTheme="minorEastAsia" w:hAnsiTheme="minorEastAsia" w:eastAsiaTheme="minorEastAsia"/>
          <w:b/>
          <w:bCs/>
          <w:szCs w:val="21"/>
        </w:rPr>
        <w:t>【政府采购合同专用条款】</w:t>
      </w:r>
      <w:r>
        <w:rPr>
          <w:rFonts w:asciiTheme="minorEastAsia" w:hAnsiTheme="minorEastAsia" w:eastAsiaTheme="minorEastAsia"/>
          <w:szCs w:val="21"/>
        </w:rPr>
        <w:t>约定应由乙方承担的其他义务和责任。</w:t>
      </w:r>
    </w:p>
    <w:p w14:paraId="41D577F4">
      <w:pPr>
        <w:numPr>
          <w:ilvl w:val="0"/>
          <w:numId w:val="18"/>
        </w:numPr>
        <w:autoSpaceDE w:val="0"/>
        <w:autoSpaceDN w:val="0"/>
        <w:adjustRightInd w:val="0"/>
        <w:snapToGrid w:val="0"/>
        <w:spacing w:line="400" w:lineRule="exact"/>
        <w:jc w:val="left"/>
        <w:rPr>
          <w:rFonts w:cs="Times New Roman" w:asciiTheme="minorEastAsia" w:hAnsiTheme="minorEastAsia" w:eastAsiaTheme="minorEastAsia"/>
          <w:b/>
          <w:bCs/>
          <w:color w:val="auto"/>
          <w:sz w:val="24"/>
        </w:rPr>
      </w:pPr>
      <w:r>
        <w:rPr>
          <w:rFonts w:hint="default" w:cs="Times New Roman" w:asciiTheme="minorEastAsia" w:hAnsiTheme="minorEastAsia" w:eastAsiaTheme="minorEastAsia"/>
          <w:b/>
          <w:bCs/>
          <w:color w:val="auto"/>
          <w:sz w:val="24"/>
        </w:rPr>
        <w:t>合同履</w:t>
      </w:r>
      <w:r>
        <w:rPr>
          <w:rFonts w:hint="default" w:cs="Times New Roman" w:asciiTheme="minorEastAsia" w:hAnsiTheme="minorEastAsia" w:eastAsiaTheme="minorEastAsia"/>
          <w:b/>
          <w:bCs/>
          <w:color w:val="auto"/>
          <w:sz w:val="24"/>
          <w:lang w:val="en-US" w:eastAsia="zh-CN"/>
        </w:rPr>
        <w:t>行</w:t>
      </w:r>
    </w:p>
    <w:p w14:paraId="3567A82E">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6.1 甲乙双方应当按照</w:t>
      </w:r>
      <w:r>
        <w:rPr>
          <w:rFonts w:hint="default" w:cs="Times New Roman" w:asciiTheme="minorEastAsia" w:hAnsiTheme="minorEastAsia" w:eastAsiaTheme="minorEastAsia"/>
          <w:b/>
          <w:bCs/>
          <w:color w:val="auto"/>
          <w:lang w:eastAsia="zh-CN"/>
        </w:rPr>
        <w:t>【政府采购合同专用条款】</w:t>
      </w:r>
      <w:r>
        <w:rPr>
          <w:rFonts w:hint="default" w:cs="Times New Roman" w:asciiTheme="minorEastAsia" w:hAnsiTheme="minorEastAsia" w:eastAsiaTheme="minorEastAsia"/>
          <w:color w:val="auto"/>
          <w:lang w:eastAsia="zh-CN"/>
        </w:rPr>
        <w:t>约定顺序履行合同义务；如果没有先后顺序的，应当同时履行。</w:t>
      </w:r>
    </w:p>
    <w:p w14:paraId="64ABACB3">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6.2 甲乙双方按照合同约定顺序履行合同义务时，应当先履行一方未履行的，后履行一方有权拒绝其履行请求。先履行一方履行不符合约定的，后履行一方有权拒绝其相应的履行请求。</w:t>
      </w:r>
    </w:p>
    <w:p w14:paraId="290D2D83">
      <w:pPr>
        <w:adjustRightInd w:val="0"/>
        <w:snapToGrid w:val="0"/>
        <w:spacing w:line="400" w:lineRule="exact"/>
        <w:jc w:val="left"/>
        <w:rPr>
          <w:rFonts w:cs="Times New Roman" w:asciiTheme="minorEastAsia" w:hAnsiTheme="minorEastAsia" w:eastAsiaTheme="minorEastAsia"/>
          <w:b/>
          <w:bCs/>
          <w:color w:val="auto"/>
          <w:sz w:val="24"/>
          <w:lang w:eastAsia="zh-CN"/>
        </w:rPr>
      </w:pPr>
      <w:r>
        <w:rPr>
          <w:rFonts w:hint="default" w:cs="Times New Roman" w:asciiTheme="minorEastAsia" w:hAnsiTheme="minorEastAsia" w:eastAsiaTheme="minorEastAsia"/>
          <w:b/>
          <w:bCs/>
          <w:color w:val="auto"/>
          <w:sz w:val="24"/>
          <w:lang w:eastAsia="zh-CN"/>
        </w:rPr>
        <w:t>7</w:t>
      </w:r>
      <w:r>
        <w:rPr>
          <w:rFonts w:hint="default" w:cs="Times New Roman" w:asciiTheme="minorEastAsia" w:hAnsiTheme="minorEastAsia" w:eastAsiaTheme="minorEastAsia"/>
          <w:b/>
          <w:bCs/>
          <w:color w:val="auto"/>
          <w:sz w:val="24"/>
          <w:lang w:val="en-US" w:eastAsia="zh-CN"/>
        </w:rPr>
        <w:t xml:space="preserve">. </w:t>
      </w:r>
      <w:r>
        <w:rPr>
          <w:rFonts w:hint="default" w:cs="Times New Roman" w:asciiTheme="minorEastAsia" w:hAnsiTheme="minorEastAsia" w:eastAsiaTheme="minorEastAsia"/>
          <w:b/>
          <w:bCs/>
          <w:color w:val="auto"/>
          <w:sz w:val="24"/>
          <w:lang w:eastAsia="zh-CN"/>
        </w:rPr>
        <w:t>货物包装、运输、保险和交付要求</w:t>
      </w:r>
    </w:p>
    <w:p w14:paraId="7997D64D">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7.1 本合同</w:t>
      </w:r>
      <w:r>
        <w:rPr>
          <w:rFonts w:hint="default" w:cs="Times New Roman" w:asciiTheme="minorEastAsia" w:hAnsiTheme="minorEastAsia" w:eastAsiaTheme="minorEastAsia"/>
          <w:bCs/>
          <w:color w:val="auto"/>
          <w:lang w:eastAsia="zh-CN"/>
        </w:rPr>
        <w:t>涉及商品包装、快递包装的，</w:t>
      </w:r>
      <w:r>
        <w:rPr>
          <w:rFonts w:hint="default" w:cs="Times New Roman" w:asciiTheme="minorEastAsia" w:hAnsiTheme="minorEastAsia" w:eastAsiaTheme="minorEastAsia"/>
          <w:color w:val="auto"/>
          <w:lang w:eastAsia="zh-CN"/>
        </w:rPr>
        <w:t>除</w:t>
      </w:r>
      <w:r>
        <w:rPr>
          <w:rFonts w:hint="default" w:cs="Times New Roman" w:asciiTheme="minorEastAsia" w:hAnsiTheme="minorEastAsia" w:eastAsiaTheme="minorEastAsia"/>
          <w:b/>
          <w:color w:val="auto"/>
          <w:lang w:eastAsia="zh-CN"/>
        </w:rPr>
        <w:t>【政府采购合同专用条款】</w:t>
      </w:r>
      <w:r>
        <w:rPr>
          <w:rFonts w:hint="default" w:cs="Times New Roman" w:asciiTheme="minorEastAsia" w:hAnsiTheme="minorEastAsia" w:eastAsiaTheme="minorEastAsia"/>
          <w:bCs/>
          <w:color w:val="auto"/>
          <w:lang w:eastAsia="zh-CN"/>
        </w:rPr>
        <w:t>另有约定外，</w:t>
      </w:r>
      <w:r>
        <w:rPr>
          <w:rFonts w:hint="default" w:cs="Times New Roman" w:asciiTheme="minorEastAsia" w:hAnsiTheme="minorEastAsia" w:eastAsiaTheme="minorEastAsia"/>
          <w:color w:val="auto"/>
          <w:lang w:eastAsia="zh-CN"/>
        </w:rPr>
        <w:t>包装应适应远距离运输、防潮、防震、防锈和防野蛮装卸等要求，确保货物安全无损地运抵</w:t>
      </w:r>
      <w:r>
        <w:rPr>
          <w:rFonts w:hint="default" w:cs="Times New Roman" w:asciiTheme="minorEastAsia" w:hAnsiTheme="minorEastAsia" w:eastAsiaTheme="minorEastAsia"/>
          <w:b/>
          <w:color w:val="auto"/>
          <w:lang w:eastAsia="zh-CN"/>
        </w:rPr>
        <w:t>【政府采购合同专用条款】</w:t>
      </w:r>
      <w:r>
        <w:rPr>
          <w:rFonts w:hint="default" w:cs="Times New Roman" w:asciiTheme="minorEastAsia" w:hAnsiTheme="minorEastAsia" w:eastAsiaTheme="minorEastAsia"/>
          <w:bCs/>
          <w:color w:val="auto"/>
          <w:lang w:eastAsia="zh-CN"/>
        </w:rPr>
        <w:t>约定的</w:t>
      </w:r>
      <w:r>
        <w:rPr>
          <w:rFonts w:hint="default" w:cs="Times New Roman" w:asciiTheme="minorEastAsia" w:hAnsiTheme="minorEastAsia" w:eastAsiaTheme="minorEastAsia"/>
          <w:color w:val="auto"/>
          <w:lang w:eastAsia="zh-CN"/>
        </w:rPr>
        <w:t>指定现场。</w:t>
      </w:r>
    </w:p>
    <w:p w14:paraId="51052E66">
      <w:pPr>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7.2 除</w:t>
      </w:r>
      <w:r>
        <w:rPr>
          <w:rFonts w:hint="default" w:cs="Times New Roman" w:asciiTheme="minorEastAsia" w:hAnsiTheme="minorEastAsia" w:eastAsiaTheme="minorEastAsia"/>
          <w:b/>
          <w:color w:val="auto"/>
          <w:lang w:eastAsia="zh-CN"/>
        </w:rPr>
        <w:t>【政府采购合同专用条款】</w:t>
      </w:r>
      <w:r>
        <w:rPr>
          <w:rFonts w:hint="default" w:cs="Times New Roman" w:asciiTheme="minorEastAsia" w:hAnsiTheme="minorEastAsia" w:eastAsiaTheme="minorEastAsia"/>
          <w:bCs/>
          <w:color w:val="auto"/>
          <w:lang w:eastAsia="zh-CN"/>
        </w:rPr>
        <w:t>另有约定外，</w:t>
      </w:r>
      <w:r>
        <w:rPr>
          <w:rFonts w:hint="default" w:cs="Times New Roman" w:asciiTheme="minorEastAsia" w:hAnsiTheme="minorEastAsia" w:eastAsiaTheme="minorEastAsia"/>
          <w:color w:val="auto"/>
          <w:lang w:eastAsia="zh-CN"/>
        </w:rPr>
        <w:t>乙方负责办理将货物运抵本合同规定的交货地点，并装卸、交付至甲方的一切运输事项，相关费用应包含在合同价款中。</w:t>
      </w:r>
    </w:p>
    <w:p w14:paraId="4ED1E495">
      <w:pPr>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7.3 货物保险要求按</w:t>
      </w:r>
      <w:r>
        <w:rPr>
          <w:rFonts w:hint="default" w:cs="Times New Roman" w:asciiTheme="minorEastAsia" w:hAnsiTheme="minorEastAsia" w:eastAsiaTheme="minorEastAsia"/>
          <w:b/>
          <w:color w:val="auto"/>
          <w:lang w:eastAsia="zh-CN"/>
        </w:rPr>
        <w:t>【政府采购合同专用条款】</w:t>
      </w:r>
      <w:r>
        <w:rPr>
          <w:rFonts w:hint="default" w:cs="Times New Roman" w:asciiTheme="minorEastAsia" w:hAnsiTheme="minorEastAsia" w:eastAsiaTheme="minorEastAsia"/>
          <w:bCs/>
          <w:color w:val="auto"/>
          <w:lang w:eastAsia="zh-CN"/>
        </w:rPr>
        <w:t>规定执行</w:t>
      </w:r>
      <w:r>
        <w:rPr>
          <w:rFonts w:hint="default" w:cs="Times New Roman" w:asciiTheme="minorEastAsia" w:hAnsiTheme="minorEastAsia" w:eastAsiaTheme="minorEastAsia"/>
          <w:color w:val="auto"/>
          <w:lang w:eastAsia="zh-CN"/>
        </w:rPr>
        <w:t>。</w:t>
      </w:r>
    </w:p>
    <w:p w14:paraId="653B06B0">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 xml:space="preserve">7.4 </w:t>
      </w:r>
      <w:r>
        <w:rPr>
          <w:rFonts w:hint="default" w:cs="Times New Roman" w:asciiTheme="minorEastAsia" w:hAnsiTheme="minorEastAsia" w:eastAsiaTheme="minorEastAsia"/>
          <w:color w:val="auto"/>
          <w:lang w:val="en-US" w:eastAsia="zh-CN"/>
        </w:rPr>
        <w:t>除采购活动</w:t>
      </w:r>
      <w:r>
        <w:rPr>
          <w:rFonts w:hint="default" w:cs="Times New Roman" w:asciiTheme="minorEastAsia" w:hAnsiTheme="minorEastAsia" w:eastAsiaTheme="minorEastAsia"/>
          <w:color w:val="auto"/>
          <w:lang w:eastAsia="zh-CN"/>
        </w:rPr>
        <w:t>对商品包装、快递包装</w:t>
      </w:r>
      <w:r>
        <w:rPr>
          <w:rFonts w:hint="default" w:cs="Times New Roman" w:asciiTheme="minorEastAsia" w:hAnsiTheme="minorEastAsia" w:eastAsiaTheme="minorEastAsia"/>
          <w:color w:val="auto"/>
          <w:lang w:val="en-US" w:eastAsia="zh-CN"/>
        </w:rPr>
        <w:t>达成具体约定外</w:t>
      </w:r>
      <w:r>
        <w:rPr>
          <w:rFonts w:hint="default" w:cs="Times New Roman" w:asciiTheme="minorEastAsia" w:hAnsiTheme="minorEastAsia" w:eastAsiaTheme="minorEastAsia"/>
          <w:color w:val="auto"/>
          <w:lang w:eastAsia="zh-CN"/>
        </w:rPr>
        <w:t>，乙方提供产品及相关快递服务</w:t>
      </w:r>
      <w:r>
        <w:rPr>
          <w:rFonts w:hint="default" w:cs="Times New Roman" w:asciiTheme="minorEastAsia" w:hAnsiTheme="minorEastAsia" w:eastAsiaTheme="minorEastAsia"/>
          <w:color w:val="auto"/>
          <w:lang w:val="en-US" w:eastAsia="zh-CN"/>
        </w:rPr>
        <w:t>涉及到</w:t>
      </w:r>
      <w:r>
        <w:rPr>
          <w:rFonts w:hint="default" w:cs="Times New Roman" w:asciiTheme="minorEastAsia" w:hAnsiTheme="minorEastAsia" w:eastAsiaTheme="minorEastAsia"/>
          <w:color w:val="auto"/>
          <w:lang w:eastAsia="zh-CN"/>
        </w:rPr>
        <w:t>具体包装要求</w:t>
      </w:r>
      <w:r>
        <w:rPr>
          <w:rFonts w:hint="default" w:cs="Times New Roman" w:asciiTheme="minorEastAsia" w:hAnsiTheme="minorEastAsia" w:eastAsiaTheme="minorEastAsia"/>
          <w:color w:val="auto"/>
          <w:lang w:val="en-US" w:eastAsia="zh-CN"/>
        </w:rPr>
        <w:t>的，</w:t>
      </w:r>
      <w:r>
        <w:rPr>
          <w:rFonts w:hint="default" w:cs="Times New Roman" w:asciiTheme="minorEastAsia" w:hAnsiTheme="minorEastAsia" w:eastAsiaTheme="minorEastAsia"/>
          <w:color w:val="auto"/>
          <w:lang w:eastAsia="zh-CN"/>
        </w:rPr>
        <w:t>应</w:t>
      </w:r>
      <w:r>
        <w:rPr>
          <w:rFonts w:hint="default" w:cs="Times New Roman" w:asciiTheme="minorEastAsia" w:hAnsiTheme="minorEastAsia" w:eastAsiaTheme="minorEastAsia"/>
          <w:color w:val="auto"/>
          <w:lang w:val="en-US" w:eastAsia="zh-CN"/>
        </w:rPr>
        <w:t>不低于</w:t>
      </w:r>
      <w:r>
        <w:rPr>
          <w:rFonts w:hint="default" w:cs="Times New Roman" w:asciiTheme="minorEastAsia" w:hAnsiTheme="minorEastAsia" w:eastAsiaTheme="minorEastAsia"/>
          <w:color w:val="auto"/>
          <w:lang w:eastAsia="zh-CN"/>
        </w:rPr>
        <w:t>《商品包装政府采购需求标准（试行）》《快递包装政府采购需求标准（试行）》</w:t>
      </w:r>
      <w:r>
        <w:rPr>
          <w:rFonts w:hint="default" w:cs="Times New Roman" w:asciiTheme="minorEastAsia" w:hAnsiTheme="minorEastAsia" w:eastAsiaTheme="minorEastAsia"/>
          <w:color w:val="auto"/>
          <w:lang w:val="en-US" w:eastAsia="zh-CN"/>
        </w:rPr>
        <w:t>标准</w:t>
      </w:r>
      <w:r>
        <w:rPr>
          <w:rFonts w:hint="default" w:cs="Times New Roman" w:asciiTheme="minorEastAsia" w:hAnsiTheme="minorEastAsia" w:eastAsiaTheme="minorEastAsia"/>
          <w:color w:val="auto"/>
          <w:lang w:eastAsia="zh-CN"/>
        </w:rPr>
        <w:t>，并作为履约验收的内容，必要时甲方可以要求乙方在履约验收环节出具检测报告。</w:t>
      </w:r>
    </w:p>
    <w:p w14:paraId="247C709F">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val="en-US" w:eastAsia="zh-CN"/>
        </w:rPr>
        <w:t xml:space="preserve">7.5 </w:t>
      </w:r>
      <w:r>
        <w:rPr>
          <w:rFonts w:hint="default" w:cs="Times New Roman" w:asciiTheme="minorEastAsia" w:hAnsiTheme="minorEastAsia" w:eastAsiaTheme="minorEastAsia"/>
          <w:color w:val="auto"/>
          <w:lang w:eastAsia="zh-CN"/>
        </w:rPr>
        <w:t>乙方在运输到达之前应提前通知甲方，并提示货物运输装卸的注意事项，甲方配合乙方做好货物的接收工作。</w:t>
      </w:r>
    </w:p>
    <w:p w14:paraId="54F93FB4">
      <w:pPr>
        <w:pStyle w:val="260"/>
        <w:ind w:firstLine="420"/>
        <w:rPr>
          <w:rFonts w:hint="eastAsia" w:cs="Times New Roman" w:asciiTheme="minorEastAsia" w:hAnsiTheme="minorEastAsia" w:eastAsiaTheme="minorEastAsia"/>
          <w:sz w:val="21"/>
        </w:rPr>
      </w:pPr>
      <w:r>
        <w:rPr>
          <w:rFonts w:cs="Times New Roman" w:asciiTheme="minorEastAsia" w:hAnsiTheme="minorEastAsia" w:eastAsiaTheme="minorEastAsia"/>
          <w:kern w:val="2"/>
          <w:sz w:val="21"/>
        </w:rPr>
        <w:t>7.6 如因包装、运输问题导致货物损毁、丢失或者品质下降，甲方有权要求降价、换货、拒收部分或整批货物，由此产生的费用和损失，均由乙方承担。</w:t>
      </w:r>
    </w:p>
    <w:p w14:paraId="790DC237">
      <w:pPr>
        <w:adjustRightInd w:val="0"/>
        <w:snapToGrid w:val="0"/>
        <w:spacing w:line="400" w:lineRule="exact"/>
        <w:jc w:val="left"/>
        <w:rPr>
          <w:rFonts w:cs="Times New Roman" w:asciiTheme="minorEastAsia" w:hAnsiTheme="minorEastAsia" w:eastAsiaTheme="minorEastAsia"/>
          <w:b/>
          <w:color w:val="auto"/>
          <w:sz w:val="24"/>
          <w:lang w:eastAsia="zh-CN"/>
        </w:rPr>
      </w:pPr>
      <w:r>
        <w:rPr>
          <w:rFonts w:hint="default" w:cs="Times New Roman" w:asciiTheme="minorEastAsia" w:hAnsiTheme="minorEastAsia" w:eastAsiaTheme="minorEastAsia"/>
          <w:b/>
          <w:color w:val="auto"/>
          <w:sz w:val="24"/>
          <w:lang w:eastAsia="zh-CN"/>
        </w:rPr>
        <w:t>8</w:t>
      </w:r>
      <w:r>
        <w:rPr>
          <w:rFonts w:hint="default" w:cs="Times New Roman" w:asciiTheme="minorEastAsia" w:hAnsiTheme="minorEastAsia" w:eastAsiaTheme="minorEastAsia"/>
          <w:b/>
          <w:color w:val="auto"/>
          <w:sz w:val="24"/>
          <w:lang w:val="en-US" w:eastAsia="zh-CN"/>
        </w:rPr>
        <w:t xml:space="preserve">. </w:t>
      </w:r>
      <w:r>
        <w:rPr>
          <w:rFonts w:hint="default" w:cs="Times New Roman" w:asciiTheme="minorEastAsia" w:hAnsiTheme="minorEastAsia" w:eastAsiaTheme="minorEastAsia"/>
          <w:b/>
          <w:color w:val="auto"/>
          <w:sz w:val="24"/>
          <w:lang w:eastAsia="zh-CN"/>
        </w:rPr>
        <w:t>质量标准和保证</w:t>
      </w:r>
    </w:p>
    <w:p w14:paraId="1FE0B26A">
      <w:pPr>
        <w:pStyle w:val="24"/>
        <w:adjustRightInd w:val="0"/>
        <w:snapToGrid w:val="0"/>
        <w:spacing w:line="400" w:lineRule="exact"/>
        <w:ind w:firstLine="400" w:firstLineChars="200"/>
        <w:jc w:val="left"/>
        <w:rPr>
          <w:rFonts w:hint="eastAsia" w:asciiTheme="minorEastAsia" w:hAnsiTheme="minorEastAsia" w:eastAsiaTheme="minorEastAsia"/>
          <w:b/>
        </w:rPr>
      </w:pPr>
      <w:r>
        <w:rPr>
          <w:rFonts w:asciiTheme="minorEastAsia" w:hAnsiTheme="minorEastAsia" w:eastAsiaTheme="minorEastAsia"/>
        </w:rPr>
        <w:t>8.1 质量标准</w:t>
      </w:r>
    </w:p>
    <w:p w14:paraId="0A295EDC">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7028C2EF">
      <w:pPr>
        <w:pStyle w:val="24"/>
        <w:adjustRightInd w:val="0"/>
        <w:snapToGrid w:val="0"/>
        <w:spacing w:line="400" w:lineRule="exact"/>
        <w:ind w:firstLine="400" w:firstLineChars="200"/>
        <w:jc w:val="left"/>
        <w:rPr>
          <w:rFonts w:hint="eastAsia" w:asciiTheme="minorEastAsia" w:hAnsiTheme="minorEastAsia" w:eastAsiaTheme="minorEastAsia"/>
        </w:rPr>
      </w:pPr>
      <w:r>
        <w:rPr>
          <w:rFonts w:asciiTheme="minorEastAsia" w:hAnsiTheme="minorEastAsia" w:eastAsiaTheme="minorEastAsia"/>
        </w:rPr>
        <w:t>（2）采用中华人民共和国法定计量单位。</w:t>
      </w:r>
    </w:p>
    <w:p w14:paraId="66CB40AF">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（3）乙方所提供的货物应符合国家有关安全、环保、卫生的规定。</w:t>
      </w:r>
    </w:p>
    <w:p w14:paraId="1E7D6F24">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（4）乙方应向甲方提交所提供货物的技术文件，包括相应的中文技术文件，如：产品目录、图纸、操作手册、使用说明、维护手册或服务指南等。上述文件应包装好随货物一同发运。</w:t>
      </w:r>
    </w:p>
    <w:p w14:paraId="4D1D6B54">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8.2 保证</w:t>
      </w:r>
    </w:p>
    <w:p w14:paraId="7CAB58A4">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rFonts w:hint="default" w:cs="Times New Roman" w:asciiTheme="minorEastAsia" w:hAnsiTheme="minorEastAsia" w:eastAsiaTheme="minorEastAsia"/>
          <w:b/>
          <w:color w:val="auto"/>
          <w:lang w:eastAsia="zh-CN"/>
        </w:rPr>
        <w:t>【政府采购合同专用条款】</w:t>
      </w:r>
      <w:r>
        <w:rPr>
          <w:rFonts w:hint="default" w:cs="Times New Roman" w:asciiTheme="minorEastAsia" w:hAnsiTheme="minorEastAsia" w:eastAsiaTheme="minorEastAsia"/>
          <w:color w:val="auto"/>
          <w:lang w:eastAsia="zh-CN"/>
        </w:rPr>
        <w:t>规定或乙方书面承诺（两者以较长的为准）的质量保证期内，本保证保持有效。</w:t>
      </w:r>
    </w:p>
    <w:p w14:paraId="547497B1">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（2）在质量保证期内所发现的缺陷，甲方应尽快以书面形式通知乙方。</w:t>
      </w:r>
    </w:p>
    <w:p w14:paraId="17EC54EB">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（3）乙方收到通知后，应在</w:t>
      </w:r>
      <w:r>
        <w:rPr>
          <w:rFonts w:hint="default" w:cs="Times New Roman" w:asciiTheme="minorEastAsia" w:hAnsiTheme="minorEastAsia" w:eastAsiaTheme="minorEastAsia"/>
          <w:b/>
          <w:color w:val="auto"/>
          <w:lang w:eastAsia="zh-CN"/>
        </w:rPr>
        <w:t>【政府采购合同专用条款】</w:t>
      </w:r>
      <w:r>
        <w:rPr>
          <w:rFonts w:hint="default" w:cs="Times New Roman" w:asciiTheme="minorEastAsia" w:hAnsiTheme="minorEastAsia" w:eastAsiaTheme="minorEastAsia"/>
          <w:color w:val="auto"/>
          <w:lang w:eastAsia="zh-CN"/>
        </w:rPr>
        <w:t>规定的响应时间内以合理的速度免费维修或更换有缺陷的货物或部件。</w:t>
      </w:r>
    </w:p>
    <w:p w14:paraId="60827943">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（4）在质量保证期内，如果货物的质量或规格与合同不符，或证实货物是有缺陷的，包括潜在的缺陷或使用不符合要求的材料等，甲方可以根据本合同第1</w:t>
      </w:r>
      <w:r>
        <w:rPr>
          <w:rFonts w:hint="default" w:cs="Times New Roman" w:asciiTheme="minorEastAsia" w:hAnsiTheme="minorEastAsia" w:eastAsiaTheme="minorEastAsia"/>
          <w:color w:val="auto"/>
          <w:lang w:val="en-US" w:eastAsia="zh-CN"/>
        </w:rPr>
        <w:t>5</w:t>
      </w:r>
      <w:r>
        <w:rPr>
          <w:rFonts w:hint="default" w:cs="Times New Roman" w:asciiTheme="minorEastAsia" w:hAnsiTheme="minorEastAsia" w:eastAsiaTheme="minorEastAsia"/>
          <w:color w:val="auto"/>
          <w:lang w:eastAsia="zh-CN"/>
        </w:rPr>
        <w:t>.1条规定以书面形式追究乙方的违约责任。</w:t>
      </w:r>
    </w:p>
    <w:p w14:paraId="0872DA88">
      <w:pPr>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（5）乙方在约定的时间内未能弥补缺陷，甲方可采取必要的补救措施，但其风险和费用将由乙方承担，甲方根据合同约定对乙方行使的其他权利不受影响。</w:t>
      </w:r>
    </w:p>
    <w:p w14:paraId="3936490E">
      <w:pPr>
        <w:adjustRightInd w:val="0"/>
        <w:snapToGrid w:val="0"/>
        <w:spacing w:line="400" w:lineRule="exact"/>
        <w:jc w:val="left"/>
        <w:rPr>
          <w:rFonts w:cs="Times New Roman" w:asciiTheme="minorEastAsia" w:hAnsiTheme="minorEastAsia" w:eastAsiaTheme="minorEastAsia"/>
          <w:b/>
          <w:bCs/>
          <w:color w:val="auto"/>
          <w:sz w:val="24"/>
          <w:lang w:eastAsia="zh-CN"/>
        </w:rPr>
      </w:pPr>
      <w:r>
        <w:rPr>
          <w:rFonts w:hint="default" w:cs="Times New Roman" w:asciiTheme="minorEastAsia" w:hAnsiTheme="minorEastAsia" w:eastAsiaTheme="minorEastAsia"/>
          <w:b/>
          <w:bCs/>
          <w:color w:val="auto"/>
          <w:sz w:val="24"/>
          <w:lang w:eastAsia="zh-CN"/>
        </w:rPr>
        <w:t>9.</w:t>
      </w:r>
      <w:r>
        <w:rPr>
          <w:rFonts w:hint="default" w:cs="Times New Roman" w:asciiTheme="minorEastAsia" w:hAnsiTheme="minorEastAsia" w:eastAsiaTheme="minorEastAsia"/>
          <w:b/>
          <w:bCs/>
          <w:color w:val="auto"/>
          <w:sz w:val="24"/>
          <w:lang w:val="en-US" w:eastAsia="zh-CN"/>
        </w:rPr>
        <w:t xml:space="preserve"> </w:t>
      </w:r>
      <w:r>
        <w:rPr>
          <w:rFonts w:hint="default" w:cs="Times New Roman" w:asciiTheme="minorEastAsia" w:hAnsiTheme="minorEastAsia" w:eastAsiaTheme="minorEastAsia"/>
          <w:b/>
          <w:bCs/>
          <w:color w:val="auto"/>
          <w:sz w:val="24"/>
          <w:lang w:eastAsia="zh-CN"/>
        </w:rPr>
        <w:t>权利瑕疵担保</w:t>
      </w:r>
    </w:p>
    <w:p w14:paraId="729D7A05">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9.1 乙方保证对其出售的货物享有合法的权利。</w:t>
      </w:r>
    </w:p>
    <w:p w14:paraId="1E5F0D27">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 xml:space="preserve">9.2 </w:t>
      </w:r>
      <w:r>
        <w:rPr>
          <w:rFonts w:hint="default" w:cs="Times New Roman" w:asciiTheme="minorEastAsia" w:hAnsiTheme="minorEastAsia" w:eastAsiaTheme="minorEastAsia"/>
          <w:color w:val="auto"/>
          <w:szCs w:val="15"/>
          <w:lang w:eastAsia="zh-CN"/>
        </w:rPr>
        <w:t>乙方保证在交付的货物上不存在抵押权等担保物权。</w:t>
      </w:r>
    </w:p>
    <w:p w14:paraId="3F88440B">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9.3 如甲方使用</w:t>
      </w:r>
      <w:r>
        <w:rPr>
          <w:rFonts w:hint="default" w:cs="Times New Roman" w:asciiTheme="minorEastAsia" w:hAnsiTheme="minorEastAsia" w:eastAsiaTheme="minorEastAsia"/>
          <w:color w:val="auto"/>
          <w:lang w:val="en-US" w:eastAsia="zh-CN"/>
        </w:rPr>
        <w:t>上述</w:t>
      </w:r>
      <w:r>
        <w:rPr>
          <w:rFonts w:hint="default" w:cs="Times New Roman" w:asciiTheme="minorEastAsia" w:hAnsiTheme="minorEastAsia" w:eastAsiaTheme="minorEastAsia"/>
          <w:color w:val="auto"/>
          <w:lang w:eastAsia="zh-CN"/>
        </w:rPr>
        <w:t>货物构成</w:t>
      </w:r>
      <w:r>
        <w:rPr>
          <w:rFonts w:hint="default" w:cs="Times New Roman" w:asciiTheme="minorEastAsia" w:hAnsiTheme="minorEastAsia" w:eastAsiaTheme="minorEastAsia"/>
          <w:color w:val="auto"/>
          <w:lang w:val="en-US" w:eastAsia="zh-CN"/>
        </w:rPr>
        <w:t>对第三人</w:t>
      </w:r>
      <w:r>
        <w:rPr>
          <w:rFonts w:hint="default" w:cs="Times New Roman" w:asciiTheme="minorEastAsia" w:hAnsiTheme="minorEastAsia" w:eastAsiaTheme="minorEastAsia"/>
          <w:color w:val="auto"/>
          <w:lang w:eastAsia="zh-CN"/>
        </w:rPr>
        <w:t>侵权的，则由乙方承担全部责任。</w:t>
      </w:r>
    </w:p>
    <w:p w14:paraId="69A740A5">
      <w:pPr>
        <w:autoSpaceDE w:val="0"/>
        <w:autoSpaceDN w:val="0"/>
        <w:adjustRightInd w:val="0"/>
        <w:snapToGrid w:val="0"/>
        <w:spacing w:line="400" w:lineRule="exact"/>
        <w:jc w:val="left"/>
        <w:rPr>
          <w:rFonts w:cs="Times New Roman" w:asciiTheme="minorEastAsia" w:hAnsiTheme="minorEastAsia" w:eastAsiaTheme="minorEastAsia"/>
          <w:b/>
          <w:bCs/>
          <w:color w:val="auto"/>
          <w:sz w:val="24"/>
          <w:lang w:eastAsia="zh-CN"/>
        </w:rPr>
      </w:pPr>
      <w:r>
        <w:rPr>
          <w:rFonts w:hint="default" w:cs="Times New Roman" w:asciiTheme="minorEastAsia" w:hAnsiTheme="minorEastAsia" w:eastAsiaTheme="minorEastAsia"/>
          <w:b/>
          <w:bCs/>
          <w:color w:val="auto"/>
          <w:sz w:val="24"/>
          <w:lang w:eastAsia="zh-CN"/>
        </w:rPr>
        <w:t>10.</w:t>
      </w:r>
      <w:r>
        <w:rPr>
          <w:rFonts w:hint="default" w:cs="Times New Roman" w:asciiTheme="minorEastAsia" w:hAnsiTheme="minorEastAsia" w:eastAsiaTheme="minorEastAsia"/>
          <w:b/>
          <w:bCs/>
          <w:color w:val="auto"/>
          <w:sz w:val="24"/>
          <w:lang w:val="en-US" w:eastAsia="zh-CN"/>
        </w:rPr>
        <w:t xml:space="preserve"> </w:t>
      </w:r>
      <w:r>
        <w:rPr>
          <w:rFonts w:hint="default" w:cs="Times New Roman" w:asciiTheme="minorEastAsia" w:hAnsiTheme="minorEastAsia" w:eastAsiaTheme="minorEastAsia"/>
          <w:b/>
          <w:bCs/>
          <w:color w:val="auto"/>
          <w:sz w:val="24"/>
          <w:lang w:eastAsia="zh-CN"/>
        </w:rPr>
        <w:t>知识产权保护</w:t>
      </w:r>
    </w:p>
    <w:p w14:paraId="5067F44C">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10.1 乙方对其所销售的货物应当享有知识产权或经权利人合法授权，保证没有侵犯任何第三人的知识产权等权利。</w:t>
      </w:r>
      <w:bookmarkStart w:id="313" w:name="_Hlk163047038"/>
      <w:r>
        <w:rPr>
          <w:rFonts w:hint="default" w:cs="Times New Roman" w:asciiTheme="minorEastAsia" w:hAnsiTheme="minorEastAsia" w:eastAsiaTheme="minorEastAsia"/>
          <w:color w:val="auto"/>
          <w:szCs w:val="15"/>
          <w:lang w:eastAsia="zh-CN"/>
        </w:rPr>
        <w:t>因违反前述约定对第三人构成侵权的，应当由乙方向第三人承担法律责任；甲方依法向第三人赔偿后，有权向乙方追偿。甲方有其他损失的，乙方应当赔偿</w:t>
      </w:r>
      <w:bookmarkEnd w:id="313"/>
      <w:r>
        <w:rPr>
          <w:rFonts w:hint="default" w:cs="Times New Roman" w:asciiTheme="minorEastAsia" w:hAnsiTheme="minorEastAsia" w:eastAsiaTheme="minorEastAsia"/>
          <w:color w:val="auto"/>
          <w:lang w:eastAsia="zh-CN"/>
        </w:rPr>
        <w:t>。</w:t>
      </w:r>
    </w:p>
    <w:p w14:paraId="3F13F933">
      <w:pPr>
        <w:autoSpaceDE w:val="0"/>
        <w:autoSpaceDN w:val="0"/>
        <w:adjustRightInd w:val="0"/>
        <w:snapToGrid w:val="0"/>
        <w:spacing w:line="400" w:lineRule="exact"/>
        <w:jc w:val="left"/>
        <w:rPr>
          <w:rFonts w:cs="Times New Roman" w:asciiTheme="minorEastAsia" w:hAnsiTheme="minorEastAsia" w:eastAsiaTheme="minorEastAsia"/>
          <w:b/>
          <w:bCs/>
          <w:color w:val="auto"/>
          <w:sz w:val="24"/>
          <w:lang w:eastAsia="zh-CN"/>
        </w:rPr>
      </w:pPr>
      <w:r>
        <w:rPr>
          <w:rFonts w:hint="default" w:cs="Times New Roman" w:asciiTheme="minorEastAsia" w:hAnsiTheme="minorEastAsia" w:eastAsiaTheme="minorEastAsia"/>
          <w:b/>
          <w:bCs/>
          <w:color w:val="auto"/>
          <w:sz w:val="24"/>
          <w:lang w:eastAsia="zh-CN"/>
        </w:rPr>
        <w:t>11.</w:t>
      </w:r>
      <w:r>
        <w:rPr>
          <w:rFonts w:hint="default" w:cs="Times New Roman" w:asciiTheme="minorEastAsia" w:hAnsiTheme="minorEastAsia" w:eastAsiaTheme="minorEastAsia"/>
          <w:b/>
          <w:bCs/>
          <w:color w:val="auto"/>
          <w:sz w:val="24"/>
          <w:lang w:val="en-US" w:eastAsia="zh-CN"/>
        </w:rPr>
        <w:t xml:space="preserve"> </w:t>
      </w:r>
      <w:r>
        <w:rPr>
          <w:rFonts w:hint="default" w:cs="Times New Roman" w:asciiTheme="minorEastAsia" w:hAnsiTheme="minorEastAsia" w:eastAsiaTheme="minorEastAsia"/>
          <w:b/>
          <w:bCs/>
          <w:color w:val="auto"/>
          <w:sz w:val="24"/>
          <w:lang w:eastAsia="zh-CN"/>
        </w:rPr>
        <w:t>保密义务</w:t>
      </w:r>
    </w:p>
    <w:p w14:paraId="7C4C0173">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szCs w:val="15"/>
          <w:lang w:eastAsia="zh-CN"/>
        </w:rPr>
      </w:pPr>
      <w:r>
        <w:rPr>
          <w:rFonts w:hint="default" w:cs="Times New Roman" w:asciiTheme="minorEastAsia" w:hAnsiTheme="minorEastAsia" w:eastAsiaTheme="minorEastAsia"/>
          <w:color w:val="auto"/>
          <w:szCs w:val="15"/>
          <w:lang w:val="en-US" w:eastAsia="zh-CN"/>
        </w:rPr>
        <w:t xml:space="preserve">11.1 </w:t>
      </w:r>
      <w:r>
        <w:rPr>
          <w:rFonts w:hint="default" w:cs="Times New Roman" w:asciiTheme="minorEastAsia" w:hAnsiTheme="minorEastAsia" w:eastAsiaTheme="minorEastAsia"/>
          <w:color w:val="auto"/>
          <w:szCs w:val="15"/>
          <w:lang w:eastAsia="zh-CN"/>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default" w:cs="Times New Roman" w:asciiTheme="minorEastAsia" w:hAnsiTheme="minorEastAsia" w:eastAsiaTheme="minorEastAsia"/>
          <w:b/>
          <w:bCs/>
          <w:color w:val="auto"/>
          <w:szCs w:val="15"/>
          <w:lang w:eastAsia="zh-CN"/>
        </w:rPr>
        <w:t>【政府采购合同专用条款】</w:t>
      </w:r>
      <w:r>
        <w:rPr>
          <w:rFonts w:hint="default" w:cs="Times New Roman" w:asciiTheme="minorEastAsia" w:hAnsiTheme="minorEastAsia" w:eastAsiaTheme="minorEastAsia"/>
          <w:color w:val="auto"/>
          <w:szCs w:val="15"/>
          <w:lang w:eastAsia="zh-CN"/>
        </w:rPr>
        <w:t>中约定。</w:t>
      </w:r>
    </w:p>
    <w:p w14:paraId="0AE09683">
      <w:pPr>
        <w:autoSpaceDE w:val="0"/>
        <w:autoSpaceDN w:val="0"/>
        <w:adjustRightInd w:val="0"/>
        <w:snapToGrid w:val="0"/>
        <w:spacing w:line="400" w:lineRule="exact"/>
        <w:jc w:val="left"/>
        <w:rPr>
          <w:rFonts w:cs="Times New Roman" w:asciiTheme="minorEastAsia" w:hAnsiTheme="minorEastAsia" w:eastAsiaTheme="minorEastAsia"/>
          <w:b/>
          <w:bCs/>
          <w:color w:val="auto"/>
          <w:sz w:val="24"/>
          <w:lang w:eastAsia="zh-CN"/>
        </w:rPr>
      </w:pPr>
      <w:r>
        <w:rPr>
          <w:rFonts w:hint="default" w:cs="Times New Roman" w:asciiTheme="minorEastAsia" w:hAnsiTheme="minorEastAsia" w:eastAsiaTheme="minorEastAsia"/>
          <w:b/>
          <w:bCs/>
          <w:color w:val="auto"/>
          <w:sz w:val="24"/>
          <w:lang w:eastAsia="zh-CN"/>
        </w:rPr>
        <w:t>12.</w:t>
      </w:r>
      <w:r>
        <w:rPr>
          <w:rFonts w:hint="default" w:cs="Times New Roman" w:asciiTheme="minorEastAsia" w:hAnsiTheme="minorEastAsia" w:eastAsiaTheme="minorEastAsia"/>
          <w:b/>
          <w:bCs/>
          <w:color w:val="auto"/>
          <w:sz w:val="24"/>
          <w:lang w:val="en-US" w:eastAsia="zh-CN"/>
        </w:rPr>
        <w:t xml:space="preserve"> </w:t>
      </w:r>
      <w:r>
        <w:rPr>
          <w:rFonts w:hint="default" w:cs="Times New Roman" w:asciiTheme="minorEastAsia" w:hAnsiTheme="minorEastAsia" w:eastAsiaTheme="minorEastAsia"/>
          <w:b/>
          <w:bCs/>
          <w:color w:val="auto"/>
          <w:sz w:val="24"/>
          <w:lang w:eastAsia="zh-CN"/>
        </w:rPr>
        <w:t>合同价款支付</w:t>
      </w:r>
    </w:p>
    <w:p w14:paraId="64FACB45">
      <w:pPr>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12.1 合同价款支付按照国库集中支付制度及财政管理相关规定执行。</w:t>
      </w:r>
    </w:p>
    <w:p w14:paraId="0455124D">
      <w:pPr>
        <w:spacing w:line="400" w:lineRule="exact"/>
        <w:ind w:firstLine="420" w:firstLineChars="200"/>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val="en-US" w:eastAsia="zh-CN"/>
        </w:rPr>
        <w:t xml:space="preserve">12.2 </w:t>
      </w:r>
      <w:r>
        <w:rPr>
          <w:rFonts w:hint="default" w:cs="Times New Roman" w:asciiTheme="minorEastAsia" w:hAnsiTheme="minorEastAsia" w:eastAsiaTheme="minorEastAsia"/>
          <w:color w:val="auto"/>
          <w:lang w:eastAsia="zh-CN"/>
        </w:rPr>
        <w:t>对于满足合同约定支付条件的，</w:t>
      </w:r>
      <w:r>
        <w:rPr>
          <w:rFonts w:hint="default" w:cs="Times New Roman" w:asciiTheme="minorEastAsia" w:hAnsiTheme="minorEastAsia" w:eastAsiaTheme="minorEastAsia"/>
          <w:color w:val="auto"/>
          <w:lang w:val="en-US" w:eastAsia="zh-CN"/>
        </w:rPr>
        <w:t>甲方</w:t>
      </w:r>
      <w:r>
        <w:rPr>
          <w:rFonts w:hint="default" w:cs="Times New Roman" w:asciiTheme="minorEastAsia" w:hAnsiTheme="minorEastAsia" w:eastAsiaTheme="minorEastAsia"/>
          <w:color w:val="auto"/>
          <w:lang w:eastAsia="zh-CN"/>
        </w:rPr>
        <w:t>原则上应当自收到发票后10个工作日内将资金支付到合同约定的乙方账户，不得以机构变动、人员更替、政策调整等为由迟延付款，不得将采购文件和合同中未规定的义务作为向</w:t>
      </w:r>
      <w:r>
        <w:rPr>
          <w:rFonts w:hint="default" w:cs="Times New Roman" w:asciiTheme="minorEastAsia" w:hAnsiTheme="minorEastAsia" w:eastAsiaTheme="minorEastAsia"/>
          <w:color w:val="auto"/>
          <w:lang w:val="en-US" w:eastAsia="zh-CN"/>
        </w:rPr>
        <w:t>乙方</w:t>
      </w:r>
      <w:r>
        <w:rPr>
          <w:rFonts w:hint="default" w:cs="Times New Roman" w:asciiTheme="minorEastAsia" w:hAnsiTheme="minorEastAsia" w:eastAsiaTheme="minorEastAsia"/>
          <w:color w:val="auto"/>
          <w:lang w:eastAsia="zh-CN"/>
        </w:rPr>
        <w:t>付款的条件。具体合同价款支付时间在【</w:t>
      </w:r>
      <w:r>
        <w:rPr>
          <w:rFonts w:hint="default" w:cs="Times New Roman" w:asciiTheme="minorEastAsia" w:hAnsiTheme="minorEastAsia" w:eastAsiaTheme="minorEastAsia"/>
          <w:b/>
          <w:bCs/>
          <w:color w:val="auto"/>
          <w:lang w:eastAsia="zh-CN"/>
        </w:rPr>
        <w:t>政府采购合同专用条款</w:t>
      </w:r>
      <w:r>
        <w:rPr>
          <w:rFonts w:hint="default" w:cs="Times New Roman" w:asciiTheme="minorEastAsia" w:hAnsiTheme="minorEastAsia" w:eastAsiaTheme="minorEastAsia"/>
          <w:color w:val="auto"/>
          <w:lang w:eastAsia="zh-CN"/>
        </w:rPr>
        <w:t>】中约定。</w:t>
      </w:r>
    </w:p>
    <w:p w14:paraId="4EABCD98">
      <w:pPr>
        <w:pStyle w:val="16"/>
        <w:spacing w:line="400" w:lineRule="exact"/>
        <w:rPr>
          <w:rFonts w:hint="eastAsia" w:asciiTheme="minorEastAsia" w:hAnsiTheme="minorEastAsia" w:eastAsiaTheme="minorEastAsia"/>
          <w:b/>
          <w:bCs/>
        </w:rPr>
      </w:pPr>
      <w:r>
        <w:rPr>
          <w:rFonts w:asciiTheme="minorEastAsia" w:hAnsiTheme="minorEastAsia" w:eastAsiaTheme="minorEastAsia"/>
          <w:b/>
          <w:bCs/>
        </w:rPr>
        <w:t>13. 履约保证金</w:t>
      </w:r>
    </w:p>
    <w:p w14:paraId="2FFB0DD9">
      <w:pPr>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 xml:space="preserve">13.1 </w:t>
      </w:r>
      <w:r>
        <w:rPr>
          <w:rFonts w:hint="default" w:cs="Times New Roman" w:asciiTheme="minorEastAsia" w:hAnsiTheme="minorEastAsia" w:eastAsiaTheme="minorEastAsia"/>
          <w:color w:val="auto"/>
          <w:szCs w:val="15"/>
          <w:lang w:eastAsia="zh-CN"/>
        </w:rPr>
        <w:t>乙方应当以支票、汇票、本票或者金融机构、担保机构出具的保函等非现金形式提交。</w:t>
      </w:r>
    </w:p>
    <w:p w14:paraId="4D4EF833">
      <w:pPr>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13.2 如果乙方出现</w:t>
      </w:r>
      <w:r>
        <w:rPr>
          <w:rFonts w:hint="default" w:cs="Times New Roman" w:asciiTheme="minorEastAsia" w:hAnsiTheme="minorEastAsia" w:eastAsiaTheme="minorEastAsia"/>
          <w:b/>
          <w:bCs/>
          <w:color w:val="auto"/>
          <w:szCs w:val="15"/>
          <w:lang w:eastAsia="zh-CN"/>
        </w:rPr>
        <w:t>【政府采购合同专用条款】</w:t>
      </w:r>
      <w:r>
        <w:rPr>
          <w:rFonts w:hint="default" w:cs="Times New Roman" w:asciiTheme="minorEastAsia" w:hAnsiTheme="minorEastAsia" w:eastAsiaTheme="minorEastAsia"/>
          <w:color w:val="auto"/>
          <w:szCs w:val="15"/>
          <w:lang w:eastAsia="zh-CN"/>
        </w:rPr>
        <w:t>约定情形的</w:t>
      </w:r>
      <w:r>
        <w:rPr>
          <w:rFonts w:hint="default" w:cs="Times New Roman" w:asciiTheme="minorEastAsia" w:hAnsiTheme="minorEastAsia" w:eastAsiaTheme="minorEastAsia"/>
          <w:color w:val="auto"/>
          <w:lang w:eastAsia="zh-CN"/>
        </w:rPr>
        <w:t>，履约保证金不予退还；如果乙方未能按合同约定全面履行义务，甲方有权从履约保证金中取得补偿或赔偿，且不影响甲方要求乙方承担合同约定的超过履约保证金的违约责任的权利。</w:t>
      </w:r>
    </w:p>
    <w:p w14:paraId="6994A979">
      <w:pPr>
        <w:spacing w:line="400" w:lineRule="exact"/>
        <w:ind w:firstLine="420"/>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13.3 甲方在项目通过验收后按照</w:t>
      </w:r>
      <w:r>
        <w:rPr>
          <w:rFonts w:hint="default" w:cs="Times New Roman" w:asciiTheme="minorEastAsia" w:hAnsiTheme="minorEastAsia" w:eastAsiaTheme="minorEastAsia"/>
          <w:b/>
          <w:color w:val="auto"/>
          <w:lang w:eastAsia="zh-CN"/>
        </w:rPr>
        <w:t>【政府采购合同专用条款】</w:t>
      </w:r>
      <w:r>
        <w:rPr>
          <w:rFonts w:hint="default" w:cs="Times New Roman" w:asciiTheme="minorEastAsia" w:hAnsiTheme="minorEastAsia" w:eastAsiaTheme="minorEastAsia"/>
          <w:color w:val="auto"/>
          <w:lang w:eastAsia="zh-CN"/>
        </w:rPr>
        <w:t>规定的时间内将履约保证金退还乙方；逾期退还的，乙方可要求甲方支付违约金，违约金按照</w:t>
      </w:r>
      <w:r>
        <w:rPr>
          <w:rFonts w:hint="default" w:cs="Times New Roman" w:asciiTheme="minorEastAsia" w:hAnsiTheme="minorEastAsia" w:eastAsiaTheme="minorEastAsia"/>
          <w:b/>
          <w:color w:val="auto"/>
          <w:lang w:eastAsia="zh-CN"/>
        </w:rPr>
        <w:t>【政府采购合同专用条款】</w:t>
      </w:r>
      <w:r>
        <w:rPr>
          <w:rFonts w:hint="default" w:cs="Times New Roman" w:asciiTheme="minorEastAsia" w:hAnsiTheme="minorEastAsia" w:eastAsiaTheme="minorEastAsia"/>
          <w:color w:val="auto"/>
          <w:lang w:eastAsia="zh-CN"/>
        </w:rPr>
        <w:t>规定支付。</w:t>
      </w:r>
    </w:p>
    <w:p w14:paraId="073664D9">
      <w:pPr>
        <w:autoSpaceDE w:val="0"/>
        <w:autoSpaceDN w:val="0"/>
        <w:adjustRightInd w:val="0"/>
        <w:snapToGrid w:val="0"/>
        <w:spacing w:line="400" w:lineRule="exact"/>
        <w:jc w:val="left"/>
        <w:rPr>
          <w:rFonts w:cs="Times New Roman" w:asciiTheme="minorEastAsia" w:hAnsiTheme="minorEastAsia" w:eastAsiaTheme="minorEastAsia"/>
          <w:b/>
          <w:color w:val="auto"/>
          <w:sz w:val="24"/>
          <w:lang w:eastAsia="zh-CN"/>
        </w:rPr>
      </w:pPr>
      <w:r>
        <w:rPr>
          <w:rFonts w:hint="default" w:cs="Times New Roman" w:asciiTheme="minorEastAsia" w:hAnsiTheme="minorEastAsia" w:eastAsiaTheme="minorEastAsia"/>
          <w:b/>
          <w:bCs/>
          <w:color w:val="auto"/>
          <w:sz w:val="24"/>
          <w:lang w:eastAsia="zh-CN"/>
        </w:rPr>
        <w:t>14.</w:t>
      </w:r>
      <w:r>
        <w:rPr>
          <w:rFonts w:hint="default" w:cs="Times New Roman" w:asciiTheme="minorEastAsia" w:hAnsiTheme="minorEastAsia" w:eastAsiaTheme="minorEastAsia"/>
          <w:b/>
          <w:bCs/>
          <w:color w:val="auto"/>
          <w:sz w:val="24"/>
          <w:lang w:val="en-US" w:eastAsia="zh-CN"/>
        </w:rPr>
        <w:t xml:space="preserve"> </w:t>
      </w:r>
      <w:r>
        <w:rPr>
          <w:rFonts w:hint="default" w:cs="Times New Roman" w:asciiTheme="minorEastAsia" w:hAnsiTheme="minorEastAsia" w:eastAsiaTheme="minorEastAsia"/>
          <w:b/>
          <w:color w:val="auto"/>
          <w:sz w:val="24"/>
          <w:lang w:eastAsia="zh-CN"/>
        </w:rPr>
        <w:t>售后服务</w:t>
      </w:r>
    </w:p>
    <w:p w14:paraId="4CC77CCC">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14.1 除项目不涉及或采购活动中明确约定无须承担外，乙方还应提供下列服务：</w:t>
      </w:r>
    </w:p>
    <w:p w14:paraId="1C0B7F25">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（1）货物的现场移动、安装、调试、启动监督及技术支持；</w:t>
      </w:r>
    </w:p>
    <w:p w14:paraId="00196A8A">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（2）提供货物组装和维修所需的专用工具和辅助材料；</w:t>
      </w:r>
    </w:p>
    <w:p w14:paraId="6A18D72B">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（3）在</w:t>
      </w:r>
      <w:r>
        <w:rPr>
          <w:rFonts w:hint="default" w:cs="Times New Roman" w:asciiTheme="minorEastAsia" w:hAnsiTheme="minorEastAsia" w:eastAsiaTheme="minorEastAsia"/>
          <w:b/>
          <w:bCs/>
          <w:color w:val="auto"/>
          <w:szCs w:val="15"/>
          <w:lang w:eastAsia="zh-CN"/>
        </w:rPr>
        <w:t>【政府采购合同专用条款】</w:t>
      </w:r>
      <w:r>
        <w:rPr>
          <w:rFonts w:hint="default" w:cs="Times New Roman" w:asciiTheme="minorEastAsia" w:hAnsiTheme="minorEastAsia" w:eastAsiaTheme="minorEastAsia"/>
          <w:color w:val="auto"/>
          <w:lang w:eastAsia="zh-CN"/>
        </w:rPr>
        <w:t>约定的期限内对所有的货物实施运行监督、维修，但前提条件是该服务并不能免除乙方在质量保证期内所承担的义务；</w:t>
      </w:r>
    </w:p>
    <w:p w14:paraId="56037ED0">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（4）在制造商所在地或指定现场就货物的安装、启动、运营、维护、废弃处置等对甲方操作人员进行培训</w:t>
      </w:r>
      <w:r>
        <w:rPr>
          <w:rFonts w:hint="default" w:cs="Times New Roman" w:asciiTheme="minorEastAsia" w:hAnsiTheme="minorEastAsia" w:eastAsiaTheme="minorEastAsia"/>
          <w:color w:val="auto"/>
          <w:szCs w:val="15"/>
          <w:lang w:eastAsia="zh-CN"/>
        </w:rPr>
        <w:t>；</w:t>
      </w:r>
    </w:p>
    <w:p w14:paraId="5F24D225">
      <w:pPr>
        <w:pStyle w:val="260"/>
        <w:ind w:firstLine="420"/>
        <w:rPr>
          <w:rFonts w:hint="eastAsia" w:cs="Times New Roman" w:asciiTheme="minorEastAsia" w:hAnsiTheme="minorEastAsia" w:eastAsiaTheme="minorEastAsia"/>
          <w:sz w:val="21"/>
        </w:rPr>
      </w:pPr>
      <w:r>
        <w:rPr>
          <w:rFonts w:cs="Times New Roman" w:asciiTheme="minorEastAsia" w:hAnsiTheme="minorEastAsia" w:eastAsiaTheme="minorEastAsia"/>
          <w:sz w:val="21"/>
        </w:rPr>
        <w:t>（5）依照法律、行政法规的规定或者按照</w:t>
      </w:r>
      <w:r>
        <w:rPr>
          <w:rFonts w:cs="Times New Roman" w:asciiTheme="minorEastAsia" w:hAnsiTheme="minorEastAsia" w:eastAsiaTheme="minorEastAsia"/>
          <w:b/>
          <w:bCs/>
          <w:sz w:val="21"/>
        </w:rPr>
        <w:t>【政府采购合同专用条款】</w:t>
      </w:r>
      <w:r>
        <w:rPr>
          <w:rFonts w:cs="Times New Roman" w:asciiTheme="minorEastAsia" w:hAnsiTheme="minorEastAsia" w:eastAsiaTheme="minorEastAsia"/>
          <w:sz w:val="21"/>
        </w:rPr>
        <w:t>约定，货物在有效使用年限届满后应予回收的，乙方负有自行或者委托第三人对货物予以回收的义务；</w:t>
      </w:r>
    </w:p>
    <w:p w14:paraId="229EB474">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w:t>
      </w:r>
      <w:r>
        <w:rPr>
          <w:rFonts w:hint="default" w:cs="Times New Roman" w:asciiTheme="minorEastAsia" w:hAnsiTheme="minorEastAsia" w:eastAsiaTheme="minorEastAsia"/>
          <w:color w:val="auto"/>
          <w:lang w:val="en-US" w:eastAsia="zh-CN"/>
        </w:rPr>
        <w:t>6</w:t>
      </w:r>
      <w:r>
        <w:rPr>
          <w:rFonts w:hint="default" w:cs="Times New Roman" w:asciiTheme="minorEastAsia" w:hAnsiTheme="minorEastAsia" w:eastAsiaTheme="minorEastAsia"/>
          <w:color w:val="auto"/>
          <w:lang w:eastAsia="zh-CN"/>
        </w:rPr>
        <w:t>）</w:t>
      </w:r>
      <w:r>
        <w:rPr>
          <w:rFonts w:hint="default" w:cs="Times New Roman" w:asciiTheme="minorEastAsia" w:hAnsiTheme="minorEastAsia" w:eastAsiaTheme="minorEastAsia"/>
          <w:b/>
          <w:color w:val="auto"/>
          <w:lang w:eastAsia="zh-CN"/>
        </w:rPr>
        <w:t>【政府采购合同专用条款】</w:t>
      </w:r>
      <w:r>
        <w:rPr>
          <w:rFonts w:hint="default" w:cs="Times New Roman" w:asciiTheme="minorEastAsia" w:hAnsiTheme="minorEastAsia" w:eastAsiaTheme="minorEastAsia"/>
          <w:color w:val="auto"/>
          <w:lang w:eastAsia="zh-CN"/>
        </w:rPr>
        <w:t>规定由乙方提供的其他服务。</w:t>
      </w:r>
    </w:p>
    <w:p w14:paraId="3D7D85E8">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1</w:t>
      </w:r>
      <w:r>
        <w:rPr>
          <w:rFonts w:hint="default" w:cs="Times New Roman" w:asciiTheme="minorEastAsia" w:hAnsiTheme="minorEastAsia" w:eastAsiaTheme="minorEastAsia"/>
          <w:color w:val="auto"/>
          <w:lang w:val="en-US" w:eastAsia="zh-CN"/>
        </w:rPr>
        <w:t>4</w:t>
      </w:r>
      <w:r>
        <w:rPr>
          <w:rFonts w:hint="default" w:cs="Times New Roman" w:asciiTheme="minorEastAsia" w:hAnsiTheme="minorEastAsia" w:eastAsiaTheme="minorEastAsia"/>
          <w:color w:val="auto"/>
          <w:lang w:eastAsia="zh-CN"/>
        </w:rPr>
        <w:t>.2 乙方提供的售后服务的费用</w:t>
      </w:r>
      <w:r>
        <w:rPr>
          <w:rFonts w:hint="default" w:cs="Times New Roman" w:asciiTheme="minorEastAsia" w:hAnsiTheme="minorEastAsia" w:eastAsiaTheme="minorEastAsia"/>
          <w:color w:val="auto"/>
          <w:lang w:val="en-US" w:eastAsia="zh-CN"/>
        </w:rPr>
        <w:t>已</w:t>
      </w:r>
      <w:r>
        <w:rPr>
          <w:rFonts w:hint="default" w:cs="Times New Roman" w:asciiTheme="minorEastAsia" w:hAnsiTheme="minorEastAsia" w:eastAsiaTheme="minorEastAsia"/>
          <w:color w:val="auto"/>
          <w:lang w:eastAsia="zh-CN"/>
        </w:rPr>
        <w:t>包含在合同价款中，甲方不再另行支付。</w:t>
      </w:r>
    </w:p>
    <w:p w14:paraId="1386DEDD">
      <w:pPr>
        <w:adjustRightInd w:val="0"/>
        <w:snapToGrid w:val="0"/>
        <w:spacing w:line="400" w:lineRule="exact"/>
        <w:jc w:val="left"/>
        <w:rPr>
          <w:rFonts w:cs="Times New Roman" w:asciiTheme="minorEastAsia" w:hAnsiTheme="minorEastAsia" w:eastAsiaTheme="minorEastAsia"/>
          <w:b/>
          <w:bCs/>
          <w:color w:val="auto"/>
          <w:sz w:val="24"/>
          <w:lang w:eastAsia="zh-CN"/>
        </w:rPr>
      </w:pPr>
      <w:r>
        <w:rPr>
          <w:rFonts w:hint="default" w:cs="Times New Roman" w:asciiTheme="minorEastAsia" w:hAnsiTheme="minorEastAsia" w:eastAsiaTheme="minorEastAsia"/>
          <w:b/>
          <w:bCs/>
          <w:color w:val="auto"/>
          <w:sz w:val="24"/>
          <w:lang w:eastAsia="zh-CN"/>
        </w:rPr>
        <w:t>15.</w:t>
      </w:r>
      <w:r>
        <w:rPr>
          <w:rFonts w:hint="default" w:cs="Times New Roman" w:asciiTheme="minorEastAsia" w:hAnsiTheme="minorEastAsia" w:eastAsiaTheme="minorEastAsia"/>
          <w:b/>
          <w:bCs/>
          <w:color w:val="auto"/>
          <w:sz w:val="24"/>
          <w:lang w:val="en-US" w:eastAsia="zh-CN"/>
        </w:rPr>
        <w:t xml:space="preserve"> </w:t>
      </w:r>
      <w:r>
        <w:rPr>
          <w:rFonts w:hint="default" w:cs="Times New Roman" w:asciiTheme="minorEastAsia" w:hAnsiTheme="minorEastAsia" w:eastAsiaTheme="minorEastAsia"/>
          <w:b/>
          <w:bCs/>
          <w:color w:val="auto"/>
          <w:sz w:val="24"/>
          <w:lang w:eastAsia="zh-CN"/>
        </w:rPr>
        <w:t>违约责任</w:t>
      </w:r>
    </w:p>
    <w:p w14:paraId="38208600">
      <w:pPr>
        <w:adjustRightInd w:val="0"/>
        <w:snapToGrid w:val="0"/>
        <w:spacing w:line="400" w:lineRule="exact"/>
        <w:ind w:firstLine="420" w:firstLineChars="200"/>
        <w:jc w:val="left"/>
        <w:rPr>
          <w:rFonts w:cs="Times New Roman" w:asciiTheme="minorEastAsia" w:hAnsiTheme="minorEastAsia" w:eastAsiaTheme="minorEastAsia"/>
          <w:bCs/>
          <w:color w:val="auto"/>
          <w:lang w:eastAsia="zh-CN"/>
        </w:rPr>
      </w:pPr>
      <w:r>
        <w:rPr>
          <w:rFonts w:hint="default" w:cs="Times New Roman" w:asciiTheme="minorEastAsia" w:hAnsiTheme="minorEastAsia" w:eastAsiaTheme="minorEastAsia"/>
          <w:bCs/>
          <w:color w:val="auto"/>
          <w:lang w:eastAsia="zh-CN"/>
        </w:rPr>
        <w:t>15.1质量瑕疵的违约责任</w:t>
      </w:r>
    </w:p>
    <w:p w14:paraId="52C16CF0">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乙方提供的产品不符合合同约定的质量标准或存在产品质量缺陷，甲方有权要求乙方根据</w:t>
      </w:r>
      <w:r>
        <w:rPr>
          <w:rFonts w:hint="default" w:cs="Times New Roman" w:asciiTheme="minorEastAsia" w:hAnsiTheme="minorEastAsia" w:eastAsiaTheme="minorEastAsia"/>
          <w:b/>
          <w:color w:val="auto"/>
          <w:lang w:eastAsia="zh-CN"/>
        </w:rPr>
        <w:t>【政府采购合同专用条款】</w:t>
      </w:r>
      <w:r>
        <w:rPr>
          <w:rFonts w:hint="default" w:cs="Times New Roman" w:asciiTheme="minorEastAsia" w:hAnsiTheme="minorEastAsia" w:eastAsiaTheme="minorEastAsia"/>
          <w:bCs/>
          <w:color w:val="auto"/>
          <w:lang w:eastAsia="zh-CN"/>
        </w:rPr>
        <w:t>要求</w:t>
      </w:r>
      <w:r>
        <w:rPr>
          <w:rFonts w:hint="default" w:cs="Times New Roman" w:asciiTheme="minorEastAsia" w:hAnsiTheme="minorEastAsia" w:eastAsiaTheme="minorEastAsia"/>
          <w:color w:val="auto"/>
          <w:lang w:eastAsia="zh-CN"/>
        </w:rPr>
        <w:t>及时修理、重作、更换，并承担由此给甲方造成的损失。</w:t>
      </w:r>
    </w:p>
    <w:p w14:paraId="617D2334">
      <w:pPr>
        <w:autoSpaceDE w:val="0"/>
        <w:autoSpaceDN w:val="0"/>
        <w:adjustRightInd w:val="0"/>
        <w:snapToGrid w:val="0"/>
        <w:spacing w:line="400" w:lineRule="exact"/>
        <w:ind w:firstLine="420" w:firstLineChars="200"/>
        <w:jc w:val="left"/>
        <w:rPr>
          <w:rFonts w:cs="Times New Roman" w:asciiTheme="minorEastAsia" w:hAnsiTheme="minorEastAsia" w:eastAsiaTheme="minorEastAsia"/>
          <w:bCs/>
          <w:color w:val="auto"/>
          <w:lang w:eastAsia="zh-CN"/>
        </w:rPr>
      </w:pPr>
      <w:r>
        <w:rPr>
          <w:rFonts w:hint="default" w:cs="Times New Roman" w:asciiTheme="minorEastAsia" w:hAnsiTheme="minorEastAsia" w:eastAsiaTheme="minorEastAsia"/>
          <w:bCs/>
          <w:color w:val="auto"/>
          <w:lang w:eastAsia="zh-CN"/>
        </w:rPr>
        <w:t>15.2 迟延交货的违约责任</w:t>
      </w:r>
    </w:p>
    <w:p w14:paraId="18BC70F0">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10456202">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（2）如果乙方没有按照合同规定的时间交货和提供相关服务，甲方有权从货款中扣除误期赔偿费而不影响合同项下的其他补救方法，赔偿费按</w:t>
      </w:r>
      <w:r>
        <w:rPr>
          <w:rFonts w:hint="default" w:cs="Times New Roman" w:asciiTheme="minorEastAsia" w:hAnsiTheme="minorEastAsia" w:eastAsiaTheme="minorEastAsia"/>
          <w:b/>
          <w:color w:val="auto"/>
          <w:lang w:eastAsia="zh-CN"/>
        </w:rPr>
        <w:t>【政府采购合同专用条款】</w:t>
      </w:r>
      <w:r>
        <w:rPr>
          <w:rFonts w:hint="default" w:cs="Times New Roman" w:asciiTheme="minorEastAsia" w:hAnsiTheme="minorEastAsia" w:eastAsiaTheme="minorEastAsia"/>
          <w:color w:val="auto"/>
          <w:lang w:eastAsia="zh-CN"/>
        </w:rPr>
        <w:t>规定执行。如果涉及公共利益，且赔偿金额无法弥补公共利益损失，甲方可要求继续履行或者采取其他补救措施。</w:t>
      </w:r>
    </w:p>
    <w:p w14:paraId="50CDB0C1">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15.3 迟延支付的违约责任</w:t>
      </w:r>
    </w:p>
    <w:p w14:paraId="7E02C7A2">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甲方存在迟延支付乙方合同款项的，应当承担</w:t>
      </w:r>
      <w:r>
        <w:rPr>
          <w:rFonts w:hint="default" w:cs="Times New Roman" w:asciiTheme="minorEastAsia" w:hAnsiTheme="minorEastAsia" w:eastAsiaTheme="minorEastAsia"/>
          <w:b/>
          <w:bCs/>
          <w:color w:val="auto"/>
          <w:lang w:eastAsia="zh-CN"/>
        </w:rPr>
        <w:t>【政府采购合同专用条款】</w:t>
      </w:r>
      <w:r>
        <w:rPr>
          <w:rFonts w:hint="default" w:cs="Times New Roman" w:asciiTheme="minorEastAsia" w:hAnsiTheme="minorEastAsia" w:eastAsiaTheme="minorEastAsia"/>
          <w:color w:val="auto"/>
          <w:lang w:eastAsia="zh-CN"/>
        </w:rPr>
        <w:t>规定的逾期付款利息。</w:t>
      </w:r>
    </w:p>
    <w:p w14:paraId="4BB184CB">
      <w:pPr>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bCs/>
          <w:color w:val="auto"/>
          <w:lang w:eastAsia="zh-CN"/>
        </w:rPr>
        <w:t>15.4其他违约责任根据项目实际需要按</w:t>
      </w:r>
      <w:r>
        <w:rPr>
          <w:rFonts w:hint="default" w:cs="Times New Roman" w:asciiTheme="minorEastAsia" w:hAnsiTheme="minorEastAsia" w:eastAsiaTheme="minorEastAsia"/>
          <w:b/>
          <w:bCs/>
          <w:color w:val="auto"/>
          <w:lang w:eastAsia="zh-CN"/>
        </w:rPr>
        <w:t>【政府采购合同专用条款】</w:t>
      </w:r>
      <w:r>
        <w:rPr>
          <w:rFonts w:hint="default" w:cs="Times New Roman" w:asciiTheme="minorEastAsia" w:hAnsiTheme="minorEastAsia" w:eastAsiaTheme="minorEastAsia"/>
          <w:color w:val="auto"/>
          <w:lang w:eastAsia="zh-CN"/>
        </w:rPr>
        <w:t>规定执行。</w:t>
      </w:r>
    </w:p>
    <w:p w14:paraId="74402BCC">
      <w:pPr>
        <w:numPr>
          <w:ilvl w:val="0"/>
          <w:numId w:val="19"/>
        </w:numPr>
        <w:autoSpaceDE w:val="0"/>
        <w:autoSpaceDN w:val="0"/>
        <w:adjustRightInd w:val="0"/>
        <w:snapToGrid w:val="0"/>
        <w:spacing w:line="400" w:lineRule="exact"/>
        <w:jc w:val="left"/>
        <w:rPr>
          <w:rFonts w:cs="Times New Roman" w:asciiTheme="minorEastAsia" w:hAnsiTheme="minorEastAsia" w:eastAsiaTheme="minorEastAsia"/>
          <w:b/>
          <w:color w:val="auto"/>
          <w:sz w:val="24"/>
        </w:rPr>
      </w:pPr>
      <w:r>
        <w:rPr>
          <w:rFonts w:hint="default" w:cs="Times New Roman" w:asciiTheme="minorEastAsia" w:hAnsiTheme="minorEastAsia" w:eastAsiaTheme="minorEastAsia"/>
          <w:b/>
          <w:color w:val="auto"/>
          <w:sz w:val="24"/>
        </w:rPr>
        <w:t>合同变更</w:t>
      </w:r>
      <w:r>
        <w:rPr>
          <w:rFonts w:hint="default" w:cs="Times New Roman" w:asciiTheme="minorEastAsia" w:hAnsiTheme="minorEastAsia" w:eastAsiaTheme="minorEastAsia"/>
          <w:b/>
          <w:color w:val="auto"/>
          <w:sz w:val="24"/>
          <w:lang w:eastAsia="zh-CN"/>
        </w:rPr>
        <w:t>、中止与终止</w:t>
      </w:r>
    </w:p>
    <w:p w14:paraId="5CDD18F5">
      <w:pPr>
        <w:adjustRightInd w:val="0"/>
        <w:snapToGrid w:val="0"/>
        <w:spacing w:line="400" w:lineRule="exact"/>
        <w:jc w:val="left"/>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lang w:val="en-US" w:eastAsia="zh-CN"/>
        </w:rPr>
        <w:t xml:space="preserve">    </w:t>
      </w:r>
      <w:r>
        <w:rPr>
          <w:rFonts w:hint="default" w:cs="Times New Roman" w:asciiTheme="minorEastAsia" w:hAnsiTheme="minorEastAsia" w:eastAsiaTheme="minorEastAsia"/>
          <w:color w:val="auto"/>
        </w:rPr>
        <w:t>1</w:t>
      </w:r>
      <w:r>
        <w:rPr>
          <w:rFonts w:hint="default" w:cs="Times New Roman" w:asciiTheme="minorEastAsia" w:hAnsiTheme="minorEastAsia" w:eastAsiaTheme="minorEastAsia"/>
          <w:color w:val="auto"/>
          <w:lang w:val="en-US" w:eastAsia="zh-CN"/>
        </w:rPr>
        <w:t>6</w:t>
      </w:r>
      <w:r>
        <w:rPr>
          <w:rFonts w:hint="default" w:cs="Times New Roman" w:asciiTheme="minorEastAsia" w:hAnsiTheme="minorEastAsia" w:eastAsiaTheme="minorEastAsia"/>
          <w:color w:val="auto"/>
        </w:rPr>
        <w:t>.1合同的</w:t>
      </w:r>
      <w:r>
        <w:rPr>
          <w:rFonts w:hint="default" w:cs="Times New Roman" w:asciiTheme="minorEastAsia" w:hAnsiTheme="minorEastAsia" w:eastAsiaTheme="minorEastAsia"/>
          <w:color w:val="auto"/>
          <w:lang w:eastAsia="zh-CN"/>
        </w:rPr>
        <w:t>变更</w:t>
      </w:r>
    </w:p>
    <w:p w14:paraId="291365EB">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政府采购合同履行中，在不改变合同其他条款的前提下，甲方可以在合同价款10%的范围内追加与合同标的相同的货物，并就此与乙方协商一致后签订补充协议。</w:t>
      </w:r>
    </w:p>
    <w:p w14:paraId="6839A5F6">
      <w:pPr>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1</w:t>
      </w:r>
      <w:r>
        <w:rPr>
          <w:rFonts w:hint="default" w:cs="Times New Roman" w:asciiTheme="minorEastAsia" w:hAnsiTheme="minorEastAsia" w:eastAsiaTheme="minorEastAsia"/>
          <w:color w:val="auto"/>
          <w:lang w:val="en-US" w:eastAsia="zh-CN"/>
        </w:rPr>
        <w:t>6</w:t>
      </w:r>
      <w:r>
        <w:rPr>
          <w:rFonts w:hint="default" w:cs="Times New Roman" w:asciiTheme="minorEastAsia" w:hAnsiTheme="minorEastAsia" w:eastAsiaTheme="minorEastAsia"/>
          <w:color w:val="auto"/>
          <w:lang w:eastAsia="zh-CN"/>
        </w:rPr>
        <w:t>.</w:t>
      </w:r>
      <w:r>
        <w:rPr>
          <w:rFonts w:hint="default" w:cs="Times New Roman" w:asciiTheme="minorEastAsia" w:hAnsiTheme="minorEastAsia" w:eastAsiaTheme="minorEastAsia"/>
          <w:color w:val="auto"/>
          <w:lang w:val="en-US" w:eastAsia="zh-CN"/>
        </w:rPr>
        <w:t>2</w:t>
      </w:r>
      <w:r>
        <w:rPr>
          <w:rFonts w:hint="default" w:cs="Times New Roman" w:asciiTheme="minorEastAsia" w:hAnsiTheme="minorEastAsia" w:eastAsiaTheme="minorEastAsia"/>
          <w:color w:val="auto"/>
          <w:lang w:eastAsia="zh-CN"/>
        </w:rPr>
        <w:t>合同的中止</w:t>
      </w:r>
    </w:p>
    <w:p w14:paraId="06A0B40C">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（1）合同履行过程中因供应商就采购文件、采购过程或结果提起投诉的，甲方认为有必要的，可以中止合同的履行。</w:t>
      </w:r>
    </w:p>
    <w:p w14:paraId="5E27F67E">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（2）</w:t>
      </w:r>
      <w:r>
        <w:rPr>
          <w:rFonts w:hint="default" w:cs="Times New Roman" w:asciiTheme="minorEastAsia" w:hAnsiTheme="minorEastAsia" w:eastAsiaTheme="minorEastAsia"/>
          <w:color w:val="auto"/>
          <w:lang w:val="en-US" w:eastAsia="zh-CN"/>
        </w:rPr>
        <w:t>合同履行过程中，</w:t>
      </w:r>
      <w:r>
        <w:rPr>
          <w:rFonts w:hint="default" w:cs="Times New Roman" w:asciiTheme="minorEastAsia" w:hAnsiTheme="minorEastAsia" w:eastAsiaTheme="minorEastAsia"/>
          <w:color w:val="auto"/>
          <w:lang w:eastAsia="zh-CN"/>
        </w:rPr>
        <w:t>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3E281A36">
      <w:pPr>
        <w:pStyle w:val="260"/>
        <w:ind w:firstLine="420"/>
        <w:jc w:val="both"/>
        <w:rPr>
          <w:rFonts w:hint="eastAsia" w:cs="Times New Roman" w:asciiTheme="minorEastAsia" w:hAnsiTheme="minorEastAsia" w:eastAsiaTheme="minorEastAsia"/>
          <w:sz w:val="21"/>
        </w:rPr>
      </w:pPr>
      <w:r>
        <w:rPr>
          <w:rFonts w:cs="Times New Roman" w:asciiTheme="minorEastAsia" w:hAnsiTheme="minorEastAsia" w:eastAsiaTheme="minorEastAsia"/>
          <w:sz w:val="21"/>
        </w:rPr>
        <w:t>（3）乙方分立、合并或者变更住所的，应当及时以书面形式告知甲方。乙方没有及时告知甲方，致使合同履行发生困难的，甲方可以中止合同履行并要求乙方承担由此给甲方造成的损失。</w:t>
      </w:r>
    </w:p>
    <w:p w14:paraId="23826CAD">
      <w:pPr>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w:t>
      </w:r>
      <w:r>
        <w:rPr>
          <w:rFonts w:hint="default" w:cs="Times New Roman" w:asciiTheme="minorEastAsia" w:hAnsiTheme="minorEastAsia" w:eastAsiaTheme="minorEastAsia"/>
          <w:color w:val="auto"/>
          <w:lang w:val="en-US" w:eastAsia="zh-CN"/>
        </w:rPr>
        <w:t>4</w:t>
      </w:r>
      <w:r>
        <w:rPr>
          <w:rFonts w:hint="default" w:cs="Times New Roman" w:asciiTheme="minorEastAsia" w:hAnsiTheme="minorEastAsia" w:eastAsiaTheme="minorEastAsia"/>
          <w:color w:val="auto"/>
          <w:lang w:eastAsia="zh-CN"/>
        </w:rPr>
        <w:t>）甲方不得以行政区划调整、政府换届、机构或者职能调整以及相关责任人更替为由中止合同。</w:t>
      </w:r>
    </w:p>
    <w:p w14:paraId="5D8FE144">
      <w:pPr>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1</w:t>
      </w:r>
      <w:r>
        <w:rPr>
          <w:rFonts w:hint="default" w:cs="Times New Roman" w:asciiTheme="minorEastAsia" w:hAnsiTheme="minorEastAsia" w:eastAsiaTheme="minorEastAsia"/>
          <w:color w:val="auto"/>
          <w:lang w:val="en-US" w:eastAsia="zh-CN"/>
        </w:rPr>
        <w:t>6</w:t>
      </w:r>
      <w:r>
        <w:rPr>
          <w:rFonts w:hint="default" w:cs="Times New Roman" w:asciiTheme="minorEastAsia" w:hAnsiTheme="minorEastAsia" w:eastAsiaTheme="minorEastAsia"/>
          <w:color w:val="auto"/>
          <w:lang w:eastAsia="zh-CN"/>
        </w:rPr>
        <w:t>.</w:t>
      </w:r>
      <w:r>
        <w:rPr>
          <w:rFonts w:hint="default" w:cs="Times New Roman" w:asciiTheme="minorEastAsia" w:hAnsiTheme="minorEastAsia" w:eastAsiaTheme="minorEastAsia"/>
          <w:color w:val="auto"/>
          <w:lang w:val="en-US" w:eastAsia="zh-CN"/>
        </w:rPr>
        <w:t>3</w:t>
      </w:r>
      <w:r>
        <w:rPr>
          <w:rFonts w:hint="default" w:cs="Times New Roman" w:asciiTheme="minorEastAsia" w:hAnsiTheme="minorEastAsia" w:eastAsiaTheme="minorEastAsia"/>
          <w:color w:val="auto"/>
          <w:lang w:eastAsia="zh-CN"/>
        </w:rPr>
        <w:t>合同的终止</w:t>
      </w:r>
    </w:p>
    <w:p w14:paraId="73C1E549">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（1）合同因有效期限届满而终止；</w:t>
      </w:r>
    </w:p>
    <w:p w14:paraId="70861DD3">
      <w:pPr>
        <w:snapToGrid w:val="0"/>
        <w:spacing w:line="400" w:lineRule="exact"/>
        <w:ind w:firstLine="420" w:firstLineChars="200"/>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（2）乙方未按合同约定履行，构成根本性违约的，甲方有权终止合同，并追究乙方的违约责</w:t>
      </w:r>
      <w:r>
        <w:rPr>
          <w:rFonts w:hint="default" w:cs="Times New Roman" w:asciiTheme="minorEastAsia" w:hAnsiTheme="minorEastAsia" w:eastAsiaTheme="minorEastAsia"/>
          <w:color w:val="auto"/>
          <w:lang w:val="en-US" w:eastAsia="zh-CN"/>
        </w:rPr>
        <w:t>任</w:t>
      </w:r>
      <w:r>
        <w:rPr>
          <w:rFonts w:hint="default" w:cs="Times New Roman" w:asciiTheme="minorEastAsia" w:hAnsiTheme="minorEastAsia" w:eastAsiaTheme="minorEastAsia"/>
          <w:color w:val="auto"/>
          <w:lang w:eastAsia="zh-CN"/>
        </w:rPr>
        <w:t>。</w:t>
      </w:r>
    </w:p>
    <w:p w14:paraId="64330EAD">
      <w:pPr>
        <w:pStyle w:val="260"/>
        <w:rPr>
          <w:rFonts w:hint="eastAsia" w:cs="Times New Roman" w:asciiTheme="minorEastAsia" w:hAnsiTheme="minorEastAsia" w:eastAsiaTheme="minorEastAsia"/>
        </w:rPr>
      </w:pPr>
      <w:r>
        <w:rPr>
          <w:rFonts w:cs="Times New Roman" w:asciiTheme="minorEastAsia" w:hAnsiTheme="minorEastAsia" w:eastAsiaTheme="minorEastAsia"/>
        </w:rPr>
        <w:t xml:space="preserve">16.4 </w:t>
      </w:r>
      <w:r>
        <w:rPr>
          <w:rFonts w:cs="Times New Roman" w:asciiTheme="minorEastAsia" w:hAnsiTheme="minorEastAsia" w:eastAsiaTheme="minorEastAsia"/>
          <w:kern w:val="2"/>
          <w:sz w:val="21"/>
        </w:rPr>
        <w:t>涉及国家利益、社会公共利益的情形</w:t>
      </w:r>
    </w:p>
    <w:p w14:paraId="15C6F9C3">
      <w:pPr>
        <w:pStyle w:val="260"/>
        <w:ind w:firstLine="420"/>
        <w:jc w:val="both"/>
        <w:rPr>
          <w:rFonts w:hint="eastAsia" w:cs="Times New Roman" w:asciiTheme="minorEastAsia" w:hAnsiTheme="minorEastAsia" w:eastAsiaTheme="minorEastAsia"/>
          <w:sz w:val="21"/>
        </w:rPr>
      </w:pPr>
      <w:r>
        <w:rPr>
          <w:rFonts w:cs="Times New Roman" w:asciiTheme="minorEastAsia" w:hAnsiTheme="minorEastAsia" w:eastAsiaTheme="minorEastAsia"/>
          <w:sz w:val="21"/>
        </w:rPr>
        <w:t>政府采购合同继续履行将损害国家利益和社会公共利益的，双方当事人应当变更、中止或者终止合同。有过错的一方应当承担赔偿责任，双方都有过错的，各自承担相应的责任。</w:t>
      </w:r>
    </w:p>
    <w:p w14:paraId="0D686B6F">
      <w:pPr>
        <w:autoSpaceDE w:val="0"/>
        <w:autoSpaceDN w:val="0"/>
        <w:adjustRightInd w:val="0"/>
        <w:snapToGrid w:val="0"/>
        <w:spacing w:line="400" w:lineRule="exact"/>
        <w:jc w:val="left"/>
        <w:rPr>
          <w:rFonts w:cs="Times New Roman" w:asciiTheme="minorEastAsia" w:hAnsiTheme="minorEastAsia" w:eastAsiaTheme="minorEastAsia"/>
          <w:b/>
          <w:bCs/>
          <w:color w:val="auto"/>
          <w:sz w:val="24"/>
          <w:lang w:eastAsia="zh-CN"/>
        </w:rPr>
      </w:pPr>
      <w:r>
        <w:rPr>
          <w:rFonts w:hint="default" w:cs="Times New Roman" w:asciiTheme="minorEastAsia" w:hAnsiTheme="minorEastAsia" w:eastAsiaTheme="minorEastAsia"/>
          <w:b/>
          <w:bCs/>
          <w:color w:val="auto"/>
          <w:sz w:val="24"/>
          <w:lang w:eastAsia="zh-CN"/>
        </w:rPr>
        <w:t>1</w:t>
      </w:r>
      <w:r>
        <w:rPr>
          <w:rFonts w:hint="default" w:cs="Times New Roman" w:asciiTheme="minorEastAsia" w:hAnsiTheme="minorEastAsia" w:eastAsiaTheme="minorEastAsia"/>
          <w:b/>
          <w:bCs/>
          <w:color w:val="auto"/>
          <w:sz w:val="24"/>
          <w:lang w:val="en-US" w:eastAsia="zh-CN"/>
        </w:rPr>
        <w:t>7</w:t>
      </w:r>
      <w:r>
        <w:rPr>
          <w:rFonts w:hint="default" w:cs="Times New Roman" w:asciiTheme="minorEastAsia" w:hAnsiTheme="minorEastAsia" w:eastAsiaTheme="minorEastAsia"/>
          <w:b/>
          <w:bCs/>
          <w:color w:val="auto"/>
          <w:sz w:val="24"/>
          <w:lang w:eastAsia="zh-CN"/>
        </w:rPr>
        <w:t>.</w:t>
      </w:r>
      <w:r>
        <w:rPr>
          <w:rFonts w:hint="default" w:cs="Times New Roman" w:asciiTheme="minorEastAsia" w:hAnsiTheme="minorEastAsia" w:eastAsiaTheme="minorEastAsia"/>
          <w:b/>
          <w:bCs/>
          <w:color w:val="auto"/>
          <w:sz w:val="24"/>
          <w:lang w:val="en-US" w:eastAsia="zh-CN"/>
        </w:rPr>
        <w:t xml:space="preserve"> </w:t>
      </w:r>
      <w:r>
        <w:rPr>
          <w:rFonts w:hint="default" w:cs="Times New Roman" w:asciiTheme="minorEastAsia" w:hAnsiTheme="minorEastAsia" w:eastAsiaTheme="minorEastAsia"/>
          <w:b/>
          <w:bCs/>
          <w:color w:val="auto"/>
          <w:sz w:val="24"/>
          <w:lang w:eastAsia="zh-CN"/>
        </w:rPr>
        <w:t>合同分包</w:t>
      </w:r>
    </w:p>
    <w:p w14:paraId="79EE40A3">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1</w:t>
      </w:r>
      <w:r>
        <w:rPr>
          <w:rFonts w:hint="default" w:cs="Times New Roman" w:asciiTheme="minorEastAsia" w:hAnsiTheme="minorEastAsia" w:eastAsiaTheme="minorEastAsia"/>
          <w:color w:val="auto"/>
          <w:lang w:val="en-US" w:eastAsia="zh-CN"/>
        </w:rPr>
        <w:t>7</w:t>
      </w:r>
      <w:r>
        <w:rPr>
          <w:rFonts w:hint="default" w:cs="Times New Roman" w:asciiTheme="minorEastAsia" w:hAnsiTheme="minorEastAsia" w:eastAsiaTheme="minorEastAsia"/>
          <w:color w:val="auto"/>
          <w:lang w:eastAsia="zh-CN"/>
        </w:rPr>
        <w:t>.1 乙方不得将合同转包给其他供应商。涉及合同分包的，乙方</w:t>
      </w:r>
      <w:r>
        <w:rPr>
          <w:rFonts w:hint="default" w:cs="Times New Roman" w:asciiTheme="minorEastAsia" w:hAnsiTheme="minorEastAsia" w:eastAsiaTheme="minorEastAsia"/>
          <w:color w:val="auto"/>
          <w:lang w:val="en-US" w:eastAsia="zh-CN"/>
        </w:rPr>
        <w:t>应</w:t>
      </w:r>
      <w:r>
        <w:rPr>
          <w:rFonts w:hint="default" w:cs="Times New Roman" w:asciiTheme="minorEastAsia" w:hAnsiTheme="minorEastAsia" w:eastAsiaTheme="minorEastAsia"/>
          <w:color w:val="auto"/>
          <w:lang w:eastAsia="zh-CN"/>
        </w:rPr>
        <w:t>根据采购文件和投标（响应）文件规定进行合同分包。</w:t>
      </w:r>
    </w:p>
    <w:p w14:paraId="443299B6">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1</w:t>
      </w:r>
      <w:r>
        <w:rPr>
          <w:rFonts w:hint="default" w:cs="Times New Roman" w:asciiTheme="minorEastAsia" w:hAnsiTheme="minorEastAsia" w:eastAsiaTheme="minorEastAsia"/>
          <w:color w:val="auto"/>
          <w:lang w:val="en-US" w:eastAsia="zh-CN"/>
        </w:rPr>
        <w:t>7</w:t>
      </w:r>
      <w:r>
        <w:rPr>
          <w:rFonts w:hint="default" w:cs="Times New Roman" w:asciiTheme="minorEastAsia" w:hAnsiTheme="minorEastAsia" w:eastAsiaTheme="minorEastAsia"/>
          <w:color w:val="auto"/>
          <w:lang w:eastAsia="zh-CN"/>
        </w:rPr>
        <w:t>.2 乙方执行政府采购政策向中小企业依法分包的，乙方应当按采购文件和投标（响应）文件签订分包意向协议，分包意向协议属于本合同组成部分。</w:t>
      </w:r>
    </w:p>
    <w:p w14:paraId="643FB58E">
      <w:pPr>
        <w:autoSpaceDE w:val="0"/>
        <w:autoSpaceDN w:val="0"/>
        <w:adjustRightInd w:val="0"/>
        <w:snapToGrid w:val="0"/>
        <w:spacing w:line="400" w:lineRule="exact"/>
        <w:jc w:val="left"/>
        <w:rPr>
          <w:rFonts w:cs="Times New Roman" w:asciiTheme="minorEastAsia" w:hAnsiTheme="minorEastAsia" w:eastAsiaTheme="minorEastAsia"/>
          <w:b/>
          <w:bCs/>
          <w:color w:val="auto"/>
          <w:sz w:val="24"/>
          <w:lang w:eastAsia="zh-CN"/>
        </w:rPr>
      </w:pPr>
      <w:r>
        <w:rPr>
          <w:rFonts w:hint="default" w:cs="Times New Roman" w:asciiTheme="minorEastAsia" w:hAnsiTheme="minorEastAsia" w:eastAsiaTheme="minorEastAsia"/>
          <w:b/>
          <w:bCs/>
          <w:color w:val="auto"/>
          <w:sz w:val="24"/>
          <w:lang w:eastAsia="zh-CN"/>
        </w:rPr>
        <w:t>1</w:t>
      </w:r>
      <w:r>
        <w:rPr>
          <w:rFonts w:hint="default" w:cs="Times New Roman" w:asciiTheme="minorEastAsia" w:hAnsiTheme="minorEastAsia" w:eastAsiaTheme="minorEastAsia"/>
          <w:b/>
          <w:bCs/>
          <w:color w:val="auto"/>
          <w:sz w:val="24"/>
          <w:lang w:val="en-US" w:eastAsia="zh-CN"/>
        </w:rPr>
        <w:t>8</w:t>
      </w:r>
      <w:r>
        <w:rPr>
          <w:rFonts w:hint="default" w:cs="Times New Roman" w:asciiTheme="minorEastAsia" w:hAnsiTheme="minorEastAsia" w:eastAsiaTheme="minorEastAsia"/>
          <w:b/>
          <w:bCs/>
          <w:color w:val="auto"/>
          <w:sz w:val="24"/>
          <w:lang w:eastAsia="zh-CN"/>
        </w:rPr>
        <w:t>.</w:t>
      </w:r>
      <w:r>
        <w:rPr>
          <w:rFonts w:hint="default" w:cs="Times New Roman" w:asciiTheme="minorEastAsia" w:hAnsiTheme="minorEastAsia" w:eastAsiaTheme="minorEastAsia"/>
          <w:b/>
          <w:bCs/>
          <w:color w:val="auto"/>
          <w:sz w:val="24"/>
          <w:lang w:val="en-US" w:eastAsia="zh-CN"/>
        </w:rPr>
        <w:t xml:space="preserve"> </w:t>
      </w:r>
      <w:r>
        <w:rPr>
          <w:rFonts w:hint="default" w:cs="Times New Roman" w:asciiTheme="minorEastAsia" w:hAnsiTheme="minorEastAsia" w:eastAsiaTheme="minorEastAsia"/>
          <w:b/>
          <w:bCs/>
          <w:color w:val="auto"/>
          <w:sz w:val="24"/>
          <w:lang w:eastAsia="zh-CN"/>
        </w:rPr>
        <w:t>不可抗力</w:t>
      </w:r>
    </w:p>
    <w:p w14:paraId="7B24EBA3">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1</w:t>
      </w:r>
      <w:r>
        <w:rPr>
          <w:rFonts w:hint="default" w:cs="Times New Roman" w:asciiTheme="minorEastAsia" w:hAnsiTheme="minorEastAsia" w:eastAsiaTheme="minorEastAsia"/>
          <w:color w:val="auto"/>
          <w:lang w:val="en-US" w:eastAsia="zh-CN"/>
        </w:rPr>
        <w:t>8</w:t>
      </w:r>
      <w:r>
        <w:rPr>
          <w:rFonts w:hint="default" w:cs="Times New Roman" w:asciiTheme="minorEastAsia" w:hAnsiTheme="minorEastAsia" w:eastAsiaTheme="minorEastAsia"/>
          <w:color w:val="auto"/>
          <w:lang w:eastAsia="zh-CN"/>
        </w:rPr>
        <w:t>.1 不可抗力是指合同双方不能预见、不能避免且不能克服的客观情况。</w:t>
      </w:r>
    </w:p>
    <w:p w14:paraId="5270D15D">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1</w:t>
      </w:r>
      <w:r>
        <w:rPr>
          <w:rFonts w:hint="default" w:cs="Times New Roman" w:asciiTheme="minorEastAsia" w:hAnsiTheme="minorEastAsia" w:eastAsiaTheme="minorEastAsia"/>
          <w:color w:val="auto"/>
          <w:lang w:val="en-US" w:eastAsia="zh-CN"/>
        </w:rPr>
        <w:t>8</w:t>
      </w:r>
      <w:r>
        <w:rPr>
          <w:rFonts w:hint="default" w:cs="Times New Roman" w:asciiTheme="minorEastAsia" w:hAnsiTheme="minorEastAsia" w:eastAsiaTheme="minorEastAsia"/>
          <w:color w:val="auto"/>
          <w:lang w:eastAsia="zh-CN"/>
        </w:rPr>
        <w:t>.2 任何一方对由于不可抗力造成的部分或全部不能履行合同不承担违约责任。但迟延履行后发生不可抗力的，不能免除责任。</w:t>
      </w:r>
    </w:p>
    <w:p w14:paraId="4D1CAE15">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1</w:t>
      </w:r>
      <w:r>
        <w:rPr>
          <w:rFonts w:hint="default" w:cs="Times New Roman" w:asciiTheme="minorEastAsia" w:hAnsiTheme="minorEastAsia" w:eastAsiaTheme="minorEastAsia"/>
          <w:color w:val="auto"/>
          <w:lang w:val="en-US" w:eastAsia="zh-CN"/>
        </w:rPr>
        <w:t>8</w:t>
      </w:r>
      <w:r>
        <w:rPr>
          <w:rFonts w:hint="default" w:cs="Times New Roman" w:asciiTheme="minorEastAsia" w:hAnsiTheme="minorEastAsia" w:eastAsiaTheme="minorEastAsia"/>
          <w:color w:val="auto"/>
          <w:lang w:eastAsia="zh-CN"/>
        </w:rPr>
        <w:t>.3 遇有不可抗力的一方，应及时将事件情况以书面形式告知另一方，并在事件发生后及时向另一方提交合同不能履行或部分不能履行或需要延期履行的详细报告，以</w:t>
      </w:r>
      <w:r>
        <w:rPr>
          <w:rFonts w:hint="default" w:cs="Times New Roman" w:asciiTheme="minorEastAsia" w:hAnsiTheme="minorEastAsia" w:eastAsiaTheme="minorEastAsia"/>
          <w:color w:val="auto"/>
          <w:lang w:val="en-US" w:eastAsia="zh-CN"/>
        </w:rPr>
        <w:t>及证明不可抗力发生及其持续时间的证据</w:t>
      </w:r>
      <w:r>
        <w:rPr>
          <w:rFonts w:hint="default" w:cs="Times New Roman" w:asciiTheme="minorEastAsia" w:hAnsiTheme="minorEastAsia" w:eastAsiaTheme="minorEastAsia"/>
          <w:color w:val="auto"/>
          <w:lang w:eastAsia="zh-CN"/>
        </w:rPr>
        <w:t>。</w:t>
      </w:r>
    </w:p>
    <w:p w14:paraId="604F388A">
      <w:pPr>
        <w:autoSpaceDE w:val="0"/>
        <w:autoSpaceDN w:val="0"/>
        <w:adjustRightInd w:val="0"/>
        <w:snapToGrid w:val="0"/>
        <w:spacing w:line="400" w:lineRule="exact"/>
        <w:jc w:val="left"/>
        <w:rPr>
          <w:rFonts w:cs="Times New Roman" w:asciiTheme="minorEastAsia" w:hAnsiTheme="minorEastAsia" w:eastAsiaTheme="minorEastAsia"/>
          <w:b/>
          <w:bCs/>
          <w:color w:val="auto"/>
          <w:sz w:val="24"/>
          <w:lang w:eastAsia="zh-CN"/>
        </w:rPr>
      </w:pPr>
      <w:r>
        <w:rPr>
          <w:rFonts w:hint="default" w:cs="Times New Roman" w:asciiTheme="minorEastAsia" w:hAnsiTheme="minorEastAsia" w:eastAsiaTheme="minorEastAsia"/>
          <w:b/>
          <w:bCs/>
          <w:color w:val="auto"/>
          <w:sz w:val="24"/>
          <w:lang w:val="en-US" w:eastAsia="zh-CN"/>
        </w:rPr>
        <w:t>19</w:t>
      </w:r>
      <w:r>
        <w:rPr>
          <w:rFonts w:hint="default" w:cs="Times New Roman" w:asciiTheme="minorEastAsia" w:hAnsiTheme="minorEastAsia" w:eastAsiaTheme="minorEastAsia"/>
          <w:b/>
          <w:bCs/>
          <w:color w:val="auto"/>
          <w:sz w:val="24"/>
          <w:lang w:eastAsia="zh-CN"/>
        </w:rPr>
        <w:t>.</w:t>
      </w:r>
      <w:r>
        <w:rPr>
          <w:rFonts w:hint="default" w:cs="Times New Roman" w:asciiTheme="minorEastAsia" w:hAnsiTheme="minorEastAsia" w:eastAsiaTheme="minorEastAsia"/>
          <w:b/>
          <w:bCs/>
          <w:color w:val="auto"/>
          <w:sz w:val="24"/>
          <w:lang w:val="en-US" w:eastAsia="zh-CN"/>
        </w:rPr>
        <w:t xml:space="preserve"> </w:t>
      </w:r>
      <w:r>
        <w:rPr>
          <w:rFonts w:hint="default" w:cs="Times New Roman" w:asciiTheme="minorEastAsia" w:hAnsiTheme="minorEastAsia" w:eastAsiaTheme="minorEastAsia"/>
          <w:b/>
          <w:bCs/>
          <w:color w:val="auto"/>
          <w:sz w:val="24"/>
          <w:lang w:eastAsia="zh-CN"/>
        </w:rPr>
        <w:t>解决争议的方法</w:t>
      </w:r>
    </w:p>
    <w:p w14:paraId="5A38E8F6">
      <w:pPr>
        <w:pStyle w:val="260"/>
        <w:ind w:firstLine="420"/>
        <w:jc w:val="both"/>
        <w:rPr>
          <w:rFonts w:hint="eastAsia" w:cs="Times New Roman" w:asciiTheme="minorEastAsia" w:hAnsiTheme="minorEastAsia" w:eastAsiaTheme="minorEastAsia"/>
          <w:sz w:val="21"/>
        </w:rPr>
      </w:pPr>
      <w:r>
        <w:rPr>
          <w:rFonts w:cs="Times New Roman" w:asciiTheme="minorEastAsia" w:hAnsiTheme="minorEastAsia" w:eastAsiaTheme="minorEastAsia"/>
          <w:sz w:val="21"/>
        </w:rPr>
        <w:t>19.1 因本合同及合同有关事项发生的争议，由甲乙双方友好协商解决。协商不成时，可以向有关组织申请调解。合同一方或双方不愿调解或调解不成的，可以通过仲裁或诉讼的方式解决争议。</w:t>
      </w:r>
    </w:p>
    <w:p w14:paraId="544E159C">
      <w:pPr>
        <w:pStyle w:val="260"/>
        <w:ind w:firstLine="420"/>
        <w:jc w:val="both"/>
        <w:rPr>
          <w:rFonts w:hint="eastAsia" w:cs="Times New Roman" w:asciiTheme="minorEastAsia" w:hAnsiTheme="minorEastAsia" w:eastAsiaTheme="minorEastAsia"/>
          <w:sz w:val="21"/>
        </w:rPr>
      </w:pPr>
      <w:r>
        <w:rPr>
          <w:rFonts w:cs="Times New Roman" w:asciiTheme="minorEastAsia" w:hAnsiTheme="minorEastAsia" w:eastAsiaTheme="minorEastAsia"/>
          <w:sz w:val="21"/>
        </w:rPr>
        <w:t>19.2 选择仲裁的，应在</w:t>
      </w:r>
      <w:r>
        <w:rPr>
          <w:rFonts w:cs="Times New Roman" w:asciiTheme="minorEastAsia" w:hAnsiTheme="minorEastAsia" w:eastAsiaTheme="minorEastAsia"/>
          <w:b/>
          <w:bCs/>
          <w:sz w:val="21"/>
        </w:rPr>
        <w:t>【政府采购合同专用条款】</w:t>
      </w:r>
      <w:r>
        <w:rPr>
          <w:rFonts w:cs="Times New Roman" w:asciiTheme="minorEastAsia" w:hAnsiTheme="minorEastAsia" w:eastAsiaTheme="minorEastAsia"/>
          <w:sz w:val="21"/>
        </w:rPr>
        <w:t>中明确仲裁机构及仲裁地；通过诉讼方式解决的，可以在</w:t>
      </w:r>
      <w:r>
        <w:rPr>
          <w:rFonts w:cs="Times New Roman" w:asciiTheme="minorEastAsia" w:hAnsiTheme="minorEastAsia" w:eastAsiaTheme="minorEastAsia"/>
          <w:b/>
          <w:bCs/>
          <w:sz w:val="21"/>
        </w:rPr>
        <w:t>【政府采购合同专用条款】</w:t>
      </w:r>
      <w:r>
        <w:rPr>
          <w:rFonts w:cs="Times New Roman" w:asciiTheme="minorEastAsia" w:hAnsiTheme="minorEastAsia" w:eastAsiaTheme="minorEastAsia"/>
          <w:sz w:val="21"/>
        </w:rPr>
        <w:t>中进一步约定选择与争议有实际联系的地点的人民法院管辖，但管辖法院的约定不得违反级别管辖和专属管辖的规定。</w:t>
      </w:r>
    </w:p>
    <w:p w14:paraId="529FDF42">
      <w:pPr>
        <w:pStyle w:val="260"/>
        <w:ind w:firstLine="420"/>
        <w:jc w:val="both"/>
        <w:rPr>
          <w:rFonts w:hint="eastAsia" w:cs="Times New Roman" w:asciiTheme="minorEastAsia" w:hAnsiTheme="minorEastAsia" w:eastAsiaTheme="minorEastAsia"/>
          <w:sz w:val="21"/>
        </w:rPr>
      </w:pPr>
      <w:r>
        <w:rPr>
          <w:rFonts w:cs="Times New Roman" w:asciiTheme="minorEastAsia" w:hAnsiTheme="minorEastAsia" w:eastAsiaTheme="minorEastAsia"/>
          <w:sz w:val="21"/>
        </w:rPr>
        <w:t>19.3 如甲乙双方有争议的事项不影响合同其他部分的履行，在争议解决期间，合同其他部分应当继续履行。</w:t>
      </w:r>
    </w:p>
    <w:p w14:paraId="5A44BBCB">
      <w:pPr>
        <w:autoSpaceDE w:val="0"/>
        <w:autoSpaceDN w:val="0"/>
        <w:adjustRightInd w:val="0"/>
        <w:snapToGrid w:val="0"/>
        <w:spacing w:line="400" w:lineRule="exact"/>
        <w:jc w:val="left"/>
        <w:rPr>
          <w:rFonts w:cs="Times New Roman" w:asciiTheme="minorEastAsia" w:hAnsiTheme="minorEastAsia" w:eastAsiaTheme="minorEastAsia"/>
          <w:color w:val="auto"/>
          <w:sz w:val="24"/>
          <w:lang w:eastAsia="zh-CN"/>
        </w:rPr>
      </w:pPr>
      <w:r>
        <w:rPr>
          <w:rFonts w:hint="default" w:cs="Times New Roman" w:asciiTheme="minorEastAsia" w:hAnsiTheme="minorEastAsia" w:eastAsiaTheme="minorEastAsia"/>
          <w:b/>
          <w:color w:val="auto"/>
          <w:sz w:val="24"/>
          <w:lang w:val="en-US" w:eastAsia="zh-CN"/>
        </w:rPr>
        <w:t>20</w:t>
      </w:r>
      <w:r>
        <w:rPr>
          <w:rFonts w:hint="default" w:cs="Times New Roman" w:asciiTheme="minorEastAsia" w:hAnsiTheme="minorEastAsia" w:eastAsiaTheme="minorEastAsia"/>
          <w:b/>
          <w:color w:val="auto"/>
          <w:sz w:val="24"/>
          <w:lang w:eastAsia="zh-CN"/>
        </w:rPr>
        <w:t>.</w:t>
      </w:r>
      <w:r>
        <w:rPr>
          <w:rFonts w:hint="default" w:cs="Times New Roman" w:asciiTheme="minorEastAsia" w:hAnsiTheme="minorEastAsia" w:eastAsiaTheme="minorEastAsia"/>
          <w:b/>
          <w:color w:val="auto"/>
          <w:sz w:val="24"/>
          <w:lang w:val="en-US" w:eastAsia="zh-CN"/>
        </w:rPr>
        <w:t xml:space="preserve"> </w:t>
      </w:r>
      <w:r>
        <w:rPr>
          <w:rFonts w:hint="default" w:cs="Times New Roman" w:asciiTheme="minorEastAsia" w:hAnsiTheme="minorEastAsia" w:eastAsiaTheme="minorEastAsia"/>
          <w:b/>
          <w:color w:val="auto"/>
          <w:sz w:val="24"/>
          <w:lang w:eastAsia="zh-CN"/>
        </w:rPr>
        <w:t>政府采购政策</w:t>
      </w:r>
    </w:p>
    <w:p w14:paraId="19E54C44">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val="en-US" w:eastAsia="zh-CN"/>
        </w:rPr>
      </w:pPr>
      <w:r>
        <w:rPr>
          <w:rFonts w:hint="default" w:cs="Times New Roman" w:asciiTheme="minorEastAsia" w:hAnsiTheme="minorEastAsia" w:eastAsiaTheme="minorEastAsia"/>
          <w:color w:val="auto"/>
          <w:lang w:val="en-US" w:eastAsia="zh-CN"/>
        </w:rPr>
        <w:t xml:space="preserve">20.1 </w:t>
      </w:r>
      <w:r>
        <w:rPr>
          <w:rFonts w:hint="default" w:cs="Times New Roman" w:asciiTheme="minorEastAsia" w:hAnsiTheme="minorEastAsia" w:eastAsiaTheme="minorEastAsia"/>
          <w:color w:val="auto"/>
          <w:lang w:val="en-GB" w:eastAsia="zh-CN"/>
        </w:rPr>
        <w:t>本合同应当按照规定执行政府采购政策。</w:t>
      </w:r>
    </w:p>
    <w:p w14:paraId="0CAB874D">
      <w:pPr>
        <w:autoSpaceDE w:val="0"/>
        <w:autoSpaceDN w:val="0"/>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2</w:t>
      </w:r>
      <w:r>
        <w:rPr>
          <w:rFonts w:hint="default" w:cs="Times New Roman" w:asciiTheme="minorEastAsia" w:hAnsiTheme="minorEastAsia" w:eastAsiaTheme="minorEastAsia"/>
          <w:color w:val="auto"/>
          <w:lang w:val="en-US" w:eastAsia="zh-CN"/>
        </w:rPr>
        <w:t>0</w:t>
      </w:r>
      <w:r>
        <w:rPr>
          <w:rFonts w:hint="default" w:cs="Times New Roman" w:asciiTheme="minorEastAsia" w:hAnsiTheme="minorEastAsia" w:eastAsiaTheme="minorEastAsia"/>
          <w:color w:val="auto"/>
          <w:lang w:eastAsia="zh-CN"/>
        </w:rPr>
        <w:t>.</w:t>
      </w:r>
      <w:r>
        <w:rPr>
          <w:rFonts w:hint="default" w:cs="Times New Roman" w:asciiTheme="minorEastAsia" w:hAnsiTheme="minorEastAsia" w:eastAsiaTheme="minorEastAsia"/>
          <w:color w:val="auto"/>
          <w:lang w:val="en-US" w:eastAsia="zh-CN"/>
        </w:rPr>
        <w:t>2</w:t>
      </w:r>
      <w:r>
        <w:rPr>
          <w:rFonts w:hint="default" w:cs="Times New Roman" w:asciiTheme="minorEastAsia" w:hAnsiTheme="minorEastAsia" w:eastAsiaTheme="minorEastAsia"/>
          <w:color w:val="auto"/>
          <w:lang w:eastAsia="zh-CN"/>
        </w:rPr>
        <w:t xml:space="preserve"> 本合同依法执行政府采购政策的方式和内容，属于合同履约验收的范围。甲乙双方</w:t>
      </w:r>
      <w:r>
        <w:rPr>
          <w:rFonts w:hint="default" w:cs="Times New Roman" w:asciiTheme="minorEastAsia" w:hAnsiTheme="minorEastAsia" w:eastAsiaTheme="minorEastAsia"/>
          <w:color w:val="auto"/>
          <w:lang w:val="en-GB" w:eastAsia="zh-CN"/>
        </w:rPr>
        <w:t>未按规定要求执行政府采购政策造成损失的</w:t>
      </w:r>
      <w:r>
        <w:rPr>
          <w:rFonts w:hint="default" w:cs="Times New Roman" w:asciiTheme="minorEastAsia" w:hAnsiTheme="minorEastAsia" w:eastAsiaTheme="minorEastAsia"/>
          <w:color w:val="auto"/>
          <w:lang w:eastAsia="zh-CN"/>
        </w:rPr>
        <w:t>，有过错的一方应当承担赔偿责任，双方都有过错的，各自承担相应的责任。</w:t>
      </w:r>
    </w:p>
    <w:p w14:paraId="2B724A19">
      <w:pPr>
        <w:pStyle w:val="16"/>
        <w:spacing w:line="400" w:lineRule="exact"/>
        <w:ind w:firstLine="480" w:firstLineChars="200"/>
        <w:rPr>
          <w:rFonts w:hint="eastAsia" w:asciiTheme="minorEastAsia" w:hAnsiTheme="minorEastAsia" w:eastAsiaTheme="minorEastAsia"/>
        </w:rPr>
      </w:pPr>
      <w:r>
        <w:rPr>
          <w:rFonts w:asciiTheme="minorEastAsia" w:hAnsiTheme="minorEastAsia" w:eastAsiaTheme="minorEastAsia"/>
          <w:szCs w:val="21"/>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5A91729A">
      <w:pPr>
        <w:autoSpaceDE w:val="0"/>
        <w:autoSpaceDN w:val="0"/>
        <w:adjustRightInd w:val="0"/>
        <w:snapToGrid w:val="0"/>
        <w:spacing w:line="400" w:lineRule="exact"/>
        <w:jc w:val="left"/>
        <w:rPr>
          <w:rFonts w:cs="Times New Roman" w:asciiTheme="minorEastAsia" w:hAnsiTheme="minorEastAsia" w:eastAsiaTheme="minorEastAsia"/>
          <w:b/>
          <w:color w:val="auto"/>
          <w:sz w:val="24"/>
          <w:lang w:eastAsia="zh-CN"/>
        </w:rPr>
      </w:pPr>
      <w:r>
        <w:rPr>
          <w:rFonts w:hint="default" w:cs="Times New Roman" w:asciiTheme="minorEastAsia" w:hAnsiTheme="minorEastAsia" w:eastAsiaTheme="minorEastAsia"/>
          <w:b/>
          <w:color w:val="auto"/>
          <w:sz w:val="24"/>
          <w:lang w:eastAsia="zh-CN"/>
        </w:rPr>
        <w:t>2</w:t>
      </w:r>
      <w:r>
        <w:rPr>
          <w:rFonts w:hint="default" w:cs="Times New Roman" w:asciiTheme="minorEastAsia" w:hAnsiTheme="minorEastAsia" w:eastAsiaTheme="minorEastAsia"/>
          <w:b/>
          <w:color w:val="auto"/>
          <w:sz w:val="24"/>
          <w:lang w:val="en-US" w:eastAsia="zh-CN"/>
        </w:rPr>
        <w:t>1</w:t>
      </w:r>
      <w:r>
        <w:rPr>
          <w:rFonts w:hint="default" w:cs="Times New Roman" w:asciiTheme="minorEastAsia" w:hAnsiTheme="minorEastAsia" w:eastAsiaTheme="minorEastAsia"/>
          <w:b/>
          <w:color w:val="auto"/>
          <w:sz w:val="24"/>
          <w:lang w:eastAsia="zh-CN"/>
        </w:rPr>
        <w:t>.</w:t>
      </w:r>
      <w:r>
        <w:rPr>
          <w:rFonts w:hint="default" w:cs="Times New Roman" w:asciiTheme="minorEastAsia" w:hAnsiTheme="minorEastAsia" w:eastAsiaTheme="minorEastAsia"/>
          <w:b/>
          <w:color w:val="auto"/>
          <w:sz w:val="24"/>
          <w:lang w:val="en-US" w:eastAsia="zh-CN"/>
        </w:rPr>
        <w:t xml:space="preserve"> </w:t>
      </w:r>
      <w:r>
        <w:rPr>
          <w:rFonts w:hint="default" w:cs="Times New Roman" w:asciiTheme="minorEastAsia" w:hAnsiTheme="minorEastAsia" w:eastAsiaTheme="minorEastAsia"/>
          <w:b/>
          <w:color w:val="auto"/>
          <w:sz w:val="24"/>
          <w:lang w:eastAsia="zh-CN"/>
        </w:rPr>
        <w:t>法律适用</w:t>
      </w:r>
    </w:p>
    <w:p w14:paraId="18E66FC4">
      <w:pPr>
        <w:pStyle w:val="260"/>
        <w:ind w:firstLine="420"/>
        <w:jc w:val="both"/>
        <w:rPr>
          <w:rFonts w:hint="eastAsia" w:cs="Times New Roman" w:asciiTheme="minorEastAsia" w:hAnsiTheme="minorEastAsia" w:eastAsiaTheme="minorEastAsia"/>
          <w:sz w:val="21"/>
        </w:rPr>
      </w:pPr>
      <w:r>
        <w:rPr>
          <w:rFonts w:cs="Times New Roman" w:asciiTheme="minorEastAsia" w:hAnsiTheme="minorEastAsia" w:eastAsiaTheme="minorEastAsia"/>
          <w:sz w:val="21"/>
        </w:rPr>
        <w:t>21.1 本合同的订立、生效、解释、履行及与本合同有关的争议解决，均适用法律、行政法规。</w:t>
      </w:r>
    </w:p>
    <w:p w14:paraId="5B5A624E">
      <w:pPr>
        <w:pStyle w:val="260"/>
        <w:ind w:firstLine="420"/>
        <w:jc w:val="both"/>
        <w:rPr>
          <w:rFonts w:hint="eastAsia" w:cs="Times New Roman" w:asciiTheme="minorEastAsia" w:hAnsiTheme="minorEastAsia" w:eastAsiaTheme="minorEastAsia"/>
          <w:sz w:val="21"/>
        </w:rPr>
      </w:pPr>
      <w:r>
        <w:rPr>
          <w:rFonts w:cs="Times New Roman" w:asciiTheme="minorEastAsia" w:hAnsiTheme="minorEastAsia" w:eastAsiaTheme="minorEastAsia"/>
          <w:sz w:val="21"/>
        </w:rPr>
        <w:t>21.2 本合同条款与法律、行政法规的强制性规定不一致的，双方当事人应按照法律、行政法规的强制性规定修改本合同的相关条款。</w:t>
      </w:r>
    </w:p>
    <w:p w14:paraId="357A3BB4">
      <w:pPr>
        <w:autoSpaceDE w:val="0"/>
        <w:autoSpaceDN w:val="0"/>
        <w:adjustRightInd w:val="0"/>
        <w:snapToGrid w:val="0"/>
        <w:spacing w:line="400" w:lineRule="exact"/>
        <w:jc w:val="left"/>
        <w:rPr>
          <w:rFonts w:cs="Times New Roman" w:asciiTheme="minorEastAsia" w:hAnsiTheme="minorEastAsia" w:eastAsiaTheme="minorEastAsia"/>
          <w:b/>
          <w:color w:val="auto"/>
          <w:sz w:val="24"/>
          <w:lang w:eastAsia="zh-CN"/>
        </w:rPr>
      </w:pPr>
      <w:r>
        <w:rPr>
          <w:rFonts w:hint="default" w:cs="Times New Roman" w:asciiTheme="minorEastAsia" w:hAnsiTheme="minorEastAsia" w:eastAsiaTheme="minorEastAsia"/>
          <w:b/>
          <w:color w:val="auto"/>
          <w:sz w:val="24"/>
          <w:lang w:val="en-US" w:eastAsia="zh-CN"/>
        </w:rPr>
        <w:t xml:space="preserve">22. </w:t>
      </w:r>
      <w:r>
        <w:rPr>
          <w:rFonts w:hint="default" w:cs="Times New Roman" w:asciiTheme="minorEastAsia" w:hAnsiTheme="minorEastAsia" w:eastAsiaTheme="minorEastAsia"/>
          <w:b/>
          <w:color w:val="auto"/>
          <w:sz w:val="24"/>
          <w:lang w:eastAsia="zh-CN"/>
        </w:rPr>
        <w:t>通知</w:t>
      </w:r>
    </w:p>
    <w:p w14:paraId="2D513B6A">
      <w:pPr>
        <w:pStyle w:val="260"/>
        <w:ind w:firstLine="420"/>
        <w:jc w:val="both"/>
        <w:rPr>
          <w:rFonts w:hint="eastAsia" w:cs="Times New Roman" w:asciiTheme="minorEastAsia" w:hAnsiTheme="minorEastAsia" w:eastAsiaTheme="minorEastAsia"/>
          <w:sz w:val="21"/>
        </w:rPr>
      </w:pPr>
      <w:r>
        <w:rPr>
          <w:rFonts w:cs="Times New Roman" w:asciiTheme="minorEastAsia" w:hAnsiTheme="minorEastAsia" w:eastAsiaTheme="minorEastAsia"/>
          <w:sz w:val="21"/>
        </w:rPr>
        <w:t>22.1 本合同任何一方向对方发出的通知、信件、数据电文等，应当发送至本合同第一部分《政府采购合同协议书》所约定的通讯地址、联系人、联系电话或电子邮箱。</w:t>
      </w:r>
    </w:p>
    <w:p w14:paraId="20610EE0">
      <w:pPr>
        <w:pStyle w:val="260"/>
        <w:ind w:firstLine="0" w:firstLineChars="0"/>
        <w:jc w:val="both"/>
        <w:rPr>
          <w:rFonts w:hint="eastAsia" w:cs="Times New Roman" w:asciiTheme="minorEastAsia" w:hAnsiTheme="minorEastAsia" w:eastAsiaTheme="minorEastAsia"/>
          <w:sz w:val="21"/>
        </w:rPr>
      </w:pPr>
      <w:r>
        <w:rPr>
          <w:rFonts w:cs="Times New Roman" w:asciiTheme="minorEastAsia" w:hAnsiTheme="minorEastAsia" w:eastAsiaTheme="minorEastAsia"/>
          <w:sz w:val="21"/>
        </w:rPr>
        <w:t xml:space="preserve">    22.2 一方当事人变更名称、住所、联系人、联系电话或电子邮箱等信息的，应当在变更后3日内及时书面通知对方，对方实际收到变更通知前的送达仍为有效送达。</w:t>
      </w:r>
    </w:p>
    <w:p w14:paraId="46847826">
      <w:pPr>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2</w:t>
      </w:r>
      <w:r>
        <w:rPr>
          <w:rFonts w:hint="default" w:cs="Times New Roman" w:asciiTheme="minorEastAsia" w:hAnsiTheme="minorEastAsia" w:eastAsiaTheme="minorEastAsia"/>
          <w:color w:val="auto"/>
          <w:lang w:val="en-US" w:eastAsia="zh-CN"/>
        </w:rPr>
        <w:t>2</w:t>
      </w:r>
      <w:r>
        <w:rPr>
          <w:rFonts w:hint="default" w:cs="Times New Roman" w:asciiTheme="minorEastAsia" w:hAnsiTheme="minorEastAsia" w:eastAsiaTheme="minorEastAsia"/>
          <w:color w:val="auto"/>
          <w:lang w:eastAsia="zh-CN"/>
        </w:rPr>
        <w:t>.</w:t>
      </w:r>
      <w:r>
        <w:rPr>
          <w:rFonts w:hint="default" w:cs="Times New Roman" w:asciiTheme="minorEastAsia" w:hAnsiTheme="minorEastAsia" w:eastAsiaTheme="minorEastAsia"/>
          <w:color w:val="auto"/>
          <w:lang w:val="en-US" w:eastAsia="zh-CN"/>
        </w:rPr>
        <w:t>3</w:t>
      </w:r>
      <w:r>
        <w:rPr>
          <w:rFonts w:hint="default" w:cs="Times New Roman" w:asciiTheme="minorEastAsia" w:hAnsiTheme="minorEastAsia" w:eastAsiaTheme="minorEastAsia"/>
          <w:color w:val="auto"/>
          <w:lang w:eastAsia="zh-CN"/>
        </w:rPr>
        <w:t>本合同一方给另一方的通知均应采用书面形式，传真或快递送到本合同中规定的对方的地址和办理签收手续。</w:t>
      </w:r>
    </w:p>
    <w:p w14:paraId="63021C4D">
      <w:pPr>
        <w:adjustRightInd w:val="0"/>
        <w:snapToGrid w:val="0"/>
        <w:spacing w:line="400" w:lineRule="exact"/>
        <w:ind w:firstLine="420" w:firstLineChars="20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2</w:t>
      </w:r>
      <w:r>
        <w:rPr>
          <w:rFonts w:hint="default" w:cs="Times New Roman" w:asciiTheme="minorEastAsia" w:hAnsiTheme="minorEastAsia" w:eastAsiaTheme="minorEastAsia"/>
          <w:color w:val="auto"/>
          <w:lang w:val="en-US" w:eastAsia="zh-CN"/>
        </w:rPr>
        <w:t>2</w:t>
      </w:r>
      <w:r>
        <w:rPr>
          <w:rFonts w:hint="default" w:cs="Times New Roman" w:asciiTheme="minorEastAsia" w:hAnsiTheme="minorEastAsia" w:eastAsiaTheme="minorEastAsia"/>
          <w:color w:val="auto"/>
          <w:lang w:eastAsia="zh-CN"/>
        </w:rPr>
        <w:t>.</w:t>
      </w:r>
      <w:r>
        <w:rPr>
          <w:rFonts w:hint="default" w:cs="Times New Roman" w:asciiTheme="minorEastAsia" w:hAnsiTheme="minorEastAsia" w:eastAsiaTheme="minorEastAsia"/>
          <w:color w:val="auto"/>
          <w:lang w:val="en-US" w:eastAsia="zh-CN"/>
        </w:rPr>
        <w:t>4</w:t>
      </w:r>
      <w:r>
        <w:rPr>
          <w:rFonts w:hint="default" w:cs="Times New Roman" w:asciiTheme="minorEastAsia" w:hAnsiTheme="minorEastAsia" w:eastAsiaTheme="minorEastAsia"/>
          <w:color w:val="auto"/>
          <w:lang w:eastAsia="zh-CN"/>
        </w:rPr>
        <w:t>通知以送达之日或通知书中规定的生效之日起生效，两者中以较迟之日为准。</w:t>
      </w:r>
    </w:p>
    <w:p w14:paraId="63048F49">
      <w:pPr>
        <w:numPr>
          <w:ilvl w:val="0"/>
          <w:numId w:val="20"/>
        </w:numPr>
        <w:adjustRightInd w:val="0"/>
        <w:snapToGrid w:val="0"/>
        <w:spacing w:line="400" w:lineRule="exact"/>
        <w:jc w:val="left"/>
        <w:rPr>
          <w:rFonts w:cs="Times New Roman" w:asciiTheme="minorEastAsia" w:hAnsiTheme="minorEastAsia" w:eastAsiaTheme="minorEastAsia"/>
          <w:b/>
          <w:bCs/>
          <w:color w:val="auto"/>
          <w:sz w:val="24"/>
        </w:rPr>
      </w:pPr>
      <w:r>
        <w:rPr>
          <w:rFonts w:hint="default" w:cs="Times New Roman" w:asciiTheme="minorEastAsia" w:hAnsiTheme="minorEastAsia" w:eastAsiaTheme="minorEastAsia"/>
          <w:b/>
          <w:bCs/>
          <w:color w:val="auto"/>
          <w:sz w:val="24"/>
        </w:rPr>
        <w:t>合同未尽事项</w:t>
      </w:r>
    </w:p>
    <w:p w14:paraId="40F9D124">
      <w:pPr>
        <w:adjustRightInd w:val="0"/>
        <w:snapToGrid w:val="0"/>
        <w:spacing w:line="400" w:lineRule="exact"/>
        <w:ind w:firstLine="420" w:firstLineChars="200"/>
        <w:jc w:val="left"/>
        <w:rPr>
          <w:rFonts w:cs="Times New Roman" w:asciiTheme="minorEastAsia" w:hAnsiTheme="minorEastAsia" w:eastAsiaTheme="minorEastAsia"/>
          <w:bCs/>
          <w:color w:val="auto"/>
          <w:lang w:eastAsia="zh-CN"/>
        </w:rPr>
      </w:pPr>
      <w:r>
        <w:rPr>
          <w:rFonts w:hint="default" w:cs="Times New Roman" w:asciiTheme="minorEastAsia" w:hAnsiTheme="minorEastAsia" w:eastAsiaTheme="minorEastAsia"/>
          <w:bCs/>
          <w:color w:val="auto"/>
          <w:lang w:eastAsia="zh-CN"/>
        </w:rPr>
        <w:t>2</w:t>
      </w:r>
      <w:r>
        <w:rPr>
          <w:rFonts w:hint="default" w:cs="Times New Roman" w:asciiTheme="minorEastAsia" w:hAnsiTheme="minorEastAsia" w:eastAsiaTheme="minorEastAsia"/>
          <w:bCs/>
          <w:color w:val="auto"/>
          <w:lang w:val="en-US" w:eastAsia="zh-CN"/>
        </w:rPr>
        <w:t>3</w:t>
      </w:r>
      <w:r>
        <w:rPr>
          <w:rFonts w:hint="default" w:cs="Times New Roman" w:asciiTheme="minorEastAsia" w:hAnsiTheme="minorEastAsia" w:eastAsiaTheme="minorEastAsia"/>
          <w:bCs/>
          <w:color w:val="auto"/>
          <w:lang w:eastAsia="zh-CN"/>
        </w:rPr>
        <w:t>.1合同未尽事项见</w:t>
      </w:r>
      <w:r>
        <w:rPr>
          <w:rFonts w:hint="default" w:cs="Times New Roman" w:asciiTheme="minorEastAsia" w:hAnsiTheme="minorEastAsia" w:eastAsiaTheme="minorEastAsia"/>
          <w:b/>
          <w:color w:val="auto"/>
          <w:lang w:eastAsia="zh-CN"/>
        </w:rPr>
        <w:t>【政府采购合同专用条款】</w:t>
      </w:r>
      <w:r>
        <w:rPr>
          <w:rFonts w:hint="default" w:cs="Times New Roman" w:asciiTheme="minorEastAsia" w:hAnsiTheme="minorEastAsia" w:eastAsiaTheme="minorEastAsia"/>
          <w:bCs/>
          <w:color w:val="auto"/>
          <w:lang w:eastAsia="zh-CN"/>
        </w:rPr>
        <w:t>。</w:t>
      </w:r>
    </w:p>
    <w:p w14:paraId="4AD921F4">
      <w:pPr>
        <w:adjustRightInd w:val="0"/>
        <w:snapToGrid w:val="0"/>
        <w:spacing w:line="400" w:lineRule="exact"/>
        <w:jc w:val="left"/>
        <w:rPr>
          <w:rFonts w:cs="Times New Roman" w:asciiTheme="minorEastAsia" w:hAnsiTheme="minorEastAsia" w:eastAsiaTheme="minorEastAsia"/>
          <w:color w:val="auto"/>
          <w:sz w:val="28"/>
          <w:szCs w:val="28"/>
          <w:lang w:val="en-US"/>
        </w:rPr>
      </w:pPr>
      <w:r>
        <w:rPr>
          <w:rFonts w:hint="default" w:cs="Times New Roman" w:asciiTheme="minorEastAsia" w:hAnsiTheme="minorEastAsia" w:eastAsiaTheme="minorEastAsia"/>
          <w:bCs/>
          <w:color w:val="auto"/>
          <w:lang w:val="en-US" w:eastAsia="zh-CN"/>
        </w:rPr>
        <w:t xml:space="preserve">    23.2 合同附件与合同正文具有同等的法律效力。</w:t>
      </w:r>
      <w:bookmarkStart w:id="314" w:name="_Toc20313"/>
    </w:p>
    <w:p w14:paraId="06F8593F">
      <w:pPr>
        <w:adjustRightInd w:val="0"/>
        <w:snapToGrid w:val="0"/>
        <w:jc w:val="center"/>
        <w:rPr>
          <w:rFonts w:hint="default" w:ascii="Times New Roman" w:hAnsi="Times New Roman" w:eastAsia="黑体" w:cs="Times New Roman"/>
          <w:color w:val="auto"/>
          <w:sz w:val="28"/>
          <w:szCs w:val="28"/>
          <w:lang w:val="en-US"/>
        </w:rPr>
      </w:pPr>
      <w:r>
        <w:rPr>
          <w:rFonts w:hint="default" w:ascii="Times New Roman" w:hAnsi="Times New Roman" w:eastAsia="黑体" w:cs="Times New Roman"/>
          <w:color w:val="auto"/>
          <w:sz w:val="28"/>
          <w:szCs w:val="28"/>
          <w:lang w:val="en-US"/>
        </w:rPr>
        <w:br w:type="page"/>
      </w:r>
    </w:p>
    <w:p w14:paraId="008483EE">
      <w:pPr>
        <w:pStyle w:val="3"/>
        <w:adjustRightInd w:val="0"/>
        <w:snapToGrid w:val="0"/>
        <w:jc w:val="center"/>
        <w:rPr>
          <w:rFonts w:hint="default" w:ascii="Times New Roman" w:hAnsi="Times New Roman" w:eastAsia="黑体"/>
          <w:b w:val="0"/>
          <w:bCs w:val="0"/>
          <w:color w:val="auto"/>
          <w:sz w:val="28"/>
          <w:szCs w:val="28"/>
          <w:lang w:eastAsia="zh-CN"/>
        </w:rPr>
      </w:pPr>
      <w:r>
        <w:rPr>
          <w:rFonts w:hint="default" w:ascii="Times New Roman" w:hAnsi="Times New Roman" w:eastAsia="黑体"/>
          <w:b w:val="0"/>
          <w:bCs w:val="0"/>
          <w:color w:val="auto"/>
          <w:sz w:val="28"/>
          <w:szCs w:val="28"/>
          <w:lang w:eastAsia="zh-CN"/>
        </w:rPr>
        <w:t>第三节 政府采购合同专用条款</w:t>
      </w:r>
      <w:bookmarkEnd w:id="314"/>
    </w:p>
    <w:tbl>
      <w:tblPr>
        <w:tblStyle w:val="52"/>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720529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6C60438">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第二节</w:t>
            </w:r>
          </w:p>
          <w:p w14:paraId="259CD27B">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第1.2（</w:t>
            </w:r>
            <w:r>
              <w:rPr>
                <w:rFonts w:hint="default" w:cs="Times New Roman" w:asciiTheme="minorEastAsia" w:hAnsiTheme="minorEastAsia" w:eastAsiaTheme="minorEastAsia"/>
                <w:color w:val="auto"/>
                <w:lang w:val="en-US" w:eastAsia="zh-CN"/>
              </w:rPr>
              <w:t>6</w:t>
            </w:r>
            <w:r>
              <w:rPr>
                <w:rFonts w:hint="default" w:cs="Times New Roman" w:asciiTheme="minorEastAsia" w:hAnsiTheme="minorEastAsia" w:eastAsiaTheme="minorEastAsia"/>
                <w:color w:val="auto"/>
              </w:rPr>
              <w:t>）项</w:t>
            </w:r>
          </w:p>
        </w:tc>
        <w:tc>
          <w:tcPr>
            <w:tcW w:w="1742" w:type="dxa"/>
            <w:vAlign w:val="center"/>
          </w:tcPr>
          <w:p w14:paraId="0C437A8D">
            <w:pPr>
              <w:adjustRightInd w:val="0"/>
              <w:snapToGrid w:val="0"/>
              <w:jc w:val="left"/>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lang w:eastAsia="zh-CN"/>
              </w:rPr>
              <w:t>联合体具体要求</w:t>
            </w:r>
          </w:p>
        </w:tc>
        <w:tc>
          <w:tcPr>
            <w:tcW w:w="5170" w:type="dxa"/>
            <w:vAlign w:val="center"/>
          </w:tcPr>
          <w:p w14:paraId="13C119BD">
            <w:pPr>
              <w:jc w:val="left"/>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kern w:val="0"/>
                <w:lang w:val="en-US" w:eastAsia="zh-CN" w:bidi="ar"/>
              </w:rPr>
              <w:t xml:space="preserve">不接受联合体 </w:t>
            </w:r>
          </w:p>
        </w:tc>
      </w:tr>
      <w:tr w14:paraId="1B1A65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vAlign w:val="center"/>
          </w:tcPr>
          <w:p w14:paraId="4B058755">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第二节</w:t>
            </w:r>
          </w:p>
          <w:p w14:paraId="2E25A205">
            <w:pPr>
              <w:adjustRightInd w:val="0"/>
              <w:snapToGrid w:val="0"/>
              <w:jc w:val="center"/>
              <w:rPr>
                <w:rFonts w:cs="Times New Roman" w:asciiTheme="minorEastAsia" w:hAnsiTheme="minorEastAsia" w:eastAsiaTheme="minorEastAsia"/>
                <w:color w:val="auto"/>
                <w:lang w:val="en-US" w:eastAsia="zh-CN"/>
              </w:rPr>
            </w:pPr>
            <w:r>
              <w:rPr>
                <w:rFonts w:hint="default" w:cs="Times New Roman" w:asciiTheme="minorEastAsia" w:hAnsiTheme="minorEastAsia" w:eastAsiaTheme="minorEastAsia"/>
                <w:color w:val="auto"/>
              </w:rPr>
              <w:t>第1.2（</w:t>
            </w:r>
            <w:r>
              <w:rPr>
                <w:rFonts w:hint="default" w:cs="Times New Roman" w:asciiTheme="minorEastAsia" w:hAnsiTheme="minorEastAsia" w:eastAsiaTheme="minorEastAsia"/>
                <w:color w:val="auto"/>
                <w:lang w:val="en-US" w:eastAsia="zh-CN"/>
              </w:rPr>
              <w:t>7</w:t>
            </w:r>
            <w:r>
              <w:rPr>
                <w:rFonts w:hint="default" w:cs="Times New Roman" w:asciiTheme="minorEastAsia" w:hAnsiTheme="minorEastAsia" w:eastAsiaTheme="minorEastAsia"/>
                <w:color w:val="auto"/>
              </w:rPr>
              <w:t>）项</w:t>
            </w:r>
          </w:p>
        </w:tc>
        <w:tc>
          <w:tcPr>
            <w:tcW w:w="1742" w:type="dxa"/>
            <w:vAlign w:val="center"/>
          </w:tcPr>
          <w:p w14:paraId="74C560FF">
            <w:pPr>
              <w:adjustRightInd w:val="0"/>
              <w:snapToGrid w:val="0"/>
              <w:jc w:val="left"/>
              <w:rPr>
                <w:rFonts w:cs="Times New Roman" w:asciiTheme="minorEastAsia" w:hAnsiTheme="minorEastAsia" w:eastAsiaTheme="minorEastAsia"/>
                <w:color w:val="auto"/>
                <w:lang w:val="en-US" w:eastAsia="zh-CN"/>
              </w:rPr>
            </w:pPr>
            <w:r>
              <w:rPr>
                <w:rFonts w:hint="default" w:cs="Times New Roman" w:asciiTheme="minorEastAsia" w:hAnsiTheme="minorEastAsia" w:eastAsiaTheme="minorEastAsia"/>
                <w:color w:val="auto"/>
              </w:rPr>
              <w:t>其他术语解释</w:t>
            </w:r>
          </w:p>
        </w:tc>
        <w:tc>
          <w:tcPr>
            <w:tcW w:w="5170" w:type="dxa"/>
            <w:vAlign w:val="center"/>
          </w:tcPr>
          <w:p w14:paraId="532705E8">
            <w:pPr>
              <w:jc w:val="left"/>
              <w:rPr>
                <w:rFonts w:cs="Times New Roman" w:asciiTheme="minorEastAsia" w:hAnsiTheme="minorEastAsia" w:eastAsiaTheme="minorEastAsia"/>
                <w:color w:val="auto"/>
                <w:lang w:val="en-US" w:eastAsia="zh-CN"/>
              </w:rPr>
            </w:pPr>
            <w:r>
              <w:rPr>
                <w:rFonts w:hint="default" w:cs="Times New Roman" w:asciiTheme="minorEastAsia" w:hAnsiTheme="minorEastAsia" w:eastAsiaTheme="minorEastAsia"/>
                <w:color w:val="auto"/>
                <w:kern w:val="0"/>
                <w:lang w:val="en-US" w:eastAsia="zh-CN" w:bidi="ar"/>
              </w:rPr>
              <w:t xml:space="preserve">无 </w:t>
            </w:r>
          </w:p>
        </w:tc>
      </w:tr>
      <w:tr w14:paraId="5F0052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EA49B43">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第二节</w:t>
            </w:r>
          </w:p>
          <w:p w14:paraId="6BE541DD">
            <w:pPr>
              <w:adjustRightInd w:val="0"/>
              <w:snapToGrid w:val="0"/>
              <w:jc w:val="center"/>
              <w:rPr>
                <w:rFonts w:cs="Times New Roman" w:asciiTheme="minorEastAsia" w:hAnsiTheme="minorEastAsia" w:eastAsiaTheme="minorEastAsia"/>
                <w:color w:val="auto"/>
                <w:lang w:val="en-US" w:eastAsia="zh-CN"/>
              </w:rPr>
            </w:pPr>
            <w:r>
              <w:rPr>
                <w:rFonts w:hint="default" w:cs="Times New Roman" w:asciiTheme="minorEastAsia" w:hAnsiTheme="minorEastAsia" w:eastAsiaTheme="minorEastAsia"/>
                <w:color w:val="auto"/>
                <w:lang w:eastAsia="zh-CN"/>
              </w:rPr>
              <w:t>第</w:t>
            </w:r>
            <w:r>
              <w:rPr>
                <w:rFonts w:hint="default" w:cs="Times New Roman" w:asciiTheme="minorEastAsia" w:hAnsiTheme="minorEastAsia" w:eastAsiaTheme="minorEastAsia"/>
                <w:color w:val="auto"/>
                <w:lang w:val="en-US" w:eastAsia="zh-CN"/>
              </w:rPr>
              <w:t>4.4款</w:t>
            </w:r>
          </w:p>
        </w:tc>
        <w:tc>
          <w:tcPr>
            <w:tcW w:w="1742" w:type="dxa"/>
            <w:vAlign w:val="center"/>
          </w:tcPr>
          <w:p w14:paraId="551CA409">
            <w:pPr>
              <w:adjustRightInd w:val="0"/>
              <w:snapToGrid w:val="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履约验收中甲方提出异议或作出说明的期限</w:t>
            </w:r>
          </w:p>
        </w:tc>
        <w:tc>
          <w:tcPr>
            <w:tcW w:w="5170" w:type="dxa"/>
            <w:vAlign w:val="center"/>
          </w:tcPr>
          <w:p w14:paraId="46CDC4B6">
            <w:pPr>
              <w:adjustRightInd w:val="0"/>
              <w:snapToGrid w:val="0"/>
              <w:jc w:val="left"/>
              <w:rPr>
                <w:rFonts w:cs="Times New Roman" w:asciiTheme="minorEastAsia" w:hAnsiTheme="minorEastAsia" w:eastAsiaTheme="minorEastAsia"/>
                <w:color w:val="auto"/>
                <w:lang w:val="en-US" w:eastAsia="zh-CN"/>
              </w:rPr>
            </w:pPr>
            <w:r>
              <w:rPr>
                <w:rFonts w:hint="default" w:cs="Times New Roman" w:asciiTheme="minorEastAsia" w:hAnsiTheme="minorEastAsia" w:eastAsiaTheme="minorEastAsia"/>
                <w:color w:val="auto"/>
                <w:lang w:val="en-US" w:eastAsia="zh-CN"/>
              </w:rPr>
              <w:t>10个工作日</w:t>
            </w:r>
          </w:p>
        </w:tc>
      </w:tr>
      <w:tr w14:paraId="3F96D3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A7C515C">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第二节</w:t>
            </w:r>
          </w:p>
          <w:p w14:paraId="7E49F8A8">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lang w:eastAsia="zh-CN"/>
              </w:rPr>
              <w:t>第</w:t>
            </w:r>
            <w:r>
              <w:rPr>
                <w:rFonts w:hint="default" w:cs="Times New Roman" w:asciiTheme="minorEastAsia" w:hAnsiTheme="minorEastAsia" w:eastAsiaTheme="minorEastAsia"/>
                <w:color w:val="auto"/>
                <w:lang w:val="en-US" w:eastAsia="zh-CN"/>
              </w:rPr>
              <w:t>4.6款</w:t>
            </w:r>
          </w:p>
        </w:tc>
        <w:tc>
          <w:tcPr>
            <w:tcW w:w="1742" w:type="dxa"/>
            <w:vAlign w:val="center"/>
          </w:tcPr>
          <w:p w14:paraId="76D534BF">
            <w:pPr>
              <w:adjustRightInd w:val="0"/>
              <w:snapToGrid w:val="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约定甲方承担的其他义务和责任</w:t>
            </w:r>
          </w:p>
        </w:tc>
        <w:tc>
          <w:tcPr>
            <w:tcW w:w="5170" w:type="dxa"/>
            <w:vAlign w:val="center"/>
          </w:tcPr>
          <w:p w14:paraId="6C557CFE">
            <w:pPr>
              <w:jc w:val="left"/>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kern w:val="0"/>
                <w:lang w:val="en-US" w:eastAsia="zh-CN" w:bidi="ar"/>
              </w:rPr>
              <w:t xml:space="preserve">无 </w:t>
            </w:r>
          </w:p>
          <w:p w14:paraId="26A914FC">
            <w:pPr>
              <w:adjustRightInd w:val="0"/>
              <w:snapToGrid w:val="0"/>
              <w:jc w:val="left"/>
              <w:rPr>
                <w:rFonts w:cs="Times New Roman" w:asciiTheme="minorEastAsia" w:hAnsiTheme="minorEastAsia" w:eastAsiaTheme="minorEastAsia"/>
                <w:color w:val="auto"/>
                <w:lang w:val="en-US" w:eastAsia="zh-CN"/>
              </w:rPr>
            </w:pPr>
          </w:p>
        </w:tc>
      </w:tr>
      <w:tr w14:paraId="258E5D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8297D78">
            <w:pPr>
              <w:adjustRightInd w:val="0"/>
              <w:snapToGrid w:val="0"/>
              <w:jc w:val="center"/>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第二节</w:t>
            </w:r>
          </w:p>
          <w:p w14:paraId="0ABF2F9A">
            <w:pPr>
              <w:snapToGrid w:val="0"/>
              <w:jc w:val="center"/>
              <w:rPr>
                <w:rFonts w:cs="Times New Roman" w:asciiTheme="minorEastAsia" w:hAnsiTheme="minorEastAsia" w:eastAsiaTheme="minorEastAsia"/>
                <w:color w:val="auto"/>
                <w:lang w:val="en-US" w:eastAsia="zh-CN"/>
              </w:rPr>
            </w:pPr>
            <w:r>
              <w:rPr>
                <w:rFonts w:hint="default" w:cs="Times New Roman" w:asciiTheme="minorEastAsia" w:hAnsiTheme="minorEastAsia" w:eastAsiaTheme="minorEastAsia"/>
                <w:color w:val="auto"/>
                <w:lang w:eastAsia="zh-CN"/>
              </w:rPr>
              <w:t>第</w:t>
            </w:r>
            <w:r>
              <w:rPr>
                <w:rFonts w:hint="default" w:cs="Times New Roman" w:asciiTheme="minorEastAsia" w:hAnsiTheme="minorEastAsia" w:eastAsiaTheme="minorEastAsia"/>
                <w:color w:val="auto"/>
                <w:lang w:val="en-US" w:eastAsia="zh-CN"/>
              </w:rPr>
              <w:t>5.4款</w:t>
            </w:r>
          </w:p>
        </w:tc>
        <w:tc>
          <w:tcPr>
            <w:tcW w:w="1742" w:type="dxa"/>
            <w:vAlign w:val="center"/>
          </w:tcPr>
          <w:p w14:paraId="6391D39A">
            <w:pPr>
              <w:adjustRightInd w:val="0"/>
              <w:snapToGrid w:val="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约定乙方承担的其他义务和责任</w:t>
            </w:r>
          </w:p>
        </w:tc>
        <w:tc>
          <w:tcPr>
            <w:tcW w:w="5170" w:type="dxa"/>
            <w:vAlign w:val="center"/>
          </w:tcPr>
          <w:p w14:paraId="6C6F9EAC">
            <w:pPr>
              <w:jc w:val="left"/>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kern w:val="0"/>
                <w:lang w:val="en-US" w:eastAsia="zh-CN" w:bidi="ar"/>
              </w:rPr>
              <w:t xml:space="preserve">无 </w:t>
            </w:r>
          </w:p>
          <w:p w14:paraId="112723A0">
            <w:pPr>
              <w:adjustRightInd w:val="0"/>
              <w:snapToGrid w:val="0"/>
              <w:jc w:val="left"/>
              <w:rPr>
                <w:rFonts w:cs="Times New Roman" w:asciiTheme="minorEastAsia" w:hAnsiTheme="minorEastAsia" w:eastAsiaTheme="minorEastAsia"/>
                <w:color w:val="auto"/>
                <w:lang w:val="en-US" w:eastAsia="zh-CN"/>
              </w:rPr>
            </w:pPr>
          </w:p>
        </w:tc>
      </w:tr>
      <w:tr w14:paraId="5CB1EC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1A24608">
            <w:pPr>
              <w:adjustRightInd w:val="0"/>
              <w:snapToGrid w:val="0"/>
              <w:jc w:val="center"/>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第二节</w:t>
            </w:r>
          </w:p>
          <w:p w14:paraId="29658649">
            <w:pPr>
              <w:snapToGrid w:val="0"/>
              <w:jc w:val="center"/>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第</w:t>
            </w:r>
            <w:r>
              <w:rPr>
                <w:rFonts w:hint="default" w:cs="Times New Roman" w:asciiTheme="minorEastAsia" w:hAnsiTheme="minorEastAsia" w:eastAsiaTheme="minorEastAsia"/>
                <w:color w:val="auto"/>
                <w:lang w:val="en-US" w:eastAsia="zh-CN"/>
              </w:rPr>
              <w:t>6.1款</w:t>
            </w:r>
          </w:p>
        </w:tc>
        <w:tc>
          <w:tcPr>
            <w:tcW w:w="1742" w:type="dxa"/>
            <w:vAlign w:val="center"/>
          </w:tcPr>
          <w:p w14:paraId="36DD6F25">
            <w:pPr>
              <w:adjustRightInd w:val="0"/>
              <w:snapToGrid w:val="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履行合同义务的顺序</w:t>
            </w:r>
          </w:p>
        </w:tc>
        <w:tc>
          <w:tcPr>
            <w:tcW w:w="5170" w:type="dxa"/>
            <w:vAlign w:val="center"/>
          </w:tcPr>
          <w:p w14:paraId="67FDA300">
            <w:pPr>
              <w:jc w:val="left"/>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kern w:val="0"/>
                <w:lang w:val="en-US" w:eastAsia="zh-CN" w:bidi="ar"/>
              </w:rPr>
              <w:t xml:space="preserve">无 </w:t>
            </w:r>
          </w:p>
          <w:p w14:paraId="0863188F">
            <w:pPr>
              <w:adjustRightInd w:val="0"/>
              <w:snapToGrid w:val="0"/>
              <w:jc w:val="left"/>
              <w:rPr>
                <w:rFonts w:cs="Times New Roman" w:asciiTheme="minorEastAsia" w:hAnsiTheme="minorEastAsia" w:eastAsiaTheme="minorEastAsia"/>
                <w:color w:val="auto"/>
                <w:lang w:val="en-US" w:eastAsia="zh-CN"/>
              </w:rPr>
            </w:pPr>
          </w:p>
        </w:tc>
      </w:tr>
      <w:tr w14:paraId="2A117B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vAlign w:val="center"/>
          </w:tcPr>
          <w:p w14:paraId="30C91B6C">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第二节</w:t>
            </w:r>
          </w:p>
          <w:p w14:paraId="2E2DCCB0">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w:t>
            </w:r>
            <w:r>
              <w:rPr>
                <w:rFonts w:hint="default" w:cs="Times New Roman" w:asciiTheme="minorEastAsia" w:hAnsiTheme="minorEastAsia" w:eastAsiaTheme="minorEastAsia"/>
                <w:color w:val="auto"/>
                <w:lang w:val="en-US" w:eastAsia="zh-CN"/>
              </w:rPr>
              <w:t>7</w:t>
            </w:r>
            <w:r>
              <w:rPr>
                <w:rFonts w:hint="default" w:cs="Times New Roman" w:asciiTheme="minorEastAsia" w:hAnsiTheme="minorEastAsia" w:eastAsiaTheme="minorEastAsia"/>
                <w:color w:val="auto"/>
              </w:rPr>
              <w:t>.1</w:t>
            </w:r>
            <w:r>
              <w:rPr>
                <w:rFonts w:hint="default" w:cs="Times New Roman" w:asciiTheme="minorEastAsia" w:hAnsiTheme="minorEastAsia" w:eastAsiaTheme="minorEastAsia"/>
                <w:color w:val="auto"/>
                <w:lang w:val="en-US" w:eastAsia="zh-CN"/>
              </w:rPr>
              <w:t>款</w:t>
            </w:r>
          </w:p>
        </w:tc>
        <w:tc>
          <w:tcPr>
            <w:tcW w:w="1742" w:type="dxa"/>
            <w:vAlign w:val="center"/>
          </w:tcPr>
          <w:p w14:paraId="2E12363C">
            <w:pPr>
              <w:adjustRightInd w:val="0"/>
              <w:snapToGrid w:val="0"/>
              <w:jc w:val="left"/>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包装</w:t>
            </w:r>
            <w:r>
              <w:rPr>
                <w:rFonts w:hint="default" w:cs="Times New Roman" w:asciiTheme="minorEastAsia" w:hAnsiTheme="minorEastAsia" w:eastAsiaTheme="minorEastAsia"/>
                <w:color w:val="auto"/>
                <w:lang w:eastAsia="zh-CN"/>
              </w:rPr>
              <w:t>特殊要求</w:t>
            </w:r>
          </w:p>
        </w:tc>
        <w:tc>
          <w:tcPr>
            <w:tcW w:w="5170" w:type="dxa"/>
            <w:vAlign w:val="center"/>
          </w:tcPr>
          <w:p w14:paraId="0BB75B6A">
            <w:pPr>
              <w:jc w:val="left"/>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kern w:val="0"/>
                <w:lang w:val="en-US" w:eastAsia="zh-CN" w:bidi="ar"/>
              </w:rPr>
              <w:t xml:space="preserve">无 </w:t>
            </w:r>
          </w:p>
          <w:p w14:paraId="143AAD27">
            <w:pPr>
              <w:rPr>
                <w:rFonts w:cs="Times New Roman" w:asciiTheme="minorEastAsia" w:hAnsiTheme="minorEastAsia" w:eastAsiaTheme="minorEastAsia"/>
                <w:color w:val="auto"/>
              </w:rPr>
            </w:pPr>
          </w:p>
        </w:tc>
      </w:tr>
      <w:tr w14:paraId="1BA51E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vAlign w:val="center"/>
          </w:tcPr>
          <w:p w14:paraId="7BAD38D0">
            <w:pPr>
              <w:adjustRightInd w:val="0"/>
              <w:snapToGrid w:val="0"/>
              <w:jc w:val="center"/>
              <w:rPr>
                <w:rFonts w:cs="Times New Roman" w:asciiTheme="minorEastAsia" w:hAnsiTheme="minorEastAsia" w:eastAsiaTheme="minorEastAsia"/>
                <w:color w:val="auto"/>
              </w:rPr>
            </w:pPr>
          </w:p>
        </w:tc>
        <w:tc>
          <w:tcPr>
            <w:tcW w:w="1742" w:type="dxa"/>
            <w:vAlign w:val="center"/>
          </w:tcPr>
          <w:p w14:paraId="3F697AA0">
            <w:pPr>
              <w:adjustRightInd w:val="0"/>
              <w:snapToGrid w:val="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指定现场</w:t>
            </w:r>
          </w:p>
        </w:tc>
        <w:tc>
          <w:tcPr>
            <w:tcW w:w="5170" w:type="dxa"/>
            <w:vAlign w:val="center"/>
          </w:tcPr>
          <w:p w14:paraId="4C9217BA">
            <w:pPr>
              <w:spacing w:line="360" w:lineRule="auto"/>
              <w:rPr>
                <w:rFonts w:cs="Times New Roman" w:asciiTheme="minorEastAsia" w:hAnsiTheme="minorEastAsia" w:eastAsiaTheme="minorEastAsia"/>
                <w:color w:val="auto"/>
                <w:lang w:val="en-US" w:eastAsia="zh-CN"/>
              </w:rPr>
            </w:pPr>
            <w:r>
              <w:rPr>
                <w:rFonts w:cs="Times New Roman" w:asciiTheme="minorEastAsia" w:hAnsiTheme="minorEastAsia" w:eastAsiaTheme="minorEastAsia"/>
                <w:color w:val="auto"/>
                <w:lang w:val="en" w:eastAsia="zh-CN"/>
              </w:rPr>
              <w:t>郑州铁路职业技术学院</w:t>
            </w:r>
            <w:r>
              <w:rPr>
                <w:rFonts w:cs="Times New Roman" w:asciiTheme="minorEastAsia" w:hAnsiTheme="minorEastAsia" w:eastAsiaTheme="minorEastAsia"/>
                <w:color w:val="auto"/>
                <w:lang w:val="en-US" w:eastAsia="zh-CN"/>
              </w:rPr>
              <w:t>兰考校区（河南省开封市兰考县中州路与慧明路交叉口西460米）</w:t>
            </w:r>
          </w:p>
        </w:tc>
      </w:tr>
      <w:tr w14:paraId="7EC896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vAlign w:val="center"/>
          </w:tcPr>
          <w:p w14:paraId="28A21F95">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第二节</w:t>
            </w:r>
          </w:p>
          <w:p w14:paraId="6EA26AE5">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w:t>
            </w:r>
            <w:r>
              <w:rPr>
                <w:rFonts w:hint="default" w:cs="Times New Roman" w:asciiTheme="minorEastAsia" w:hAnsiTheme="minorEastAsia" w:eastAsiaTheme="minorEastAsia"/>
                <w:color w:val="auto"/>
                <w:lang w:val="en-US" w:eastAsia="zh-CN"/>
              </w:rPr>
              <w:t>7</w:t>
            </w:r>
            <w:r>
              <w:rPr>
                <w:rFonts w:hint="default" w:cs="Times New Roman" w:asciiTheme="minorEastAsia" w:hAnsiTheme="minorEastAsia" w:eastAsiaTheme="minorEastAsia"/>
                <w:color w:val="auto"/>
              </w:rPr>
              <w:t>.2</w:t>
            </w:r>
            <w:r>
              <w:rPr>
                <w:rFonts w:hint="default" w:cs="Times New Roman" w:asciiTheme="minorEastAsia" w:hAnsiTheme="minorEastAsia" w:eastAsiaTheme="minorEastAsia"/>
                <w:color w:val="auto"/>
                <w:lang w:val="en-US" w:eastAsia="zh-CN"/>
              </w:rPr>
              <w:t>款</w:t>
            </w:r>
          </w:p>
        </w:tc>
        <w:tc>
          <w:tcPr>
            <w:tcW w:w="1742" w:type="dxa"/>
            <w:vAlign w:val="center"/>
          </w:tcPr>
          <w:p w14:paraId="67EBD63D">
            <w:pPr>
              <w:adjustRightInd w:val="0"/>
              <w:snapToGrid w:val="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运输特殊要求</w:t>
            </w:r>
          </w:p>
        </w:tc>
        <w:tc>
          <w:tcPr>
            <w:tcW w:w="5170" w:type="dxa"/>
            <w:vAlign w:val="center"/>
          </w:tcPr>
          <w:p w14:paraId="5D86D686">
            <w:pPr>
              <w:jc w:val="left"/>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kern w:val="0"/>
                <w:lang w:val="en-US" w:eastAsia="zh-CN" w:bidi="ar"/>
              </w:rPr>
              <w:t xml:space="preserve">无 </w:t>
            </w:r>
          </w:p>
          <w:p w14:paraId="18E0AFE5">
            <w:pPr>
              <w:rPr>
                <w:rFonts w:cs="Times New Roman" w:asciiTheme="minorEastAsia" w:hAnsiTheme="minorEastAsia" w:eastAsiaTheme="minorEastAsia"/>
                <w:color w:val="auto"/>
              </w:rPr>
            </w:pPr>
          </w:p>
        </w:tc>
      </w:tr>
      <w:tr w14:paraId="0B6AC3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Align w:val="center"/>
          </w:tcPr>
          <w:p w14:paraId="7035CF60">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第二节</w:t>
            </w:r>
          </w:p>
          <w:p w14:paraId="5B619B79">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w:t>
            </w:r>
            <w:r>
              <w:rPr>
                <w:rFonts w:hint="default" w:cs="Times New Roman" w:asciiTheme="minorEastAsia" w:hAnsiTheme="minorEastAsia" w:eastAsiaTheme="minorEastAsia"/>
                <w:color w:val="auto"/>
                <w:lang w:val="en-US" w:eastAsia="zh-CN"/>
              </w:rPr>
              <w:t>7</w:t>
            </w:r>
            <w:r>
              <w:rPr>
                <w:rFonts w:hint="default" w:cs="Times New Roman" w:asciiTheme="minorEastAsia" w:hAnsiTheme="minorEastAsia" w:eastAsiaTheme="minorEastAsia"/>
                <w:color w:val="auto"/>
              </w:rPr>
              <w:t>.3</w:t>
            </w:r>
            <w:r>
              <w:rPr>
                <w:rFonts w:hint="default" w:cs="Times New Roman" w:asciiTheme="minorEastAsia" w:hAnsiTheme="minorEastAsia" w:eastAsiaTheme="minorEastAsia"/>
                <w:color w:val="auto"/>
                <w:lang w:val="en-US" w:eastAsia="zh-CN"/>
              </w:rPr>
              <w:t>款</w:t>
            </w:r>
          </w:p>
        </w:tc>
        <w:tc>
          <w:tcPr>
            <w:tcW w:w="1742" w:type="dxa"/>
            <w:vAlign w:val="center"/>
          </w:tcPr>
          <w:p w14:paraId="4A9645B3">
            <w:pPr>
              <w:adjustRightInd w:val="0"/>
              <w:snapToGrid w:val="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保险要求</w:t>
            </w:r>
          </w:p>
        </w:tc>
        <w:tc>
          <w:tcPr>
            <w:tcW w:w="5170" w:type="dxa"/>
            <w:vAlign w:val="center"/>
          </w:tcPr>
          <w:p w14:paraId="01FCCE94">
            <w:pPr>
              <w:jc w:val="left"/>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kern w:val="0"/>
                <w:lang w:val="en-US" w:eastAsia="zh-CN" w:bidi="ar"/>
              </w:rPr>
              <w:t xml:space="preserve">无 </w:t>
            </w:r>
          </w:p>
          <w:p w14:paraId="5A8DC27B">
            <w:pPr>
              <w:rPr>
                <w:rFonts w:cs="Times New Roman" w:asciiTheme="minorEastAsia" w:hAnsiTheme="minorEastAsia" w:eastAsiaTheme="minorEastAsia"/>
                <w:color w:val="auto"/>
              </w:rPr>
            </w:pPr>
          </w:p>
        </w:tc>
      </w:tr>
      <w:tr w14:paraId="54CD2A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9E65529">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第二节</w:t>
            </w:r>
          </w:p>
          <w:p w14:paraId="345DB686">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w:t>
            </w:r>
            <w:r>
              <w:rPr>
                <w:rFonts w:hint="default" w:cs="Times New Roman" w:asciiTheme="minorEastAsia" w:hAnsiTheme="minorEastAsia" w:eastAsiaTheme="minorEastAsia"/>
                <w:color w:val="auto"/>
                <w:lang w:val="en-US" w:eastAsia="zh-CN"/>
              </w:rPr>
              <w:t>8</w:t>
            </w:r>
            <w:r>
              <w:rPr>
                <w:rFonts w:hint="default" w:cs="Times New Roman" w:asciiTheme="minorEastAsia" w:hAnsiTheme="minorEastAsia" w:eastAsiaTheme="minorEastAsia"/>
                <w:color w:val="auto"/>
              </w:rPr>
              <w:t>.2（1）项</w:t>
            </w:r>
          </w:p>
        </w:tc>
        <w:tc>
          <w:tcPr>
            <w:tcW w:w="1742" w:type="dxa"/>
            <w:vAlign w:val="center"/>
          </w:tcPr>
          <w:p w14:paraId="0A30081A">
            <w:pPr>
              <w:adjustRightInd w:val="0"/>
              <w:snapToGrid w:val="0"/>
              <w:jc w:val="left"/>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质量保证期</w:t>
            </w:r>
          </w:p>
        </w:tc>
        <w:tc>
          <w:tcPr>
            <w:tcW w:w="5170" w:type="dxa"/>
            <w:vAlign w:val="center"/>
          </w:tcPr>
          <w:p w14:paraId="6FB3839E">
            <w:pPr>
              <w:pStyle w:val="24"/>
              <w:rPr>
                <w:rFonts w:hint="eastAsia" w:asciiTheme="minorEastAsia" w:hAnsiTheme="minorEastAsia" w:eastAsiaTheme="minorEastAsia"/>
                <w:kern w:val="2"/>
                <w:sz w:val="21"/>
                <w:szCs w:val="21"/>
              </w:rPr>
            </w:pPr>
            <w:r>
              <w:rPr>
                <w:rFonts w:asciiTheme="minorEastAsia" w:hAnsiTheme="minorEastAsia" w:eastAsiaTheme="minorEastAsia"/>
                <w:kern w:val="2"/>
                <w:sz w:val="21"/>
                <w:szCs w:val="21"/>
              </w:rPr>
              <w:t>质量保证期：5年，从验收合格之日起开始计算。非人为或不抗力因素，导致产品损坏，供应商须免费上门维修（第一年只换不修）</w:t>
            </w:r>
          </w:p>
        </w:tc>
      </w:tr>
      <w:tr w14:paraId="49736B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DEDE662">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第二节</w:t>
            </w:r>
          </w:p>
          <w:p w14:paraId="0AAC2741">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w:t>
            </w:r>
            <w:r>
              <w:rPr>
                <w:rFonts w:hint="default" w:cs="Times New Roman" w:asciiTheme="minorEastAsia" w:hAnsiTheme="minorEastAsia" w:eastAsiaTheme="minorEastAsia"/>
                <w:color w:val="auto"/>
                <w:lang w:val="en-US" w:eastAsia="zh-CN"/>
              </w:rPr>
              <w:t>8</w:t>
            </w:r>
            <w:r>
              <w:rPr>
                <w:rFonts w:hint="default" w:cs="Times New Roman" w:asciiTheme="minorEastAsia" w:hAnsiTheme="minorEastAsia" w:eastAsiaTheme="minorEastAsia"/>
                <w:color w:val="auto"/>
              </w:rPr>
              <w:t>.2（3）项</w:t>
            </w:r>
          </w:p>
        </w:tc>
        <w:tc>
          <w:tcPr>
            <w:tcW w:w="1742" w:type="dxa"/>
            <w:vAlign w:val="center"/>
          </w:tcPr>
          <w:p w14:paraId="096AA070">
            <w:pPr>
              <w:adjustRightInd w:val="0"/>
              <w:snapToGrid w:val="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货物质量缺陷</w:t>
            </w:r>
          </w:p>
          <w:p w14:paraId="5A99A886">
            <w:pPr>
              <w:adjustRightInd w:val="0"/>
              <w:snapToGrid w:val="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响应时间</w:t>
            </w:r>
          </w:p>
        </w:tc>
        <w:tc>
          <w:tcPr>
            <w:tcW w:w="5170" w:type="dxa"/>
            <w:vAlign w:val="center"/>
          </w:tcPr>
          <w:p w14:paraId="53E31397">
            <w:pPr>
              <w:rPr>
                <w:rFonts w:cs="Times New Roman" w:asciiTheme="minorEastAsia" w:hAnsiTheme="minorEastAsia" w:eastAsiaTheme="minorEastAsia"/>
                <w:color w:val="auto"/>
                <w:lang w:val="en-US" w:eastAsia="zh-CN"/>
              </w:rPr>
            </w:pPr>
            <w:r>
              <w:rPr>
                <w:rFonts w:hint="default" w:cs="Times New Roman" w:asciiTheme="minorEastAsia" w:hAnsiTheme="minorEastAsia" w:eastAsiaTheme="minorEastAsia"/>
                <w:color w:val="auto"/>
                <w:lang w:val="en-US" w:eastAsia="zh-CN"/>
              </w:rPr>
              <w:t>对所反映的任何问题在</w:t>
            </w:r>
            <w:r>
              <w:rPr>
                <w:rFonts w:cs="Times New Roman" w:asciiTheme="minorEastAsia" w:hAnsiTheme="minorEastAsia" w:eastAsiaTheme="minorEastAsia"/>
                <w:color w:val="auto"/>
                <w:lang w:val="en-US" w:eastAsia="zh-CN"/>
              </w:rPr>
              <w:t>4</w:t>
            </w:r>
            <w:r>
              <w:rPr>
                <w:rFonts w:hint="default" w:cs="Times New Roman" w:asciiTheme="minorEastAsia" w:hAnsiTheme="minorEastAsia" w:eastAsiaTheme="minorEastAsia"/>
                <w:color w:val="auto"/>
                <w:lang w:val="en-US" w:eastAsia="zh-CN"/>
              </w:rPr>
              <w:t>小时之内得到及时响应，在远程不能解决问题的情况下，应确保</w:t>
            </w:r>
            <w:r>
              <w:rPr>
                <w:rFonts w:cs="Times New Roman" w:asciiTheme="minorEastAsia" w:hAnsiTheme="minorEastAsia" w:eastAsiaTheme="minorEastAsia"/>
                <w:color w:val="auto"/>
                <w:lang w:val="en-US" w:eastAsia="zh-CN"/>
              </w:rPr>
              <w:t>48</w:t>
            </w:r>
            <w:r>
              <w:rPr>
                <w:rFonts w:hint="default" w:cs="Times New Roman" w:asciiTheme="minorEastAsia" w:hAnsiTheme="minorEastAsia" w:eastAsiaTheme="minorEastAsia"/>
                <w:color w:val="auto"/>
                <w:lang w:val="en-US" w:eastAsia="zh-CN"/>
              </w:rPr>
              <w:t>小时之内赶到现场以求实地解决问题；</w:t>
            </w:r>
          </w:p>
        </w:tc>
      </w:tr>
      <w:tr w14:paraId="5FD567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BFBC9E0">
            <w:pPr>
              <w:snapToGrid w:val="0"/>
              <w:jc w:val="center"/>
              <w:rPr>
                <w:rFonts w:cs="Times New Roman" w:asciiTheme="minorEastAsia" w:hAnsiTheme="minorEastAsia" w:eastAsiaTheme="minorEastAsia"/>
                <w:color w:val="auto"/>
                <w:lang w:val="en-US" w:eastAsia="zh-CN"/>
              </w:rPr>
            </w:pPr>
            <w:r>
              <w:rPr>
                <w:rFonts w:hint="default" w:cs="Times New Roman" w:asciiTheme="minorEastAsia" w:hAnsiTheme="minorEastAsia" w:eastAsiaTheme="minorEastAsia"/>
                <w:color w:val="auto"/>
                <w:lang w:val="en-US" w:eastAsia="zh-CN"/>
              </w:rPr>
              <w:t>第二节</w:t>
            </w:r>
          </w:p>
          <w:p w14:paraId="357C82DF">
            <w:pPr>
              <w:pStyle w:val="260"/>
              <w:ind w:firstLine="0" w:firstLineChars="0"/>
              <w:jc w:val="center"/>
              <w:rPr>
                <w:rFonts w:hint="eastAsia" w:cs="Times New Roman" w:asciiTheme="minorEastAsia" w:hAnsiTheme="minorEastAsia" w:eastAsiaTheme="minorEastAsia"/>
              </w:rPr>
            </w:pPr>
            <w:r>
              <w:rPr>
                <w:rFonts w:cs="Times New Roman" w:asciiTheme="minorEastAsia" w:hAnsiTheme="minorEastAsia" w:eastAsiaTheme="minorEastAsia"/>
              </w:rPr>
              <w:t>第11.1款</w:t>
            </w:r>
          </w:p>
        </w:tc>
        <w:tc>
          <w:tcPr>
            <w:tcW w:w="1742" w:type="dxa"/>
            <w:vAlign w:val="center"/>
          </w:tcPr>
          <w:p w14:paraId="04B57F74">
            <w:pPr>
              <w:adjustRightInd w:val="0"/>
              <w:snapToGrid w:val="0"/>
              <w:rPr>
                <w:rFonts w:cs="Times New Roman" w:asciiTheme="minorEastAsia" w:hAnsiTheme="minorEastAsia" w:eastAsiaTheme="minorEastAsia"/>
                <w:color w:val="auto"/>
                <w:lang w:val="en-US" w:eastAsia="zh-CN"/>
              </w:rPr>
            </w:pPr>
            <w:r>
              <w:rPr>
                <w:rFonts w:hint="default" w:cs="Times New Roman" w:asciiTheme="minorEastAsia" w:hAnsiTheme="minorEastAsia" w:eastAsiaTheme="minorEastAsia"/>
                <w:color w:val="auto"/>
                <w:lang w:val="en-US" w:eastAsia="zh-CN"/>
              </w:rPr>
              <w:t>其他应当保密的信息</w:t>
            </w:r>
          </w:p>
        </w:tc>
        <w:tc>
          <w:tcPr>
            <w:tcW w:w="5170" w:type="dxa"/>
            <w:vAlign w:val="center"/>
          </w:tcPr>
          <w:p w14:paraId="41E741D5">
            <w:pPr>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kern w:val="0"/>
                <w:lang w:val="en-US" w:eastAsia="zh-CN" w:bidi="ar"/>
              </w:rPr>
              <w:t xml:space="preserve">无 </w:t>
            </w:r>
          </w:p>
        </w:tc>
      </w:tr>
      <w:tr w14:paraId="6E7C02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18E3877C">
            <w:pPr>
              <w:rPr>
                <w:rFonts w:cs="Times New Roman" w:asciiTheme="minorEastAsia" w:hAnsiTheme="minorEastAsia" w:eastAsiaTheme="minorEastAsia"/>
                <w:color w:val="auto"/>
                <w:lang w:val="en-US" w:eastAsia="zh-CN"/>
              </w:rPr>
            </w:pPr>
            <w:r>
              <w:rPr>
                <w:rFonts w:hint="default" w:cs="Times New Roman" w:asciiTheme="minorEastAsia" w:hAnsiTheme="minorEastAsia" w:eastAsiaTheme="minorEastAsia"/>
                <w:color w:val="auto"/>
                <w:lang w:val="en-US" w:eastAsia="zh-CN"/>
              </w:rPr>
              <w:t>第二节</w:t>
            </w:r>
          </w:p>
          <w:p w14:paraId="6BD14FA0">
            <w:pPr>
              <w:rPr>
                <w:rFonts w:cs="Times New Roman" w:asciiTheme="minorEastAsia" w:hAnsiTheme="minorEastAsia" w:eastAsiaTheme="minorEastAsia"/>
                <w:color w:val="auto"/>
                <w:lang w:val="en-US" w:eastAsia="zh-CN"/>
              </w:rPr>
            </w:pPr>
            <w:r>
              <w:rPr>
                <w:rFonts w:hint="default" w:cs="Times New Roman" w:asciiTheme="minorEastAsia" w:hAnsiTheme="minorEastAsia" w:eastAsiaTheme="minorEastAsia"/>
                <w:color w:val="auto"/>
                <w:lang w:val="en-US" w:eastAsia="zh-CN"/>
              </w:rPr>
              <w:t>第12.2款</w:t>
            </w:r>
          </w:p>
        </w:tc>
        <w:tc>
          <w:tcPr>
            <w:tcW w:w="1742" w:type="dxa"/>
            <w:vAlign w:val="center"/>
          </w:tcPr>
          <w:p w14:paraId="57E89413">
            <w:pPr>
              <w:rPr>
                <w:rFonts w:cs="Times New Roman" w:asciiTheme="minorEastAsia" w:hAnsiTheme="minorEastAsia" w:eastAsiaTheme="minorEastAsia"/>
                <w:color w:val="auto"/>
                <w:lang w:val="en-US" w:eastAsia="zh-CN"/>
              </w:rPr>
            </w:pPr>
            <w:r>
              <w:rPr>
                <w:rFonts w:hint="default" w:cs="Times New Roman" w:asciiTheme="minorEastAsia" w:hAnsiTheme="minorEastAsia" w:eastAsiaTheme="minorEastAsia"/>
                <w:color w:val="auto"/>
                <w:lang w:val="en-US" w:eastAsia="zh-CN"/>
              </w:rPr>
              <w:t>合同价款支付时间</w:t>
            </w:r>
          </w:p>
        </w:tc>
        <w:tc>
          <w:tcPr>
            <w:tcW w:w="5170" w:type="dxa"/>
            <w:vAlign w:val="center"/>
          </w:tcPr>
          <w:p w14:paraId="10858CEC">
            <w:pPr>
              <w:rPr>
                <w:rFonts w:cs="Times New Roman" w:asciiTheme="minorEastAsia" w:hAnsiTheme="minorEastAsia" w:eastAsiaTheme="minorEastAsia"/>
                <w:color w:val="auto"/>
                <w:lang w:val="en-US" w:eastAsia="zh-CN"/>
              </w:rPr>
            </w:pPr>
            <w:r>
              <w:rPr>
                <w:rFonts w:cs="Times New Roman" w:asciiTheme="minorEastAsia" w:hAnsiTheme="minorEastAsia" w:eastAsiaTheme="minorEastAsia"/>
                <w:color w:val="auto"/>
                <w:u w:val="single"/>
                <w:lang w:eastAsia="zh-CN"/>
              </w:rPr>
              <w:t>（1）合同生效后，甲方在</w:t>
            </w:r>
            <w:r>
              <w:rPr>
                <w:rFonts w:hint="default" w:cs="Times New Roman" w:asciiTheme="minorEastAsia" w:hAnsiTheme="minorEastAsia" w:eastAsiaTheme="minorEastAsia"/>
                <w:color w:val="auto"/>
                <w:u w:val="single"/>
                <w:lang w:eastAsia="zh-CN"/>
              </w:rPr>
              <w:t>15</w:t>
            </w:r>
            <w:r>
              <w:rPr>
                <w:rFonts w:cs="Times New Roman" w:asciiTheme="minorEastAsia" w:hAnsiTheme="minorEastAsia" w:eastAsiaTheme="minorEastAsia"/>
                <w:color w:val="auto"/>
                <w:u w:val="single"/>
                <w:lang w:eastAsia="zh-CN"/>
              </w:rPr>
              <w:t>个工作日内向乙方支付合同总金额的</w:t>
            </w:r>
            <w:r>
              <w:rPr>
                <w:rFonts w:hint="default" w:cs="Times New Roman" w:asciiTheme="minorEastAsia" w:hAnsiTheme="minorEastAsia" w:eastAsiaTheme="minorEastAsia"/>
                <w:color w:val="auto"/>
                <w:u w:val="single"/>
                <w:lang w:eastAsia="zh-CN"/>
              </w:rPr>
              <w:t>30%</w:t>
            </w:r>
            <w:r>
              <w:rPr>
                <w:rFonts w:cs="Times New Roman" w:asciiTheme="minorEastAsia" w:hAnsiTheme="minorEastAsia" w:eastAsiaTheme="minorEastAsia"/>
                <w:color w:val="auto"/>
                <w:u w:val="single"/>
                <w:lang w:eastAsia="zh-CN"/>
              </w:rPr>
              <w:t>作为预付款。</w:t>
            </w:r>
            <w:r>
              <w:rPr>
                <w:rFonts w:hint="default" w:cs="Times New Roman" w:asciiTheme="minorEastAsia" w:hAnsiTheme="minorEastAsia" w:eastAsiaTheme="minorEastAsia"/>
                <w:color w:val="auto"/>
                <w:u w:val="single"/>
                <w:lang w:eastAsia="zh-CN"/>
              </w:rPr>
              <w:t>（2）</w:t>
            </w:r>
            <w:r>
              <w:rPr>
                <w:rFonts w:cs="Times New Roman" w:asciiTheme="minorEastAsia" w:hAnsiTheme="minorEastAsia" w:eastAsiaTheme="minorEastAsia"/>
                <w:color w:val="auto"/>
                <w:u w:val="single"/>
                <w:lang w:eastAsia="zh-CN"/>
              </w:rPr>
              <w:t>正式验收合格后</w:t>
            </w:r>
            <w:r>
              <w:rPr>
                <w:rFonts w:hint="default" w:cs="Times New Roman" w:asciiTheme="minorEastAsia" w:hAnsiTheme="minorEastAsia" w:eastAsiaTheme="minorEastAsia"/>
                <w:color w:val="auto"/>
                <w:u w:val="single"/>
                <w:lang w:eastAsia="zh-CN"/>
              </w:rPr>
              <w:t>10</w:t>
            </w:r>
            <w:r>
              <w:rPr>
                <w:rFonts w:cs="Times New Roman" w:asciiTheme="minorEastAsia" w:hAnsiTheme="minorEastAsia" w:eastAsiaTheme="minorEastAsia"/>
                <w:color w:val="auto"/>
                <w:u w:val="single"/>
                <w:lang w:eastAsia="zh-CN"/>
              </w:rPr>
              <w:t>个工作日内，甲方凭乙方开具的正规发票、招投标资料、验收资料等材料向学校财务处提交资金支付申请，甲方按规定支付剩余</w:t>
            </w:r>
            <w:r>
              <w:rPr>
                <w:rFonts w:hint="default" w:cs="Times New Roman" w:asciiTheme="minorEastAsia" w:hAnsiTheme="minorEastAsia" w:eastAsiaTheme="minorEastAsia"/>
                <w:color w:val="auto"/>
                <w:u w:val="single"/>
                <w:lang w:eastAsia="zh-CN"/>
              </w:rPr>
              <w:t>70%的资金</w:t>
            </w:r>
            <w:r>
              <w:rPr>
                <w:rFonts w:cs="Times New Roman" w:asciiTheme="minorEastAsia" w:hAnsiTheme="minorEastAsia" w:eastAsiaTheme="minorEastAsia"/>
                <w:color w:val="auto"/>
                <w:u w:val="single"/>
                <w:lang w:eastAsia="zh-CN"/>
              </w:rPr>
              <w:t>。</w:t>
            </w:r>
          </w:p>
        </w:tc>
      </w:tr>
      <w:tr w14:paraId="25567E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26757DB1">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第二节</w:t>
            </w:r>
          </w:p>
          <w:p w14:paraId="0463B969">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w:t>
            </w:r>
            <w:r>
              <w:rPr>
                <w:rFonts w:hint="default" w:cs="Times New Roman" w:asciiTheme="minorEastAsia" w:hAnsiTheme="minorEastAsia" w:eastAsiaTheme="minorEastAsia"/>
                <w:color w:val="auto"/>
                <w:lang w:val="en-US" w:eastAsia="zh-CN"/>
              </w:rPr>
              <w:t>13.2</w:t>
            </w:r>
            <w:r>
              <w:rPr>
                <w:rFonts w:hint="default" w:cs="Times New Roman" w:asciiTheme="minorEastAsia" w:hAnsiTheme="minorEastAsia" w:eastAsiaTheme="minorEastAsia"/>
                <w:color w:val="auto"/>
              </w:rPr>
              <w:t>款</w:t>
            </w:r>
          </w:p>
        </w:tc>
        <w:tc>
          <w:tcPr>
            <w:tcW w:w="1742" w:type="dxa"/>
            <w:vAlign w:val="center"/>
          </w:tcPr>
          <w:p w14:paraId="00CC96EA">
            <w:pPr>
              <w:adjustRightInd w:val="0"/>
              <w:snapToGrid w:val="0"/>
              <w:jc w:val="left"/>
              <w:rPr>
                <w:rFonts w:cs="Times New Roman" w:asciiTheme="minorEastAsia" w:hAnsiTheme="minorEastAsia" w:eastAsiaTheme="minorEastAsia"/>
                <w:color w:val="auto"/>
                <w:lang w:val="en-US" w:eastAsia="zh-CN"/>
              </w:rPr>
            </w:pPr>
            <w:r>
              <w:rPr>
                <w:rFonts w:hint="default" w:cs="Times New Roman" w:asciiTheme="minorEastAsia" w:hAnsiTheme="minorEastAsia" w:eastAsiaTheme="minorEastAsia"/>
                <w:color w:val="auto"/>
                <w:lang w:val="en-US" w:eastAsia="zh-CN"/>
              </w:rPr>
              <w:t>履约保证金不予退还的情形</w:t>
            </w:r>
          </w:p>
        </w:tc>
        <w:tc>
          <w:tcPr>
            <w:tcW w:w="5170" w:type="dxa"/>
            <w:vAlign w:val="center"/>
          </w:tcPr>
          <w:p w14:paraId="43C6311A">
            <w:pPr>
              <w:jc w:val="left"/>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kern w:val="0"/>
                <w:lang w:val="en-US" w:eastAsia="zh-CN" w:bidi="ar"/>
              </w:rPr>
              <w:t xml:space="preserve">无 </w:t>
            </w:r>
          </w:p>
        </w:tc>
      </w:tr>
      <w:tr w14:paraId="296552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02486111">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第二节</w:t>
            </w:r>
          </w:p>
          <w:p w14:paraId="2DC08532">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w:t>
            </w:r>
            <w:r>
              <w:rPr>
                <w:rFonts w:hint="default" w:cs="Times New Roman" w:asciiTheme="minorEastAsia" w:hAnsiTheme="minorEastAsia" w:eastAsiaTheme="minorEastAsia"/>
                <w:color w:val="auto"/>
                <w:lang w:val="en-US" w:eastAsia="zh-CN"/>
              </w:rPr>
              <w:t>13.3</w:t>
            </w:r>
            <w:r>
              <w:rPr>
                <w:rFonts w:hint="default" w:cs="Times New Roman" w:asciiTheme="minorEastAsia" w:hAnsiTheme="minorEastAsia" w:eastAsiaTheme="minorEastAsia"/>
                <w:color w:val="auto"/>
              </w:rPr>
              <w:t>款</w:t>
            </w:r>
          </w:p>
        </w:tc>
        <w:tc>
          <w:tcPr>
            <w:tcW w:w="1742" w:type="dxa"/>
            <w:vAlign w:val="center"/>
          </w:tcPr>
          <w:p w14:paraId="4DC29599">
            <w:pPr>
              <w:adjustRightInd w:val="0"/>
              <w:snapToGrid w:val="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履约保证金退还时间及逾期退还的违约金</w:t>
            </w:r>
          </w:p>
        </w:tc>
        <w:tc>
          <w:tcPr>
            <w:tcW w:w="5170" w:type="dxa"/>
            <w:vAlign w:val="center"/>
          </w:tcPr>
          <w:p w14:paraId="3CF1F589">
            <w:pPr>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kern w:val="0"/>
                <w:lang w:val="en-US" w:eastAsia="zh-CN" w:bidi="ar"/>
              </w:rPr>
              <w:t xml:space="preserve">无 </w:t>
            </w:r>
          </w:p>
        </w:tc>
      </w:tr>
      <w:tr w14:paraId="1F95D5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2F12288A">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第二节</w:t>
            </w:r>
          </w:p>
          <w:p w14:paraId="66A9F931">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第1</w:t>
            </w:r>
            <w:r>
              <w:rPr>
                <w:rFonts w:hint="default" w:cs="Times New Roman" w:asciiTheme="minorEastAsia" w:hAnsiTheme="minorEastAsia" w:eastAsiaTheme="minorEastAsia"/>
                <w:color w:val="auto"/>
                <w:lang w:val="en-US" w:eastAsia="zh-CN"/>
              </w:rPr>
              <w:t>4</w:t>
            </w:r>
            <w:r>
              <w:rPr>
                <w:rFonts w:hint="default" w:cs="Times New Roman" w:asciiTheme="minorEastAsia" w:hAnsiTheme="minorEastAsia" w:eastAsiaTheme="minorEastAsia"/>
                <w:color w:val="auto"/>
              </w:rPr>
              <w:t>.1（</w:t>
            </w:r>
            <w:r>
              <w:rPr>
                <w:rFonts w:hint="default" w:cs="Times New Roman" w:asciiTheme="minorEastAsia" w:hAnsiTheme="minorEastAsia" w:eastAsiaTheme="minorEastAsia"/>
                <w:color w:val="auto"/>
                <w:lang w:val="en-US" w:eastAsia="zh-CN"/>
              </w:rPr>
              <w:t>3</w:t>
            </w:r>
            <w:r>
              <w:rPr>
                <w:rFonts w:hint="default" w:cs="Times New Roman" w:asciiTheme="minorEastAsia" w:hAnsiTheme="minorEastAsia" w:eastAsiaTheme="minorEastAsia"/>
                <w:color w:val="auto"/>
              </w:rPr>
              <w:t>）项</w:t>
            </w:r>
          </w:p>
        </w:tc>
        <w:tc>
          <w:tcPr>
            <w:tcW w:w="1742" w:type="dxa"/>
            <w:vAlign w:val="center"/>
          </w:tcPr>
          <w:p w14:paraId="21C9BC72">
            <w:pPr>
              <w:adjustRightInd w:val="0"/>
              <w:snapToGrid w:val="0"/>
              <w:jc w:val="left"/>
              <w:rPr>
                <w:rFonts w:cs="Times New Roman" w:asciiTheme="minorEastAsia" w:hAnsiTheme="minorEastAsia" w:eastAsiaTheme="minorEastAsia"/>
                <w:color w:val="auto"/>
                <w:lang w:val="en-US" w:eastAsia="zh-CN"/>
              </w:rPr>
            </w:pPr>
            <w:r>
              <w:rPr>
                <w:rFonts w:hint="default" w:cs="Times New Roman" w:asciiTheme="minorEastAsia" w:hAnsiTheme="minorEastAsia" w:eastAsiaTheme="minorEastAsia"/>
                <w:color w:val="auto"/>
                <w:lang w:val="en-US" w:eastAsia="zh-CN"/>
              </w:rPr>
              <w:t>运行监督、维修期限</w:t>
            </w:r>
          </w:p>
        </w:tc>
        <w:tc>
          <w:tcPr>
            <w:tcW w:w="5170" w:type="dxa"/>
            <w:vAlign w:val="center"/>
          </w:tcPr>
          <w:p w14:paraId="534F2D9E">
            <w:pPr>
              <w:adjustRightInd w:val="0"/>
              <w:snapToGrid w:val="0"/>
              <w:jc w:val="left"/>
              <w:rPr>
                <w:color w:val="auto"/>
                <w:lang w:eastAsia="zh-CN"/>
              </w:rPr>
            </w:pPr>
            <w:r>
              <w:rPr>
                <w:rFonts w:cs="Times New Roman" w:asciiTheme="minorEastAsia" w:hAnsiTheme="minorEastAsia" w:eastAsiaTheme="minorEastAsia"/>
                <w:color w:val="auto"/>
                <w:lang w:val="en-US" w:eastAsia="zh-CN"/>
              </w:rPr>
              <w:t>无</w:t>
            </w:r>
          </w:p>
        </w:tc>
      </w:tr>
      <w:tr w14:paraId="42B905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5238C7CF">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第二节</w:t>
            </w:r>
          </w:p>
          <w:p w14:paraId="675626F7">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第1</w:t>
            </w:r>
            <w:r>
              <w:rPr>
                <w:rFonts w:hint="default" w:cs="Times New Roman" w:asciiTheme="minorEastAsia" w:hAnsiTheme="minorEastAsia" w:eastAsiaTheme="minorEastAsia"/>
                <w:color w:val="auto"/>
                <w:lang w:val="en-US" w:eastAsia="zh-CN"/>
              </w:rPr>
              <w:t>4</w:t>
            </w:r>
            <w:r>
              <w:rPr>
                <w:rFonts w:hint="default" w:cs="Times New Roman" w:asciiTheme="minorEastAsia" w:hAnsiTheme="minorEastAsia" w:eastAsiaTheme="minorEastAsia"/>
                <w:color w:val="auto"/>
              </w:rPr>
              <w:t>.1（</w:t>
            </w:r>
            <w:r>
              <w:rPr>
                <w:rFonts w:hint="default" w:cs="Times New Roman" w:asciiTheme="minorEastAsia" w:hAnsiTheme="minorEastAsia" w:eastAsiaTheme="minorEastAsia"/>
                <w:color w:val="auto"/>
                <w:lang w:val="en-US" w:eastAsia="zh-CN"/>
              </w:rPr>
              <w:t>5</w:t>
            </w:r>
            <w:r>
              <w:rPr>
                <w:rFonts w:hint="default" w:cs="Times New Roman" w:asciiTheme="minorEastAsia" w:hAnsiTheme="minorEastAsia" w:eastAsiaTheme="minorEastAsia"/>
                <w:color w:val="auto"/>
              </w:rPr>
              <w:t>）项</w:t>
            </w:r>
          </w:p>
        </w:tc>
        <w:tc>
          <w:tcPr>
            <w:tcW w:w="1742" w:type="dxa"/>
            <w:vAlign w:val="center"/>
          </w:tcPr>
          <w:p w14:paraId="6F21B89B">
            <w:pPr>
              <w:adjustRightInd w:val="0"/>
              <w:snapToGrid w:val="0"/>
              <w:jc w:val="left"/>
              <w:rPr>
                <w:rFonts w:cs="Times New Roman" w:asciiTheme="minorEastAsia" w:hAnsiTheme="minorEastAsia" w:eastAsiaTheme="minorEastAsia"/>
                <w:color w:val="auto"/>
                <w:lang w:val="en-US" w:eastAsia="zh-CN"/>
              </w:rPr>
            </w:pPr>
            <w:r>
              <w:rPr>
                <w:rFonts w:hint="default" w:cs="Times New Roman" w:asciiTheme="minorEastAsia" w:hAnsiTheme="minorEastAsia" w:eastAsiaTheme="minorEastAsia"/>
                <w:color w:val="auto"/>
                <w:lang w:val="en-US" w:eastAsia="zh-CN"/>
              </w:rPr>
              <w:t>货物回收的约定</w:t>
            </w:r>
          </w:p>
        </w:tc>
        <w:tc>
          <w:tcPr>
            <w:tcW w:w="5170" w:type="dxa"/>
            <w:vAlign w:val="center"/>
          </w:tcPr>
          <w:p w14:paraId="7BB3FB34">
            <w:pPr>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kern w:val="0"/>
                <w:lang w:val="en-US" w:eastAsia="zh-CN" w:bidi="ar"/>
              </w:rPr>
              <w:t xml:space="preserve">无 </w:t>
            </w:r>
          </w:p>
        </w:tc>
      </w:tr>
      <w:tr w14:paraId="11EDAE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F1428CF">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第二节</w:t>
            </w:r>
          </w:p>
          <w:p w14:paraId="536E60F8">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第1</w:t>
            </w:r>
            <w:r>
              <w:rPr>
                <w:rFonts w:hint="default" w:cs="Times New Roman" w:asciiTheme="minorEastAsia" w:hAnsiTheme="minorEastAsia" w:eastAsiaTheme="minorEastAsia"/>
                <w:color w:val="auto"/>
                <w:lang w:val="en-US" w:eastAsia="zh-CN"/>
              </w:rPr>
              <w:t>4</w:t>
            </w:r>
            <w:r>
              <w:rPr>
                <w:rFonts w:hint="default" w:cs="Times New Roman" w:asciiTheme="minorEastAsia" w:hAnsiTheme="minorEastAsia" w:eastAsiaTheme="minorEastAsia"/>
                <w:color w:val="auto"/>
              </w:rPr>
              <w:t>.1（</w:t>
            </w:r>
            <w:r>
              <w:rPr>
                <w:rFonts w:hint="default" w:cs="Times New Roman" w:asciiTheme="minorEastAsia" w:hAnsiTheme="minorEastAsia" w:eastAsiaTheme="minorEastAsia"/>
                <w:color w:val="auto"/>
                <w:lang w:val="en-US" w:eastAsia="zh-CN"/>
              </w:rPr>
              <w:t>6</w:t>
            </w:r>
            <w:r>
              <w:rPr>
                <w:rFonts w:hint="default" w:cs="Times New Roman" w:asciiTheme="minorEastAsia" w:hAnsiTheme="minorEastAsia" w:eastAsiaTheme="minorEastAsia"/>
                <w:color w:val="auto"/>
              </w:rPr>
              <w:t>）项</w:t>
            </w:r>
          </w:p>
        </w:tc>
        <w:tc>
          <w:tcPr>
            <w:tcW w:w="1742" w:type="dxa"/>
            <w:vAlign w:val="center"/>
          </w:tcPr>
          <w:p w14:paraId="4C8AE6C8">
            <w:pPr>
              <w:adjustRightInd w:val="0"/>
              <w:snapToGrid w:val="0"/>
              <w:jc w:val="left"/>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乙方提供的其他服务</w:t>
            </w:r>
          </w:p>
        </w:tc>
        <w:tc>
          <w:tcPr>
            <w:tcW w:w="5170" w:type="dxa"/>
            <w:vAlign w:val="center"/>
          </w:tcPr>
          <w:p w14:paraId="07C45496">
            <w:pPr>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kern w:val="0"/>
                <w:lang w:val="en-US" w:eastAsia="zh-CN" w:bidi="ar"/>
              </w:rPr>
              <w:t xml:space="preserve">无 </w:t>
            </w:r>
          </w:p>
        </w:tc>
      </w:tr>
      <w:tr w14:paraId="607F4C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6474EF9">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第二节</w:t>
            </w:r>
          </w:p>
          <w:p w14:paraId="58AD85D7">
            <w:pPr>
              <w:adjustRightInd w:val="0"/>
              <w:snapToGrid w:val="0"/>
              <w:jc w:val="center"/>
              <w:rPr>
                <w:rFonts w:cs="Times New Roman" w:asciiTheme="minorEastAsia" w:hAnsiTheme="minorEastAsia" w:eastAsiaTheme="minorEastAsia"/>
                <w:color w:val="auto"/>
                <w:lang w:val="en-US" w:eastAsia="zh-CN"/>
              </w:rPr>
            </w:pPr>
            <w:r>
              <w:rPr>
                <w:rFonts w:hint="default" w:cs="Times New Roman" w:asciiTheme="minorEastAsia" w:hAnsiTheme="minorEastAsia" w:eastAsiaTheme="minorEastAsia"/>
                <w:color w:val="auto"/>
              </w:rPr>
              <w:t>第1</w:t>
            </w:r>
            <w:r>
              <w:rPr>
                <w:rFonts w:hint="default" w:cs="Times New Roman" w:asciiTheme="minorEastAsia" w:hAnsiTheme="minorEastAsia" w:eastAsiaTheme="minorEastAsia"/>
                <w:color w:val="auto"/>
                <w:lang w:val="en-US" w:eastAsia="zh-CN"/>
              </w:rPr>
              <w:t>5</w:t>
            </w:r>
            <w:r>
              <w:rPr>
                <w:rFonts w:hint="default" w:cs="Times New Roman" w:asciiTheme="minorEastAsia" w:hAnsiTheme="minorEastAsia" w:eastAsiaTheme="minorEastAsia"/>
                <w:color w:val="auto"/>
              </w:rPr>
              <w:t>.</w:t>
            </w:r>
            <w:r>
              <w:rPr>
                <w:rFonts w:hint="default" w:cs="Times New Roman" w:asciiTheme="minorEastAsia" w:hAnsiTheme="minorEastAsia" w:eastAsiaTheme="minorEastAsia"/>
                <w:color w:val="auto"/>
                <w:lang w:val="en-US" w:eastAsia="zh-CN"/>
              </w:rPr>
              <w:t>1款</w:t>
            </w:r>
          </w:p>
        </w:tc>
        <w:tc>
          <w:tcPr>
            <w:tcW w:w="1742" w:type="dxa"/>
            <w:vAlign w:val="center"/>
          </w:tcPr>
          <w:p w14:paraId="13F46BB7">
            <w:pPr>
              <w:adjustRightInd w:val="0"/>
              <w:snapToGrid w:val="0"/>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lang w:eastAsia="zh-CN"/>
              </w:rPr>
              <w:t>修理、重作、更换相关具体规定</w:t>
            </w:r>
          </w:p>
        </w:tc>
        <w:tc>
          <w:tcPr>
            <w:tcW w:w="5170" w:type="dxa"/>
            <w:vAlign w:val="center"/>
          </w:tcPr>
          <w:p w14:paraId="22D50075">
            <w:pPr>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kern w:val="0"/>
                <w:lang w:val="en-US" w:eastAsia="zh-CN" w:bidi="ar"/>
              </w:rPr>
              <w:t xml:space="preserve">无 </w:t>
            </w:r>
          </w:p>
        </w:tc>
      </w:tr>
      <w:tr w14:paraId="70AF01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0E96E20E">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第二节</w:t>
            </w:r>
          </w:p>
          <w:p w14:paraId="4D6AE271">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第1</w:t>
            </w:r>
            <w:r>
              <w:rPr>
                <w:rFonts w:hint="default" w:cs="Times New Roman" w:asciiTheme="minorEastAsia" w:hAnsiTheme="minorEastAsia" w:eastAsiaTheme="minorEastAsia"/>
                <w:color w:val="auto"/>
                <w:lang w:val="en-US" w:eastAsia="zh-CN"/>
              </w:rPr>
              <w:t>5</w:t>
            </w:r>
            <w:r>
              <w:rPr>
                <w:rFonts w:hint="default" w:cs="Times New Roman" w:asciiTheme="minorEastAsia" w:hAnsiTheme="minorEastAsia" w:eastAsiaTheme="minorEastAsia"/>
                <w:color w:val="auto"/>
              </w:rPr>
              <w:t>.2（2）项</w:t>
            </w:r>
          </w:p>
        </w:tc>
        <w:tc>
          <w:tcPr>
            <w:tcW w:w="1742" w:type="dxa"/>
            <w:vAlign w:val="center"/>
          </w:tcPr>
          <w:p w14:paraId="187DDB1A">
            <w:pPr>
              <w:adjustRightInd w:val="0"/>
              <w:snapToGrid w:val="0"/>
              <w:jc w:val="left"/>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迟延交货赔偿费</w:t>
            </w:r>
          </w:p>
        </w:tc>
        <w:tc>
          <w:tcPr>
            <w:tcW w:w="5170" w:type="dxa"/>
            <w:vAlign w:val="center"/>
          </w:tcPr>
          <w:p w14:paraId="2F4B23F4">
            <w:pPr>
              <w:jc w:val="left"/>
              <w:rPr>
                <w:rFonts w:cs="Times New Roman" w:asciiTheme="minorEastAsia" w:hAnsiTheme="minorEastAsia" w:eastAsiaTheme="minorEastAsia"/>
                <w:color w:val="auto"/>
                <w:u w:val="single"/>
                <w:lang w:eastAsia="zh-CN"/>
              </w:rPr>
            </w:pPr>
            <w:r>
              <w:rPr>
                <w:rFonts w:cs="Times New Roman" w:asciiTheme="minorEastAsia" w:hAnsiTheme="minorEastAsia" w:eastAsiaTheme="minorEastAsia"/>
                <w:color w:val="auto"/>
                <w:kern w:val="0"/>
                <w:lang w:val="en-US" w:eastAsia="zh-CN" w:bidi="ar"/>
              </w:rPr>
              <w:t xml:space="preserve">无 </w:t>
            </w:r>
          </w:p>
        </w:tc>
      </w:tr>
      <w:tr w14:paraId="2CE9E6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04D034F8">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第二节</w:t>
            </w:r>
          </w:p>
          <w:p w14:paraId="428CC877">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第1</w:t>
            </w:r>
            <w:r>
              <w:rPr>
                <w:rFonts w:hint="default" w:cs="Times New Roman" w:asciiTheme="minorEastAsia" w:hAnsiTheme="minorEastAsia" w:eastAsiaTheme="minorEastAsia"/>
                <w:color w:val="auto"/>
                <w:lang w:val="en-US" w:eastAsia="zh-CN"/>
              </w:rPr>
              <w:t>5</w:t>
            </w:r>
            <w:r>
              <w:rPr>
                <w:rFonts w:hint="default" w:cs="Times New Roman" w:asciiTheme="minorEastAsia" w:hAnsiTheme="minorEastAsia" w:eastAsiaTheme="minorEastAsia"/>
                <w:color w:val="auto"/>
              </w:rPr>
              <w:t>.</w:t>
            </w:r>
            <w:r>
              <w:rPr>
                <w:rFonts w:hint="default" w:cs="Times New Roman" w:asciiTheme="minorEastAsia" w:hAnsiTheme="minorEastAsia" w:eastAsiaTheme="minorEastAsia"/>
                <w:color w:val="auto"/>
                <w:lang w:val="en-US" w:eastAsia="zh-CN"/>
              </w:rPr>
              <w:t>3款</w:t>
            </w:r>
          </w:p>
        </w:tc>
        <w:tc>
          <w:tcPr>
            <w:tcW w:w="1742" w:type="dxa"/>
            <w:vAlign w:val="center"/>
          </w:tcPr>
          <w:p w14:paraId="2DF343D0">
            <w:pPr>
              <w:adjustRightInd w:val="0"/>
              <w:snapToGrid w:val="0"/>
              <w:jc w:val="left"/>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逾期付款利息</w:t>
            </w:r>
          </w:p>
        </w:tc>
        <w:tc>
          <w:tcPr>
            <w:tcW w:w="5170" w:type="dxa"/>
            <w:vAlign w:val="center"/>
          </w:tcPr>
          <w:p w14:paraId="687D6072">
            <w:pPr>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kern w:val="0"/>
                <w:lang w:val="en-US" w:eastAsia="zh-CN" w:bidi="ar"/>
              </w:rPr>
              <w:t xml:space="preserve">无 </w:t>
            </w:r>
          </w:p>
        </w:tc>
      </w:tr>
      <w:tr w14:paraId="470B26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bottom w:val="single" w:color="auto" w:sz="2" w:space="0"/>
              <w:right w:val="single" w:color="auto" w:sz="2" w:space="0"/>
            </w:tcBorders>
            <w:vAlign w:val="center"/>
          </w:tcPr>
          <w:p w14:paraId="242D7AD8">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第二节</w:t>
            </w:r>
          </w:p>
          <w:p w14:paraId="7FCE6C8F">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第1</w:t>
            </w:r>
            <w:r>
              <w:rPr>
                <w:rFonts w:hint="default" w:cs="Times New Roman" w:asciiTheme="minorEastAsia" w:hAnsiTheme="minorEastAsia" w:eastAsiaTheme="minorEastAsia"/>
                <w:color w:val="auto"/>
                <w:lang w:val="en-US" w:eastAsia="zh-CN"/>
              </w:rPr>
              <w:t>5</w:t>
            </w:r>
            <w:r>
              <w:rPr>
                <w:rFonts w:hint="default" w:cs="Times New Roman" w:asciiTheme="minorEastAsia" w:hAnsiTheme="minorEastAsia" w:eastAsiaTheme="minorEastAsia"/>
                <w:color w:val="auto"/>
              </w:rPr>
              <w:t>.4</w:t>
            </w:r>
            <w:r>
              <w:rPr>
                <w:rFonts w:hint="default" w:cs="Times New Roman" w:asciiTheme="minorEastAsia" w:hAnsiTheme="minorEastAsia" w:eastAsiaTheme="minorEastAsia"/>
                <w:color w:val="auto"/>
                <w:lang w:val="en-US" w:eastAsia="zh-CN"/>
              </w:rPr>
              <w:t>款</w:t>
            </w:r>
          </w:p>
        </w:tc>
        <w:tc>
          <w:tcPr>
            <w:tcW w:w="1742" w:type="dxa"/>
            <w:tcBorders>
              <w:left w:val="single" w:color="auto" w:sz="2" w:space="0"/>
              <w:bottom w:val="single" w:color="auto" w:sz="2" w:space="0"/>
              <w:right w:val="single" w:color="auto" w:sz="2" w:space="0"/>
            </w:tcBorders>
            <w:vAlign w:val="center"/>
          </w:tcPr>
          <w:p w14:paraId="2D279DB7">
            <w:pPr>
              <w:adjustRightInd w:val="0"/>
              <w:snapToGrid w:val="0"/>
              <w:jc w:val="left"/>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其他违约责任</w:t>
            </w:r>
          </w:p>
        </w:tc>
        <w:tc>
          <w:tcPr>
            <w:tcW w:w="5170" w:type="dxa"/>
            <w:tcBorders>
              <w:left w:val="single" w:color="auto" w:sz="2" w:space="0"/>
              <w:bottom w:val="single" w:color="auto" w:sz="2" w:space="0"/>
            </w:tcBorders>
            <w:vAlign w:val="center"/>
          </w:tcPr>
          <w:p w14:paraId="63DA4162">
            <w:pPr>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kern w:val="0"/>
                <w:lang w:val="en-US" w:eastAsia="zh-CN" w:bidi="ar"/>
              </w:rPr>
              <w:t xml:space="preserve">无 </w:t>
            </w:r>
          </w:p>
        </w:tc>
      </w:tr>
      <w:tr w14:paraId="3B46E0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right w:val="single" w:color="auto" w:sz="2" w:space="0"/>
            </w:tcBorders>
            <w:vAlign w:val="center"/>
          </w:tcPr>
          <w:p w14:paraId="11D16E99">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第二节</w:t>
            </w:r>
          </w:p>
          <w:p w14:paraId="2A8C927D">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w:t>
            </w:r>
            <w:r>
              <w:rPr>
                <w:rFonts w:hint="default" w:cs="Times New Roman" w:asciiTheme="minorEastAsia" w:hAnsiTheme="minorEastAsia" w:eastAsiaTheme="minorEastAsia"/>
                <w:color w:val="auto"/>
                <w:lang w:val="en-US" w:eastAsia="zh-CN"/>
              </w:rPr>
              <w:t>19</w:t>
            </w:r>
            <w:r>
              <w:rPr>
                <w:rFonts w:hint="default" w:cs="Times New Roman" w:asciiTheme="minorEastAsia" w:hAnsiTheme="minorEastAsia" w:eastAsiaTheme="minorEastAsia"/>
                <w:color w:val="auto"/>
              </w:rPr>
              <w:t>.2</w:t>
            </w:r>
            <w:r>
              <w:rPr>
                <w:rFonts w:hint="default" w:cs="Times New Roman" w:asciiTheme="minorEastAsia" w:hAnsiTheme="minorEastAsia" w:eastAsiaTheme="minorEastAsia"/>
                <w:color w:val="auto"/>
                <w:lang w:val="en-US" w:eastAsia="zh-CN"/>
              </w:rPr>
              <w:t>款</w:t>
            </w:r>
          </w:p>
        </w:tc>
        <w:tc>
          <w:tcPr>
            <w:tcW w:w="1742" w:type="dxa"/>
            <w:tcBorders>
              <w:top w:val="single" w:color="auto" w:sz="2" w:space="0"/>
              <w:left w:val="single" w:color="auto" w:sz="2" w:space="0"/>
              <w:right w:val="single" w:color="auto" w:sz="2" w:space="0"/>
            </w:tcBorders>
            <w:vAlign w:val="center"/>
          </w:tcPr>
          <w:p w14:paraId="6DDC9402">
            <w:pPr>
              <w:adjustRightInd w:val="0"/>
              <w:snapToGrid w:val="0"/>
              <w:jc w:val="left"/>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lang w:val="en-US" w:eastAsia="zh-CN"/>
              </w:rPr>
              <w:t>解决争议的方法</w:t>
            </w:r>
          </w:p>
        </w:tc>
        <w:tc>
          <w:tcPr>
            <w:tcW w:w="5170" w:type="dxa"/>
            <w:tcBorders>
              <w:top w:val="single" w:color="auto" w:sz="2" w:space="0"/>
              <w:left w:val="single" w:color="auto" w:sz="2" w:space="0"/>
            </w:tcBorders>
            <w:vAlign w:val="center"/>
          </w:tcPr>
          <w:p w14:paraId="4226FF52">
            <w:pPr>
              <w:autoSpaceDE w:val="0"/>
              <w:autoSpaceDN w:val="0"/>
              <w:adjustRightInd w:val="0"/>
              <w:snapToGrid w:val="0"/>
              <w:spacing w:line="400" w:lineRule="exact"/>
              <w:jc w:val="left"/>
              <w:rPr>
                <w:rFonts w:cs="Times New Roman" w:asciiTheme="minorEastAsia" w:hAnsiTheme="minorEastAsia" w:eastAsiaTheme="minorEastAsia"/>
                <w:iCs/>
                <w:color w:val="auto"/>
                <w:lang w:eastAsia="zh-CN"/>
              </w:rPr>
            </w:pPr>
            <w:r>
              <w:rPr>
                <w:rFonts w:hint="default" w:cs="Times New Roman" w:asciiTheme="minorEastAsia" w:hAnsiTheme="minorEastAsia" w:eastAsiaTheme="minorEastAsia"/>
                <w:iCs/>
                <w:color w:val="auto"/>
                <w:lang w:eastAsia="zh-CN"/>
              </w:rPr>
              <w:t>因本合同及合同有关事项发生的争议，按下列第</w:t>
            </w:r>
            <w:r>
              <w:rPr>
                <w:rFonts w:hint="default" w:cs="Times New Roman" w:asciiTheme="minorEastAsia" w:hAnsiTheme="minorEastAsia" w:eastAsiaTheme="minorEastAsia"/>
                <w:iCs/>
                <w:color w:val="auto"/>
                <w:u w:val="single"/>
                <w:lang w:eastAsia="zh-CN"/>
              </w:rPr>
              <w:t xml:space="preserve"> （</w:t>
            </w:r>
            <w:r>
              <w:rPr>
                <w:rFonts w:hint="default" w:cs="Times New Roman" w:asciiTheme="minorEastAsia" w:hAnsiTheme="minorEastAsia" w:eastAsiaTheme="minorEastAsia"/>
                <w:iCs/>
                <w:color w:val="auto"/>
                <w:u w:val="single"/>
                <w:lang w:val="en-US" w:eastAsia="zh-CN"/>
              </w:rPr>
              <w:t>2</w:t>
            </w:r>
            <w:r>
              <w:rPr>
                <w:rFonts w:hint="default" w:cs="Times New Roman" w:asciiTheme="minorEastAsia" w:hAnsiTheme="minorEastAsia" w:eastAsiaTheme="minorEastAsia"/>
                <w:iCs/>
                <w:color w:val="auto"/>
                <w:u w:val="single"/>
                <w:lang w:eastAsia="zh-CN"/>
              </w:rPr>
              <w:t xml:space="preserve">） </w:t>
            </w:r>
            <w:r>
              <w:rPr>
                <w:rFonts w:hint="default" w:cs="Times New Roman" w:asciiTheme="minorEastAsia" w:hAnsiTheme="minorEastAsia" w:eastAsiaTheme="minorEastAsia"/>
                <w:iCs/>
                <w:color w:val="auto"/>
                <w:lang w:eastAsia="zh-CN"/>
              </w:rPr>
              <w:t>种方式解决：</w:t>
            </w:r>
          </w:p>
          <w:p w14:paraId="6D1DCA86">
            <w:pPr>
              <w:autoSpaceDE w:val="0"/>
              <w:autoSpaceDN w:val="0"/>
              <w:adjustRightInd w:val="0"/>
              <w:snapToGrid w:val="0"/>
              <w:spacing w:line="400" w:lineRule="exact"/>
              <w:jc w:val="left"/>
              <w:rPr>
                <w:rFonts w:cs="Times New Roman" w:asciiTheme="minorEastAsia" w:hAnsiTheme="minorEastAsia" w:eastAsiaTheme="minorEastAsia"/>
                <w:iCs/>
                <w:color w:val="auto"/>
                <w:lang w:eastAsia="zh-CN"/>
              </w:rPr>
            </w:pPr>
            <w:r>
              <w:rPr>
                <w:rFonts w:hint="default" w:cs="Times New Roman" w:asciiTheme="minorEastAsia" w:hAnsiTheme="minorEastAsia" w:eastAsiaTheme="minorEastAsia"/>
                <w:iCs/>
                <w:color w:val="auto"/>
                <w:lang w:eastAsia="zh-CN"/>
              </w:rPr>
              <w:t>（1）向</w:t>
            </w:r>
            <w:r>
              <w:rPr>
                <w:rFonts w:hint="default" w:cs="Times New Roman" w:asciiTheme="minorEastAsia" w:hAnsiTheme="minorEastAsia" w:eastAsiaTheme="minorEastAsia"/>
                <w:iCs/>
                <w:color w:val="auto"/>
                <w:u w:val="single"/>
                <w:lang w:eastAsia="zh-CN"/>
              </w:rPr>
              <w:t xml:space="preserve">        </w:t>
            </w:r>
            <w:r>
              <w:rPr>
                <w:rFonts w:hint="default" w:cs="Times New Roman" w:asciiTheme="minorEastAsia" w:hAnsiTheme="minorEastAsia" w:eastAsiaTheme="minorEastAsia"/>
                <w:iCs/>
                <w:color w:val="auto"/>
                <w:lang w:eastAsia="zh-CN"/>
              </w:rPr>
              <w:t>仲裁委员会申请仲裁，仲裁地点为</w:t>
            </w:r>
            <w:r>
              <w:rPr>
                <w:rFonts w:hint="default" w:cs="Times New Roman" w:asciiTheme="minorEastAsia" w:hAnsiTheme="minorEastAsia" w:eastAsiaTheme="minorEastAsia"/>
                <w:iCs/>
                <w:color w:val="auto"/>
                <w:u w:val="single"/>
                <w:lang w:eastAsia="zh-CN"/>
              </w:rPr>
              <w:t xml:space="preserve">           </w:t>
            </w:r>
            <w:r>
              <w:rPr>
                <w:rFonts w:hint="default" w:cs="Times New Roman" w:asciiTheme="minorEastAsia" w:hAnsiTheme="minorEastAsia" w:eastAsiaTheme="minorEastAsia"/>
                <w:iCs/>
                <w:color w:val="auto"/>
                <w:lang w:eastAsia="zh-CN"/>
              </w:rPr>
              <w:t>；</w:t>
            </w:r>
          </w:p>
          <w:p w14:paraId="2AEF5970">
            <w:pPr>
              <w:adjustRightInd w:val="0"/>
              <w:snapToGrid w:val="0"/>
              <w:jc w:val="left"/>
              <w:rPr>
                <w:rFonts w:cs="Times New Roman" w:asciiTheme="minorEastAsia" w:hAnsiTheme="minorEastAsia" w:eastAsiaTheme="minorEastAsia"/>
                <w:color w:val="auto"/>
                <w:u w:val="single"/>
                <w:lang w:eastAsia="zh-CN"/>
              </w:rPr>
            </w:pPr>
            <w:r>
              <w:rPr>
                <w:rFonts w:hint="default" w:cs="Times New Roman" w:asciiTheme="minorEastAsia" w:hAnsiTheme="minorEastAsia" w:eastAsiaTheme="minorEastAsia"/>
                <w:iCs/>
                <w:color w:val="auto"/>
                <w:lang w:eastAsia="zh-CN"/>
              </w:rPr>
              <w:t>（2）向</w:t>
            </w:r>
            <w:r>
              <w:rPr>
                <w:rFonts w:hint="default" w:cs="Times New Roman" w:asciiTheme="minorEastAsia" w:hAnsiTheme="minorEastAsia" w:eastAsiaTheme="minorEastAsia"/>
                <w:iCs/>
                <w:color w:val="auto"/>
                <w:u w:val="single"/>
                <w:lang w:eastAsia="zh-CN"/>
              </w:rPr>
              <w:t xml:space="preserve"> </w:t>
            </w:r>
            <w:r>
              <w:rPr>
                <w:rFonts w:hint="default" w:cs="Times New Roman" w:asciiTheme="minorEastAsia" w:hAnsiTheme="minorEastAsia" w:eastAsiaTheme="minorEastAsia"/>
                <w:iCs/>
                <w:color w:val="auto"/>
                <w:u w:val="single"/>
                <w:lang w:val="en-US" w:eastAsia="zh-CN"/>
              </w:rPr>
              <w:t>甲方所在地</w:t>
            </w:r>
            <w:r>
              <w:rPr>
                <w:rFonts w:hint="default" w:cs="Times New Roman" w:asciiTheme="minorEastAsia" w:hAnsiTheme="minorEastAsia" w:eastAsiaTheme="minorEastAsia"/>
                <w:iCs/>
                <w:color w:val="auto"/>
                <w:u w:val="single"/>
                <w:lang w:eastAsia="zh-CN"/>
              </w:rPr>
              <w:t xml:space="preserve"> </w:t>
            </w:r>
            <w:r>
              <w:rPr>
                <w:rFonts w:hint="default" w:cs="Times New Roman" w:asciiTheme="minorEastAsia" w:hAnsiTheme="minorEastAsia" w:eastAsiaTheme="minorEastAsia"/>
                <w:iCs/>
                <w:color w:val="auto"/>
                <w:lang w:eastAsia="zh-CN"/>
              </w:rPr>
              <w:t>人民法院起诉。</w:t>
            </w:r>
          </w:p>
        </w:tc>
      </w:tr>
      <w:tr w14:paraId="6728CD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vAlign w:val="center"/>
          </w:tcPr>
          <w:p w14:paraId="2928EF08">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第二节</w:t>
            </w:r>
          </w:p>
          <w:p w14:paraId="2266D21C">
            <w:pPr>
              <w:adjustRightInd w:val="0"/>
              <w:snapToGrid w:val="0"/>
              <w:jc w:val="center"/>
              <w:rPr>
                <w:rFonts w:cs="Times New Roman" w:asciiTheme="minorEastAsia" w:hAnsiTheme="minorEastAsia" w:eastAsiaTheme="minorEastAsia"/>
                <w:color w:val="auto"/>
              </w:rPr>
            </w:pPr>
            <w:r>
              <w:rPr>
                <w:rFonts w:hint="default" w:cs="Times New Roman" w:asciiTheme="minorEastAsia" w:hAnsiTheme="minorEastAsia" w:eastAsiaTheme="minorEastAsia"/>
                <w:color w:val="auto"/>
              </w:rPr>
              <w:t>第2</w:t>
            </w:r>
            <w:r>
              <w:rPr>
                <w:rFonts w:hint="default" w:cs="Times New Roman" w:asciiTheme="minorEastAsia" w:hAnsiTheme="minorEastAsia" w:eastAsiaTheme="minorEastAsia"/>
                <w:color w:val="auto"/>
                <w:lang w:val="en-US" w:eastAsia="zh-CN"/>
              </w:rPr>
              <w:t>3.1</w:t>
            </w:r>
            <w:r>
              <w:rPr>
                <w:rFonts w:hint="default" w:cs="Times New Roman" w:asciiTheme="minorEastAsia" w:hAnsiTheme="minorEastAsia" w:eastAsiaTheme="minorEastAsia"/>
                <w:color w:val="auto"/>
                <w:lang w:eastAsia="zh-CN"/>
              </w:rPr>
              <w:t>款</w:t>
            </w:r>
          </w:p>
        </w:tc>
        <w:tc>
          <w:tcPr>
            <w:tcW w:w="1742" w:type="dxa"/>
            <w:vAlign w:val="center"/>
          </w:tcPr>
          <w:p w14:paraId="5D974B98">
            <w:pPr>
              <w:adjustRightInd w:val="0"/>
              <w:snapToGrid w:val="0"/>
              <w:jc w:val="left"/>
              <w:rPr>
                <w:rFonts w:cs="Times New Roman" w:asciiTheme="minorEastAsia" w:hAnsiTheme="minorEastAsia" w:eastAsiaTheme="minorEastAsia"/>
                <w:color w:val="auto"/>
              </w:rPr>
            </w:pPr>
            <w:r>
              <w:rPr>
                <w:rFonts w:hint="default" w:cs="Times New Roman" w:asciiTheme="minorEastAsia" w:hAnsiTheme="minorEastAsia" w:eastAsiaTheme="minorEastAsia"/>
                <w:bCs/>
                <w:color w:val="auto"/>
                <w:lang w:eastAsia="zh-CN"/>
              </w:rPr>
              <w:t>其他专用条款</w:t>
            </w:r>
          </w:p>
        </w:tc>
        <w:tc>
          <w:tcPr>
            <w:tcW w:w="5170" w:type="dxa"/>
            <w:vAlign w:val="center"/>
          </w:tcPr>
          <w:p w14:paraId="103BF4BE">
            <w:pPr>
              <w:jc w:val="left"/>
              <w:rPr>
                <w:rFonts w:cs="Times New Roman" w:asciiTheme="minorEastAsia" w:hAnsiTheme="minorEastAsia" w:eastAsiaTheme="minorEastAsia"/>
                <w:color w:val="auto"/>
                <w:lang w:eastAsia="zh-CN"/>
              </w:rPr>
            </w:pPr>
            <w:r>
              <w:rPr>
                <w:rFonts w:hint="default" w:cs="Times New Roman" w:asciiTheme="minorEastAsia" w:hAnsiTheme="minorEastAsia" w:eastAsiaTheme="minorEastAsia"/>
                <w:color w:val="auto"/>
                <w:kern w:val="0"/>
                <w:lang w:val="en-US" w:eastAsia="zh-CN" w:bidi="ar"/>
              </w:rPr>
              <w:t xml:space="preserve">无 </w:t>
            </w:r>
          </w:p>
        </w:tc>
      </w:tr>
    </w:tbl>
    <w:p w14:paraId="235DB57A">
      <w:pPr>
        <w:widowControl w:val="0"/>
        <w:spacing w:before="240" w:after="60"/>
        <w:jc w:val="left"/>
        <w:rPr>
          <w:rFonts w:hint="default" w:ascii="Times New Roman" w:hAnsi="Times New Roman" w:eastAsia="宋体" w:cs="Times New Roman"/>
          <w:b/>
          <w:bCs/>
          <w:color w:val="auto"/>
          <w:sz w:val="30"/>
          <w:szCs w:val="30"/>
          <w:lang w:val="en-US" w:eastAsia="zh-CN"/>
        </w:rPr>
      </w:pPr>
    </w:p>
    <w:p w14:paraId="5D07CBDB">
      <w:pPr>
        <w:widowControl w:val="0"/>
        <w:spacing w:before="240" w:after="60"/>
        <w:jc w:val="left"/>
        <w:rPr>
          <w:rFonts w:hint="default" w:ascii="Times New Roman" w:hAnsi="Times New Roman" w:eastAsia="宋体" w:cs="Times New Roman"/>
          <w:b/>
          <w:bCs/>
          <w:color w:val="auto"/>
          <w:sz w:val="30"/>
          <w:szCs w:val="30"/>
          <w:lang w:val="en-US" w:eastAsia="zh-CN"/>
        </w:rPr>
      </w:pPr>
    </w:p>
    <w:p w14:paraId="0F2475CA">
      <w:pPr>
        <w:widowControl w:val="0"/>
        <w:spacing w:before="240" w:after="60"/>
        <w:jc w:val="left"/>
        <w:rPr>
          <w:rFonts w:hint="default" w:ascii="Times New Roman" w:hAnsi="Times New Roman" w:eastAsia="宋体" w:cs="Times New Roman"/>
          <w:b/>
          <w:bCs/>
          <w:color w:val="auto"/>
          <w:sz w:val="30"/>
          <w:szCs w:val="30"/>
          <w:lang w:val="en-US" w:eastAsia="zh-CN"/>
        </w:rPr>
      </w:pPr>
    </w:p>
    <w:p w14:paraId="04C78913">
      <w:pPr>
        <w:widowControl w:val="0"/>
        <w:spacing w:before="240" w:after="60"/>
        <w:jc w:val="left"/>
        <w:outlineLvl w:val="1"/>
        <w:rPr>
          <w:rFonts w:hint="default" w:ascii="Times New Roman" w:hAnsi="Times New Roman" w:eastAsia="宋体" w:cs="Times New Roman"/>
          <w:b/>
          <w:bCs/>
          <w:color w:val="auto"/>
          <w:sz w:val="28"/>
          <w:szCs w:val="24"/>
          <w:lang w:val="en-US" w:eastAsia="zh-CN"/>
        </w:rPr>
      </w:pPr>
      <w:r>
        <w:rPr>
          <w:rFonts w:hint="default" w:ascii="Times New Roman" w:hAnsi="Times New Roman" w:eastAsia="宋体" w:cs="Times New Roman"/>
          <w:b/>
          <w:bCs/>
          <w:color w:val="auto"/>
          <w:sz w:val="30"/>
          <w:szCs w:val="30"/>
          <w:lang w:val="en-US" w:eastAsia="zh-CN"/>
        </w:rPr>
        <w:br w:type="page"/>
      </w:r>
      <w:r>
        <w:rPr>
          <w:rFonts w:hint="default" w:ascii="Times New Roman" w:hAnsi="Times New Roman" w:eastAsia="宋体" w:cs="Times New Roman"/>
          <w:b/>
          <w:bCs/>
          <w:color w:val="auto"/>
          <w:sz w:val="30"/>
          <w:szCs w:val="30"/>
          <w:lang w:val="en-US" w:eastAsia="zh-CN"/>
        </w:rPr>
        <w:t>附件1：河南省政府采购合同融资政策告知函</w:t>
      </w:r>
      <w:bookmarkEnd w:id="299"/>
      <w:bookmarkEnd w:id="300"/>
      <w:bookmarkEnd w:id="301"/>
      <w:bookmarkEnd w:id="302"/>
      <w:bookmarkEnd w:id="303"/>
      <w:bookmarkEnd w:id="304"/>
      <w:bookmarkEnd w:id="305"/>
      <w:bookmarkEnd w:id="306"/>
      <w:bookmarkEnd w:id="307"/>
      <w:bookmarkEnd w:id="308"/>
      <w:bookmarkEnd w:id="309"/>
      <w:bookmarkEnd w:id="310"/>
    </w:p>
    <w:p w14:paraId="75E24456">
      <w:pPr>
        <w:widowControl w:val="0"/>
        <w:spacing w:before="240" w:after="60"/>
        <w:jc w:val="left"/>
        <w:rPr>
          <w:rFonts w:hint="default" w:ascii="Times New Roman" w:hAnsi="Times New Roman" w:eastAsia="宋体" w:cs="Times New Roman"/>
          <w:b/>
          <w:bCs/>
          <w:color w:val="auto"/>
          <w:sz w:val="28"/>
          <w:szCs w:val="24"/>
          <w:lang w:val="en-US" w:eastAsia="zh-CN"/>
        </w:rPr>
      </w:pPr>
    </w:p>
    <w:p w14:paraId="04649E6B">
      <w:pPr>
        <w:jc w:val="center"/>
        <w:rPr>
          <w:rFonts w:hint="default" w:ascii="Times New Roman" w:hAnsi="Times New Roman" w:eastAsia="宋体" w:cs="Times New Roman"/>
          <w:b/>
          <w:bCs/>
          <w:color w:val="auto"/>
          <w:sz w:val="36"/>
          <w:szCs w:val="28"/>
          <w:lang w:val="en-US" w:eastAsia="zh-CN"/>
        </w:rPr>
      </w:pPr>
      <w:bookmarkStart w:id="315" w:name="_Toc1775221587_WPSOffice_Level1"/>
      <w:bookmarkStart w:id="316" w:name="_Toc285380293_WPSOffice_Level1"/>
      <w:bookmarkStart w:id="317" w:name="_Toc1740618990_WPSOffice_Level1"/>
      <w:bookmarkStart w:id="318" w:name="_Toc495162933_WPSOffice_Level2"/>
      <w:r>
        <w:rPr>
          <w:rFonts w:hint="default" w:ascii="Times New Roman" w:hAnsi="Times New Roman" w:eastAsia="宋体" w:cs="Times New Roman"/>
          <w:b/>
          <w:bCs/>
          <w:color w:val="auto"/>
          <w:sz w:val="36"/>
          <w:szCs w:val="28"/>
          <w:lang w:val="en-US" w:eastAsia="zh-CN"/>
        </w:rPr>
        <w:t>河南省政府采购合同融资政策告知函</w:t>
      </w:r>
      <w:bookmarkEnd w:id="315"/>
      <w:bookmarkEnd w:id="316"/>
      <w:bookmarkEnd w:id="317"/>
      <w:bookmarkEnd w:id="318"/>
    </w:p>
    <w:p w14:paraId="231E1610">
      <w:pPr>
        <w:widowControl w:val="0"/>
        <w:rPr>
          <w:rFonts w:hint="default" w:ascii="Times New Roman" w:hAnsi="Times New Roman" w:eastAsia="仿宋" w:cs="Times New Roman"/>
          <w:color w:val="auto"/>
          <w:sz w:val="32"/>
          <w:szCs w:val="32"/>
          <w:lang w:val="en-US" w:eastAsia="zh-CN"/>
        </w:rPr>
      </w:pPr>
    </w:p>
    <w:p w14:paraId="54411736">
      <w:pPr>
        <w:widowControl w:val="0"/>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各供应商：</w:t>
      </w:r>
    </w:p>
    <w:p w14:paraId="602463AF">
      <w:pPr>
        <w:widowControl w:val="0"/>
        <w:spacing w:line="360" w:lineRule="auto"/>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欢迎贵公司参与河南省政府采购活动！</w:t>
      </w:r>
    </w:p>
    <w:p w14:paraId="6F110E15">
      <w:pPr>
        <w:widowControl w:val="0"/>
        <w:spacing w:line="360" w:lineRule="auto"/>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7C562FD7">
      <w:pPr>
        <w:widowControl w:val="0"/>
        <w:spacing w:line="360" w:lineRule="auto"/>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贷款渠道和提供贷款的金融机构，可在河南省政府采购网“河南省政府采购合同融资平台”查询联系。</w:t>
      </w:r>
    </w:p>
    <w:p w14:paraId="117640D2">
      <w:pPr>
        <w:spacing w:line="360" w:lineRule="auto"/>
        <w:ind w:left="1080" w:hanging="540"/>
        <w:jc w:val="center"/>
        <w:rPr>
          <w:rFonts w:hint="default" w:ascii="Times New Roman" w:hAnsi="Times New Roman" w:eastAsia="仿宋_GB2312" w:cs="Times New Roman"/>
          <w:color w:val="auto"/>
          <w:sz w:val="28"/>
          <w:szCs w:val="28"/>
          <w:lang w:val="en-US" w:eastAsia="zh-CN"/>
        </w:rPr>
      </w:pPr>
    </w:p>
    <w:p w14:paraId="00A1798E">
      <w:pPr>
        <w:rPr>
          <w:rFonts w:hint="default" w:ascii="Times New Roman" w:hAnsi="Times New Roman" w:eastAsia="宋体" w:cs="Times New Roman"/>
          <w:b/>
          <w:bCs/>
          <w:color w:val="auto"/>
          <w:sz w:val="36"/>
          <w:szCs w:val="36"/>
          <w:lang w:eastAsia="zh-CN"/>
        </w:rPr>
      </w:pPr>
    </w:p>
    <w:p w14:paraId="4DC0F814">
      <w:pPr>
        <w:spacing w:line="616" w:lineRule="exact"/>
        <w:ind w:right="86"/>
        <w:jc w:val="center"/>
        <w:rPr>
          <w:rFonts w:hint="default" w:ascii="Times New Roman" w:hAnsi="Times New Roman" w:cs="Times New Roman"/>
          <w:b/>
          <w:color w:val="auto"/>
          <w:sz w:val="52"/>
          <w:szCs w:val="52"/>
          <w:lang w:eastAsia="zh-CN"/>
        </w:rPr>
      </w:pPr>
    </w:p>
    <w:p w14:paraId="7EF9F9A5">
      <w:pPr>
        <w:spacing w:line="360" w:lineRule="auto"/>
        <w:jc w:val="left"/>
        <w:rPr>
          <w:rFonts w:hint="default" w:ascii="Times New Roman" w:hAnsi="Times New Roman" w:cs="Times New Roman"/>
          <w:b/>
          <w:bCs/>
          <w:color w:val="auto"/>
          <w:sz w:val="28"/>
          <w:szCs w:val="28"/>
          <w:lang w:eastAsia="zh-CN"/>
        </w:rPr>
        <w:sectPr>
          <w:headerReference r:id="rId10" w:type="default"/>
          <w:footerReference r:id="rId11" w:type="default"/>
          <w:pgSz w:w="11900" w:h="16840"/>
          <w:pgMar w:top="1440" w:right="1797" w:bottom="1440" w:left="1797" w:header="851" w:footer="992" w:gutter="0"/>
          <w:cols w:space="720" w:num="1"/>
          <w:docGrid w:linePitch="286" w:charSpace="0"/>
        </w:sectPr>
      </w:pPr>
    </w:p>
    <w:p w14:paraId="56EB2733">
      <w:pPr>
        <w:rPr>
          <w:rFonts w:hint="default" w:ascii="Times New Roman" w:hAnsi="Times New Roman" w:eastAsia="黑体" w:cs="Times New Roman"/>
          <w:color w:val="auto"/>
          <w:sz w:val="28"/>
          <w:szCs w:val="28"/>
          <w:lang w:eastAsia="zh-CN"/>
        </w:rPr>
      </w:pPr>
      <w:bookmarkStart w:id="319" w:name="_Toc898079186_WPSOffice_Level3"/>
      <w:r>
        <w:rPr>
          <w:rFonts w:hint="default" w:ascii="Times New Roman" w:hAnsi="Times New Roman" w:cs="Times New Roman"/>
          <w:b/>
          <w:bCs/>
          <w:color w:val="auto"/>
          <w:sz w:val="32"/>
          <w:szCs w:val="32"/>
          <w:lang w:eastAsia="zh-CN"/>
        </w:rPr>
        <w:t>附：</w:t>
      </w:r>
      <w:bookmarkEnd w:id="319"/>
    </w:p>
    <w:p w14:paraId="164BBDE6">
      <w:pPr>
        <w:jc w:val="center"/>
        <w:outlineLvl w:val="1"/>
        <w:rPr>
          <w:rFonts w:hint="default" w:ascii="Times New Roman" w:hAnsi="Times New Roman" w:cs="Times New Roman"/>
          <w:b/>
          <w:bCs/>
          <w:color w:val="auto"/>
          <w:sz w:val="32"/>
          <w:szCs w:val="32"/>
          <w:lang w:eastAsia="zh-CN"/>
        </w:rPr>
      </w:pPr>
      <w:bookmarkStart w:id="320" w:name="_Toc347624563"/>
      <w:bookmarkStart w:id="321" w:name="_Toc853194655"/>
      <w:bookmarkStart w:id="322" w:name="_Toc658018444_WPSOffice_Level2"/>
      <w:bookmarkStart w:id="323" w:name="_Toc1587242122"/>
      <w:r>
        <w:rPr>
          <w:rFonts w:hint="default" w:ascii="Times New Roman" w:hAnsi="Times New Roman" w:cs="Times New Roman"/>
          <w:b/>
          <w:bCs/>
          <w:color w:val="auto"/>
          <w:sz w:val="32"/>
          <w:szCs w:val="32"/>
          <w:lang w:eastAsia="zh-CN"/>
        </w:rPr>
        <w:t>关于印发中小企业划型标准规定的通知</w:t>
      </w:r>
      <w:bookmarkEnd w:id="320"/>
      <w:bookmarkEnd w:id="321"/>
      <w:bookmarkEnd w:id="322"/>
      <w:bookmarkEnd w:id="323"/>
    </w:p>
    <w:p w14:paraId="72C0E962">
      <w:pPr>
        <w:pStyle w:val="46"/>
        <w:spacing w:line="480" w:lineRule="exact"/>
        <w:jc w:val="center"/>
        <w:rPr>
          <w:rFonts w:ascii="Times New Roman" w:hAnsi="Times New Roman" w:eastAsia="仿宋_GB2312" w:cs="Times New Roman"/>
          <w:sz w:val="28"/>
          <w:szCs w:val="28"/>
        </w:rPr>
      </w:pPr>
      <w:bookmarkStart w:id="324" w:name="_Toc1413325678_WPSOffice_Level3"/>
      <w:r>
        <w:rPr>
          <w:rFonts w:ascii="Times New Roman" w:hAnsi="Times New Roman" w:eastAsia="仿宋_GB2312" w:cs="Times New Roman"/>
          <w:sz w:val="28"/>
          <w:szCs w:val="28"/>
        </w:rPr>
        <w:t>工信部联企业[2011]300号</w:t>
      </w:r>
      <w:bookmarkEnd w:id="324"/>
    </w:p>
    <w:p w14:paraId="6DC643B8">
      <w:pPr>
        <w:pStyle w:val="46"/>
        <w:spacing w:line="48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各省、自治区、直辖市人民政府，国务院各部委、各直属机构及有关单位：</w:t>
      </w:r>
    </w:p>
    <w:p w14:paraId="6A20D211">
      <w:pPr>
        <w:pStyle w:val="46"/>
        <w:spacing w:line="48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　　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0827C97F">
      <w:pPr>
        <w:pStyle w:val="46"/>
        <w:spacing w:line="480" w:lineRule="exact"/>
        <w:jc w:val="right"/>
        <w:rPr>
          <w:rFonts w:ascii="Times New Roman" w:hAnsi="Times New Roman" w:eastAsia="仿宋_GB2312" w:cs="Times New Roman"/>
          <w:sz w:val="28"/>
          <w:szCs w:val="28"/>
        </w:rPr>
      </w:pPr>
      <w:r>
        <w:rPr>
          <w:rFonts w:ascii="Times New Roman" w:hAnsi="Times New Roman" w:eastAsia="仿宋_GB2312" w:cs="Times New Roman"/>
          <w:sz w:val="28"/>
          <w:szCs w:val="28"/>
        </w:rPr>
        <w:t>　　　　　　　　　　　　　　　　　　　　　　 工业和信息化部　国家统计局</w:t>
      </w:r>
    </w:p>
    <w:p w14:paraId="7969AF27">
      <w:pPr>
        <w:pStyle w:val="46"/>
        <w:spacing w:line="480" w:lineRule="exact"/>
        <w:jc w:val="right"/>
        <w:rPr>
          <w:rFonts w:ascii="Times New Roman" w:hAnsi="Times New Roman" w:eastAsia="仿宋_GB2312" w:cs="Times New Roman"/>
          <w:sz w:val="28"/>
          <w:szCs w:val="28"/>
        </w:rPr>
      </w:pPr>
      <w:r>
        <w:rPr>
          <w:rFonts w:ascii="Times New Roman" w:hAnsi="Times New Roman" w:eastAsia="仿宋_GB2312" w:cs="Times New Roman"/>
          <w:sz w:val="28"/>
          <w:szCs w:val="28"/>
        </w:rPr>
        <w:t>　　　　　　　　　　　　　　　　　　　国家发展和改革委员会　财政部</w:t>
      </w:r>
    </w:p>
    <w:p w14:paraId="667156D7">
      <w:pPr>
        <w:pStyle w:val="46"/>
        <w:spacing w:line="480" w:lineRule="exact"/>
        <w:jc w:val="right"/>
        <w:rPr>
          <w:rFonts w:ascii="Times New Roman" w:hAnsi="Times New Roman" w:eastAsia="仿宋_GB2312" w:cs="Times New Roman"/>
          <w:sz w:val="28"/>
          <w:szCs w:val="28"/>
        </w:rPr>
      </w:pPr>
      <w:r>
        <w:rPr>
          <w:rFonts w:ascii="Times New Roman" w:hAnsi="Times New Roman" w:eastAsia="仿宋_GB2312" w:cs="Times New Roman"/>
          <w:sz w:val="28"/>
          <w:szCs w:val="28"/>
        </w:rPr>
        <w:t>　　　　　　　　　　　　　　　　　　　二〇一一年六月十八日</w:t>
      </w:r>
    </w:p>
    <w:p w14:paraId="251D50B2">
      <w:pPr>
        <w:pStyle w:val="46"/>
        <w:spacing w:line="48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附件： </w:t>
      </w:r>
    </w:p>
    <w:p w14:paraId="70AD874A">
      <w:pPr>
        <w:pStyle w:val="46"/>
        <w:spacing w:line="480" w:lineRule="exact"/>
        <w:jc w:val="center"/>
        <w:rPr>
          <w:rFonts w:ascii="Times New Roman" w:hAnsi="Times New Roman" w:eastAsia="仿宋_GB2312" w:cs="Times New Roman"/>
          <w:sz w:val="28"/>
          <w:szCs w:val="28"/>
        </w:rPr>
      </w:pPr>
      <w:bookmarkStart w:id="325" w:name="_Toc1817875417_WPSOffice_Level2"/>
      <w:r>
        <w:rPr>
          <w:rStyle w:val="55"/>
          <w:rFonts w:ascii="Times New Roman" w:hAnsi="Times New Roman" w:eastAsia="仿宋_GB2312" w:cs="Times New Roman"/>
          <w:sz w:val="28"/>
          <w:szCs w:val="28"/>
        </w:rPr>
        <w:t>中小企业划型标准规定</w:t>
      </w:r>
      <w:bookmarkEnd w:id="325"/>
    </w:p>
    <w:p w14:paraId="4C2C1ECA">
      <w:pPr>
        <w:pStyle w:val="46"/>
        <w:spacing w:line="48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    一、根据《中华人民共和国中小企业促进法》和《国务院关于进一步促进中小企业发展的若干意见》(国发〔2009〕36号)，制定本规定。</w:t>
      </w:r>
    </w:p>
    <w:p w14:paraId="53A5FD6E">
      <w:pPr>
        <w:pStyle w:val="46"/>
        <w:spacing w:line="48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　　二、中小企业划分为中型、小型、微型三种类型，具体标准根据企业从业人员、营业收入、资产总额等指标，结合行业特点制定。</w:t>
      </w:r>
    </w:p>
    <w:p w14:paraId="21F83AD5">
      <w:pPr>
        <w:pStyle w:val="46"/>
        <w:spacing w:line="48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4AF5B700">
      <w:pPr>
        <w:pStyle w:val="46"/>
        <w:spacing w:line="48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　　四、各行业划型标准为：</w:t>
      </w:r>
    </w:p>
    <w:p w14:paraId="4F7A48A0">
      <w:pPr>
        <w:pStyle w:val="46"/>
        <w:spacing w:line="48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　　（一）农、林、牧、渔业。营业收入20000万元以下的为中小微型企业。其中，营业收入500万元及以上的为中型企业，营业收入50万元及以上的为小型企业，营业收入50万元以下的为微型企业。</w:t>
      </w:r>
    </w:p>
    <w:p w14:paraId="214102DC">
      <w:pPr>
        <w:pStyle w:val="46"/>
        <w:spacing w:line="48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56177881">
      <w:pPr>
        <w:pStyle w:val="46"/>
        <w:spacing w:line="48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5D76CABF">
      <w:pPr>
        <w:pStyle w:val="46"/>
        <w:spacing w:line="48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314CF215">
      <w:pPr>
        <w:pStyle w:val="46"/>
        <w:spacing w:line="48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6FEFCA4C">
      <w:pPr>
        <w:pStyle w:val="46"/>
        <w:spacing w:line="48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5D30A810">
      <w:pPr>
        <w:pStyle w:val="46"/>
        <w:spacing w:line="48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2EAC61BA">
      <w:pPr>
        <w:pStyle w:val="46"/>
        <w:spacing w:line="48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262DF656">
      <w:pPr>
        <w:pStyle w:val="46"/>
        <w:spacing w:line="48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4C500BF2">
      <w:pPr>
        <w:pStyle w:val="46"/>
        <w:spacing w:line="48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35E7206D">
      <w:pPr>
        <w:pStyle w:val="46"/>
        <w:spacing w:line="48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7ED3C372">
      <w:pPr>
        <w:pStyle w:val="46"/>
        <w:spacing w:line="48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1CFDE20E">
      <w:pPr>
        <w:pStyle w:val="46"/>
        <w:spacing w:line="48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52D5ED74">
      <w:pPr>
        <w:pStyle w:val="46"/>
        <w:spacing w:line="48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74036815">
      <w:pPr>
        <w:pStyle w:val="46"/>
        <w:spacing w:line="48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41BCF1E1">
      <w:pPr>
        <w:pStyle w:val="46"/>
        <w:spacing w:line="48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　　（十六）其他未列明行业。从业人员300人以下的为中小微型企业。其中，从业人员100人及以上的为中型企业；从业人员10人及以上的为小型企业；从业人员10人以下的为微型企业。</w:t>
      </w:r>
    </w:p>
    <w:p w14:paraId="08980F25">
      <w:pPr>
        <w:pStyle w:val="46"/>
        <w:spacing w:line="48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　　五、企业类型的划分以统计部门的统计数据为依据。</w:t>
      </w:r>
    </w:p>
    <w:p w14:paraId="4C89C014">
      <w:pPr>
        <w:pStyle w:val="46"/>
        <w:spacing w:line="48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　　六、本规定适用于在中华人民共和国境内依法设立的各类所有制和各种组织形式的企业。个体工商户和本规定以外的行业，参照本规定进行划型。</w:t>
      </w:r>
    </w:p>
    <w:p w14:paraId="5B9A9D99">
      <w:pPr>
        <w:pStyle w:val="46"/>
        <w:spacing w:line="480" w:lineRule="exact"/>
        <w:rPr>
          <w:rFonts w:ascii="Times New Roman" w:hAnsi="Times New Roman" w:eastAsia="仿宋_GB2312" w:cs="Times New Roman"/>
          <w:sz w:val="28"/>
          <w:szCs w:val="28"/>
        </w:rPr>
        <w:sectPr>
          <w:footerReference r:id="rId12" w:type="default"/>
          <w:pgSz w:w="11906" w:h="16839"/>
          <w:pgMar w:top="1431" w:right="1193" w:bottom="1386" w:left="1193" w:header="0" w:footer="1213" w:gutter="0"/>
          <w:cols w:space="720" w:num="1"/>
        </w:sectPr>
      </w:pPr>
    </w:p>
    <w:p w14:paraId="559CEAB8">
      <w:pPr>
        <w:pStyle w:val="46"/>
        <w:spacing w:line="48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　　七、本规定的中型企业标准上限即为大型企业标准的下限，国家统计部门据此制定大中小微型企业的统计分类。国务院有关部门据此进行相关数据分析，不得制定与本规定不一致的企业划型标准。</w:t>
      </w:r>
    </w:p>
    <w:p w14:paraId="7FE58382">
      <w:pPr>
        <w:pStyle w:val="46"/>
        <w:spacing w:line="48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　　八、本规定由工业和信息化部、国家统计局会同有关部门根据《国民经济行业分类》修订情况和企业发展变化情况适时修订。</w:t>
      </w:r>
    </w:p>
    <w:p w14:paraId="22F31D4C">
      <w:pPr>
        <w:pStyle w:val="46"/>
        <w:spacing w:line="48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　　九、本规定由工业和信息化部、国家统计局会同有关部门负责解释。</w:t>
      </w:r>
    </w:p>
    <w:p w14:paraId="63B7A4E1">
      <w:pPr>
        <w:pStyle w:val="46"/>
        <w:spacing w:line="480" w:lineRule="exact"/>
        <w:rPr>
          <w:rFonts w:ascii="Times New Roman" w:hAnsi="Times New Roman" w:eastAsia="仿宋" w:cs="Times New Roman"/>
          <w:b/>
          <w:bCs/>
          <w:sz w:val="28"/>
          <w:szCs w:val="28"/>
        </w:rPr>
        <w:sectPr>
          <w:footerReference r:id="rId13" w:type="default"/>
          <w:pgSz w:w="11906" w:h="16839"/>
          <w:pgMar w:top="1431" w:right="1193" w:bottom="1386" w:left="1193" w:header="0" w:footer="1213" w:gutter="0"/>
          <w:cols w:space="720" w:num="1"/>
        </w:sectPr>
      </w:pPr>
      <w:r>
        <w:rPr>
          <w:rFonts w:ascii="Times New Roman" w:hAnsi="Times New Roman" w:eastAsia="仿宋_GB2312" w:cs="Times New Roman"/>
          <w:sz w:val="28"/>
          <w:szCs w:val="28"/>
        </w:rPr>
        <w:t>　　十、本规定自发布之日起执行，原国家经贸委、原国家计委、财政部和国家统计局2003年颁布的《中小企业标准暂行规定》同时废止</w:t>
      </w:r>
      <w:bookmarkEnd w:id="259"/>
      <w:bookmarkEnd w:id="260"/>
      <w:bookmarkEnd w:id="261"/>
      <w:bookmarkEnd w:id="262"/>
      <w:bookmarkEnd w:id="263"/>
      <w:bookmarkEnd w:id="264"/>
      <w:bookmarkEnd w:id="265"/>
      <w:bookmarkEnd w:id="266"/>
      <w:bookmarkEnd w:id="267"/>
      <w:bookmarkEnd w:id="268"/>
      <w:bookmarkEnd w:id="269"/>
      <w:bookmarkEnd w:id="270"/>
      <w:bookmarkEnd w:id="271"/>
      <w:r>
        <w:rPr>
          <w:rFonts w:ascii="Times New Roman" w:hAnsi="Times New Roman" w:eastAsia="仿宋_GB2312" w:cs="Times New Roman"/>
          <w:sz w:val="28"/>
          <w:szCs w:val="28"/>
        </w:rPr>
        <w:t>。</w:t>
      </w:r>
    </w:p>
    <w:p w14:paraId="173D3564">
      <w:pPr>
        <w:pStyle w:val="46"/>
        <w:spacing w:line="480" w:lineRule="exact"/>
        <w:rPr>
          <w:rFonts w:hint="eastAsia"/>
        </w:rPr>
      </w:pPr>
    </w:p>
    <w:sectPr>
      <w:headerReference r:id="rId14" w:type="default"/>
      <w:footerReference r:id="rId15" w:type="default"/>
      <w:pgSz w:w="11900" w:h="16840"/>
      <w:pgMar w:top="1440" w:right="1797" w:bottom="1440" w:left="1797" w:header="851" w:footer="992"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F000D345-0DBD-49B5-9D3A-84E1F5D42CE2}"/>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797244B2-0665-4522-8A2E-1F776A7E96D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B2EDEE9C-A23A-4FAE-AB8B-E87D737B3273}"/>
  </w:font>
  <w:font w:name="Arial Unicode MS">
    <w:altName w:val="Malgun Gothic Semilight"/>
    <w:panose1 w:val="020B0604020202020204"/>
    <w:charset w:val="86"/>
    <w:family w:val="swiss"/>
    <w:pitch w:val="default"/>
    <w:sig w:usb0="00000000" w:usb1="00000000" w:usb2="0000007F" w:usb3="00000000" w:csb0="203F01FF" w:csb1="DFFF0000"/>
    <w:embedRegular r:id="rId4" w:fontKey="{DC9BA197-A66F-4EE8-A73A-4F909CB4E745}"/>
  </w:font>
  <w:font w:name="Malgun Gothic Semilight">
    <w:panose1 w:val="020B0502040204020203"/>
    <w:charset w:val="86"/>
    <w:family w:val="swiss"/>
    <w:pitch w:val="default"/>
    <w:sig w:usb0="900002AF" w:usb1="01D77CFB" w:usb2="00000012" w:usb3="00000000" w:csb0="203E01BD" w:csb1="D7FF0000"/>
    <w:embedRegular r:id="rId5" w:fontKey="{68928CD6-5D7E-4895-829F-068730B3BC46}"/>
  </w:font>
  <w:font w:name="Cambria">
    <w:panose1 w:val="02040503050406030204"/>
    <w:charset w:val="00"/>
    <w:family w:val="roman"/>
    <w:pitch w:val="default"/>
    <w:sig w:usb0="E00006FF" w:usb1="420024FF" w:usb2="02000000" w:usb3="00000000" w:csb0="2000019F" w:csb1="00000000"/>
    <w:embedRegular r:id="rId6" w:fontKey="{C674E0CD-3F04-4772-BC70-576325BA99A8}"/>
  </w:font>
  <w:font w:name="Arial">
    <w:panose1 w:val="020B0604020202020204"/>
    <w:charset w:val="00"/>
    <w:family w:val="swiss"/>
    <w:pitch w:val="default"/>
    <w:sig w:usb0="E0002EFF" w:usb1="C000785B" w:usb2="00000009" w:usb3="00000000" w:csb0="400001FF" w:csb1="FFFF0000"/>
    <w:embedRegular r:id="rId7" w:fontKey="{72D3F867-B351-4736-91D4-399257760EE1}"/>
  </w:font>
  <w:font w:name="仿宋_GB2312">
    <w:panose1 w:val="02010609030101010101"/>
    <w:charset w:val="86"/>
    <w:family w:val="modern"/>
    <w:pitch w:val="default"/>
    <w:sig w:usb0="00000001" w:usb1="080E0000" w:usb2="00000000" w:usb3="00000000" w:csb0="00040000" w:csb1="00000000"/>
    <w:embedRegular r:id="rId8" w:fontKey="{9D700BA8-3E57-4F16-813B-3413961F6536}"/>
  </w:font>
  <w:font w:name="楷体_GB2312">
    <w:altName w:val="楷体"/>
    <w:panose1 w:val="02010609030101010101"/>
    <w:charset w:val="86"/>
    <w:family w:val="modern"/>
    <w:pitch w:val="default"/>
    <w:sig w:usb0="00000000" w:usb1="0000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monospace">
    <w:altName w:val="华文仿宋"/>
    <w:panose1 w:val="00000000000000000000"/>
    <w:charset w:val="00"/>
    <w:family w:val="auto"/>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 w:name="ActionIcon ! important">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embedRegular r:id="rId9" w:fontKey="{C5B6959A-FB51-4D79-9743-0A256728C40D}"/>
  </w:font>
  <w:font w:name="Helvetica Neue">
    <w:altName w:val="Times New Roman"/>
    <w:panose1 w:val="00000000000000000000"/>
    <w:charset w:val="00"/>
    <w:family w:val="auto"/>
    <w:pitch w:val="default"/>
    <w:sig w:usb0="00000000" w:usb1="00000000" w:usb2="00000010" w:usb3="00000000" w:csb0="00000000"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华文楷体">
    <w:panose1 w:val="02010600040101010101"/>
    <w:charset w:val="86"/>
    <w:family w:val="auto"/>
    <w:pitch w:val="default"/>
    <w:sig w:usb0="00000287" w:usb1="080F0000" w:usb2="00000000" w:usb3="00000000" w:csb0="0004009F" w:csb1="DFD70000"/>
  </w:font>
  <w:font w:name="CESI宋体-GB2312">
    <w:altName w:val="宋体"/>
    <w:panose1 w:val="00000000000000000000"/>
    <w:charset w:val="86"/>
    <w:family w:val="auto"/>
    <w:pitch w:val="default"/>
    <w:sig w:usb0="00000000" w:usb1="00000000" w:usb2="00000010" w:usb3="00000000" w:csb0="0004000F" w:csb1="00000000"/>
    <w:embedRegular r:id="rId10" w:fontKey="{B2405408-3BC1-4305-BC46-69DD873B219C}"/>
  </w:font>
  <w:font w:name="方正小标宋_GBK">
    <w:altName w:val="微软雅黑"/>
    <w:panose1 w:val="00000000000000000000"/>
    <w:charset w:val="86"/>
    <w:family w:val="script"/>
    <w:pitch w:val="default"/>
    <w:sig w:usb0="00000000" w:usb1="00000000" w:usb2="00082016" w:usb3="00000000" w:csb0="00040001" w:csb1="00000000"/>
    <w:embedRegular r:id="rId11" w:fontKey="{C024886B-3DB5-4CD5-99DF-2C78A74F8EC7}"/>
  </w:font>
  <w:font w:name="仿宋">
    <w:panose1 w:val="02010609060101010101"/>
    <w:charset w:val="86"/>
    <w:family w:val="modern"/>
    <w:pitch w:val="default"/>
    <w:sig w:usb0="800002BF" w:usb1="38CF7CFA" w:usb2="00000016" w:usb3="00000000" w:csb0="00040001" w:csb1="00000000"/>
    <w:embedRegular r:id="rId12" w:fontKey="{319A12C3-E52A-40D1-AE19-9D1CC7A70DE1}"/>
  </w:font>
  <w:font w:name="PMingLiU">
    <w:altName w:val="Microsoft JhengHei UI"/>
    <w:panose1 w:val="02010601000101010101"/>
    <w:charset w:val="88"/>
    <w:family w:val="roman"/>
    <w:pitch w:val="default"/>
    <w:sig w:usb0="00000000" w:usb1="00000000" w:usb2="00000016" w:usb3="00000000" w:csb0="00100001" w:csb1="00000000"/>
    <w:embedRegular r:id="rId13" w:fontKey="{90BA75B7-7050-4C5C-BDC1-3C8EC68DFA27}"/>
  </w:font>
  <w:font w:name="Segoe UI Symbol">
    <w:panose1 w:val="020B0502040204020203"/>
    <w:charset w:val="00"/>
    <w:family w:val="swiss"/>
    <w:pitch w:val="default"/>
    <w:sig w:usb0="800001E3" w:usb1="1200FFEF" w:usb2="00040000" w:usb3="04000000" w:csb0="00000001" w:csb1="40000000"/>
    <w:embedRegular r:id="rId14" w:fontKey="{4184F3D8-C58E-41B8-B8F5-71498F456434}"/>
  </w:font>
  <w:font w:name="Wingdings 2">
    <w:panose1 w:val="05020102010507070707"/>
    <w:charset w:val="02"/>
    <w:family w:val="roman"/>
    <w:pitch w:val="default"/>
    <w:sig w:usb0="00000000" w:usb1="00000000" w:usb2="00000000" w:usb3="00000000" w:csb0="80000000" w:csb1="00000000"/>
    <w:embedRegular r:id="rId15" w:fontKey="{5F9247DD-47D5-4E3D-98F0-214E68D5805B}"/>
  </w:font>
  <w:font w:name="汉仪书宋二S">
    <w:altName w:val="宋体"/>
    <w:panose1 w:val="00000000000000000000"/>
    <w:charset w:val="86"/>
    <w:family w:val="auto"/>
    <w:pitch w:val="default"/>
    <w:sig w:usb0="00000000" w:usb1="00000000" w:usb2="00000016" w:usb3="00000000" w:csb0="00040000" w:csb1="00000000"/>
    <w:embedRegular r:id="rId16" w:fontKey="{09DF8DD2-C227-41C9-88B9-7DA4ADBB5051}"/>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17" w:fontKey="{0B886099-B93F-4AD1-A62F-7B4AFAF670B0}"/>
  </w:font>
  <w:font w:name="东文宋体">
    <w:altName w:val="Calibri"/>
    <w:panose1 w:val="00000000000000000000"/>
    <w:charset w:val="00"/>
    <w:family w:val="auto"/>
    <w:pitch w:val="default"/>
    <w:sig w:usb0="00000000" w:usb1="00000000" w:usb2="00000000" w:usb3="00000000" w:csb0="00000000" w:csb1="00000000"/>
    <w:embedRegular r:id="rId18" w:fontKey="{5083D6B1-E638-49F0-9C26-5B687613BE05}"/>
  </w:font>
  <w:font w:name="KSOFB31C1773">
    <w:panose1 w:val="020B0502040204020203"/>
    <w:charset w:val="86"/>
    <w:family w:val="auto"/>
    <w:pitch w:val="default"/>
    <w:sig w:usb0="00000001" w:usb1="00000000" w:usb2="00000000" w:usb3="00000000" w:csb0="003E0001" w:csb1="00000000"/>
  </w:font>
  <w:font w:name="Microsoft JhengHei UI">
    <w:panose1 w:val="020B0604030504040204"/>
    <w:charset w:val="88"/>
    <w:family w:val="auto"/>
    <w:pitch w:val="default"/>
    <w:sig w:usb0="000002A7" w:usb1="28CF4400" w:usb2="00000016" w:usb3="00000000" w:csb0="00100009" w:csb1="00000000"/>
  </w:font>
  <w:font w:name="Microsoft YaHei UI">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0C4C8">
    <w:pPr>
      <w:pStyle w:val="2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3" name="文本框 9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E63B26">
                          <w:pPr>
                            <w:pStyle w:val="29"/>
                          </w:pPr>
                          <w:r>
                            <w:fldChar w:fldCharType="begin"/>
                          </w:r>
                          <w:r>
                            <w:instrText xml:space="preserve"> PAGE  \* MERGEFORMAT </w:instrText>
                          </w:r>
                          <w:r>
                            <w:fldChar w:fldCharType="separate"/>
                          </w:r>
                          <w:r>
                            <w:rPr>
                              <w:rFonts w:hint="default"/>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LgtAgAAVwQAAA4AAABkcnMvZTJvRG9jLnhtbK1UzY7TMBC+I/EO&#10;lu80aVesSt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Q/LgtAgAAVwQAAA4AAAAAAAAAAQAgAAAAHwEAAGRycy9lMm9Eb2MueG1sUEsFBgAAAAAG&#10;AAYAWQEAAL4FAAAAAA==&#10;">
              <v:fill on="f" focussize="0,0"/>
              <v:stroke on="f" weight="0.5pt"/>
              <v:imagedata o:title=""/>
              <o:lock v:ext="edit" aspectratio="f"/>
              <v:textbox inset="0mm,0mm,0mm,0mm" style="mso-fit-shape-to-text:t;">
                <w:txbxContent>
                  <w:p w14:paraId="2EE63B26">
                    <w:pPr>
                      <w:pStyle w:val="29"/>
                    </w:pPr>
                    <w:r>
                      <w:fldChar w:fldCharType="begin"/>
                    </w:r>
                    <w:r>
                      <w:instrText xml:space="preserve"> PAGE  \* MERGEFORMAT </w:instrText>
                    </w:r>
                    <w:r>
                      <w:fldChar w:fldCharType="separate"/>
                    </w:r>
                    <w:r>
                      <w:rPr>
                        <w:rFonts w:hint="default"/>
                      </w:rP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DE8A8">
    <w:pPr>
      <w:pStyle w:val="29"/>
    </w:pPr>
    <w:r>
      <w:rPr>
        <w:rFonts w:hint="default"/>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22245C4">
                          <w:pPr>
                            <w:pStyle w:val="29"/>
                          </w:pPr>
                          <w:r>
                            <w:fldChar w:fldCharType="begin"/>
                          </w:r>
                          <w:r>
                            <w:instrText xml:space="preserve"> PAGE  \* MERGEFORMAT </w:instrText>
                          </w:r>
                          <w:r>
                            <w:fldChar w:fldCharType="separate"/>
                          </w:r>
                          <w:r>
                            <w:rPr>
                              <w:rFonts w:hint="default"/>
                            </w:rPr>
                            <w:t>12</w:t>
                          </w:r>
                          <w:r>
                            <w:fldChar w:fldCharType="end"/>
                          </w:r>
                        </w:p>
                      </w:txbxContent>
                    </wps:txbx>
                    <wps:bodyPr vert="horz" wrap="none" lIns="0" tIns="0" rIns="0" bIns="0" anchor="t" anchorCtr="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6pebnPAAAABQEAAA8AAAAAAAAAAQAgAAAA&#10;IgAAAGRycy9kb3ducmV2LnhtbFBLAQIUABQAAAAIAIdO4kBPCYi02wEAAMADAAAOAAAAAAAAAAEA&#10;IAAAAB4BAABkcnMvZTJvRG9jLnhtbFBLBQYAAAAABgAGAFkBAABrBQAAAAA=&#10;">
              <v:fill on="f" focussize="0,0"/>
              <v:stroke on="f"/>
              <v:imagedata o:title=""/>
              <o:lock v:ext="edit" aspectratio="f"/>
              <v:textbox inset="0mm,0mm,0mm,0mm" style="mso-fit-shape-to-text:t;">
                <w:txbxContent>
                  <w:p w14:paraId="022245C4">
                    <w:pPr>
                      <w:pStyle w:val="29"/>
                    </w:pPr>
                    <w:r>
                      <w:fldChar w:fldCharType="begin"/>
                    </w:r>
                    <w:r>
                      <w:instrText xml:space="preserve"> PAGE  \* MERGEFORMAT </w:instrText>
                    </w:r>
                    <w:r>
                      <w:fldChar w:fldCharType="separate"/>
                    </w:r>
                    <w:r>
                      <w:rPr>
                        <w:rFonts w:hint="default"/>
                      </w:rPr>
                      <w:t>12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B4462">
    <w:pPr>
      <w:pStyle w:val="29"/>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4" name="文本框 9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8D4C0D">
                          <w:pPr>
                            <w:pStyle w:val="29"/>
                          </w:pPr>
                          <w:r>
                            <w:fldChar w:fldCharType="begin"/>
                          </w:r>
                          <w:r>
                            <w:instrText xml:space="preserve"> PAGE  \* MERGEFORMAT </w:instrText>
                          </w:r>
                          <w:r>
                            <w:fldChar w:fldCharType="separate"/>
                          </w:r>
                          <w:r>
                            <w:rPr>
                              <w:rFonts w:hint="default"/>
                            </w:rPr>
                            <w:t>45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Y2NaItAgAAVwQAAA4AAAAAAAAAAQAgAAAAHwEAAGRycy9lMm9Eb2MueG1sUEsFBgAAAAAG&#10;AAYAWQEAAL4FAAAAAA==&#10;">
              <v:fill on="f" focussize="0,0"/>
              <v:stroke on="f" weight="0.5pt"/>
              <v:imagedata o:title=""/>
              <o:lock v:ext="edit" aspectratio="f"/>
              <v:textbox inset="0mm,0mm,0mm,0mm" style="mso-fit-shape-to-text:t;">
                <w:txbxContent>
                  <w:p w14:paraId="2B8D4C0D">
                    <w:pPr>
                      <w:pStyle w:val="29"/>
                    </w:pPr>
                    <w:r>
                      <w:fldChar w:fldCharType="begin"/>
                    </w:r>
                    <w:r>
                      <w:instrText xml:space="preserve"> PAGE  \* MERGEFORMAT </w:instrText>
                    </w:r>
                    <w:r>
                      <w:fldChar w:fldCharType="separate"/>
                    </w:r>
                    <w:r>
                      <w:rPr>
                        <w:rFonts w:hint="default"/>
                      </w:rPr>
                      <w:t>45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576D4">
    <w:pPr>
      <w:pStyle w:val="29"/>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5" name="文本框 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EE2CF3">
                          <w:pPr>
                            <w:pStyle w:val="29"/>
                          </w:pPr>
                          <w:r>
                            <w:fldChar w:fldCharType="begin"/>
                          </w:r>
                          <w:r>
                            <w:instrText xml:space="preserve"> PAGE  \* MERGEFORMAT </w:instrText>
                          </w:r>
                          <w:r>
                            <w:fldChar w:fldCharType="separate"/>
                          </w:r>
                          <w:r>
                            <w:rPr>
                              <w:rFonts w:hint="default"/>
                            </w:rPr>
                            <w:t>61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57ZuItAgAAVwQAAA4AAABkcnMvZTJvRG9jLnhtbK1UzY7TMBC+I/EO&#10;lu80adGuSt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57ZuItAgAAVwQAAA4AAAAAAAAAAQAgAAAAHwEAAGRycy9lMm9Eb2MueG1sUEsFBgAAAAAG&#10;AAYAWQEAAL4FAAAAAA==&#10;">
              <v:fill on="f" focussize="0,0"/>
              <v:stroke on="f" weight="0.5pt"/>
              <v:imagedata o:title=""/>
              <o:lock v:ext="edit" aspectratio="f"/>
              <v:textbox inset="0mm,0mm,0mm,0mm" style="mso-fit-shape-to-text:t;">
                <w:txbxContent>
                  <w:p w14:paraId="58EE2CF3">
                    <w:pPr>
                      <w:pStyle w:val="29"/>
                    </w:pPr>
                    <w:r>
                      <w:fldChar w:fldCharType="begin"/>
                    </w:r>
                    <w:r>
                      <w:instrText xml:space="preserve"> PAGE  \* MERGEFORMAT </w:instrText>
                    </w:r>
                    <w:r>
                      <w:fldChar w:fldCharType="separate"/>
                    </w:r>
                    <w:r>
                      <w:rPr>
                        <w:rFonts w:hint="default"/>
                      </w:rPr>
                      <w:t>61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F783A">
    <w:pPr>
      <w:pStyle w:val="29"/>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2" name="文本框 1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494809">
                          <w:pPr>
                            <w:pStyle w:val="29"/>
                          </w:pPr>
                          <w:r>
                            <w:fldChar w:fldCharType="begin"/>
                          </w:r>
                          <w:r>
                            <w:instrText xml:space="preserve"> PAGE  \* MERGEFORMAT </w:instrText>
                          </w:r>
                          <w:r>
                            <w:fldChar w:fldCharType="separate"/>
                          </w:r>
                          <w:r>
                            <w:rPr>
                              <w:rFonts w:hint="default"/>
                            </w:rPr>
                            <w:t>71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wcprwsAgAAW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LBymvCwCAABZBAAADgAAAAAAAAABACAAAAAfAQAAZHJzL2Uyb0RvYy54bWxQSwUGAAAAAAYA&#10;BgBZAQAAvQUAAAAA&#10;">
              <v:fill on="f" focussize="0,0"/>
              <v:stroke on="f" weight="0.5pt"/>
              <v:imagedata o:title=""/>
              <o:lock v:ext="edit" aspectratio="f"/>
              <v:textbox inset="0mm,0mm,0mm,0mm" style="mso-fit-shape-to-text:t;">
                <w:txbxContent>
                  <w:p w14:paraId="4A494809">
                    <w:pPr>
                      <w:pStyle w:val="29"/>
                    </w:pPr>
                    <w:r>
                      <w:fldChar w:fldCharType="begin"/>
                    </w:r>
                    <w:r>
                      <w:instrText xml:space="preserve"> PAGE  \* MERGEFORMAT </w:instrText>
                    </w:r>
                    <w:r>
                      <w:fldChar w:fldCharType="separate"/>
                    </w:r>
                    <w:r>
                      <w:rPr>
                        <w:rFonts w:hint="default"/>
                      </w:rPr>
                      <w:t>71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5868E">
    <w:pPr>
      <w:pStyle w:val="29"/>
      <w:ind w:right="360"/>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3" name="文本框 1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E79992">
                          <w:pPr>
                            <w:pStyle w:val="29"/>
                          </w:pPr>
                          <w:r>
                            <w:fldChar w:fldCharType="begin"/>
                          </w:r>
                          <w:r>
                            <w:instrText xml:space="preserve"> PAGE  \* MERGEFORMAT </w:instrText>
                          </w:r>
                          <w:r>
                            <w:fldChar w:fldCharType="separate"/>
                          </w:r>
                          <w:r>
                            <w:rPr>
                              <w:rFonts w:hint="default"/>
                            </w:rPr>
                            <w:t>141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JDiuEtAgAAWQ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JDiuEtAgAAWQQAAA4AAAAAAAAAAQAgAAAAHwEAAGRycy9lMm9Eb2MueG1sUEsFBgAAAAAG&#10;AAYAWQEAAL4FAAAAAA==&#10;">
              <v:fill on="f" focussize="0,0"/>
              <v:stroke on="f" weight="0.5pt"/>
              <v:imagedata o:title=""/>
              <o:lock v:ext="edit" aspectratio="f"/>
              <v:textbox inset="0mm,0mm,0mm,0mm" style="mso-fit-shape-to-text:t;">
                <w:txbxContent>
                  <w:p w14:paraId="2FE79992">
                    <w:pPr>
                      <w:pStyle w:val="29"/>
                    </w:pPr>
                    <w:r>
                      <w:fldChar w:fldCharType="begin"/>
                    </w:r>
                    <w:r>
                      <w:instrText xml:space="preserve"> PAGE  \* MERGEFORMAT </w:instrText>
                    </w:r>
                    <w:r>
                      <w:fldChar w:fldCharType="separate"/>
                    </w:r>
                    <w:r>
                      <w:rPr>
                        <w:rFonts w:hint="default"/>
                      </w:rPr>
                      <w:t>141</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BC75858"/>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ytsHcxAgAAZ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dYwVaRp6mEipKz1aod23&#10;Pc+9Kc6g6Uw3Kd7yTY1StsyHB+YwGigfjyfcYymlQUrTW5RUxn3513mMR8fgpaTBqOVU42VRIt9r&#10;dBKAYTDcYOwHQx/VncHsojmoJZm44IIczNIZ9RkvahVzwMU0R6achsG8C92440VysVqlIMyeZWGr&#10;d5ZH6CiPt6tjgJxJ5ShKpwS6EzeYvtSn/qXE8f5zn6Ie/w7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8rbB3MQIAAGUEAAAOAAAAAAAAAAEAIAAAAB8BAABkcnMvZTJvRG9jLnhtbFBLBQYA&#10;AAAABgAGAFkBAADCBQAAAAA=&#10;">
              <v:fill on="f" focussize="0,0"/>
              <v:stroke on="f" weight="0.5pt"/>
              <v:imagedata o:title=""/>
              <o:lock v:ext="edit" aspectratio="f"/>
              <v:textbox inset="0mm,0mm,0mm,0mm" style="mso-fit-shape-to-text:t;">
                <w:txbxContent>
                  <w:p w14:paraId="5BC75858"/>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1CA9A">
    <w:pPr>
      <w:pStyle w:val="16"/>
      <w:spacing w:line="189" w:lineRule="auto"/>
      <w:ind w:left="4716"/>
      <w:rPr>
        <w:rFonts w:hint="eastAsia"/>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527050" cy="490220"/>
              <wp:effectExtent l="0" t="0" r="0" b="0"/>
              <wp:wrapNone/>
              <wp:docPr id="124" name="文本框 124"/>
              <wp:cNvGraphicFramePr/>
              <a:graphic xmlns:a="http://schemas.openxmlformats.org/drawingml/2006/main">
                <a:graphicData uri="http://schemas.microsoft.com/office/word/2010/wordprocessingShape">
                  <wps:wsp>
                    <wps:cNvSpPr txBox="1"/>
                    <wps:spPr>
                      <a:xfrm>
                        <a:off x="0" y="0"/>
                        <a:ext cx="527050" cy="4902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8CE733">
                          <w:pPr>
                            <w:pStyle w:val="29"/>
                          </w:pPr>
                          <w:r>
                            <w:fldChar w:fldCharType="begin"/>
                          </w:r>
                          <w:r>
                            <w:instrText xml:space="preserve"> PAGE  \* MERGEFORMAT </w:instrText>
                          </w:r>
                          <w:r>
                            <w:fldChar w:fldCharType="separate"/>
                          </w:r>
                          <w:r>
                            <w:rPr>
                              <w:rFonts w:hint="default"/>
                            </w:rPr>
                            <w:t>145</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0pt;height:38.6pt;width:41.5pt;mso-position-horizontal:center;mso-position-horizontal-relative:margin;z-index:251666432;mso-width-relative:page;mso-height-relative:page;" filled="f" stroked="f" coordsize="21600,21600" o:gfxdata="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CZr1gnSAAAAAwEAAA8AAAAAAAAAAQAgAAAAIgAAAGRycy9kb3ducmV2LnhtbFBLAQIU&#10;ABQAAAAIAIdO4kC9YoewMgIAAFkEAAAOAAAAAAAAAAEAIAAAACEBAABkcnMvZTJvRG9jLnhtbFBL&#10;BQYAAAAABgAGAFkBAADFBQAAAAA=&#10;">
              <v:fill on="f" focussize="0,0"/>
              <v:stroke on="f" weight="0.5pt"/>
              <v:imagedata o:title=""/>
              <o:lock v:ext="edit" aspectratio="f"/>
              <v:textbox inset="0mm,0mm,0mm,0mm">
                <w:txbxContent>
                  <w:p w14:paraId="358CE733">
                    <w:pPr>
                      <w:pStyle w:val="29"/>
                    </w:pPr>
                    <w:r>
                      <w:fldChar w:fldCharType="begin"/>
                    </w:r>
                    <w:r>
                      <w:instrText xml:space="preserve"> PAGE  \* MERGEFORMAT </w:instrText>
                    </w:r>
                    <w:r>
                      <w:fldChar w:fldCharType="separate"/>
                    </w:r>
                    <w:r>
                      <w:rPr>
                        <w:rFonts w:hint="default"/>
                      </w:rPr>
                      <w:t>145</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F35F7">
    <w:pPr>
      <w:pStyle w:val="29"/>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F3AF3">
    <w:pPr>
      <w:pStyle w:val="29"/>
      <w:ind w:right="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453B083"/>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tZlUyAgAAY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vW1mVTICAABjBAAADgAAAAAAAAABACAAAAAfAQAAZHJzL2Uyb0RvYy54bWxQSwUG&#10;AAAAAAYABgBZAQAAwwUAAAAA&#10;">
              <v:fill on="f" focussize="0,0"/>
              <v:stroke on="f" weight="0.5pt"/>
              <v:imagedata o:title=""/>
              <o:lock v:ext="edit" aspectratio="f"/>
              <v:textbox inset="0mm,0mm,0mm,0mm" style="mso-fit-shape-to-text:t;">
                <w:txbxContent>
                  <w:p w14:paraId="6453B083"/>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800A6">
    <w:pPr>
      <w:pStyle w:val="3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3FF81">
    <w:pPr>
      <w:pStyle w:val="214"/>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87399">
    <w:pPr>
      <w:pStyle w:val="30"/>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7FC56">
    <w:pPr>
      <w:pStyle w:val="3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515469"/>
    <w:multiLevelType w:val="singleLevel"/>
    <w:tmpl w:val="91515469"/>
    <w:lvl w:ilvl="0" w:tentative="0">
      <w:start w:val="1"/>
      <w:numFmt w:val="decimal"/>
      <w:lvlText w:val="%1."/>
      <w:lvlJc w:val="left"/>
      <w:pPr>
        <w:tabs>
          <w:tab w:val="left" w:pos="312"/>
        </w:tabs>
      </w:pPr>
    </w:lvl>
  </w:abstractNum>
  <w:abstractNum w:abstractNumId="1">
    <w:nsid w:val="BF6BC116"/>
    <w:multiLevelType w:val="singleLevel"/>
    <w:tmpl w:val="BF6BC116"/>
    <w:lvl w:ilvl="0" w:tentative="0">
      <w:start w:val="16"/>
      <w:numFmt w:val="decimal"/>
      <w:suff w:val="space"/>
      <w:lvlText w:val="%1."/>
      <w:lvlJc w:val="left"/>
    </w:lvl>
  </w:abstractNum>
  <w:abstractNum w:abstractNumId="2">
    <w:nsid w:val="CDB61949"/>
    <w:multiLevelType w:val="singleLevel"/>
    <w:tmpl w:val="CDB61949"/>
    <w:lvl w:ilvl="0" w:tentative="0">
      <w:start w:val="6"/>
      <w:numFmt w:val="decimal"/>
      <w:suff w:val="space"/>
      <w:lvlText w:val="%1."/>
      <w:lvlJc w:val="left"/>
    </w:lvl>
  </w:abstractNum>
  <w:abstractNum w:abstractNumId="3">
    <w:nsid w:val="CDEEA42E"/>
    <w:multiLevelType w:val="singleLevel"/>
    <w:tmpl w:val="CDEEA42E"/>
    <w:lvl w:ilvl="0" w:tentative="0">
      <w:start w:val="1"/>
      <w:numFmt w:val="decimal"/>
      <w:suff w:val="nothing"/>
      <w:lvlText w:val="（%1）"/>
      <w:lvlJc w:val="left"/>
    </w:lvl>
  </w:abstractNum>
  <w:abstractNum w:abstractNumId="4">
    <w:nsid w:val="CE5A28F9"/>
    <w:multiLevelType w:val="singleLevel"/>
    <w:tmpl w:val="CE5A28F9"/>
    <w:lvl w:ilvl="0" w:tentative="0">
      <w:start w:val="4"/>
      <w:numFmt w:val="decimal"/>
      <w:suff w:val="nothing"/>
      <w:lvlText w:val="%1、"/>
      <w:lvlJc w:val="left"/>
    </w:lvl>
  </w:abstractNum>
  <w:abstractNum w:abstractNumId="5">
    <w:nsid w:val="CFE7C3F8"/>
    <w:multiLevelType w:val="singleLevel"/>
    <w:tmpl w:val="CFE7C3F8"/>
    <w:lvl w:ilvl="0" w:tentative="0">
      <w:start w:val="1"/>
      <w:numFmt w:val="decimal"/>
      <w:suff w:val="nothing"/>
      <w:lvlText w:val="（%1）"/>
      <w:lvlJc w:val="left"/>
    </w:lvl>
  </w:abstractNum>
  <w:abstractNum w:abstractNumId="6">
    <w:nsid w:val="DBB86F32"/>
    <w:multiLevelType w:val="singleLevel"/>
    <w:tmpl w:val="DBB86F32"/>
    <w:lvl w:ilvl="0" w:tentative="0">
      <w:start w:val="2"/>
      <w:numFmt w:val="decimal"/>
      <w:suff w:val="nothing"/>
      <w:lvlText w:val="（%1）"/>
      <w:lvlJc w:val="left"/>
    </w:lvl>
  </w:abstractNum>
  <w:abstractNum w:abstractNumId="7">
    <w:nsid w:val="DDECD3BC"/>
    <w:multiLevelType w:val="singleLevel"/>
    <w:tmpl w:val="DDECD3BC"/>
    <w:lvl w:ilvl="0" w:tentative="0">
      <w:start w:val="6"/>
      <w:numFmt w:val="decimal"/>
      <w:suff w:val="space"/>
      <w:lvlText w:val="%1."/>
      <w:lvlJc w:val="left"/>
    </w:lvl>
  </w:abstractNum>
  <w:abstractNum w:abstractNumId="8">
    <w:nsid w:val="DE759F4B"/>
    <w:multiLevelType w:val="singleLevel"/>
    <w:tmpl w:val="DE759F4B"/>
    <w:lvl w:ilvl="0" w:tentative="0">
      <w:start w:val="2"/>
      <w:numFmt w:val="decimal"/>
      <w:suff w:val="space"/>
      <w:lvlText w:val="%1."/>
      <w:lvlJc w:val="left"/>
    </w:lvl>
  </w:abstractNum>
  <w:abstractNum w:abstractNumId="9">
    <w:nsid w:val="DEABE1DB"/>
    <w:multiLevelType w:val="singleLevel"/>
    <w:tmpl w:val="DEABE1DB"/>
    <w:lvl w:ilvl="0" w:tentative="0">
      <w:start w:val="23"/>
      <w:numFmt w:val="decimal"/>
      <w:suff w:val="space"/>
      <w:lvlText w:val="%1."/>
      <w:lvlJc w:val="left"/>
    </w:lvl>
  </w:abstractNum>
  <w:abstractNum w:abstractNumId="10">
    <w:nsid w:val="DFC7208C"/>
    <w:multiLevelType w:val="singleLevel"/>
    <w:tmpl w:val="DFC7208C"/>
    <w:lvl w:ilvl="0" w:tentative="0">
      <w:start w:val="18"/>
      <w:numFmt w:val="decimal"/>
      <w:lvlText w:val="%1."/>
      <w:lvlJc w:val="left"/>
      <w:pPr>
        <w:tabs>
          <w:tab w:val="left" w:pos="312"/>
        </w:tabs>
      </w:pPr>
    </w:lvl>
  </w:abstractNum>
  <w:abstractNum w:abstractNumId="11">
    <w:nsid w:val="F6FB636C"/>
    <w:multiLevelType w:val="singleLevel"/>
    <w:tmpl w:val="F6FB636C"/>
    <w:lvl w:ilvl="0" w:tentative="0">
      <w:start w:val="28"/>
      <w:numFmt w:val="decimal"/>
      <w:suff w:val="space"/>
      <w:lvlText w:val="%1."/>
      <w:lvlJc w:val="left"/>
    </w:lvl>
  </w:abstractNum>
  <w:abstractNum w:abstractNumId="12">
    <w:nsid w:val="F7F65B83"/>
    <w:multiLevelType w:val="singleLevel"/>
    <w:tmpl w:val="F7F65B83"/>
    <w:lvl w:ilvl="0" w:tentative="0">
      <w:start w:val="33"/>
      <w:numFmt w:val="decimal"/>
      <w:suff w:val="space"/>
      <w:lvlText w:val="%1."/>
      <w:lvlJc w:val="left"/>
    </w:lvl>
  </w:abstractNum>
  <w:abstractNum w:abstractNumId="13">
    <w:nsid w:val="FFBC1A21"/>
    <w:multiLevelType w:val="singleLevel"/>
    <w:tmpl w:val="FFBC1A21"/>
    <w:lvl w:ilvl="0" w:tentative="0">
      <w:start w:val="14"/>
      <w:numFmt w:val="decimal"/>
      <w:suff w:val="space"/>
      <w:lvlText w:val="%1."/>
      <w:lvlJc w:val="left"/>
    </w:lvl>
  </w:abstractNum>
  <w:abstractNum w:abstractNumId="14">
    <w:nsid w:val="FFEFC674"/>
    <w:multiLevelType w:val="singleLevel"/>
    <w:tmpl w:val="FFEFC674"/>
    <w:lvl w:ilvl="0" w:tentative="0">
      <w:start w:val="1"/>
      <w:numFmt w:val="decimal"/>
      <w:suff w:val="nothing"/>
      <w:lvlText w:val="（%1）"/>
      <w:lvlJc w:val="left"/>
    </w:lvl>
  </w:abstractNum>
  <w:abstractNum w:abstractNumId="15">
    <w:nsid w:val="62656752"/>
    <w:multiLevelType w:val="multilevel"/>
    <w:tmpl w:val="62656752"/>
    <w:lvl w:ilvl="0" w:tentative="0">
      <w:start w:val="11"/>
      <w:numFmt w:val="decimal"/>
      <w:suff w:val="nothing"/>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16">
    <w:nsid w:val="6597C319"/>
    <w:multiLevelType w:val="singleLevel"/>
    <w:tmpl w:val="6597C319"/>
    <w:lvl w:ilvl="0" w:tentative="0">
      <w:start w:val="4"/>
      <w:numFmt w:val="decimal"/>
      <w:lvlText w:val="%1."/>
      <w:lvlJc w:val="left"/>
      <w:pPr>
        <w:tabs>
          <w:tab w:val="left" w:pos="312"/>
        </w:tabs>
      </w:pPr>
    </w:lvl>
  </w:abstractNum>
  <w:abstractNum w:abstractNumId="17">
    <w:nsid w:val="7A0F6431"/>
    <w:multiLevelType w:val="singleLevel"/>
    <w:tmpl w:val="7A0F6431"/>
    <w:lvl w:ilvl="0" w:tentative="0">
      <w:start w:val="1"/>
      <w:numFmt w:val="decimal"/>
      <w:suff w:val="space"/>
      <w:lvlText w:val="%1."/>
      <w:lvlJc w:val="left"/>
    </w:lvl>
  </w:abstractNum>
  <w:abstractNum w:abstractNumId="18">
    <w:nsid w:val="7BFFE9E6"/>
    <w:multiLevelType w:val="singleLevel"/>
    <w:tmpl w:val="7BFFE9E6"/>
    <w:lvl w:ilvl="0" w:tentative="0">
      <w:start w:val="27"/>
      <w:numFmt w:val="decimal"/>
      <w:suff w:val="space"/>
      <w:lvlText w:val="%1."/>
      <w:lvlJc w:val="left"/>
    </w:lvl>
  </w:abstractNum>
  <w:abstractNum w:abstractNumId="19">
    <w:nsid w:val="7F7BE2C3"/>
    <w:multiLevelType w:val="singleLevel"/>
    <w:tmpl w:val="7F7BE2C3"/>
    <w:lvl w:ilvl="0" w:tentative="0">
      <w:start w:val="1"/>
      <w:numFmt w:val="chineseCounting"/>
      <w:suff w:val="space"/>
      <w:lvlText w:val="第%1章"/>
      <w:lvlJc w:val="left"/>
      <w:rPr>
        <w:rFonts w:hint="eastAsia"/>
      </w:rPr>
    </w:lvl>
  </w:abstractNum>
  <w:num w:numId="1">
    <w:abstractNumId w:val="3"/>
  </w:num>
  <w:num w:numId="2">
    <w:abstractNumId w:val="2"/>
  </w:num>
  <w:num w:numId="3">
    <w:abstractNumId w:val="19"/>
  </w:num>
  <w:num w:numId="4">
    <w:abstractNumId w:val="15"/>
  </w:num>
  <w:num w:numId="5">
    <w:abstractNumId w:val="13"/>
  </w:num>
  <w:num w:numId="6">
    <w:abstractNumId w:val="10"/>
  </w:num>
  <w:num w:numId="7">
    <w:abstractNumId w:val="18"/>
  </w:num>
  <w:num w:numId="8">
    <w:abstractNumId w:val="11"/>
  </w:num>
  <w:num w:numId="9">
    <w:abstractNumId w:val="12"/>
  </w:num>
  <w:num w:numId="10">
    <w:abstractNumId w:val="6"/>
  </w:num>
  <w:num w:numId="11">
    <w:abstractNumId w:val="0"/>
  </w:num>
  <w:num w:numId="12">
    <w:abstractNumId w:val="16"/>
  </w:num>
  <w:num w:numId="13">
    <w:abstractNumId w:val="4"/>
  </w:num>
  <w:num w:numId="14">
    <w:abstractNumId w:val="17"/>
  </w:num>
  <w:num w:numId="15">
    <w:abstractNumId w:val="5"/>
  </w:num>
  <w:num w:numId="16">
    <w:abstractNumId w:val="14"/>
  </w:num>
  <w:num w:numId="17">
    <w:abstractNumId w:val="8"/>
  </w:num>
  <w:num w:numId="18">
    <w:abstractNumId w:val="7"/>
  </w:num>
  <w:num w:numId="19">
    <w:abstractNumId w:val="1"/>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U1MzFhYzhmZjhiNDYxODI2ODA4MjU5OTdjNTI2NGIifQ=="/>
  </w:docVars>
  <w:rsids>
    <w:rsidRoot w:val="00216A94"/>
    <w:rsid w:val="00004FD1"/>
    <w:rsid w:val="00005275"/>
    <w:rsid w:val="00005D23"/>
    <w:rsid w:val="00005D94"/>
    <w:rsid w:val="00006423"/>
    <w:rsid w:val="00006B8E"/>
    <w:rsid w:val="0001575B"/>
    <w:rsid w:val="000174DB"/>
    <w:rsid w:val="00021DA0"/>
    <w:rsid w:val="00021E1A"/>
    <w:rsid w:val="00023995"/>
    <w:rsid w:val="00024FC9"/>
    <w:rsid w:val="00025EED"/>
    <w:rsid w:val="00027399"/>
    <w:rsid w:val="000278F5"/>
    <w:rsid w:val="00031DEB"/>
    <w:rsid w:val="00031E96"/>
    <w:rsid w:val="00032AA1"/>
    <w:rsid w:val="000340B2"/>
    <w:rsid w:val="00036551"/>
    <w:rsid w:val="000416C2"/>
    <w:rsid w:val="00043C9B"/>
    <w:rsid w:val="00044C15"/>
    <w:rsid w:val="00047218"/>
    <w:rsid w:val="00050DDF"/>
    <w:rsid w:val="000565C6"/>
    <w:rsid w:val="00056878"/>
    <w:rsid w:val="00060BC3"/>
    <w:rsid w:val="0006265A"/>
    <w:rsid w:val="000632EC"/>
    <w:rsid w:val="000702AC"/>
    <w:rsid w:val="000708D6"/>
    <w:rsid w:val="00071BA3"/>
    <w:rsid w:val="00073877"/>
    <w:rsid w:val="00073941"/>
    <w:rsid w:val="000768FB"/>
    <w:rsid w:val="0007740D"/>
    <w:rsid w:val="000803B8"/>
    <w:rsid w:val="00086D49"/>
    <w:rsid w:val="000932F8"/>
    <w:rsid w:val="0009381F"/>
    <w:rsid w:val="000969AD"/>
    <w:rsid w:val="000A0377"/>
    <w:rsid w:val="000A25C2"/>
    <w:rsid w:val="000A3106"/>
    <w:rsid w:val="000A47AD"/>
    <w:rsid w:val="000A5DBF"/>
    <w:rsid w:val="000A7D7D"/>
    <w:rsid w:val="000B340A"/>
    <w:rsid w:val="000B4673"/>
    <w:rsid w:val="000B69C5"/>
    <w:rsid w:val="000B7ED5"/>
    <w:rsid w:val="000C2377"/>
    <w:rsid w:val="000C2900"/>
    <w:rsid w:val="000C2A1D"/>
    <w:rsid w:val="000C3485"/>
    <w:rsid w:val="000C4280"/>
    <w:rsid w:val="000C46FC"/>
    <w:rsid w:val="000C476F"/>
    <w:rsid w:val="000C69DF"/>
    <w:rsid w:val="000D236B"/>
    <w:rsid w:val="000D5739"/>
    <w:rsid w:val="000E1629"/>
    <w:rsid w:val="000E3CD1"/>
    <w:rsid w:val="000F1426"/>
    <w:rsid w:val="000F264F"/>
    <w:rsid w:val="000F3E1F"/>
    <w:rsid w:val="000F48D2"/>
    <w:rsid w:val="000F66AA"/>
    <w:rsid w:val="00103728"/>
    <w:rsid w:val="0010547B"/>
    <w:rsid w:val="0011396E"/>
    <w:rsid w:val="00114D5C"/>
    <w:rsid w:val="001160E4"/>
    <w:rsid w:val="00116BFC"/>
    <w:rsid w:val="0011787C"/>
    <w:rsid w:val="00117C62"/>
    <w:rsid w:val="00120BC0"/>
    <w:rsid w:val="00126C52"/>
    <w:rsid w:val="00127A95"/>
    <w:rsid w:val="00133AC5"/>
    <w:rsid w:val="00135422"/>
    <w:rsid w:val="001360AA"/>
    <w:rsid w:val="001366CB"/>
    <w:rsid w:val="00136E1F"/>
    <w:rsid w:val="001371D6"/>
    <w:rsid w:val="001435EA"/>
    <w:rsid w:val="00145D83"/>
    <w:rsid w:val="00146A9F"/>
    <w:rsid w:val="0015547B"/>
    <w:rsid w:val="00155C83"/>
    <w:rsid w:val="001560EC"/>
    <w:rsid w:val="00156375"/>
    <w:rsid w:val="00156B7A"/>
    <w:rsid w:val="00157847"/>
    <w:rsid w:val="001578B2"/>
    <w:rsid w:val="00165A43"/>
    <w:rsid w:val="001677D9"/>
    <w:rsid w:val="00167E96"/>
    <w:rsid w:val="00172EEA"/>
    <w:rsid w:val="00175178"/>
    <w:rsid w:val="001753E4"/>
    <w:rsid w:val="00180537"/>
    <w:rsid w:val="001811B2"/>
    <w:rsid w:val="001828B5"/>
    <w:rsid w:val="00186AD3"/>
    <w:rsid w:val="00191343"/>
    <w:rsid w:val="00196B51"/>
    <w:rsid w:val="001A08F9"/>
    <w:rsid w:val="001A1CC3"/>
    <w:rsid w:val="001A3C78"/>
    <w:rsid w:val="001B0480"/>
    <w:rsid w:val="001B0C4C"/>
    <w:rsid w:val="001B63D4"/>
    <w:rsid w:val="001C05D8"/>
    <w:rsid w:val="001C42D2"/>
    <w:rsid w:val="001C62A6"/>
    <w:rsid w:val="001D05D6"/>
    <w:rsid w:val="001D07E6"/>
    <w:rsid w:val="001D16CC"/>
    <w:rsid w:val="001D1848"/>
    <w:rsid w:val="001D3EBB"/>
    <w:rsid w:val="001D7FCB"/>
    <w:rsid w:val="001E0808"/>
    <w:rsid w:val="001E2BFA"/>
    <w:rsid w:val="001E492A"/>
    <w:rsid w:val="001E51B2"/>
    <w:rsid w:val="001E6E75"/>
    <w:rsid w:val="001F1D9E"/>
    <w:rsid w:val="001F20F1"/>
    <w:rsid w:val="001F262B"/>
    <w:rsid w:val="001F26E4"/>
    <w:rsid w:val="001F5548"/>
    <w:rsid w:val="001F68EC"/>
    <w:rsid w:val="00201398"/>
    <w:rsid w:val="00202E75"/>
    <w:rsid w:val="00206A39"/>
    <w:rsid w:val="00211F53"/>
    <w:rsid w:val="0021380F"/>
    <w:rsid w:val="00215C70"/>
    <w:rsid w:val="00216A94"/>
    <w:rsid w:val="00217F9F"/>
    <w:rsid w:val="002217C2"/>
    <w:rsid w:val="00222E98"/>
    <w:rsid w:val="002308D9"/>
    <w:rsid w:val="0023381A"/>
    <w:rsid w:val="00234100"/>
    <w:rsid w:val="00237AA2"/>
    <w:rsid w:val="00241DC3"/>
    <w:rsid w:val="002429E1"/>
    <w:rsid w:val="002453BA"/>
    <w:rsid w:val="002513E0"/>
    <w:rsid w:val="0025494C"/>
    <w:rsid w:val="00263D77"/>
    <w:rsid w:val="00264773"/>
    <w:rsid w:val="00265330"/>
    <w:rsid w:val="00266BCE"/>
    <w:rsid w:val="002675A7"/>
    <w:rsid w:val="00270F4D"/>
    <w:rsid w:val="002717B2"/>
    <w:rsid w:val="00271A89"/>
    <w:rsid w:val="00273B04"/>
    <w:rsid w:val="002740BF"/>
    <w:rsid w:val="0027425A"/>
    <w:rsid w:val="00275174"/>
    <w:rsid w:val="00280746"/>
    <w:rsid w:val="00284041"/>
    <w:rsid w:val="00284CA2"/>
    <w:rsid w:val="002903DC"/>
    <w:rsid w:val="002957EA"/>
    <w:rsid w:val="00296A9C"/>
    <w:rsid w:val="002A0332"/>
    <w:rsid w:val="002A05BB"/>
    <w:rsid w:val="002A19E6"/>
    <w:rsid w:val="002A5A62"/>
    <w:rsid w:val="002B1CC1"/>
    <w:rsid w:val="002B216E"/>
    <w:rsid w:val="002B3D4E"/>
    <w:rsid w:val="002B7492"/>
    <w:rsid w:val="002C0552"/>
    <w:rsid w:val="002C17CE"/>
    <w:rsid w:val="002C1BE6"/>
    <w:rsid w:val="002C1C59"/>
    <w:rsid w:val="002C733D"/>
    <w:rsid w:val="002C7501"/>
    <w:rsid w:val="002D0BC9"/>
    <w:rsid w:val="002D1926"/>
    <w:rsid w:val="002D1B9B"/>
    <w:rsid w:val="002D1CE4"/>
    <w:rsid w:val="002D288C"/>
    <w:rsid w:val="002D6307"/>
    <w:rsid w:val="002D6BE0"/>
    <w:rsid w:val="002D73F7"/>
    <w:rsid w:val="002E01C1"/>
    <w:rsid w:val="002E4C24"/>
    <w:rsid w:val="002E77CE"/>
    <w:rsid w:val="002F0A24"/>
    <w:rsid w:val="002F1E88"/>
    <w:rsid w:val="002F2B70"/>
    <w:rsid w:val="002F5891"/>
    <w:rsid w:val="002F6E37"/>
    <w:rsid w:val="00301785"/>
    <w:rsid w:val="003058F9"/>
    <w:rsid w:val="00306093"/>
    <w:rsid w:val="00306509"/>
    <w:rsid w:val="00306A22"/>
    <w:rsid w:val="00307EED"/>
    <w:rsid w:val="00312148"/>
    <w:rsid w:val="00312F8B"/>
    <w:rsid w:val="003146DD"/>
    <w:rsid w:val="0031536D"/>
    <w:rsid w:val="00317F86"/>
    <w:rsid w:val="00320857"/>
    <w:rsid w:val="0032097B"/>
    <w:rsid w:val="0032311B"/>
    <w:rsid w:val="00335024"/>
    <w:rsid w:val="003362D2"/>
    <w:rsid w:val="00345A3F"/>
    <w:rsid w:val="00352320"/>
    <w:rsid w:val="00352430"/>
    <w:rsid w:val="00353289"/>
    <w:rsid w:val="00354D01"/>
    <w:rsid w:val="00354EBD"/>
    <w:rsid w:val="0036322F"/>
    <w:rsid w:val="00363B9D"/>
    <w:rsid w:val="00365D57"/>
    <w:rsid w:val="003660D9"/>
    <w:rsid w:val="00366FCE"/>
    <w:rsid w:val="00366FD5"/>
    <w:rsid w:val="00371583"/>
    <w:rsid w:val="00371DE2"/>
    <w:rsid w:val="00376D69"/>
    <w:rsid w:val="003774E9"/>
    <w:rsid w:val="00380482"/>
    <w:rsid w:val="00384692"/>
    <w:rsid w:val="00384A38"/>
    <w:rsid w:val="00390856"/>
    <w:rsid w:val="00391AF2"/>
    <w:rsid w:val="003920CD"/>
    <w:rsid w:val="00393389"/>
    <w:rsid w:val="0039526F"/>
    <w:rsid w:val="003A05F2"/>
    <w:rsid w:val="003A208F"/>
    <w:rsid w:val="003A23B2"/>
    <w:rsid w:val="003A2448"/>
    <w:rsid w:val="003A4E2B"/>
    <w:rsid w:val="003A557B"/>
    <w:rsid w:val="003A7DAA"/>
    <w:rsid w:val="003B5B83"/>
    <w:rsid w:val="003B70C8"/>
    <w:rsid w:val="003C28DE"/>
    <w:rsid w:val="003D0757"/>
    <w:rsid w:val="003D1BE3"/>
    <w:rsid w:val="003D2432"/>
    <w:rsid w:val="003D2ECD"/>
    <w:rsid w:val="003D304F"/>
    <w:rsid w:val="003D7910"/>
    <w:rsid w:val="003E0C6A"/>
    <w:rsid w:val="003E26F2"/>
    <w:rsid w:val="003E529B"/>
    <w:rsid w:val="003E5A26"/>
    <w:rsid w:val="003E5A2A"/>
    <w:rsid w:val="003E6E99"/>
    <w:rsid w:val="003F1AD9"/>
    <w:rsid w:val="003F35D5"/>
    <w:rsid w:val="003F474C"/>
    <w:rsid w:val="00402742"/>
    <w:rsid w:val="00403E09"/>
    <w:rsid w:val="00404BF9"/>
    <w:rsid w:val="00405A46"/>
    <w:rsid w:val="00413EAF"/>
    <w:rsid w:val="0042112D"/>
    <w:rsid w:val="004215D5"/>
    <w:rsid w:val="0042798D"/>
    <w:rsid w:val="0043342F"/>
    <w:rsid w:val="00435C05"/>
    <w:rsid w:val="00435C21"/>
    <w:rsid w:val="00436BA8"/>
    <w:rsid w:val="004373AD"/>
    <w:rsid w:val="00437540"/>
    <w:rsid w:val="00437B2F"/>
    <w:rsid w:val="00447E66"/>
    <w:rsid w:val="004523FB"/>
    <w:rsid w:val="00452AC8"/>
    <w:rsid w:val="00456866"/>
    <w:rsid w:val="00463F76"/>
    <w:rsid w:val="0046550B"/>
    <w:rsid w:val="0046605B"/>
    <w:rsid w:val="004667CC"/>
    <w:rsid w:val="004670FA"/>
    <w:rsid w:val="00467502"/>
    <w:rsid w:val="00467FEF"/>
    <w:rsid w:val="00471D79"/>
    <w:rsid w:val="00473031"/>
    <w:rsid w:val="0047565E"/>
    <w:rsid w:val="004807F0"/>
    <w:rsid w:val="00481973"/>
    <w:rsid w:val="00482833"/>
    <w:rsid w:val="00482C19"/>
    <w:rsid w:val="00482FDF"/>
    <w:rsid w:val="00483226"/>
    <w:rsid w:val="004837B6"/>
    <w:rsid w:val="00483DCB"/>
    <w:rsid w:val="004857F0"/>
    <w:rsid w:val="004879EE"/>
    <w:rsid w:val="00487DD0"/>
    <w:rsid w:val="004A700E"/>
    <w:rsid w:val="004B26A7"/>
    <w:rsid w:val="004B5931"/>
    <w:rsid w:val="004B7DB7"/>
    <w:rsid w:val="004C1A1D"/>
    <w:rsid w:val="004C2122"/>
    <w:rsid w:val="004C3322"/>
    <w:rsid w:val="004C4671"/>
    <w:rsid w:val="004C46C9"/>
    <w:rsid w:val="004C47F1"/>
    <w:rsid w:val="004C58BA"/>
    <w:rsid w:val="004C58ED"/>
    <w:rsid w:val="004C6684"/>
    <w:rsid w:val="004C76CA"/>
    <w:rsid w:val="004D241E"/>
    <w:rsid w:val="004D27C7"/>
    <w:rsid w:val="004D4D01"/>
    <w:rsid w:val="004E4CF2"/>
    <w:rsid w:val="004E4D65"/>
    <w:rsid w:val="004E510D"/>
    <w:rsid w:val="004F1E48"/>
    <w:rsid w:val="004F291E"/>
    <w:rsid w:val="004F480E"/>
    <w:rsid w:val="004F64EF"/>
    <w:rsid w:val="00500B15"/>
    <w:rsid w:val="00500B3D"/>
    <w:rsid w:val="00501D3B"/>
    <w:rsid w:val="005057FE"/>
    <w:rsid w:val="0050673E"/>
    <w:rsid w:val="00506A6C"/>
    <w:rsid w:val="00506DA2"/>
    <w:rsid w:val="00512B11"/>
    <w:rsid w:val="00513AAF"/>
    <w:rsid w:val="00514A09"/>
    <w:rsid w:val="00515FFE"/>
    <w:rsid w:val="00520516"/>
    <w:rsid w:val="00521887"/>
    <w:rsid w:val="0052502D"/>
    <w:rsid w:val="00525434"/>
    <w:rsid w:val="00526B78"/>
    <w:rsid w:val="00527E6F"/>
    <w:rsid w:val="005303C7"/>
    <w:rsid w:val="00533BA6"/>
    <w:rsid w:val="00533EE8"/>
    <w:rsid w:val="005345F5"/>
    <w:rsid w:val="00535AC9"/>
    <w:rsid w:val="00536BC8"/>
    <w:rsid w:val="00537B31"/>
    <w:rsid w:val="00540CEF"/>
    <w:rsid w:val="00542949"/>
    <w:rsid w:val="00542A0B"/>
    <w:rsid w:val="005437AF"/>
    <w:rsid w:val="00545A0B"/>
    <w:rsid w:val="005501DB"/>
    <w:rsid w:val="005519A8"/>
    <w:rsid w:val="00551EB7"/>
    <w:rsid w:val="00555A67"/>
    <w:rsid w:val="00555E7C"/>
    <w:rsid w:val="00560CC3"/>
    <w:rsid w:val="00560F11"/>
    <w:rsid w:val="005616CA"/>
    <w:rsid w:val="005620CB"/>
    <w:rsid w:val="00562560"/>
    <w:rsid w:val="0056296B"/>
    <w:rsid w:val="005715E1"/>
    <w:rsid w:val="005720FA"/>
    <w:rsid w:val="0057242F"/>
    <w:rsid w:val="00572B4D"/>
    <w:rsid w:val="00574428"/>
    <w:rsid w:val="0058187A"/>
    <w:rsid w:val="005859D7"/>
    <w:rsid w:val="005864C5"/>
    <w:rsid w:val="00587507"/>
    <w:rsid w:val="00591976"/>
    <w:rsid w:val="00592711"/>
    <w:rsid w:val="00592788"/>
    <w:rsid w:val="00592E0E"/>
    <w:rsid w:val="005931BC"/>
    <w:rsid w:val="00593B00"/>
    <w:rsid w:val="00593D29"/>
    <w:rsid w:val="005949DE"/>
    <w:rsid w:val="005968AD"/>
    <w:rsid w:val="00596CBC"/>
    <w:rsid w:val="00597988"/>
    <w:rsid w:val="005A499D"/>
    <w:rsid w:val="005A5982"/>
    <w:rsid w:val="005A6DEB"/>
    <w:rsid w:val="005B0A9E"/>
    <w:rsid w:val="005B21B4"/>
    <w:rsid w:val="005B3581"/>
    <w:rsid w:val="005B4FDC"/>
    <w:rsid w:val="005B54FA"/>
    <w:rsid w:val="005C0C62"/>
    <w:rsid w:val="005C2EA5"/>
    <w:rsid w:val="005C4CD8"/>
    <w:rsid w:val="005C5A8B"/>
    <w:rsid w:val="005C67A0"/>
    <w:rsid w:val="005C7CEB"/>
    <w:rsid w:val="005D152F"/>
    <w:rsid w:val="005D15FD"/>
    <w:rsid w:val="005D2A78"/>
    <w:rsid w:val="005D3C26"/>
    <w:rsid w:val="005D53D2"/>
    <w:rsid w:val="005D5840"/>
    <w:rsid w:val="005D6CC6"/>
    <w:rsid w:val="005D77D2"/>
    <w:rsid w:val="005D7D87"/>
    <w:rsid w:val="005E0316"/>
    <w:rsid w:val="005E2A60"/>
    <w:rsid w:val="005E3669"/>
    <w:rsid w:val="005E36FC"/>
    <w:rsid w:val="005E46E0"/>
    <w:rsid w:val="005E7C1C"/>
    <w:rsid w:val="005F7E31"/>
    <w:rsid w:val="006004E8"/>
    <w:rsid w:val="00601C2A"/>
    <w:rsid w:val="0060262A"/>
    <w:rsid w:val="00603CD0"/>
    <w:rsid w:val="0060526A"/>
    <w:rsid w:val="00606C37"/>
    <w:rsid w:val="00607F75"/>
    <w:rsid w:val="006100AD"/>
    <w:rsid w:val="006127C7"/>
    <w:rsid w:val="00615EA1"/>
    <w:rsid w:val="006167E0"/>
    <w:rsid w:val="00617818"/>
    <w:rsid w:val="00621533"/>
    <w:rsid w:val="00622A81"/>
    <w:rsid w:val="00625D3B"/>
    <w:rsid w:val="00626F1A"/>
    <w:rsid w:val="00631023"/>
    <w:rsid w:val="00631824"/>
    <w:rsid w:val="00632324"/>
    <w:rsid w:val="0063335D"/>
    <w:rsid w:val="00633639"/>
    <w:rsid w:val="00633A7D"/>
    <w:rsid w:val="006344AB"/>
    <w:rsid w:val="00634C61"/>
    <w:rsid w:val="00634C92"/>
    <w:rsid w:val="006372B2"/>
    <w:rsid w:val="0063791F"/>
    <w:rsid w:val="00640D49"/>
    <w:rsid w:val="00643811"/>
    <w:rsid w:val="00645B8C"/>
    <w:rsid w:val="00646A5B"/>
    <w:rsid w:val="006473AA"/>
    <w:rsid w:val="00653330"/>
    <w:rsid w:val="00653D3D"/>
    <w:rsid w:val="00663AA2"/>
    <w:rsid w:val="00664196"/>
    <w:rsid w:val="006678F4"/>
    <w:rsid w:val="00670D91"/>
    <w:rsid w:val="00672CE5"/>
    <w:rsid w:val="00672FB7"/>
    <w:rsid w:val="00673B87"/>
    <w:rsid w:val="00674292"/>
    <w:rsid w:val="00683044"/>
    <w:rsid w:val="00683499"/>
    <w:rsid w:val="006837BF"/>
    <w:rsid w:val="006840A7"/>
    <w:rsid w:val="00684108"/>
    <w:rsid w:val="006908EF"/>
    <w:rsid w:val="00696085"/>
    <w:rsid w:val="006965BF"/>
    <w:rsid w:val="0069721F"/>
    <w:rsid w:val="006A0975"/>
    <w:rsid w:val="006A24A3"/>
    <w:rsid w:val="006A5137"/>
    <w:rsid w:val="006B0338"/>
    <w:rsid w:val="006B4F71"/>
    <w:rsid w:val="006B6D37"/>
    <w:rsid w:val="006C2008"/>
    <w:rsid w:val="006C4C58"/>
    <w:rsid w:val="006C4E85"/>
    <w:rsid w:val="006C54EA"/>
    <w:rsid w:val="006C7531"/>
    <w:rsid w:val="006D2796"/>
    <w:rsid w:val="006D2F33"/>
    <w:rsid w:val="006D34E1"/>
    <w:rsid w:val="006D4646"/>
    <w:rsid w:val="006D6FD9"/>
    <w:rsid w:val="006E7DF8"/>
    <w:rsid w:val="006F19B5"/>
    <w:rsid w:val="006F29FE"/>
    <w:rsid w:val="006F563B"/>
    <w:rsid w:val="00700AC2"/>
    <w:rsid w:val="00704218"/>
    <w:rsid w:val="007077FF"/>
    <w:rsid w:val="00707998"/>
    <w:rsid w:val="00712436"/>
    <w:rsid w:val="00712730"/>
    <w:rsid w:val="0071474C"/>
    <w:rsid w:val="0071606C"/>
    <w:rsid w:val="00717C57"/>
    <w:rsid w:val="00720BD0"/>
    <w:rsid w:val="007210B5"/>
    <w:rsid w:val="007212C3"/>
    <w:rsid w:val="00721A82"/>
    <w:rsid w:val="00722C18"/>
    <w:rsid w:val="00722CB0"/>
    <w:rsid w:val="007236E2"/>
    <w:rsid w:val="007316AF"/>
    <w:rsid w:val="0073219E"/>
    <w:rsid w:val="00733A37"/>
    <w:rsid w:val="00736E52"/>
    <w:rsid w:val="007467AE"/>
    <w:rsid w:val="00755837"/>
    <w:rsid w:val="007578B3"/>
    <w:rsid w:val="00762A9D"/>
    <w:rsid w:val="007654AE"/>
    <w:rsid w:val="00766639"/>
    <w:rsid w:val="00773265"/>
    <w:rsid w:val="00773858"/>
    <w:rsid w:val="007760FD"/>
    <w:rsid w:val="00776273"/>
    <w:rsid w:val="0078132B"/>
    <w:rsid w:val="007863FD"/>
    <w:rsid w:val="00787A02"/>
    <w:rsid w:val="0079056D"/>
    <w:rsid w:val="00791691"/>
    <w:rsid w:val="007942C6"/>
    <w:rsid w:val="00797E32"/>
    <w:rsid w:val="007A6EFF"/>
    <w:rsid w:val="007A71B7"/>
    <w:rsid w:val="007A75FE"/>
    <w:rsid w:val="007B2B32"/>
    <w:rsid w:val="007C5D46"/>
    <w:rsid w:val="007C6928"/>
    <w:rsid w:val="007D4872"/>
    <w:rsid w:val="007D60DD"/>
    <w:rsid w:val="007E2E71"/>
    <w:rsid w:val="007F222B"/>
    <w:rsid w:val="007F24FF"/>
    <w:rsid w:val="007F5B05"/>
    <w:rsid w:val="007F5EE3"/>
    <w:rsid w:val="007F7539"/>
    <w:rsid w:val="00800A5E"/>
    <w:rsid w:val="008011C2"/>
    <w:rsid w:val="00806DF9"/>
    <w:rsid w:val="00811C28"/>
    <w:rsid w:val="008160BF"/>
    <w:rsid w:val="00820819"/>
    <w:rsid w:val="0082258A"/>
    <w:rsid w:val="00822621"/>
    <w:rsid w:val="008255D7"/>
    <w:rsid w:val="00827E7A"/>
    <w:rsid w:val="008309BD"/>
    <w:rsid w:val="0083354D"/>
    <w:rsid w:val="00837E93"/>
    <w:rsid w:val="0084269B"/>
    <w:rsid w:val="008428D3"/>
    <w:rsid w:val="00845162"/>
    <w:rsid w:val="008478DC"/>
    <w:rsid w:val="00853860"/>
    <w:rsid w:val="00854338"/>
    <w:rsid w:val="00854983"/>
    <w:rsid w:val="00862CC4"/>
    <w:rsid w:val="00865BD9"/>
    <w:rsid w:val="00865D77"/>
    <w:rsid w:val="00871A0D"/>
    <w:rsid w:val="00871FC6"/>
    <w:rsid w:val="00872487"/>
    <w:rsid w:val="008728D2"/>
    <w:rsid w:val="008732C4"/>
    <w:rsid w:val="00876721"/>
    <w:rsid w:val="00876DCE"/>
    <w:rsid w:val="00881030"/>
    <w:rsid w:val="0088609F"/>
    <w:rsid w:val="008864B2"/>
    <w:rsid w:val="00887988"/>
    <w:rsid w:val="00892E75"/>
    <w:rsid w:val="0089557C"/>
    <w:rsid w:val="00897797"/>
    <w:rsid w:val="008A3115"/>
    <w:rsid w:val="008A3C10"/>
    <w:rsid w:val="008A556A"/>
    <w:rsid w:val="008A6EC3"/>
    <w:rsid w:val="008B014B"/>
    <w:rsid w:val="008B5436"/>
    <w:rsid w:val="008B5A35"/>
    <w:rsid w:val="008B7D90"/>
    <w:rsid w:val="008C0CC9"/>
    <w:rsid w:val="008C1205"/>
    <w:rsid w:val="008C4291"/>
    <w:rsid w:val="008D23F2"/>
    <w:rsid w:val="008D3AE0"/>
    <w:rsid w:val="008D7D8F"/>
    <w:rsid w:val="008E1792"/>
    <w:rsid w:val="008E3A1B"/>
    <w:rsid w:val="008E3FA8"/>
    <w:rsid w:val="008E446B"/>
    <w:rsid w:val="008E4E41"/>
    <w:rsid w:val="008F0217"/>
    <w:rsid w:val="008F27BD"/>
    <w:rsid w:val="008F2953"/>
    <w:rsid w:val="008F36C9"/>
    <w:rsid w:val="008F3B00"/>
    <w:rsid w:val="008F58CA"/>
    <w:rsid w:val="0090693F"/>
    <w:rsid w:val="0091026A"/>
    <w:rsid w:val="0091134A"/>
    <w:rsid w:val="00911838"/>
    <w:rsid w:val="009123B2"/>
    <w:rsid w:val="00912744"/>
    <w:rsid w:val="00916A36"/>
    <w:rsid w:val="00917079"/>
    <w:rsid w:val="00921183"/>
    <w:rsid w:val="00923D5B"/>
    <w:rsid w:val="009350E8"/>
    <w:rsid w:val="009368FC"/>
    <w:rsid w:val="00937F9C"/>
    <w:rsid w:val="00940626"/>
    <w:rsid w:val="00945DED"/>
    <w:rsid w:val="009462A0"/>
    <w:rsid w:val="00947171"/>
    <w:rsid w:val="00951FEE"/>
    <w:rsid w:val="00953D66"/>
    <w:rsid w:val="00953DE9"/>
    <w:rsid w:val="00954714"/>
    <w:rsid w:val="00955138"/>
    <w:rsid w:val="009571AC"/>
    <w:rsid w:val="009576A3"/>
    <w:rsid w:val="009606DF"/>
    <w:rsid w:val="009619C6"/>
    <w:rsid w:val="00966240"/>
    <w:rsid w:val="00966CB1"/>
    <w:rsid w:val="00971821"/>
    <w:rsid w:val="00973331"/>
    <w:rsid w:val="009755D1"/>
    <w:rsid w:val="009776C8"/>
    <w:rsid w:val="00980901"/>
    <w:rsid w:val="00981DD4"/>
    <w:rsid w:val="009839BF"/>
    <w:rsid w:val="00983EF6"/>
    <w:rsid w:val="0098623D"/>
    <w:rsid w:val="00991236"/>
    <w:rsid w:val="00993064"/>
    <w:rsid w:val="00995049"/>
    <w:rsid w:val="00997B5E"/>
    <w:rsid w:val="009A1F1F"/>
    <w:rsid w:val="009A6A78"/>
    <w:rsid w:val="009B0452"/>
    <w:rsid w:val="009B4CDC"/>
    <w:rsid w:val="009B4DCE"/>
    <w:rsid w:val="009B606F"/>
    <w:rsid w:val="009B677A"/>
    <w:rsid w:val="009B72A2"/>
    <w:rsid w:val="009C0491"/>
    <w:rsid w:val="009C659A"/>
    <w:rsid w:val="009C670D"/>
    <w:rsid w:val="009C7BC7"/>
    <w:rsid w:val="009D2062"/>
    <w:rsid w:val="009D613A"/>
    <w:rsid w:val="009E0464"/>
    <w:rsid w:val="009E3286"/>
    <w:rsid w:val="009F0E26"/>
    <w:rsid w:val="009F2C13"/>
    <w:rsid w:val="009F3C4A"/>
    <w:rsid w:val="009F5081"/>
    <w:rsid w:val="009F5748"/>
    <w:rsid w:val="009F6AF2"/>
    <w:rsid w:val="009F72C5"/>
    <w:rsid w:val="00A00809"/>
    <w:rsid w:val="00A02190"/>
    <w:rsid w:val="00A06E38"/>
    <w:rsid w:val="00A1455A"/>
    <w:rsid w:val="00A14736"/>
    <w:rsid w:val="00A15316"/>
    <w:rsid w:val="00A15C7F"/>
    <w:rsid w:val="00A179EE"/>
    <w:rsid w:val="00A207F3"/>
    <w:rsid w:val="00A235B8"/>
    <w:rsid w:val="00A24B3F"/>
    <w:rsid w:val="00A24E8D"/>
    <w:rsid w:val="00A2546C"/>
    <w:rsid w:val="00A336E6"/>
    <w:rsid w:val="00A373B6"/>
    <w:rsid w:val="00A404D9"/>
    <w:rsid w:val="00A41C8F"/>
    <w:rsid w:val="00A434B0"/>
    <w:rsid w:val="00A45467"/>
    <w:rsid w:val="00A516D6"/>
    <w:rsid w:val="00A568A4"/>
    <w:rsid w:val="00A57E90"/>
    <w:rsid w:val="00A6042C"/>
    <w:rsid w:val="00A607EF"/>
    <w:rsid w:val="00A60C63"/>
    <w:rsid w:val="00A6104A"/>
    <w:rsid w:val="00A61DFE"/>
    <w:rsid w:val="00A65171"/>
    <w:rsid w:val="00A66457"/>
    <w:rsid w:val="00A700B5"/>
    <w:rsid w:val="00A72455"/>
    <w:rsid w:val="00A77050"/>
    <w:rsid w:val="00A804DF"/>
    <w:rsid w:val="00A807A2"/>
    <w:rsid w:val="00A82CE8"/>
    <w:rsid w:val="00A83B9B"/>
    <w:rsid w:val="00A83DEB"/>
    <w:rsid w:val="00A90D4C"/>
    <w:rsid w:val="00A91995"/>
    <w:rsid w:val="00A91B6C"/>
    <w:rsid w:val="00A91EBC"/>
    <w:rsid w:val="00A941AA"/>
    <w:rsid w:val="00A95CD9"/>
    <w:rsid w:val="00A96958"/>
    <w:rsid w:val="00A96D4B"/>
    <w:rsid w:val="00AA1B3C"/>
    <w:rsid w:val="00AA2EE6"/>
    <w:rsid w:val="00AA443C"/>
    <w:rsid w:val="00AA44C6"/>
    <w:rsid w:val="00AA5754"/>
    <w:rsid w:val="00AA5768"/>
    <w:rsid w:val="00AA59FC"/>
    <w:rsid w:val="00AB173B"/>
    <w:rsid w:val="00AB3490"/>
    <w:rsid w:val="00AB7DF2"/>
    <w:rsid w:val="00AC03E3"/>
    <w:rsid w:val="00AC1E34"/>
    <w:rsid w:val="00AC2742"/>
    <w:rsid w:val="00AC37B6"/>
    <w:rsid w:val="00AE2C48"/>
    <w:rsid w:val="00AE2D12"/>
    <w:rsid w:val="00AE386D"/>
    <w:rsid w:val="00AE3E01"/>
    <w:rsid w:val="00AE4366"/>
    <w:rsid w:val="00AE54B3"/>
    <w:rsid w:val="00AF4097"/>
    <w:rsid w:val="00AF7BCA"/>
    <w:rsid w:val="00B003D5"/>
    <w:rsid w:val="00B02129"/>
    <w:rsid w:val="00B04051"/>
    <w:rsid w:val="00B0755B"/>
    <w:rsid w:val="00B1098E"/>
    <w:rsid w:val="00B13144"/>
    <w:rsid w:val="00B21499"/>
    <w:rsid w:val="00B22739"/>
    <w:rsid w:val="00B23D8E"/>
    <w:rsid w:val="00B240BB"/>
    <w:rsid w:val="00B26368"/>
    <w:rsid w:val="00B27C45"/>
    <w:rsid w:val="00B3056D"/>
    <w:rsid w:val="00B3249F"/>
    <w:rsid w:val="00B32E40"/>
    <w:rsid w:val="00B37124"/>
    <w:rsid w:val="00B372BF"/>
    <w:rsid w:val="00B37845"/>
    <w:rsid w:val="00B41DEB"/>
    <w:rsid w:val="00B44208"/>
    <w:rsid w:val="00B518EF"/>
    <w:rsid w:val="00B5378D"/>
    <w:rsid w:val="00B543BB"/>
    <w:rsid w:val="00B555EA"/>
    <w:rsid w:val="00B56CD4"/>
    <w:rsid w:val="00B57782"/>
    <w:rsid w:val="00B637B9"/>
    <w:rsid w:val="00B637EE"/>
    <w:rsid w:val="00B64B61"/>
    <w:rsid w:val="00B67623"/>
    <w:rsid w:val="00B73EB4"/>
    <w:rsid w:val="00B7406D"/>
    <w:rsid w:val="00B76F82"/>
    <w:rsid w:val="00B83503"/>
    <w:rsid w:val="00B8430B"/>
    <w:rsid w:val="00B85220"/>
    <w:rsid w:val="00B85B4E"/>
    <w:rsid w:val="00B87D2F"/>
    <w:rsid w:val="00B9171F"/>
    <w:rsid w:val="00B94CD1"/>
    <w:rsid w:val="00BA3F9C"/>
    <w:rsid w:val="00BB0B0C"/>
    <w:rsid w:val="00BB43EB"/>
    <w:rsid w:val="00BC1581"/>
    <w:rsid w:val="00BC4B5C"/>
    <w:rsid w:val="00BD1140"/>
    <w:rsid w:val="00BD1447"/>
    <w:rsid w:val="00BE07FE"/>
    <w:rsid w:val="00BE366B"/>
    <w:rsid w:val="00BE3D14"/>
    <w:rsid w:val="00BE3D96"/>
    <w:rsid w:val="00BE5557"/>
    <w:rsid w:val="00BF5018"/>
    <w:rsid w:val="00BF769F"/>
    <w:rsid w:val="00C000D9"/>
    <w:rsid w:val="00C00257"/>
    <w:rsid w:val="00C008B7"/>
    <w:rsid w:val="00C03EA8"/>
    <w:rsid w:val="00C044E9"/>
    <w:rsid w:val="00C05A44"/>
    <w:rsid w:val="00C12660"/>
    <w:rsid w:val="00C13AD8"/>
    <w:rsid w:val="00C21625"/>
    <w:rsid w:val="00C2531F"/>
    <w:rsid w:val="00C253C0"/>
    <w:rsid w:val="00C2667A"/>
    <w:rsid w:val="00C26708"/>
    <w:rsid w:val="00C26F04"/>
    <w:rsid w:val="00C30A13"/>
    <w:rsid w:val="00C30F2B"/>
    <w:rsid w:val="00C32142"/>
    <w:rsid w:val="00C37FFE"/>
    <w:rsid w:val="00C4288C"/>
    <w:rsid w:val="00C4637B"/>
    <w:rsid w:val="00C47834"/>
    <w:rsid w:val="00C5120B"/>
    <w:rsid w:val="00C52749"/>
    <w:rsid w:val="00C55053"/>
    <w:rsid w:val="00C567B6"/>
    <w:rsid w:val="00C624D2"/>
    <w:rsid w:val="00C62A91"/>
    <w:rsid w:val="00C6383B"/>
    <w:rsid w:val="00C6676D"/>
    <w:rsid w:val="00C70678"/>
    <w:rsid w:val="00C72303"/>
    <w:rsid w:val="00C72E01"/>
    <w:rsid w:val="00C76F1D"/>
    <w:rsid w:val="00C774DA"/>
    <w:rsid w:val="00C81669"/>
    <w:rsid w:val="00C835AC"/>
    <w:rsid w:val="00C83E23"/>
    <w:rsid w:val="00C84D14"/>
    <w:rsid w:val="00C86B65"/>
    <w:rsid w:val="00C92B0C"/>
    <w:rsid w:val="00C92FFC"/>
    <w:rsid w:val="00C934C7"/>
    <w:rsid w:val="00C94E6F"/>
    <w:rsid w:val="00C95DBC"/>
    <w:rsid w:val="00C96A0E"/>
    <w:rsid w:val="00CA285E"/>
    <w:rsid w:val="00CB159A"/>
    <w:rsid w:val="00CB1EB4"/>
    <w:rsid w:val="00CB304B"/>
    <w:rsid w:val="00CB3F4D"/>
    <w:rsid w:val="00CB74A1"/>
    <w:rsid w:val="00CC3085"/>
    <w:rsid w:val="00CD08C9"/>
    <w:rsid w:val="00CD0F75"/>
    <w:rsid w:val="00CD21E0"/>
    <w:rsid w:val="00CD4401"/>
    <w:rsid w:val="00CD44F0"/>
    <w:rsid w:val="00CD49DA"/>
    <w:rsid w:val="00CD5A00"/>
    <w:rsid w:val="00CE042E"/>
    <w:rsid w:val="00CE171D"/>
    <w:rsid w:val="00CE48E0"/>
    <w:rsid w:val="00CE4FB0"/>
    <w:rsid w:val="00CE50B2"/>
    <w:rsid w:val="00CF2378"/>
    <w:rsid w:val="00CF2674"/>
    <w:rsid w:val="00D007C0"/>
    <w:rsid w:val="00D05A0A"/>
    <w:rsid w:val="00D15B4A"/>
    <w:rsid w:val="00D205D3"/>
    <w:rsid w:val="00D206A7"/>
    <w:rsid w:val="00D216C9"/>
    <w:rsid w:val="00D3023B"/>
    <w:rsid w:val="00D33922"/>
    <w:rsid w:val="00D3692A"/>
    <w:rsid w:val="00D37D5D"/>
    <w:rsid w:val="00D4223A"/>
    <w:rsid w:val="00D43DED"/>
    <w:rsid w:val="00D5380E"/>
    <w:rsid w:val="00D53D1E"/>
    <w:rsid w:val="00D565A3"/>
    <w:rsid w:val="00D57364"/>
    <w:rsid w:val="00D5777D"/>
    <w:rsid w:val="00D6183F"/>
    <w:rsid w:val="00D627E2"/>
    <w:rsid w:val="00D63ADA"/>
    <w:rsid w:val="00D64AE1"/>
    <w:rsid w:val="00D64BEB"/>
    <w:rsid w:val="00D65064"/>
    <w:rsid w:val="00D80A79"/>
    <w:rsid w:val="00D84EF5"/>
    <w:rsid w:val="00D85020"/>
    <w:rsid w:val="00D85712"/>
    <w:rsid w:val="00D868C0"/>
    <w:rsid w:val="00D86DEA"/>
    <w:rsid w:val="00D875F6"/>
    <w:rsid w:val="00D95625"/>
    <w:rsid w:val="00DA0CFA"/>
    <w:rsid w:val="00DA1491"/>
    <w:rsid w:val="00DA266F"/>
    <w:rsid w:val="00DA3B42"/>
    <w:rsid w:val="00DA58AF"/>
    <w:rsid w:val="00DB0C31"/>
    <w:rsid w:val="00DB209C"/>
    <w:rsid w:val="00DB4582"/>
    <w:rsid w:val="00DC141D"/>
    <w:rsid w:val="00DC1FB8"/>
    <w:rsid w:val="00DC2CFB"/>
    <w:rsid w:val="00DC3330"/>
    <w:rsid w:val="00DC58DA"/>
    <w:rsid w:val="00DD0472"/>
    <w:rsid w:val="00DD21FC"/>
    <w:rsid w:val="00DD2CDC"/>
    <w:rsid w:val="00DD398A"/>
    <w:rsid w:val="00DE536B"/>
    <w:rsid w:val="00DF029D"/>
    <w:rsid w:val="00DF0588"/>
    <w:rsid w:val="00DF08A9"/>
    <w:rsid w:val="00DF1720"/>
    <w:rsid w:val="00DF3CAD"/>
    <w:rsid w:val="00E01A6C"/>
    <w:rsid w:val="00E0280A"/>
    <w:rsid w:val="00E03EEF"/>
    <w:rsid w:val="00E0413F"/>
    <w:rsid w:val="00E06CF7"/>
    <w:rsid w:val="00E06D34"/>
    <w:rsid w:val="00E11993"/>
    <w:rsid w:val="00E11A10"/>
    <w:rsid w:val="00E14EFB"/>
    <w:rsid w:val="00E1582E"/>
    <w:rsid w:val="00E163E0"/>
    <w:rsid w:val="00E27588"/>
    <w:rsid w:val="00E358AE"/>
    <w:rsid w:val="00E46F9F"/>
    <w:rsid w:val="00E51CEF"/>
    <w:rsid w:val="00E53817"/>
    <w:rsid w:val="00E546FA"/>
    <w:rsid w:val="00E5507D"/>
    <w:rsid w:val="00E551BD"/>
    <w:rsid w:val="00E55BBD"/>
    <w:rsid w:val="00E61395"/>
    <w:rsid w:val="00E65328"/>
    <w:rsid w:val="00E659A7"/>
    <w:rsid w:val="00E67CC6"/>
    <w:rsid w:val="00E74EBF"/>
    <w:rsid w:val="00E7537F"/>
    <w:rsid w:val="00E76150"/>
    <w:rsid w:val="00E76F20"/>
    <w:rsid w:val="00E81C89"/>
    <w:rsid w:val="00E824E4"/>
    <w:rsid w:val="00E87C0A"/>
    <w:rsid w:val="00E90268"/>
    <w:rsid w:val="00E9125B"/>
    <w:rsid w:val="00E91DC0"/>
    <w:rsid w:val="00E945AA"/>
    <w:rsid w:val="00E945ED"/>
    <w:rsid w:val="00E96838"/>
    <w:rsid w:val="00EA218F"/>
    <w:rsid w:val="00EA3322"/>
    <w:rsid w:val="00EA3E73"/>
    <w:rsid w:val="00EA43F7"/>
    <w:rsid w:val="00EA44E3"/>
    <w:rsid w:val="00EA4DF7"/>
    <w:rsid w:val="00EB5F95"/>
    <w:rsid w:val="00EB7982"/>
    <w:rsid w:val="00EC0E6C"/>
    <w:rsid w:val="00EC2E08"/>
    <w:rsid w:val="00EC5BBE"/>
    <w:rsid w:val="00ED3C0D"/>
    <w:rsid w:val="00ED4103"/>
    <w:rsid w:val="00ED69BB"/>
    <w:rsid w:val="00EE03E4"/>
    <w:rsid w:val="00EE0A0C"/>
    <w:rsid w:val="00EE0B2D"/>
    <w:rsid w:val="00EE1A5D"/>
    <w:rsid w:val="00EE354E"/>
    <w:rsid w:val="00EE3BCA"/>
    <w:rsid w:val="00EE575A"/>
    <w:rsid w:val="00EF152A"/>
    <w:rsid w:val="00EF2F7D"/>
    <w:rsid w:val="00EF3719"/>
    <w:rsid w:val="00EF4AF1"/>
    <w:rsid w:val="00EF51D9"/>
    <w:rsid w:val="00EF7A25"/>
    <w:rsid w:val="00F060B3"/>
    <w:rsid w:val="00F100EA"/>
    <w:rsid w:val="00F12AB1"/>
    <w:rsid w:val="00F12BB4"/>
    <w:rsid w:val="00F12E9E"/>
    <w:rsid w:val="00F1395B"/>
    <w:rsid w:val="00F308BE"/>
    <w:rsid w:val="00F313F0"/>
    <w:rsid w:val="00F315E5"/>
    <w:rsid w:val="00F321BD"/>
    <w:rsid w:val="00F3532F"/>
    <w:rsid w:val="00F42505"/>
    <w:rsid w:val="00F5036E"/>
    <w:rsid w:val="00F50496"/>
    <w:rsid w:val="00F529C6"/>
    <w:rsid w:val="00F53BD9"/>
    <w:rsid w:val="00F54A6E"/>
    <w:rsid w:val="00F57AAB"/>
    <w:rsid w:val="00F60BF6"/>
    <w:rsid w:val="00F60C68"/>
    <w:rsid w:val="00F63A4D"/>
    <w:rsid w:val="00F64AC7"/>
    <w:rsid w:val="00F64C20"/>
    <w:rsid w:val="00F65787"/>
    <w:rsid w:val="00F71BDB"/>
    <w:rsid w:val="00F748B5"/>
    <w:rsid w:val="00F76EB4"/>
    <w:rsid w:val="00F76F72"/>
    <w:rsid w:val="00F804EF"/>
    <w:rsid w:val="00F8169F"/>
    <w:rsid w:val="00F83497"/>
    <w:rsid w:val="00F83AF4"/>
    <w:rsid w:val="00F85DDB"/>
    <w:rsid w:val="00F91819"/>
    <w:rsid w:val="00F933E8"/>
    <w:rsid w:val="00F95BFF"/>
    <w:rsid w:val="00FA08D5"/>
    <w:rsid w:val="00FA2B7B"/>
    <w:rsid w:val="00FA308C"/>
    <w:rsid w:val="00FA318E"/>
    <w:rsid w:val="00FA5282"/>
    <w:rsid w:val="00FA6779"/>
    <w:rsid w:val="00FA6D8A"/>
    <w:rsid w:val="00FB0052"/>
    <w:rsid w:val="00FB119A"/>
    <w:rsid w:val="00FB259E"/>
    <w:rsid w:val="00FB3DAC"/>
    <w:rsid w:val="00FB5685"/>
    <w:rsid w:val="00FB612C"/>
    <w:rsid w:val="00FC0CA8"/>
    <w:rsid w:val="00FC0E81"/>
    <w:rsid w:val="00FC18D2"/>
    <w:rsid w:val="00FC18DF"/>
    <w:rsid w:val="00FC4DBD"/>
    <w:rsid w:val="00FD0750"/>
    <w:rsid w:val="00FD4A23"/>
    <w:rsid w:val="00FD565E"/>
    <w:rsid w:val="00FE42DD"/>
    <w:rsid w:val="00FE7F01"/>
    <w:rsid w:val="00FF0932"/>
    <w:rsid w:val="00FF0C95"/>
    <w:rsid w:val="00FF2F8C"/>
    <w:rsid w:val="00FF4409"/>
    <w:rsid w:val="00FF455A"/>
    <w:rsid w:val="00FF568F"/>
    <w:rsid w:val="00FF74BE"/>
    <w:rsid w:val="00FF79AD"/>
    <w:rsid w:val="01253318"/>
    <w:rsid w:val="0156177E"/>
    <w:rsid w:val="0157781C"/>
    <w:rsid w:val="01626374"/>
    <w:rsid w:val="016A347B"/>
    <w:rsid w:val="01853E11"/>
    <w:rsid w:val="018F529B"/>
    <w:rsid w:val="01AC6828"/>
    <w:rsid w:val="01AD4D57"/>
    <w:rsid w:val="01AE3368"/>
    <w:rsid w:val="01C42B8B"/>
    <w:rsid w:val="01D31020"/>
    <w:rsid w:val="01FD4015"/>
    <w:rsid w:val="02106709"/>
    <w:rsid w:val="02161A42"/>
    <w:rsid w:val="02176416"/>
    <w:rsid w:val="02176611"/>
    <w:rsid w:val="02181A1D"/>
    <w:rsid w:val="02184C85"/>
    <w:rsid w:val="02242CC3"/>
    <w:rsid w:val="02270661"/>
    <w:rsid w:val="022A0239"/>
    <w:rsid w:val="02331ABF"/>
    <w:rsid w:val="024B6E08"/>
    <w:rsid w:val="02590C8E"/>
    <w:rsid w:val="026552A1"/>
    <w:rsid w:val="026C4FD1"/>
    <w:rsid w:val="027C16B8"/>
    <w:rsid w:val="029C6CCD"/>
    <w:rsid w:val="02AF6749"/>
    <w:rsid w:val="02B00E3E"/>
    <w:rsid w:val="02C61442"/>
    <w:rsid w:val="02D970A5"/>
    <w:rsid w:val="02E673BB"/>
    <w:rsid w:val="02EA7D0D"/>
    <w:rsid w:val="02F76749"/>
    <w:rsid w:val="03497C46"/>
    <w:rsid w:val="034B1A5F"/>
    <w:rsid w:val="034C0347"/>
    <w:rsid w:val="03525F75"/>
    <w:rsid w:val="035A307B"/>
    <w:rsid w:val="03657A72"/>
    <w:rsid w:val="038A10D9"/>
    <w:rsid w:val="03986975"/>
    <w:rsid w:val="039B5B6E"/>
    <w:rsid w:val="03AA7B5F"/>
    <w:rsid w:val="03AB5829"/>
    <w:rsid w:val="03AE3A15"/>
    <w:rsid w:val="03C00B3F"/>
    <w:rsid w:val="03D71174"/>
    <w:rsid w:val="03DD389B"/>
    <w:rsid w:val="03F31CB7"/>
    <w:rsid w:val="04001E75"/>
    <w:rsid w:val="04051239"/>
    <w:rsid w:val="041D6C76"/>
    <w:rsid w:val="04246559"/>
    <w:rsid w:val="044C6E68"/>
    <w:rsid w:val="04554655"/>
    <w:rsid w:val="04594CF8"/>
    <w:rsid w:val="045A3333"/>
    <w:rsid w:val="045C2016"/>
    <w:rsid w:val="045F5DDE"/>
    <w:rsid w:val="046A2187"/>
    <w:rsid w:val="046F1C6B"/>
    <w:rsid w:val="047B0D01"/>
    <w:rsid w:val="047D5273"/>
    <w:rsid w:val="048E7480"/>
    <w:rsid w:val="04951B45"/>
    <w:rsid w:val="04A951DB"/>
    <w:rsid w:val="04BE2ED4"/>
    <w:rsid w:val="04BE7DA1"/>
    <w:rsid w:val="04C07198"/>
    <w:rsid w:val="04C74740"/>
    <w:rsid w:val="04E716C3"/>
    <w:rsid w:val="04FB2D1E"/>
    <w:rsid w:val="050447EE"/>
    <w:rsid w:val="050B3192"/>
    <w:rsid w:val="0517381B"/>
    <w:rsid w:val="05216546"/>
    <w:rsid w:val="052E6D77"/>
    <w:rsid w:val="05377B18"/>
    <w:rsid w:val="054412C6"/>
    <w:rsid w:val="055F5E14"/>
    <w:rsid w:val="05882122"/>
    <w:rsid w:val="059211F2"/>
    <w:rsid w:val="05962D81"/>
    <w:rsid w:val="059C5BCD"/>
    <w:rsid w:val="05BF76B4"/>
    <w:rsid w:val="05C25634"/>
    <w:rsid w:val="05C416C0"/>
    <w:rsid w:val="05DA0644"/>
    <w:rsid w:val="05EF3192"/>
    <w:rsid w:val="05F15A5F"/>
    <w:rsid w:val="05FB3F65"/>
    <w:rsid w:val="060774EA"/>
    <w:rsid w:val="060C4DD3"/>
    <w:rsid w:val="061E22CB"/>
    <w:rsid w:val="064029FC"/>
    <w:rsid w:val="06505230"/>
    <w:rsid w:val="065D181B"/>
    <w:rsid w:val="068377FD"/>
    <w:rsid w:val="06897EFF"/>
    <w:rsid w:val="068F2982"/>
    <w:rsid w:val="06A7341D"/>
    <w:rsid w:val="06B11926"/>
    <w:rsid w:val="06BA630B"/>
    <w:rsid w:val="06BD041B"/>
    <w:rsid w:val="06BD404D"/>
    <w:rsid w:val="06CC180A"/>
    <w:rsid w:val="06D86D1B"/>
    <w:rsid w:val="06E7C2D2"/>
    <w:rsid w:val="06F7755F"/>
    <w:rsid w:val="06FE0EF3"/>
    <w:rsid w:val="07066E6E"/>
    <w:rsid w:val="071F68B2"/>
    <w:rsid w:val="072132C6"/>
    <w:rsid w:val="07355804"/>
    <w:rsid w:val="07365D55"/>
    <w:rsid w:val="07520C39"/>
    <w:rsid w:val="07533560"/>
    <w:rsid w:val="0755188E"/>
    <w:rsid w:val="075971C8"/>
    <w:rsid w:val="076FAA59"/>
    <w:rsid w:val="077F8EB9"/>
    <w:rsid w:val="078C1D6D"/>
    <w:rsid w:val="07915E9B"/>
    <w:rsid w:val="07986E84"/>
    <w:rsid w:val="07A306B2"/>
    <w:rsid w:val="07A824E2"/>
    <w:rsid w:val="07AA0D3A"/>
    <w:rsid w:val="07DE24CD"/>
    <w:rsid w:val="07E04497"/>
    <w:rsid w:val="07E5385B"/>
    <w:rsid w:val="07FE462A"/>
    <w:rsid w:val="08002FFD"/>
    <w:rsid w:val="0800698A"/>
    <w:rsid w:val="08130D4D"/>
    <w:rsid w:val="08230A1C"/>
    <w:rsid w:val="08275DCF"/>
    <w:rsid w:val="08591174"/>
    <w:rsid w:val="085B58CB"/>
    <w:rsid w:val="085E53BC"/>
    <w:rsid w:val="085F761F"/>
    <w:rsid w:val="08666F52"/>
    <w:rsid w:val="0878022B"/>
    <w:rsid w:val="0881007B"/>
    <w:rsid w:val="088B3C4A"/>
    <w:rsid w:val="08B31693"/>
    <w:rsid w:val="08B5322E"/>
    <w:rsid w:val="08C270F9"/>
    <w:rsid w:val="08C77405"/>
    <w:rsid w:val="08CC4A1B"/>
    <w:rsid w:val="08D51B22"/>
    <w:rsid w:val="08E85D88"/>
    <w:rsid w:val="090F2008"/>
    <w:rsid w:val="091A4149"/>
    <w:rsid w:val="092B3E90"/>
    <w:rsid w:val="093E2CBE"/>
    <w:rsid w:val="094516C8"/>
    <w:rsid w:val="094A3931"/>
    <w:rsid w:val="095149B0"/>
    <w:rsid w:val="095561C9"/>
    <w:rsid w:val="09573CF7"/>
    <w:rsid w:val="095D1A5F"/>
    <w:rsid w:val="09750C0F"/>
    <w:rsid w:val="097536D0"/>
    <w:rsid w:val="097824FF"/>
    <w:rsid w:val="098119C0"/>
    <w:rsid w:val="09896468"/>
    <w:rsid w:val="099B1640"/>
    <w:rsid w:val="09A0520D"/>
    <w:rsid w:val="09A339CE"/>
    <w:rsid w:val="09AA7B54"/>
    <w:rsid w:val="09AF361B"/>
    <w:rsid w:val="09BE63D1"/>
    <w:rsid w:val="09BE680A"/>
    <w:rsid w:val="09C5653E"/>
    <w:rsid w:val="09E638BB"/>
    <w:rsid w:val="09F04EC7"/>
    <w:rsid w:val="09F14739"/>
    <w:rsid w:val="09F5012D"/>
    <w:rsid w:val="0A03621B"/>
    <w:rsid w:val="0A0B0EB9"/>
    <w:rsid w:val="0A18691B"/>
    <w:rsid w:val="0A4A209B"/>
    <w:rsid w:val="0A4B37EA"/>
    <w:rsid w:val="0A7A2BC7"/>
    <w:rsid w:val="0A8C2360"/>
    <w:rsid w:val="0AD00EBD"/>
    <w:rsid w:val="0AD11B2D"/>
    <w:rsid w:val="0ADC3B2B"/>
    <w:rsid w:val="0AE47DFA"/>
    <w:rsid w:val="0AE524AA"/>
    <w:rsid w:val="0AE834EA"/>
    <w:rsid w:val="0AF02C43"/>
    <w:rsid w:val="0B05139F"/>
    <w:rsid w:val="0B0724A7"/>
    <w:rsid w:val="0B0E131B"/>
    <w:rsid w:val="0B1D155E"/>
    <w:rsid w:val="0B224D72"/>
    <w:rsid w:val="0B2D79F3"/>
    <w:rsid w:val="0B4018F6"/>
    <w:rsid w:val="0B5E289E"/>
    <w:rsid w:val="0B6D6042"/>
    <w:rsid w:val="0B7B4287"/>
    <w:rsid w:val="0BA27BE5"/>
    <w:rsid w:val="0BBC48D3"/>
    <w:rsid w:val="0BBFB1C5"/>
    <w:rsid w:val="0BED7182"/>
    <w:rsid w:val="0C0A1AE2"/>
    <w:rsid w:val="0C140AC7"/>
    <w:rsid w:val="0C150924"/>
    <w:rsid w:val="0C200FD8"/>
    <w:rsid w:val="0C2D2B48"/>
    <w:rsid w:val="0C2F779B"/>
    <w:rsid w:val="0C322DE7"/>
    <w:rsid w:val="0C452F2C"/>
    <w:rsid w:val="0C48541E"/>
    <w:rsid w:val="0C601702"/>
    <w:rsid w:val="0C605BA6"/>
    <w:rsid w:val="0C6271A8"/>
    <w:rsid w:val="0C676F35"/>
    <w:rsid w:val="0C7E03DA"/>
    <w:rsid w:val="0C9E3220"/>
    <w:rsid w:val="0CC07B24"/>
    <w:rsid w:val="0CD10852"/>
    <w:rsid w:val="0CD45858"/>
    <w:rsid w:val="0CD93263"/>
    <w:rsid w:val="0CE73BD2"/>
    <w:rsid w:val="0CEE1EC4"/>
    <w:rsid w:val="0D040F1A"/>
    <w:rsid w:val="0D112AA2"/>
    <w:rsid w:val="0D152A80"/>
    <w:rsid w:val="0D240982"/>
    <w:rsid w:val="0D5629A1"/>
    <w:rsid w:val="0D757126"/>
    <w:rsid w:val="0D7D0092"/>
    <w:rsid w:val="0D8B576F"/>
    <w:rsid w:val="0D8E6743"/>
    <w:rsid w:val="0D9378B6"/>
    <w:rsid w:val="0DAA346F"/>
    <w:rsid w:val="0DB12B4A"/>
    <w:rsid w:val="0DB37F58"/>
    <w:rsid w:val="0DDD6D83"/>
    <w:rsid w:val="0E083EAE"/>
    <w:rsid w:val="0E221161"/>
    <w:rsid w:val="0E2E1044"/>
    <w:rsid w:val="0E4806A0"/>
    <w:rsid w:val="0E5A39C9"/>
    <w:rsid w:val="0E6454BD"/>
    <w:rsid w:val="0E802992"/>
    <w:rsid w:val="0E85325F"/>
    <w:rsid w:val="0E8841E4"/>
    <w:rsid w:val="0E90392D"/>
    <w:rsid w:val="0E9A70E0"/>
    <w:rsid w:val="0EA01DEC"/>
    <w:rsid w:val="0EA300C1"/>
    <w:rsid w:val="0EAE1417"/>
    <w:rsid w:val="0ED14B39"/>
    <w:rsid w:val="0ED2176B"/>
    <w:rsid w:val="0ED66CC1"/>
    <w:rsid w:val="0EDC7FE2"/>
    <w:rsid w:val="0F1467D4"/>
    <w:rsid w:val="0F205FD5"/>
    <w:rsid w:val="0F236F3C"/>
    <w:rsid w:val="0F2C77DE"/>
    <w:rsid w:val="0F3F7CF5"/>
    <w:rsid w:val="0F6B0AEA"/>
    <w:rsid w:val="0F6F1E7F"/>
    <w:rsid w:val="0F860A35"/>
    <w:rsid w:val="0F997970"/>
    <w:rsid w:val="0F9A7EDA"/>
    <w:rsid w:val="0FA73B6C"/>
    <w:rsid w:val="0FA83D43"/>
    <w:rsid w:val="0FC404B7"/>
    <w:rsid w:val="0FCE72CB"/>
    <w:rsid w:val="0FDC5720"/>
    <w:rsid w:val="0FE443F8"/>
    <w:rsid w:val="0FF70D0A"/>
    <w:rsid w:val="0FFD240A"/>
    <w:rsid w:val="100F3B6B"/>
    <w:rsid w:val="10156CA8"/>
    <w:rsid w:val="101C4907"/>
    <w:rsid w:val="1033383A"/>
    <w:rsid w:val="10374E70"/>
    <w:rsid w:val="103E7FAD"/>
    <w:rsid w:val="107240FA"/>
    <w:rsid w:val="10735E1F"/>
    <w:rsid w:val="1074577C"/>
    <w:rsid w:val="107B377A"/>
    <w:rsid w:val="10965B55"/>
    <w:rsid w:val="10A60810"/>
    <w:rsid w:val="10AC760C"/>
    <w:rsid w:val="10C72A02"/>
    <w:rsid w:val="10DC35B0"/>
    <w:rsid w:val="10E30B54"/>
    <w:rsid w:val="10EA73F2"/>
    <w:rsid w:val="10ED30D4"/>
    <w:rsid w:val="11166D4D"/>
    <w:rsid w:val="111C7BF2"/>
    <w:rsid w:val="1127475F"/>
    <w:rsid w:val="11365128"/>
    <w:rsid w:val="114B2BEB"/>
    <w:rsid w:val="11572249"/>
    <w:rsid w:val="115F2C98"/>
    <w:rsid w:val="116B4318"/>
    <w:rsid w:val="11823EC9"/>
    <w:rsid w:val="11896A03"/>
    <w:rsid w:val="11916802"/>
    <w:rsid w:val="11983B1A"/>
    <w:rsid w:val="11A25E3B"/>
    <w:rsid w:val="11A74051"/>
    <w:rsid w:val="11AA52F3"/>
    <w:rsid w:val="11AF0A31"/>
    <w:rsid w:val="11B25AFE"/>
    <w:rsid w:val="11B45ED9"/>
    <w:rsid w:val="11CB0CF0"/>
    <w:rsid w:val="11D34725"/>
    <w:rsid w:val="11DF08B1"/>
    <w:rsid w:val="11DF36A1"/>
    <w:rsid w:val="11E35AA0"/>
    <w:rsid w:val="11E51E8E"/>
    <w:rsid w:val="11F75C7F"/>
    <w:rsid w:val="11F95D6E"/>
    <w:rsid w:val="12112A0A"/>
    <w:rsid w:val="12150A02"/>
    <w:rsid w:val="12174F59"/>
    <w:rsid w:val="12246AF1"/>
    <w:rsid w:val="122554C6"/>
    <w:rsid w:val="12282CC2"/>
    <w:rsid w:val="125B292B"/>
    <w:rsid w:val="12754F46"/>
    <w:rsid w:val="127F15E1"/>
    <w:rsid w:val="12AF1FE4"/>
    <w:rsid w:val="12C16C73"/>
    <w:rsid w:val="12C62070"/>
    <w:rsid w:val="12D706C4"/>
    <w:rsid w:val="12E4798B"/>
    <w:rsid w:val="12E55FEE"/>
    <w:rsid w:val="12F17558"/>
    <w:rsid w:val="12F83C82"/>
    <w:rsid w:val="1302525A"/>
    <w:rsid w:val="131674A1"/>
    <w:rsid w:val="13392358"/>
    <w:rsid w:val="134908B2"/>
    <w:rsid w:val="13693592"/>
    <w:rsid w:val="137361BF"/>
    <w:rsid w:val="138A3509"/>
    <w:rsid w:val="139236BB"/>
    <w:rsid w:val="1393060F"/>
    <w:rsid w:val="13961EAE"/>
    <w:rsid w:val="13B9702D"/>
    <w:rsid w:val="13D950E1"/>
    <w:rsid w:val="13DF1AA7"/>
    <w:rsid w:val="13E15699"/>
    <w:rsid w:val="13E67EB4"/>
    <w:rsid w:val="13EA459B"/>
    <w:rsid w:val="13F21748"/>
    <w:rsid w:val="13FDE4E9"/>
    <w:rsid w:val="14163C89"/>
    <w:rsid w:val="1417616F"/>
    <w:rsid w:val="142038BC"/>
    <w:rsid w:val="143771ED"/>
    <w:rsid w:val="145A7A85"/>
    <w:rsid w:val="14700951"/>
    <w:rsid w:val="14785E3A"/>
    <w:rsid w:val="1485147D"/>
    <w:rsid w:val="1494463F"/>
    <w:rsid w:val="14C2659D"/>
    <w:rsid w:val="14C32376"/>
    <w:rsid w:val="14DB04C0"/>
    <w:rsid w:val="14F90946"/>
    <w:rsid w:val="150723ED"/>
    <w:rsid w:val="15181B15"/>
    <w:rsid w:val="15202312"/>
    <w:rsid w:val="1523116C"/>
    <w:rsid w:val="15297687"/>
    <w:rsid w:val="152C3F68"/>
    <w:rsid w:val="15474F0A"/>
    <w:rsid w:val="154C6CC8"/>
    <w:rsid w:val="154E4481"/>
    <w:rsid w:val="15506EF7"/>
    <w:rsid w:val="15655DA6"/>
    <w:rsid w:val="1566494F"/>
    <w:rsid w:val="15740815"/>
    <w:rsid w:val="15843123"/>
    <w:rsid w:val="15875F52"/>
    <w:rsid w:val="15933489"/>
    <w:rsid w:val="15973CBB"/>
    <w:rsid w:val="15B12FCF"/>
    <w:rsid w:val="15B30AF5"/>
    <w:rsid w:val="15CE200E"/>
    <w:rsid w:val="15E36674"/>
    <w:rsid w:val="15F232D0"/>
    <w:rsid w:val="15F555B1"/>
    <w:rsid w:val="15FA4976"/>
    <w:rsid w:val="15FFD219"/>
    <w:rsid w:val="16007AB2"/>
    <w:rsid w:val="160752E5"/>
    <w:rsid w:val="163559AE"/>
    <w:rsid w:val="163A7083"/>
    <w:rsid w:val="163C4F94"/>
    <w:rsid w:val="164E5119"/>
    <w:rsid w:val="165247B2"/>
    <w:rsid w:val="166C2661"/>
    <w:rsid w:val="16797F90"/>
    <w:rsid w:val="167A58EE"/>
    <w:rsid w:val="168856DA"/>
    <w:rsid w:val="16C810CC"/>
    <w:rsid w:val="16D06420"/>
    <w:rsid w:val="16DA118B"/>
    <w:rsid w:val="16E01DBD"/>
    <w:rsid w:val="170D692B"/>
    <w:rsid w:val="17147CB9"/>
    <w:rsid w:val="173ACC23"/>
    <w:rsid w:val="174560AE"/>
    <w:rsid w:val="174560C4"/>
    <w:rsid w:val="17472445"/>
    <w:rsid w:val="174D31CB"/>
    <w:rsid w:val="17554511"/>
    <w:rsid w:val="17591B70"/>
    <w:rsid w:val="175E71E6"/>
    <w:rsid w:val="17795D6E"/>
    <w:rsid w:val="178564C1"/>
    <w:rsid w:val="1794305D"/>
    <w:rsid w:val="17AA1223"/>
    <w:rsid w:val="17B8560D"/>
    <w:rsid w:val="17FD699F"/>
    <w:rsid w:val="17FFF359"/>
    <w:rsid w:val="18003D99"/>
    <w:rsid w:val="18194E5B"/>
    <w:rsid w:val="182A0E16"/>
    <w:rsid w:val="184B7D71"/>
    <w:rsid w:val="184D172B"/>
    <w:rsid w:val="18643F78"/>
    <w:rsid w:val="18653553"/>
    <w:rsid w:val="18692356"/>
    <w:rsid w:val="186C694B"/>
    <w:rsid w:val="186C7681"/>
    <w:rsid w:val="1876405C"/>
    <w:rsid w:val="1876541B"/>
    <w:rsid w:val="18883BCA"/>
    <w:rsid w:val="18956BD8"/>
    <w:rsid w:val="18A70D35"/>
    <w:rsid w:val="18BD040B"/>
    <w:rsid w:val="18C42B64"/>
    <w:rsid w:val="18D94773"/>
    <w:rsid w:val="18DA5450"/>
    <w:rsid w:val="18DB09E4"/>
    <w:rsid w:val="18DB7355"/>
    <w:rsid w:val="18EE0096"/>
    <w:rsid w:val="18F13660"/>
    <w:rsid w:val="18F96ACB"/>
    <w:rsid w:val="19197809"/>
    <w:rsid w:val="192A5572"/>
    <w:rsid w:val="193A79F0"/>
    <w:rsid w:val="193B4FD0"/>
    <w:rsid w:val="195425EF"/>
    <w:rsid w:val="19595E57"/>
    <w:rsid w:val="195E16BF"/>
    <w:rsid w:val="1966546C"/>
    <w:rsid w:val="196675A6"/>
    <w:rsid w:val="196A0064"/>
    <w:rsid w:val="1997072D"/>
    <w:rsid w:val="1999778C"/>
    <w:rsid w:val="19B4188F"/>
    <w:rsid w:val="19CD4DC8"/>
    <w:rsid w:val="19DD25E4"/>
    <w:rsid w:val="19E0285F"/>
    <w:rsid w:val="19E219A9"/>
    <w:rsid w:val="19E74B26"/>
    <w:rsid w:val="19EA4C66"/>
    <w:rsid w:val="1A0A00C9"/>
    <w:rsid w:val="1A1660DA"/>
    <w:rsid w:val="1A192F67"/>
    <w:rsid w:val="1A2541AB"/>
    <w:rsid w:val="1A3D7527"/>
    <w:rsid w:val="1A3FCF02"/>
    <w:rsid w:val="1A412D95"/>
    <w:rsid w:val="1A5B175B"/>
    <w:rsid w:val="1A7A0749"/>
    <w:rsid w:val="1A807414"/>
    <w:rsid w:val="1AED4AA9"/>
    <w:rsid w:val="1AFB6815"/>
    <w:rsid w:val="1AFB6A0F"/>
    <w:rsid w:val="1B247C49"/>
    <w:rsid w:val="1B281F85"/>
    <w:rsid w:val="1B2B02B7"/>
    <w:rsid w:val="1B392EC1"/>
    <w:rsid w:val="1B3C77DE"/>
    <w:rsid w:val="1B3F0D70"/>
    <w:rsid w:val="1B430B6D"/>
    <w:rsid w:val="1B6F6A61"/>
    <w:rsid w:val="1B772E08"/>
    <w:rsid w:val="1B7B7A15"/>
    <w:rsid w:val="1B9C202B"/>
    <w:rsid w:val="1BAB2470"/>
    <w:rsid w:val="1BAD4238"/>
    <w:rsid w:val="1BB10060"/>
    <w:rsid w:val="1BB75E55"/>
    <w:rsid w:val="1BCA4DEA"/>
    <w:rsid w:val="1BCB2DA2"/>
    <w:rsid w:val="1BE4113E"/>
    <w:rsid w:val="1BE839E6"/>
    <w:rsid w:val="1BEA0FE8"/>
    <w:rsid w:val="1BEF2AA3"/>
    <w:rsid w:val="1BF9B495"/>
    <w:rsid w:val="1BFCA88A"/>
    <w:rsid w:val="1BFD9EDF"/>
    <w:rsid w:val="1C0526B5"/>
    <w:rsid w:val="1C294840"/>
    <w:rsid w:val="1C2A20E4"/>
    <w:rsid w:val="1C614B7E"/>
    <w:rsid w:val="1C6668B8"/>
    <w:rsid w:val="1C724720"/>
    <w:rsid w:val="1C7B1AED"/>
    <w:rsid w:val="1C8B5289"/>
    <w:rsid w:val="1C8E7BC6"/>
    <w:rsid w:val="1C9176B6"/>
    <w:rsid w:val="1C940F54"/>
    <w:rsid w:val="1CB61F07"/>
    <w:rsid w:val="1CBC31B0"/>
    <w:rsid w:val="1CBD04AB"/>
    <w:rsid w:val="1CC61A56"/>
    <w:rsid w:val="1CD162D3"/>
    <w:rsid w:val="1CF3211F"/>
    <w:rsid w:val="1CF365C3"/>
    <w:rsid w:val="1CFF7FAA"/>
    <w:rsid w:val="1D025FAA"/>
    <w:rsid w:val="1D077FE1"/>
    <w:rsid w:val="1D1439C8"/>
    <w:rsid w:val="1D36530B"/>
    <w:rsid w:val="1D464944"/>
    <w:rsid w:val="1D5A6237"/>
    <w:rsid w:val="1D5F7BE0"/>
    <w:rsid w:val="1D770853"/>
    <w:rsid w:val="1D7C5E59"/>
    <w:rsid w:val="1D8233C4"/>
    <w:rsid w:val="1D863B00"/>
    <w:rsid w:val="1D8E16BE"/>
    <w:rsid w:val="1DAF6046"/>
    <w:rsid w:val="1DB346B9"/>
    <w:rsid w:val="1DBC4C07"/>
    <w:rsid w:val="1DBFC4B2"/>
    <w:rsid w:val="1DCD2970"/>
    <w:rsid w:val="1DD1315C"/>
    <w:rsid w:val="1DDFF5FF"/>
    <w:rsid w:val="1DE0749A"/>
    <w:rsid w:val="1DE50D11"/>
    <w:rsid w:val="1DEF0904"/>
    <w:rsid w:val="1DF00F48"/>
    <w:rsid w:val="1E313FB3"/>
    <w:rsid w:val="1E440DBA"/>
    <w:rsid w:val="1E4A0464"/>
    <w:rsid w:val="1E4A2212"/>
    <w:rsid w:val="1E7F289E"/>
    <w:rsid w:val="1E841CB5"/>
    <w:rsid w:val="1E924D40"/>
    <w:rsid w:val="1E9C67D9"/>
    <w:rsid w:val="1EA80F09"/>
    <w:rsid w:val="1EAE7A23"/>
    <w:rsid w:val="1ED709CD"/>
    <w:rsid w:val="1EEF9422"/>
    <w:rsid w:val="1EFA59E6"/>
    <w:rsid w:val="1EFF06EA"/>
    <w:rsid w:val="1F32E3AB"/>
    <w:rsid w:val="1F3D1C70"/>
    <w:rsid w:val="1F470500"/>
    <w:rsid w:val="1F5D7D23"/>
    <w:rsid w:val="1F7F33EB"/>
    <w:rsid w:val="1F840797"/>
    <w:rsid w:val="1F925C1F"/>
    <w:rsid w:val="1F964E25"/>
    <w:rsid w:val="1F9C7ED3"/>
    <w:rsid w:val="1FB10702"/>
    <w:rsid w:val="1FBB9104"/>
    <w:rsid w:val="1FFF14FB"/>
    <w:rsid w:val="1FFF494C"/>
    <w:rsid w:val="1FFFBE82"/>
    <w:rsid w:val="20146634"/>
    <w:rsid w:val="20162EA9"/>
    <w:rsid w:val="20176124"/>
    <w:rsid w:val="202116F2"/>
    <w:rsid w:val="20287CE9"/>
    <w:rsid w:val="202A1055"/>
    <w:rsid w:val="203923AF"/>
    <w:rsid w:val="20525DA3"/>
    <w:rsid w:val="205A38A2"/>
    <w:rsid w:val="20601879"/>
    <w:rsid w:val="207B5250"/>
    <w:rsid w:val="20857532"/>
    <w:rsid w:val="20953B77"/>
    <w:rsid w:val="209E5993"/>
    <w:rsid w:val="20B94EBA"/>
    <w:rsid w:val="20D364EF"/>
    <w:rsid w:val="20DA5ACF"/>
    <w:rsid w:val="20E017E3"/>
    <w:rsid w:val="20EE157B"/>
    <w:rsid w:val="20EF23DB"/>
    <w:rsid w:val="21141DD0"/>
    <w:rsid w:val="21173285"/>
    <w:rsid w:val="211E20A8"/>
    <w:rsid w:val="214E5B76"/>
    <w:rsid w:val="214F28C1"/>
    <w:rsid w:val="21563120"/>
    <w:rsid w:val="215908EE"/>
    <w:rsid w:val="215F3BFA"/>
    <w:rsid w:val="217750CC"/>
    <w:rsid w:val="217F13AC"/>
    <w:rsid w:val="21845A3B"/>
    <w:rsid w:val="219E6AFD"/>
    <w:rsid w:val="21B87493"/>
    <w:rsid w:val="21C32C2D"/>
    <w:rsid w:val="21C44C50"/>
    <w:rsid w:val="21C9556D"/>
    <w:rsid w:val="21D438EF"/>
    <w:rsid w:val="21E22A07"/>
    <w:rsid w:val="21FBEBEB"/>
    <w:rsid w:val="2217240B"/>
    <w:rsid w:val="22242C4B"/>
    <w:rsid w:val="222E0711"/>
    <w:rsid w:val="22315125"/>
    <w:rsid w:val="223A67E5"/>
    <w:rsid w:val="2290642E"/>
    <w:rsid w:val="2293632E"/>
    <w:rsid w:val="22963C78"/>
    <w:rsid w:val="22981272"/>
    <w:rsid w:val="229F1EE1"/>
    <w:rsid w:val="22AA72EE"/>
    <w:rsid w:val="22CA5FBD"/>
    <w:rsid w:val="22D27C7E"/>
    <w:rsid w:val="22F86E90"/>
    <w:rsid w:val="22FB3ADB"/>
    <w:rsid w:val="23056708"/>
    <w:rsid w:val="23200AB5"/>
    <w:rsid w:val="232B1F13"/>
    <w:rsid w:val="232D50B8"/>
    <w:rsid w:val="232E3C82"/>
    <w:rsid w:val="232F7A8C"/>
    <w:rsid w:val="23437311"/>
    <w:rsid w:val="237072A3"/>
    <w:rsid w:val="2388552B"/>
    <w:rsid w:val="239F60C5"/>
    <w:rsid w:val="23AE001C"/>
    <w:rsid w:val="23B14ACF"/>
    <w:rsid w:val="23BD5235"/>
    <w:rsid w:val="23BF3832"/>
    <w:rsid w:val="23CB16FF"/>
    <w:rsid w:val="23DE7685"/>
    <w:rsid w:val="23EE3775"/>
    <w:rsid w:val="23F4ACD9"/>
    <w:rsid w:val="23F64E6A"/>
    <w:rsid w:val="23F87F36"/>
    <w:rsid w:val="23FF0A62"/>
    <w:rsid w:val="240E3358"/>
    <w:rsid w:val="2419493C"/>
    <w:rsid w:val="2432177F"/>
    <w:rsid w:val="24436500"/>
    <w:rsid w:val="245A2A83"/>
    <w:rsid w:val="24696317"/>
    <w:rsid w:val="24B506C7"/>
    <w:rsid w:val="24B6415E"/>
    <w:rsid w:val="24B86128"/>
    <w:rsid w:val="24C901DC"/>
    <w:rsid w:val="24CE4DB1"/>
    <w:rsid w:val="24FA112D"/>
    <w:rsid w:val="25056E93"/>
    <w:rsid w:val="250B4B52"/>
    <w:rsid w:val="25287303"/>
    <w:rsid w:val="25565941"/>
    <w:rsid w:val="255E0351"/>
    <w:rsid w:val="25757B75"/>
    <w:rsid w:val="258705C5"/>
    <w:rsid w:val="25AE752B"/>
    <w:rsid w:val="25AFFA62"/>
    <w:rsid w:val="25D10556"/>
    <w:rsid w:val="25D9766F"/>
    <w:rsid w:val="25DA49E2"/>
    <w:rsid w:val="25EF3DCB"/>
    <w:rsid w:val="26171E73"/>
    <w:rsid w:val="262E41C8"/>
    <w:rsid w:val="264F6850"/>
    <w:rsid w:val="265D1398"/>
    <w:rsid w:val="26932C8A"/>
    <w:rsid w:val="26937E39"/>
    <w:rsid w:val="26A03C3C"/>
    <w:rsid w:val="26DD6212"/>
    <w:rsid w:val="26F94C50"/>
    <w:rsid w:val="26FB4F96"/>
    <w:rsid w:val="270E298C"/>
    <w:rsid w:val="27167136"/>
    <w:rsid w:val="27277595"/>
    <w:rsid w:val="2732271F"/>
    <w:rsid w:val="273D57D8"/>
    <w:rsid w:val="27457128"/>
    <w:rsid w:val="2745797B"/>
    <w:rsid w:val="27467B25"/>
    <w:rsid w:val="27491D4C"/>
    <w:rsid w:val="275B1765"/>
    <w:rsid w:val="276D4AE9"/>
    <w:rsid w:val="277C1D18"/>
    <w:rsid w:val="277D22FF"/>
    <w:rsid w:val="27866A79"/>
    <w:rsid w:val="278A21C3"/>
    <w:rsid w:val="279E6564"/>
    <w:rsid w:val="27A75FE0"/>
    <w:rsid w:val="27CB4D62"/>
    <w:rsid w:val="27DE7FB7"/>
    <w:rsid w:val="27E3172A"/>
    <w:rsid w:val="27F154AD"/>
    <w:rsid w:val="27F5CDC8"/>
    <w:rsid w:val="27F65B6B"/>
    <w:rsid w:val="28090ABE"/>
    <w:rsid w:val="28096C9A"/>
    <w:rsid w:val="281E1197"/>
    <w:rsid w:val="282378B2"/>
    <w:rsid w:val="28487718"/>
    <w:rsid w:val="28492574"/>
    <w:rsid w:val="284E72DC"/>
    <w:rsid w:val="285B15A7"/>
    <w:rsid w:val="286F11F3"/>
    <w:rsid w:val="287D5ED9"/>
    <w:rsid w:val="28942A08"/>
    <w:rsid w:val="28B164BA"/>
    <w:rsid w:val="28B42122"/>
    <w:rsid w:val="28D75265"/>
    <w:rsid w:val="28E47507"/>
    <w:rsid w:val="28EA2628"/>
    <w:rsid w:val="28F214DC"/>
    <w:rsid w:val="292269FD"/>
    <w:rsid w:val="292F457B"/>
    <w:rsid w:val="29363ABF"/>
    <w:rsid w:val="296B671C"/>
    <w:rsid w:val="296B9323"/>
    <w:rsid w:val="29726A0C"/>
    <w:rsid w:val="29A94BD5"/>
    <w:rsid w:val="29AF73CD"/>
    <w:rsid w:val="29B80978"/>
    <w:rsid w:val="29DA5795"/>
    <w:rsid w:val="29E73282"/>
    <w:rsid w:val="29ED173B"/>
    <w:rsid w:val="2A0F08D5"/>
    <w:rsid w:val="2A113634"/>
    <w:rsid w:val="2A262DB4"/>
    <w:rsid w:val="2A267326"/>
    <w:rsid w:val="2A5D507B"/>
    <w:rsid w:val="2A816FEF"/>
    <w:rsid w:val="2A9428FA"/>
    <w:rsid w:val="2AA711A8"/>
    <w:rsid w:val="2AC77988"/>
    <w:rsid w:val="2ACA0963"/>
    <w:rsid w:val="2ACBFA33"/>
    <w:rsid w:val="2AD450EA"/>
    <w:rsid w:val="2AD74E2E"/>
    <w:rsid w:val="2AE7307A"/>
    <w:rsid w:val="2AEF7150"/>
    <w:rsid w:val="2AFA28CA"/>
    <w:rsid w:val="2B023BFD"/>
    <w:rsid w:val="2B0826B0"/>
    <w:rsid w:val="2B0C0C2A"/>
    <w:rsid w:val="2B1A4D1A"/>
    <w:rsid w:val="2B1C175D"/>
    <w:rsid w:val="2B1F6EEB"/>
    <w:rsid w:val="2B22345B"/>
    <w:rsid w:val="2B3109E2"/>
    <w:rsid w:val="2B3F72B2"/>
    <w:rsid w:val="2B400C25"/>
    <w:rsid w:val="2B457230"/>
    <w:rsid w:val="2B5054D5"/>
    <w:rsid w:val="2B5A55FB"/>
    <w:rsid w:val="2B604039"/>
    <w:rsid w:val="2B6B12F3"/>
    <w:rsid w:val="2B6D7540"/>
    <w:rsid w:val="2B741029"/>
    <w:rsid w:val="2B940F71"/>
    <w:rsid w:val="2B9C0B3E"/>
    <w:rsid w:val="2BA07020"/>
    <w:rsid w:val="2BBA09D7"/>
    <w:rsid w:val="2BC00E57"/>
    <w:rsid w:val="2BC06184"/>
    <w:rsid w:val="2BCA38CE"/>
    <w:rsid w:val="2BCE2D40"/>
    <w:rsid w:val="2BE55328"/>
    <w:rsid w:val="2BEFB4B2"/>
    <w:rsid w:val="2BFB307B"/>
    <w:rsid w:val="2BFB4B4C"/>
    <w:rsid w:val="2BFF63EA"/>
    <w:rsid w:val="2C100EEC"/>
    <w:rsid w:val="2C206143"/>
    <w:rsid w:val="2C287ECA"/>
    <w:rsid w:val="2C2916B9"/>
    <w:rsid w:val="2C414C55"/>
    <w:rsid w:val="2C49046A"/>
    <w:rsid w:val="2C6B57F0"/>
    <w:rsid w:val="2C725F8D"/>
    <w:rsid w:val="2C734E31"/>
    <w:rsid w:val="2C863C3D"/>
    <w:rsid w:val="2C970D19"/>
    <w:rsid w:val="2C9F3729"/>
    <w:rsid w:val="2CA924CA"/>
    <w:rsid w:val="2CBA9371"/>
    <w:rsid w:val="2CBFF3C6"/>
    <w:rsid w:val="2CC47634"/>
    <w:rsid w:val="2CC47799"/>
    <w:rsid w:val="2CD47877"/>
    <w:rsid w:val="2CE3118E"/>
    <w:rsid w:val="2CE441C5"/>
    <w:rsid w:val="2CFC5020"/>
    <w:rsid w:val="2D04088A"/>
    <w:rsid w:val="2D085772"/>
    <w:rsid w:val="2D103148"/>
    <w:rsid w:val="2D4542D1"/>
    <w:rsid w:val="2D6230D5"/>
    <w:rsid w:val="2D7352E2"/>
    <w:rsid w:val="2D7746A6"/>
    <w:rsid w:val="2D86591E"/>
    <w:rsid w:val="2D885FB0"/>
    <w:rsid w:val="2D9436F8"/>
    <w:rsid w:val="2D957F6F"/>
    <w:rsid w:val="2D987795"/>
    <w:rsid w:val="2DA03AA4"/>
    <w:rsid w:val="2DB15E0A"/>
    <w:rsid w:val="2DBA3EB2"/>
    <w:rsid w:val="2DBD47AF"/>
    <w:rsid w:val="2DD1025A"/>
    <w:rsid w:val="2DDBA414"/>
    <w:rsid w:val="2DDD3579"/>
    <w:rsid w:val="2DDF1017"/>
    <w:rsid w:val="2DE53D06"/>
    <w:rsid w:val="2DEF248E"/>
    <w:rsid w:val="2DF12E9C"/>
    <w:rsid w:val="2DF37B82"/>
    <w:rsid w:val="2DF52218"/>
    <w:rsid w:val="2DF78DD5"/>
    <w:rsid w:val="2DFA34F5"/>
    <w:rsid w:val="2E0A0C09"/>
    <w:rsid w:val="2E262354"/>
    <w:rsid w:val="2E316A21"/>
    <w:rsid w:val="2E5067EC"/>
    <w:rsid w:val="2E5E6A04"/>
    <w:rsid w:val="2E7B1F74"/>
    <w:rsid w:val="2E862DF3"/>
    <w:rsid w:val="2E980D78"/>
    <w:rsid w:val="2E9848D4"/>
    <w:rsid w:val="2EB061FD"/>
    <w:rsid w:val="2EB21E3A"/>
    <w:rsid w:val="2EB55684"/>
    <w:rsid w:val="2EC571F3"/>
    <w:rsid w:val="2EC97183"/>
    <w:rsid w:val="2EE330A1"/>
    <w:rsid w:val="2EE61AE3"/>
    <w:rsid w:val="2EFB14A1"/>
    <w:rsid w:val="2EFD668A"/>
    <w:rsid w:val="2F155773"/>
    <w:rsid w:val="2F216FD0"/>
    <w:rsid w:val="2F28553F"/>
    <w:rsid w:val="2F622FA8"/>
    <w:rsid w:val="2F680329"/>
    <w:rsid w:val="2F85139E"/>
    <w:rsid w:val="2F947791"/>
    <w:rsid w:val="2FA9127F"/>
    <w:rsid w:val="2FBF166B"/>
    <w:rsid w:val="2FC04ACB"/>
    <w:rsid w:val="2FD33202"/>
    <w:rsid w:val="2FD99BD1"/>
    <w:rsid w:val="2FDF863C"/>
    <w:rsid w:val="2FEF3A8C"/>
    <w:rsid w:val="30063D65"/>
    <w:rsid w:val="300E30A0"/>
    <w:rsid w:val="30126165"/>
    <w:rsid w:val="301405BF"/>
    <w:rsid w:val="301D5A7D"/>
    <w:rsid w:val="302E47F0"/>
    <w:rsid w:val="303B7C0D"/>
    <w:rsid w:val="303D4D39"/>
    <w:rsid w:val="30696528"/>
    <w:rsid w:val="307631BE"/>
    <w:rsid w:val="307931FA"/>
    <w:rsid w:val="3082583C"/>
    <w:rsid w:val="308A20DF"/>
    <w:rsid w:val="308C5F5F"/>
    <w:rsid w:val="309F63A7"/>
    <w:rsid w:val="30A01C88"/>
    <w:rsid w:val="30A43A04"/>
    <w:rsid w:val="30AE5FEC"/>
    <w:rsid w:val="30CD7F9B"/>
    <w:rsid w:val="30D37306"/>
    <w:rsid w:val="30D95557"/>
    <w:rsid w:val="30DE7D87"/>
    <w:rsid w:val="30E16343"/>
    <w:rsid w:val="30E16A06"/>
    <w:rsid w:val="310F0A0C"/>
    <w:rsid w:val="31165963"/>
    <w:rsid w:val="31215667"/>
    <w:rsid w:val="31382DE1"/>
    <w:rsid w:val="3150435B"/>
    <w:rsid w:val="315E1E05"/>
    <w:rsid w:val="316817B4"/>
    <w:rsid w:val="31701B38"/>
    <w:rsid w:val="3183186B"/>
    <w:rsid w:val="31853836"/>
    <w:rsid w:val="31861CB1"/>
    <w:rsid w:val="31864EB8"/>
    <w:rsid w:val="319E4BD8"/>
    <w:rsid w:val="31A11CF2"/>
    <w:rsid w:val="31A97CD4"/>
    <w:rsid w:val="31B31137"/>
    <w:rsid w:val="31BC2ECA"/>
    <w:rsid w:val="31BC43A8"/>
    <w:rsid w:val="31C0329F"/>
    <w:rsid w:val="31C3042A"/>
    <w:rsid w:val="31CF6156"/>
    <w:rsid w:val="31D43E75"/>
    <w:rsid w:val="31E26DD0"/>
    <w:rsid w:val="31ED3189"/>
    <w:rsid w:val="31F07478"/>
    <w:rsid w:val="31F34EE6"/>
    <w:rsid w:val="31FC2385"/>
    <w:rsid w:val="32032452"/>
    <w:rsid w:val="320C5601"/>
    <w:rsid w:val="3220765B"/>
    <w:rsid w:val="323F60E0"/>
    <w:rsid w:val="32414601"/>
    <w:rsid w:val="324B5D0F"/>
    <w:rsid w:val="32570855"/>
    <w:rsid w:val="32585395"/>
    <w:rsid w:val="327318E0"/>
    <w:rsid w:val="327D60AD"/>
    <w:rsid w:val="32870EE7"/>
    <w:rsid w:val="32A76766"/>
    <w:rsid w:val="32A846F2"/>
    <w:rsid w:val="32A962E3"/>
    <w:rsid w:val="32C716DA"/>
    <w:rsid w:val="32CB5278"/>
    <w:rsid w:val="32CF0D97"/>
    <w:rsid w:val="32D305D1"/>
    <w:rsid w:val="32D40438"/>
    <w:rsid w:val="32D93D55"/>
    <w:rsid w:val="32DF2AD1"/>
    <w:rsid w:val="32E15982"/>
    <w:rsid w:val="32E91BA2"/>
    <w:rsid w:val="32EE0F67"/>
    <w:rsid w:val="32F15577"/>
    <w:rsid w:val="32FE43DF"/>
    <w:rsid w:val="32FF15C5"/>
    <w:rsid w:val="33072028"/>
    <w:rsid w:val="332130EA"/>
    <w:rsid w:val="332D7CE1"/>
    <w:rsid w:val="33332E1D"/>
    <w:rsid w:val="3336725E"/>
    <w:rsid w:val="33415945"/>
    <w:rsid w:val="33462B51"/>
    <w:rsid w:val="334F0EAE"/>
    <w:rsid w:val="334F5387"/>
    <w:rsid w:val="335D7E9A"/>
    <w:rsid w:val="33637BDB"/>
    <w:rsid w:val="3367266A"/>
    <w:rsid w:val="33866E96"/>
    <w:rsid w:val="338D3F51"/>
    <w:rsid w:val="33991598"/>
    <w:rsid w:val="33B26438"/>
    <w:rsid w:val="33D16EB6"/>
    <w:rsid w:val="33D8246C"/>
    <w:rsid w:val="33D94FDC"/>
    <w:rsid w:val="33DD277F"/>
    <w:rsid w:val="33E81E5A"/>
    <w:rsid w:val="33EB3F60"/>
    <w:rsid w:val="33EC2509"/>
    <w:rsid w:val="33FDA974"/>
    <w:rsid w:val="34036C94"/>
    <w:rsid w:val="34190265"/>
    <w:rsid w:val="34194F94"/>
    <w:rsid w:val="34372F0D"/>
    <w:rsid w:val="3448551B"/>
    <w:rsid w:val="346516FC"/>
    <w:rsid w:val="34A00986"/>
    <w:rsid w:val="34A715A5"/>
    <w:rsid w:val="34A72487"/>
    <w:rsid w:val="34AB35B3"/>
    <w:rsid w:val="34AE5ED7"/>
    <w:rsid w:val="34AF2730"/>
    <w:rsid w:val="34D33FE5"/>
    <w:rsid w:val="34D36666"/>
    <w:rsid w:val="34DA3E98"/>
    <w:rsid w:val="34F85BB4"/>
    <w:rsid w:val="34FF38FF"/>
    <w:rsid w:val="3513513B"/>
    <w:rsid w:val="35204032"/>
    <w:rsid w:val="354D466A"/>
    <w:rsid w:val="356279EA"/>
    <w:rsid w:val="356C2617"/>
    <w:rsid w:val="35754348"/>
    <w:rsid w:val="35778F08"/>
    <w:rsid w:val="35832375"/>
    <w:rsid w:val="358A316B"/>
    <w:rsid w:val="359B1552"/>
    <w:rsid w:val="35A7711A"/>
    <w:rsid w:val="35A85200"/>
    <w:rsid w:val="35B279BB"/>
    <w:rsid w:val="35CF3DA5"/>
    <w:rsid w:val="35CF6FF8"/>
    <w:rsid w:val="35D07049"/>
    <w:rsid w:val="35DE31B8"/>
    <w:rsid w:val="35DF46B8"/>
    <w:rsid w:val="35E328D9"/>
    <w:rsid w:val="35FF66C6"/>
    <w:rsid w:val="3609071C"/>
    <w:rsid w:val="360F36CE"/>
    <w:rsid w:val="36203B2D"/>
    <w:rsid w:val="362562E7"/>
    <w:rsid w:val="363215CE"/>
    <w:rsid w:val="36421CF5"/>
    <w:rsid w:val="364B1423"/>
    <w:rsid w:val="3651018A"/>
    <w:rsid w:val="365B0F3E"/>
    <w:rsid w:val="365E4655"/>
    <w:rsid w:val="36706D9C"/>
    <w:rsid w:val="367B9929"/>
    <w:rsid w:val="367F7406"/>
    <w:rsid w:val="36847069"/>
    <w:rsid w:val="368E1A09"/>
    <w:rsid w:val="369D70FE"/>
    <w:rsid w:val="36BB3856"/>
    <w:rsid w:val="36BD61A9"/>
    <w:rsid w:val="36BF44BC"/>
    <w:rsid w:val="36CE0F9D"/>
    <w:rsid w:val="36D30B9F"/>
    <w:rsid w:val="36DF8D7D"/>
    <w:rsid w:val="36E1693A"/>
    <w:rsid w:val="36EA2ABB"/>
    <w:rsid w:val="36EF6387"/>
    <w:rsid w:val="36F16AE9"/>
    <w:rsid w:val="370B093D"/>
    <w:rsid w:val="370B658B"/>
    <w:rsid w:val="371F3DE4"/>
    <w:rsid w:val="3733163E"/>
    <w:rsid w:val="3754773F"/>
    <w:rsid w:val="37555A58"/>
    <w:rsid w:val="375D5126"/>
    <w:rsid w:val="376F7A7E"/>
    <w:rsid w:val="3776E53C"/>
    <w:rsid w:val="37774CD5"/>
    <w:rsid w:val="37774F9C"/>
    <w:rsid w:val="37797999"/>
    <w:rsid w:val="37820072"/>
    <w:rsid w:val="379E5D0E"/>
    <w:rsid w:val="37A10C9D"/>
    <w:rsid w:val="37A458F7"/>
    <w:rsid w:val="37AE7A91"/>
    <w:rsid w:val="37C80C83"/>
    <w:rsid w:val="37CC6FA4"/>
    <w:rsid w:val="37D3697D"/>
    <w:rsid w:val="37D456E4"/>
    <w:rsid w:val="37E727ED"/>
    <w:rsid w:val="37EF79D3"/>
    <w:rsid w:val="37FCBA31"/>
    <w:rsid w:val="37FD2A7A"/>
    <w:rsid w:val="38066D52"/>
    <w:rsid w:val="380D1B52"/>
    <w:rsid w:val="38167121"/>
    <w:rsid w:val="38234637"/>
    <w:rsid w:val="383E7940"/>
    <w:rsid w:val="3862000E"/>
    <w:rsid w:val="386B6620"/>
    <w:rsid w:val="387B504A"/>
    <w:rsid w:val="388303A3"/>
    <w:rsid w:val="388C7E77"/>
    <w:rsid w:val="389D483C"/>
    <w:rsid w:val="389E31FD"/>
    <w:rsid w:val="38A814C2"/>
    <w:rsid w:val="38D52750"/>
    <w:rsid w:val="38F15531"/>
    <w:rsid w:val="38F66DC7"/>
    <w:rsid w:val="38FE77AF"/>
    <w:rsid w:val="39052611"/>
    <w:rsid w:val="392751D2"/>
    <w:rsid w:val="392763A6"/>
    <w:rsid w:val="394D4629"/>
    <w:rsid w:val="39697A6F"/>
    <w:rsid w:val="396A33E6"/>
    <w:rsid w:val="397F2DDA"/>
    <w:rsid w:val="397FFB41"/>
    <w:rsid w:val="39810D86"/>
    <w:rsid w:val="398A7AAA"/>
    <w:rsid w:val="399F78BF"/>
    <w:rsid w:val="39A54F59"/>
    <w:rsid w:val="39C75357"/>
    <w:rsid w:val="39FA1062"/>
    <w:rsid w:val="39FF1AF4"/>
    <w:rsid w:val="3A007E52"/>
    <w:rsid w:val="3A1A25A0"/>
    <w:rsid w:val="3A305611"/>
    <w:rsid w:val="3A35391F"/>
    <w:rsid w:val="3A466B18"/>
    <w:rsid w:val="3A543444"/>
    <w:rsid w:val="3A5468F0"/>
    <w:rsid w:val="3A57DCF4"/>
    <w:rsid w:val="3A59585F"/>
    <w:rsid w:val="3A5B3385"/>
    <w:rsid w:val="3A690FC4"/>
    <w:rsid w:val="3A6A06DD"/>
    <w:rsid w:val="3A6B51A0"/>
    <w:rsid w:val="3A6D4E67"/>
    <w:rsid w:val="3A6F93E2"/>
    <w:rsid w:val="3A7A70F1"/>
    <w:rsid w:val="3A8F67D5"/>
    <w:rsid w:val="3A920D71"/>
    <w:rsid w:val="3A961455"/>
    <w:rsid w:val="3AAA11CD"/>
    <w:rsid w:val="3AAF1C74"/>
    <w:rsid w:val="3ABDBD39"/>
    <w:rsid w:val="3AC10958"/>
    <w:rsid w:val="3AC3717D"/>
    <w:rsid w:val="3AD20AB6"/>
    <w:rsid w:val="3AE61666"/>
    <w:rsid w:val="3AE670D0"/>
    <w:rsid w:val="3AF67EC9"/>
    <w:rsid w:val="3AFD61EB"/>
    <w:rsid w:val="3B0E6D2D"/>
    <w:rsid w:val="3B1F1A25"/>
    <w:rsid w:val="3B253993"/>
    <w:rsid w:val="3B2714BA"/>
    <w:rsid w:val="3B413AFF"/>
    <w:rsid w:val="3B473250"/>
    <w:rsid w:val="3B4E6A46"/>
    <w:rsid w:val="3B4F2FAE"/>
    <w:rsid w:val="3B600305"/>
    <w:rsid w:val="3B6130C1"/>
    <w:rsid w:val="3B6A7640"/>
    <w:rsid w:val="3B6C511E"/>
    <w:rsid w:val="3B84113D"/>
    <w:rsid w:val="3B8C58A7"/>
    <w:rsid w:val="3B97573F"/>
    <w:rsid w:val="3BAB0482"/>
    <w:rsid w:val="3BB03EA1"/>
    <w:rsid w:val="3BB10D68"/>
    <w:rsid w:val="3BBFFE0E"/>
    <w:rsid w:val="3BC1190E"/>
    <w:rsid w:val="3BC27434"/>
    <w:rsid w:val="3BC35686"/>
    <w:rsid w:val="3BC751DB"/>
    <w:rsid w:val="3BC80320"/>
    <w:rsid w:val="3BC84F1B"/>
    <w:rsid w:val="3BCB0957"/>
    <w:rsid w:val="3BCD6188"/>
    <w:rsid w:val="3BD2404C"/>
    <w:rsid w:val="3BDF3B42"/>
    <w:rsid w:val="3BE3B869"/>
    <w:rsid w:val="3BF32D1F"/>
    <w:rsid w:val="3BF4434D"/>
    <w:rsid w:val="3BF9FF42"/>
    <w:rsid w:val="3BFB6B80"/>
    <w:rsid w:val="3BFF7DAB"/>
    <w:rsid w:val="3BFF7F00"/>
    <w:rsid w:val="3BFF9F95"/>
    <w:rsid w:val="3C0A0272"/>
    <w:rsid w:val="3C1F4887"/>
    <w:rsid w:val="3C2E2C5D"/>
    <w:rsid w:val="3C3420E0"/>
    <w:rsid w:val="3C53062C"/>
    <w:rsid w:val="3C533473"/>
    <w:rsid w:val="3C597D99"/>
    <w:rsid w:val="3C6F136A"/>
    <w:rsid w:val="3C7F7112"/>
    <w:rsid w:val="3C813F17"/>
    <w:rsid w:val="3C8360C6"/>
    <w:rsid w:val="3C9B6F1B"/>
    <w:rsid w:val="3C9C7C85"/>
    <w:rsid w:val="3CB11983"/>
    <w:rsid w:val="3CB248F4"/>
    <w:rsid w:val="3CB97630"/>
    <w:rsid w:val="3CC83320"/>
    <w:rsid w:val="3CD31F26"/>
    <w:rsid w:val="3CDC5044"/>
    <w:rsid w:val="3CE77152"/>
    <w:rsid w:val="3CF7E3B0"/>
    <w:rsid w:val="3CF98906"/>
    <w:rsid w:val="3D021290"/>
    <w:rsid w:val="3D0C108E"/>
    <w:rsid w:val="3D0D1227"/>
    <w:rsid w:val="3D181237"/>
    <w:rsid w:val="3D2F2012"/>
    <w:rsid w:val="3D356065"/>
    <w:rsid w:val="3D3714F8"/>
    <w:rsid w:val="3D382B4A"/>
    <w:rsid w:val="3D453E79"/>
    <w:rsid w:val="3D5DD96E"/>
    <w:rsid w:val="3D68584E"/>
    <w:rsid w:val="3D6932CF"/>
    <w:rsid w:val="3DAFD8DC"/>
    <w:rsid w:val="3DBD65EA"/>
    <w:rsid w:val="3DBE0B4C"/>
    <w:rsid w:val="3DC45F86"/>
    <w:rsid w:val="3DCE7D24"/>
    <w:rsid w:val="3DD84CED"/>
    <w:rsid w:val="3DDDCC06"/>
    <w:rsid w:val="3DEE62BF"/>
    <w:rsid w:val="3DEF5B7F"/>
    <w:rsid w:val="3DF17C05"/>
    <w:rsid w:val="3DF1C583"/>
    <w:rsid w:val="3E070ED2"/>
    <w:rsid w:val="3E313E73"/>
    <w:rsid w:val="3E3656EC"/>
    <w:rsid w:val="3E384D74"/>
    <w:rsid w:val="3E3A2FCB"/>
    <w:rsid w:val="3E3EED8D"/>
    <w:rsid w:val="3E541B20"/>
    <w:rsid w:val="3E57542F"/>
    <w:rsid w:val="3E5C2E71"/>
    <w:rsid w:val="3E6E11AD"/>
    <w:rsid w:val="3E706AA3"/>
    <w:rsid w:val="3E715BC9"/>
    <w:rsid w:val="3E7C1B1C"/>
    <w:rsid w:val="3E834880"/>
    <w:rsid w:val="3E9C5610"/>
    <w:rsid w:val="3E9F82E1"/>
    <w:rsid w:val="3EAE5A4E"/>
    <w:rsid w:val="3EB2553E"/>
    <w:rsid w:val="3EBBE5D2"/>
    <w:rsid w:val="3EC314F9"/>
    <w:rsid w:val="3EC387C1"/>
    <w:rsid w:val="3EF21DDE"/>
    <w:rsid w:val="3EFC2C5D"/>
    <w:rsid w:val="3EFE614D"/>
    <w:rsid w:val="3EFEF4BD"/>
    <w:rsid w:val="3F114A2C"/>
    <w:rsid w:val="3F16BE6F"/>
    <w:rsid w:val="3F20708D"/>
    <w:rsid w:val="3F24652F"/>
    <w:rsid w:val="3F251629"/>
    <w:rsid w:val="3F4E607F"/>
    <w:rsid w:val="3F4F42A7"/>
    <w:rsid w:val="3F586805"/>
    <w:rsid w:val="3F5A4F0B"/>
    <w:rsid w:val="3F645932"/>
    <w:rsid w:val="3F6E5909"/>
    <w:rsid w:val="3F779E02"/>
    <w:rsid w:val="3F7B38FF"/>
    <w:rsid w:val="3F7F8116"/>
    <w:rsid w:val="3F7F9605"/>
    <w:rsid w:val="3F90775A"/>
    <w:rsid w:val="3FA90326"/>
    <w:rsid w:val="3FA96941"/>
    <w:rsid w:val="3FBF1380"/>
    <w:rsid w:val="3FBF7264"/>
    <w:rsid w:val="3FBF92F6"/>
    <w:rsid w:val="3FCA3D33"/>
    <w:rsid w:val="3FCDC299"/>
    <w:rsid w:val="3FCEED26"/>
    <w:rsid w:val="3FDE717E"/>
    <w:rsid w:val="3FDF239A"/>
    <w:rsid w:val="3FDFFAB3"/>
    <w:rsid w:val="3FE0664E"/>
    <w:rsid w:val="3FE2EBD5"/>
    <w:rsid w:val="3FE78F4C"/>
    <w:rsid w:val="3FECD332"/>
    <w:rsid w:val="3FF70333"/>
    <w:rsid w:val="3FFD94E9"/>
    <w:rsid w:val="3FFE71BE"/>
    <w:rsid w:val="3FFF61E2"/>
    <w:rsid w:val="3FFF9DF5"/>
    <w:rsid w:val="3FFFDC25"/>
    <w:rsid w:val="403703F1"/>
    <w:rsid w:val="40545E65"/>
    <w:rsid w:val="405C0E8C"/>
    <w:rsid w:val="406010FB"/>
    <w:rsid w:val="40805505"/>
    <w:rsid w:val="40B41A41"/>
    <w:rsid w:val="40E47653"/>
    <w:rsid w:val="40E67721"/>
    <w:rsid w:val="40E81C84"/>
    <w:rsid w:val="412B6851"/>
    <w:rsid w:val="412C5A7C"/>
    <w:rsid w:val="412D35A2"/>
    <w:rsid w:val="414D77A0"/>
    <w:rsid w:val="41775031"/>
    <w:rsid w:val="41825A27"/>
    <w:rsid w:val="418C2076"/>
    <w:rsid w:val="418F600A"/>
    <w:rsid w:val="419453CF"/>
    <w:rsid w:val="419B675D"/>
    <w:rsid w:val="41C218EF"/>
    <w:rsid w:val="41C21F3C"/>
    <w:rsid w:val="41E80D5B"/>
    <w:rsid w:val="41EC6FB9"/>
    <w:rsid w:val="42383FAC"/>
    <w:rsid w:val="4243242B"/>
    <w:rsid w:val="42502ADE"/>
    <w:rsid w:val="425A0F71"/>
    <w:rsid w:val="425A7BFB"/>
    <w:rsid w:val="425C406C"/>
    <w:rsid w:val="426111F5"/>
    <w:rsid w:val="426B3597"/>
    <w:rsid w:val="426D6D31"/>
    <w:rsid w:val="42723962"/>
    <w:rsid w:val="42972BCC"/>
    <w:rsid w:val="42B1052C"/>
    <w:rsid w:val="42BC1B4A"/>
    <w:rsid w:val="42BC2C1B"/>
    <w:rsid w:val="42D50A78"/>
    <w:rsid w:val="42EB755D"/>
    <w:rsid w:val="42F563BE"/>
    <w:rsid w:val="432B35CB"/>
    <w:rsid w:val="432D197A"/>
    <w:rsid w:val="434F5A51"/>
    <w:rsid w:val="436314FD"/>
    <w:rsid w:val="4376F5CB"/>
    <w:rsid w:val="438B28FA"/>
    <w:rsid w:val="43982048"/>
    <w:rsid w:val="43A708F0"/>
    <w:rsid w:val="43AF029E"/>
    <w:rsid w:val="43AF64F0"/>
    <w:rsid w:val="43B71915"/>
    <w:rsid w:val="43BC5B11"/>
    <w:rsid w:val="43BE25BE"/>
    <w:rsid w:val="43BF6B8A"/>
    <w:rsid w:val="43C53F65"/>
    <w:rsid w:val="43CC42B5"/>
    <w:rsid w:val="43CE4CBB"/>
    <w:rsid w:val="43E443EC"/>
    <w:rsid w:val="43F7ACFD"/>
    <w:rsid w:val="44150A49"/>
    <w:rsid w:val="44217FF5"/>
    <w:rsid w:val="44316F05"/>
    <w:rsid w:val="444459B4"/>
    <w:rsid w:val="444C1F20"/>
    <w:rsid w:val="447137A5"/>
    <w:rsid w:val="44760DBC"/>
    <w:rsid w:val="4484797D"/>
    <w:rsid w:val="448E25A9"/>
    <w:rsid w:val="44910B3F"/>
    <w:rsid w:val="449D4B44"/>
    <w:rsid w:val="44A51833"/>
    <w:rsid w:val="44B8321D"/>
    <w:rsid w:val="44BD176A"/>
    <w:rsid w:val="44C019DF"/>
    <w:rsid w:val="44CE29A6"/>
    <w:rsid w:val="44EF7C07"/>
    <w:rsid w:val="44F86EB3"/>
    <w:rsid w:val="45014B29"/>
    <w:rsid w:val="45285204"/>
    <w:rsid w:val="452E1E8B"/>
    <w:rsid w:val="4545710C"/>
    <w:rsid w:val="454F1D39"/>
    <w:rsid w:val="4550160D"/>
    <w:rsid w:val="457E43CC"/>
    <w:rsid w:val="458A049C"/>
    <w:rsid w:val="4595393F"/>
    <w:rsid w:val="459C013A"/>
    <w:rsid w:val="45A32084"/>
    <w:rsid w:val="45A87CAB"/>
    <w:rsid w:val="45AD7D8C"/>
    <w:rsid w:val="45C37881"/>
    <w:rsid w:val="45E20507"/>
    <w:rsid w:val="45EE1552"/>
    <w:rsid w:val="45F11042"/>
    <w:rsid w:val="45F67E46"/>
    <w:rsid w:val="45F96CD1"/>
    <w:rsid w:val="461D51DD"/>
    <w:rsid w:val="46252A99"/>
    <w:rsid w:val="462F148B"/>
    <w:rsid w:val="46313D8D"/>
    <w:rsid w:val="46413C84"/>
    <w:rsid w:val="4669507C"/>
    <w:rsid w:val="468C36E7"/>
    <w:rsid w:val="46B12C8F"/>
    <w:rsid w:val="46BD0C1B"/>
    <w:rsid w:val="46C2619D"/>
    <w:rsid w:val="46D87B0C"/>
    <w:rsid w:val="46DF0E9A"/>
    <w:rsid w:val="46DF4A45"/>
    <w:rsid w:val="46E54D53"/>
    <w:rsid w:val="46E78157"/>
    <w:rsid w:val="46F7239C"/>
    <w:rsid w:val="46FD7572"/>
    <w:rsid w:val="47037CFA"/>
    <w:rsid w:val="471C661C"/>
    <w:rsid w:val="474B3DF6"/>
    <w:rsid w:val="474D6775"/>
    <w:rsid w:val="47537093"/>
    <w:rsid w:val="4759319A"/>
    <w:rsid w:val="4760511C"/>
    <w:rsid w:val="47653A95"/>
    <w:rsid w:val="4769308E"/>
    <w:rsid w:val="47833F1C"/>
    <w:rsid w:val="478E5712"/>
    <w:rsid w:val="478F0B12"/>
    <w:rsid w:val="47961EA1"/>
    <w:rsid w:val="47A73CBB"/>
    <w:rsid w:val="47B95837"/>
    <w:rsid w:val="47DE7EE8"/>
    <w:rsid w:val="47E66258"/>
    <w:rsid w:val="47ED2D5B"/>
    <w:rsid w:val="47F045E0"/>
    <w:rsid w:val="48074B4D"/>
    <w:rsid w:val="48154C35"/>
    <w:rsid w:val="481A184C"/>
    <w:rsid w:val="481D0CF7"/>
    <w:rsid w:val="481E5DAA"/>
    <w:rsid w:val="4823219D"/>
    <w:rsid w:val="482B223A"/>
    <w:rsid w:val="482E3254"/>
    <w:rsid w:val="484511D1"/>
    <w:rsid w:val="48533072"/>
    <w:rsid w:val="486FB1D0"/>
    <w:rsid w:val="48770DE4"/>
    <w:rsid w:val="487963A2"/>
    <w:rsid w:val="487A051B"/>
    <w:rsid w:val="487F78EF"/>
    <w:rsid w:val="489509A3"/>
    <w:rsid w:val="48CB57B0"/>
    <w:rsid w:val="48EA2FD3"/>
    <w:rsid w:val="48EC1391"/>
    <w:rsid w:val="48FF54C6"/>
    <w:rsid w:val="491C794F"/>
    <w:rsid w:val="4924150C"/>
    <w:rsid w:val="49360FDB"/>
    <w:rsid w:val="49557B3A"/>
    <w:rsid w:val="49566C12"/>
    <w:rsid w:val="496164DE"/>
    <w:rsid w:val="4968786D"/>
    <w:rsid w:val="49757894"/>
    <w:rsid w:val="49781E45"/>
    <w:rsid w:val="498731D5"/>
    <w:rsid w:val="499A16F3"/>
    <w:rsid w:val="49AD702E"/>
    <w:rsid w:val="49B37320"/>
    <w:rsid w:val="49B42DFE"/>
    <w:rsid w:val="49B66968"/>
    <w:rsid w:val="49B91E77"/>
    <w:rsid w:val="49BE56DF"/>
    <w:rsid w:val="49EB87AC"/>
    <w:rsid w:val="49EE36F4"/>
    <w:rsid w:val="49F71731"/>
    <w:rsid w:val="4A082D0D"/>
    <w:rsid w:val="4A0D425E"/>
    <w:rsid w:val="4A0F05C0"/>
    <w:rsid w:val="4A172C70"/>
    <w:rsid w:val="4A1C41B3"/>
    <w:rsid w:val="4A1F6DCE"/>
    <w:rsid w:val="4A201EF6"/>
    <w:rsid w:val="4A3902BA"/>
    <w:rsid w:val="4A3F507F"/>
    <w:rsid w:val="4A4200BE"/>
    <w:rsid w:val="4A51775F"/>
    <w:rsid w:val="4A633B90"/>
    <w:rsid w:val="4A745D9D"/>
    <w:rsid w:val="4A7E27C2"/>
    <w:rsid w:val="4A800BE6"/>
    <w:rsid w:val="4A8813D2"/>
    <w:rsid w:val="4A98521F"/>
    <w:rsid w:val="4A9E1EBD"/>
    <w:rsid w:val="4AAA17BF"/>
    <w:rsid w:val="4AB5384C"/>
    <w:rsid w:val="4AB70571"/>
    <w:rsid w:val="4AB71922"/>
    <w:rsid w:val="4ADF3CAD"/>
    <w:rsid w:val="4AE9678B"/>
    <w:rsid w:val="4AF33166"/>
    <w:rsid w:val="4B0F04A0"/>
    <w:rsid w:val="4B3E33A3"/>
    <w:rsid w:val="4B7E04ED"/>
    <w:rsid w:val="4B8D612B"/>
    <w:rsid w:val="4B8E10E1"/>
    <w:rsid w:val="4B901606"/>
    <w:rsid w:val="4B931AB6"/>
    <w:rsid w:val="4BB85BF2"/>
    <w:rsid w:val="4BC04753"/>
    <w:rsid w:val="4BCC51B1"/>
    <w:rsid w:val="4BD07693"/>
    <w:rsid w:val="4BD420A9"/>
    <w:rsid w:val="4BDF193C"/>
    <w:rsid w:val="4BEE392E"/>
    <w:rsid w:val="4BEF7084"/>
    <w:rsid w:val="4BF278C2"/>
    <w:rsid w:val="4BF57162"/>
    <w:rsid w:val="4BF9040A"/>
    <w:rsid w:val="4BFECABF"/>
    <w:rsid w:val="4C0B2731"/>
    <w:rsid w:val="4C136805"/>
    <w:rsid w:val="4C161994"/>
    <w:rsid w:val="4C19514D"/>
    <w:rsid w:val="4C2D26A8"/>
    <w:rsid w:val="4C37699C"/>
    <w:rsid w:val="4C3C4805"/>
    <w:rsid w:val="4C61095C"/>
    <w:rsid w:val="4C724422"/>
    <w:rsid w:val="4C771B75"/>
    <w:rsid w:val="4C7A3116"/>
    <w:rsid w:val="4C8147A2"/>
    <w:rsid w:val="4C883D82"/>
    <w:rsid w:val="4CA23D34"/>
    <w:rsid w:val="4CCC6637"/>
    <w:rsid w:val="4CE869D1"/>
    <w:rsid w:val="4CED443F"/>
    <w:rsid w:val="4CEF6FC4"/>
    <w:rsid w:val="4D054A99"/>
    <w:rsid w:val="4D0A2ABD"/>
    <w:rsid w:val="4D0E1E95"/>
    <w:rsid w:val="4D117083"/>
    <w:rsid w:val="4D39089C"/>
    <w:rsid w:val="4D4D5A9E"/>
    <w:rsid w:val="4D645E9F"/>
    <w:rsid w:val="4D7B5CAE"/>
    <w:rsid w:val="4D7DDD56"/>
    <w:rsid w:val="4D802136"/>
    <w:rsid w:val="4D8C33FE"/>
    <w:rsid w:val="4DAE26E6"/>
    <w:rsid w:val="4DDA23BB"/>
    <w:rsid w:val="4DDD7A59"/>
    <w:rsid w:val="4DE76116"/>
    <w:rsid w:val="4DEBE99D"/>
    <w:rsid w:val="4DF307D4"/>
    <w:rsid w:val="4E3715BC"/>
    <w:rsid w:val="4E395334"/>
    <w:rsid w:val="4E5151A3"/>
    <w:rsid w:val="4E5F05C3"/>
    <w:rsid w:val="4E669DBA"/>
    <w:rsid w:val="4E6BF7B9"/>
    <w:rsid w:val="4E6C3AD3"/>
    <w:rsid w:val="4E7C16C5"/>
    <w:rsid w:val="4E9D713C"/>
    <w:rsid w:val="4EB90223"/>
    <w:rsid w:val="4EBD41B7"/>
    <w:rsid w:val="4EC46BBF"/>
    <w:rsid w:val="4EE53DC6"/>
    <w:rsid w:val="4EEF78F4"/>
    <w:rsid w:val="4EF34B7E"/>
    <w:rsid w:val="4EFB6F97"/>
    <w:rsid w:val="4F051F32"/>
    <w:rsid w:val="4F1638C7"/>
    <w:rsid w:val="4F2E14F3"/>
    <w:rsid w:val="4F336227"/>
    <w:rsid w:val="4F4651C9"/>
    <w:rsid w:val="4F4F0B87"/>
    <w:rsid w:val="4F5148FF"/>
    <w:rsid w:val="4F5C39D0"/>
    <w:rsid w:val="4F663FBE"/>
    <w:rsid w:val="4F760C0C"/>
    <w:rsid w:val="4F775B01"/>
    <w:rsid w:val="4F8265F7"/>
    <w:rsid w:val="4F8A4CF0"/>
    <w:rsid w:val="4F9A46E8"/>
    <w:rsid w:val="4F9D31CA"/>
    <w:rsid w:val="4F9F4271"/>
    <w:rsid w:val="4FA9A88A"/>
    <w:rsid w:val="4FB03AF6"/>
    <w:rsid w:val="4FB530E0"/>
    <w:rsid w:val="4FBBDD03"/>
    <w:rsid w:val="4FBD8EC9"/>
    <w:rsid w:val="4FC82E13"/>
    <w:rsid w:val="4FC83AB2"/>
    <w:rsid w:val="4FD02531"/>
    <w:rsid w:val="4FDBE75C"/>
    <w:rsid w:val="4FDD4872"/>
    <w:rsid w:val="4FEA2B77"/>
    <w:rsid w:val="4FF11CC7"/>
    <w:rsid w:val="4FFA6D45"/>
    <w:rsid w:val="4FFBB516"/>
    <w:rsid w:val="50053835"/>
    <w:rsid w:val="500D0826"/>
    <w:rsid w:val="50147051"/>
    <w:rsid w:val="50200100"/>
    <w:rsid w:val="502C4691"/>
    <w:rsid w:val="502C78BD"/>
    <w:rsid w:val="5038161B"/>
    <w:rsid w:val="50403624"/>
    <w:rsid w:val="504B59AB"/>
    <w:rsid w:val="504D6875"/>
    <w:rsid w:val="5079410E"/>
    <w:rsid w:val="5080549C"/>
    <w:rsid w:val="5091510C"/>
    <w:rsid w:val="50AE6154"/>
    <w:rsid w:val="50C05A6E"/>
    <w:rsid w:val="50CD1087"/>
    <w:rsid w:val="50E023DF"/>
    <w:rsid w:val="50EE4E08"/>
    <w:rsid w:val="50F6575E"/>
    <w:rsid w:val="50F973B5"/>
    <w:rsid w:val="510C55F9"/>
    <w:rsid w:val="511C62D0"/>
    <w:rsid w:val="51274E6A"/>
    <w:rsid w:val="5134057D"/>
    <w:rsid w:val="51391131"/>
    <w:rsid w:val="515D758B"/>
    <w:rsid w:val="51781047"/>
    <w:rsid w:val="51914954"/>
    <w:rsid w:val="519C4F6B"/>
    <w:rsid w:val="51A258E6"/>
    <w:rsid w:val="51A46F68"/>
    <w:rsid w:val="51D0632D"/>
    <w:rsid w:val="51E1640E"/>
    <w:rsid w:val="51EE7929"/>
    <w:rsid w:val="51FE38F1"/>
    <w:rsid w:val="52004FC4"/>
    <w:rsid w:val="520E4D2A"/>
    <w:rsid w:val="52397095"/>
    <w:rsid w:val="52432AA6"/>
    <w:rsid w:val="5247460D"/>
    <w:rsid w:val="52474E74"/>
    <w:rsid w:val="52492E45"/>
    <w:rsid w:val="524B1ADA"/>
    <w:rsid w:val="525615E0"/>
    <w:rsid w:val="52623A88"/>
    <w:rsid w:val="527A3DD9"/>
    <w:rsid w:val="52862B12"/>
    <w:rsid w:val="528D1E9B"/>
    <w:rsid w:val="528D48AB"/>
    <w:rsid w:val="52AC1DB3"/>
    <w:rsid w:val="52CB6777"/>
    <w:rsid w:val="52DB4C0C"/>
    <w:rsid w:val="52E962D5"/>
    <w:rsid w:val="52F82D3C"/>
    <w:rsid w:val="52F97788"/>
    <w:rsid w:val="52FC6687"/>
    <w:rsid w:val="53041A34"/>
    <w:rsid w:val="53126132"/>
    <w:rsid w:val="531B3696"/>
    <w:rsid w:val="532F3286"/>
    <w:rsid w:val="533F1412"/>
    <w:rsid w:val="53443BBD"/>
    <w:rsid w:val="534C047A"/>
    <w:rsid w:val="53963229"/>
    <w:rsid w:val="539B2BBF"/>
    <w:rsid w:val="53A741DD"/>
    <w:rsid w:val="53AB4109"/>
    <w:rsid w:val="53BF62DB"/>
    <w:rsid w:val="53C75B65"/>
    <w:rsid w:val="53CA4C80"/>
    <w:rsid w:val="53CB7BCA"/>
    <w:rsid w:val="53CD5A83"/>
    <w:rsid w:val="53D17DBD"/>
    <w:rsid w:val="53DF56E0"/>
    <w:rsid w:val="53E2646E"/>
    <w:rsid w:val="53FDC9B4"/>
    <w:rsid w:val="541162F6"/>
    <w:rsid w:val="54270F5B"/>
    <w:rsid w:val="54522BCE"/>
    <w:rsid w:val="547C41CC"/>
    <w:rsid w:val="548117E3"/>
    <w:rsid w:val="548A1708"/>
    <w:rsid w:val="548C7821"/>
    <w:rsid w:val="5492579E"/>
    <w:rsid w:val="54A92760"/>
    <w:rsid w:val="54AD25D8"/>
    <w:rsid w:val="54BB42C3"/>
    <w:rsid w:val="54BE1A66"/>
    <w:rsid w:val="54BEFF0B"/>
    <w:rsid w:val="54CF6D6B"/>
    <w:rsid w:val="54D6663F"/>
    <w:rsid w:val="54E52AFE"/>
    <w:rsid w:val="54E7647B"/>
    <w:rsid w:val="54F05CA5"/>
    <w:rsid w:val="54F31118"/>
    <w:rsid w:val="54F55D2D"/>
    <w:rsid w:val="550C71C3"/>
    <w:rsid w:val="55175992"/>
    <w:rsid w:val="551E4DA2"/>
    <w:rsid w:val="55287EB0"/>
    <w:rsid w:val="552A3C28"/>
    <w:rsid w:val="552E78E6"/>
    <w:rsid w:val="55314FB7"/>
    <w:rsid w:val="5536081F"/>
    <w:rsid w:val="553E73B3"/>
    <w:rsid w:val="55450A62"/>
    <w:rsid w:val="555910C0"/>
    <w:rsid w:val="555D66B2"/>
    <w:rsid w:val="55933427"/>
    <w:rsid w:val="559772DE"/>
    <w:rsid w:val="559E0B25"/>
    <w:rsid w:val="55AD03B6"/>
    <w:rsid w:val="55AF2020"/>
    <w:rsid w:val="55AF7BDE"/>
    <w:rsid w:val="55B044A8"/>
    <w:rsid w:val="55C20305"/>
    <w:rsid w:val="55CF7479"/>
    <w:rsid w:val="55D30B16"/>
    <w:rsid w:val="55D5051B"/>
    <w:rsid w:val="55D94172"/>
    <w:rsid w:val="55F05BDE"/>
    <w:rsid w:val="5617074A"/>
    <w:rsid w:val="56384C51"/>
    <w:rsid w:val="563C024F"/>
    <w:rsid w:val="5647129A"/>
    <w:rsid w:val="564E1B99"/>
    <w:rsid w:val="565D1DDC"/>
    <w:rsid w:val="565F7902"/>
    <w:rsid w:val="56683122"/>
    <w:rsid w:val="567D1774"/>
    <w:rsid w:val="56824BF3"/>
    <w:rsid w:val="5685728D"/>
    <w:rsid w:val="56940730"/>
    <w:rsid w:val="56941CA1"/>
    <w:rsid w:val="56A042AF"/>
    <w:rsid w:val="56C21281"/>
    <w:rsid w:val="56DD074B"/>
    <w:rsid w:val="56EB73E7"/>
    <w:rsid w:val="56F339AA"/>
    <w:rsid w:val="5714079C"/>
    <w:rsid w:val="5717529D"/>
    <w:rsid w:val="57195870"/>
    <w:rsid w:val="571C621F"/>
    <w:rsid w:val="572C7C98"/>
    <w:rsid w:val="572D4A2F"/>
    <w:rsid w:val="573A47F4"/>
    <w:rsid w:val="57465EFE"/>
    <w:rsid w:val="5749128D"/>
    <w:rsid w:val="57540073"/>
    <w:rsid w:val="57581B59"/>
    <w:rsid w:val="57713D91"/>
    <w:rsid w:val="57725AAD"/>
    <w:rsid w:val="57A33EBB"/>
    <w:rsid w:val="57AA72A2"/>
    <w:rsid w:val="57C974C9"/>
    <w:rsid w:val="57CE2B9D"/>
    <w:rsid w:val="57CF603D"/>
    <w:rsid w:val="57DDDAEE"/>
    <w:rsid w:val="57E00F16"/>
    <w:rsid w:val="57F74BE3"/>
    <w:rsid w:val="57FD09FB"/>
    <w:rsid w:val="580E5A83"/>
    <w:rsid w:val="580F53ED"/>
    <w:rsid w:val="582238BC"/>
    <w:rsid w:val="5842572D"/>
    <w:rsid w:val="58477F3C"/>
    <w:rsid w:val="585D5F13"/>
    <w:rsid w:val="58734F65"/>
    <w:rsid w:val="588E1C22"/>
    <w:rsid w:val="58A41AE0"/>
    <w:rsid w:val="58A62047"/>
    <w:rsid w:val="58AE57BE"/>
    <w:rsid w:val="58AE7558"/>
    <w:rsid w:val="58C92347"/>
    <w:rsid w:val="58F50B04"/>
    <w:rsid w:val="59062983"/>
    <w:rsid w:val="59097FF9"/>
    <w:rsid w:val="592941F7"/>
    <w:rsid w:val="592F3F03"/>
    <w:rsid w:val="59523610"/>
    <w:rsid w:val="596E5E85"/>
    <w:rsid w:val="597D27F2"/>
    <w:rsid w:val="597EB301"/>
    <w:rsid w:val="598D4786"/>
    <w:rsid w:val="599B50F5"/>
    <w:rsid w:val="59A541C5"/>
    <w:rsid w:val="59B56DA9"/>
    <w:rsid w:val="59B7224E"/>
    <w:rsid w:val="59C363FA"/>
    <w:rsid w:val="59CF6211"/>
    <w:rsid w:val="59D71EEC"/>
    <w:rsid w:val="59FC3C2C"/>
    <w:rsid w:val="59FF823C"/>
    <w:rsid w:val="5A05133C"/>
    <w:rsid w:val="5A1D5B0A"/>
    <w:rsid w:val="5A2A0227"/>
    <w:rsid w:val="5A5D684E"/>
    <w:rsid w:val="5A8176EA"/>
    <w:rsid w:val="5A854A24"/>
    <w:rsid w:val="5A932270"/>
    <w:rsid w:val="5A9B74EC"/>
    <w:rsid w:val="5AA94C5A"/>
    <w:rsid w:val="5AAD0254"/>
    <w:rsid w:val="5AB3021C"/>
    <w:rsid w:val="5ABA7BFC"/>
    <w:rsid w:val="5AC642F3"/>
    <w:rsid w:val="5ADD34EB"/>
    <w:rsid w:val="5AED71E7"/>
    <w:rsid w:val="5AF00ACF"/>
    <w:rsid w:val="5AF7DC83"/>
    <w:rsid w:val="5AFBF07C"/>
    <w:rsid w:val="5AFD676A"/>
    <w:rsid w:val="5B0F5D9A"/>
    <w:rsid w:val="5B2630E4"/>
    <w:rsid w:val="5B265E74"/>
    <w:rsid w:val="5B740512"/>
    <w:rsid w:val="5B7F01A8"/>
    <w:rsid w:val="5B8F9460"/>
    <w:rsid w:val="5BAA35EF"/>
    <w:rsid w:val="5BE79CB2"/>
    <w:rsid w:val="5BE7F760"/>
    <w:rsid w:val="5BEA61EE"/>
    <w:rsid w:val="5BF925A6"/>
    <w:rsid w:val="5BFBE46E"/>
    <w:rsid w:val="5C0E0151"/>
    <w:rsid w:val="5C1E4831"/>
    <w:rsid w:val="5C653798"/>
    <w:rsid w:val="5C706C4D"/>
    <w:rsid w:val="5C8400C2"/>
    <w:rsid w:val="5C8E1685"/>
    <w:rsid w:val="5CA30A60"/>
    <w:rsid w:val="5CC35322"/>
    <w:rsid w:val="5CC52489"/>
    <w:rsid w:val="5CC74453"/>
    <w:rsid w:val="5CF52FC0"/>
    <w:rsid w:val="5CFF5D83"/>
    <w:rsid w:val="5D0B3DCA"/>
    <w:rsid w:val="5D1D7942"/>
    <w:rsid w:val="5D2732DD"/>
    <w:rsid w:val="5D526412"/>
    <w:rsid w:val="5D5340D1"/>
    <w:rsid w:val="5D6B3030"/>
    <w:rsid w:val="5D6B53CD"/>
    <w:rsid w:val="5D6FB819"/>
    <w:rsid w:val="5D704AEA"/>
    <w:rsid w:val="5DAA1F8C"/>
    <w:rsid w:val="5DAE40EE"/>
    <w:rsid w:val="5DB170A2"/>
    <w:rsid w:val="5DB287E7"/>
    <w:rsid w:val="5DB648FD"/>
    <w:rsid w:val="5DBB178B"/>
    <w:rsid w:val="5DCF5080"/>
    <w:rsid w:val="5DE63AAD"/>
    <w:rsid w:val="5DE73902"/>
    <w:rsid w:val="5DE96211"/>
    <w:rsid w:val="5DED09C6"/>
    <w:rsid w:val="5DEF1EB3"/>
    <w:rsid w:val="5DEF9A2A"/>
    <w:rsid w:val="5DF22D33"/>
    <w:rsid w:val="5DFE033A"/>
    <w:rsid w:val="5DFE20F6"/>
    <w:rsid w:val="5DFF90C6"/>
    <w:rsid w:val="5DFF9CA9"/>
    <w:rsid w:val="5DFFD03B"/>
    <w:rsid w:val="5E0E14FD"/>
    <w:rsid w:val="5E1358D5"/>
    <w:rsid w:val="5E2107AB"/>
    <w:rsid w:val="5E3311D0"/>
    <w:rsid w:val="5E3FEC27"/>
    <w:rsid w:val="5E4915C3"/>
    <w:rsid w:val="5E4E4E2C"/>
    <w:rsid w:val="5E541427"/>
    <w:rsid w:val="5E5CE77E"/>
    <w:rsid w:val="5E6416AA"/>
    <w:rsid w:val="5E712AFE"/>
    <w:rsid w:val="5E734F09"/>
    <w:rsid w:val="5E87CAFE"/>
    <w:rsid w:val="5EAF1A94"/>
    <w:rsid w:val="5ECF2628"/>
    <w:rsid w:val="5ED167B4"/>
    <w:rsid w:val="5ED7A54F"/>
    <w:rsid w:val="5EDD9B78"/>
    <w:rsid w:val="5EE308DE"/>
    <w:rsid w:val="5EE50BC0"/>
    <w:rsid w:val="5EE5503B"/>
    <w:rsid w:val="5EEB0F0A"/>
    <w:rsid w:val="5EEC0249"/>
    <w:rsid w:val="5EED6C6F"/>
    <w:rsid w:val="5EF96CF0"/>
    <w:rsid w:val="5EFC5841"/>
    <w:rsid w:val="5EFED5F5"/>
    <w:rsid w:val="5EFF2422"/>
    <w:rsid w:val="5F055A90"/>
    <w:rsid w:val="5F087B79"/>
    <w:rsid w:val="5F1F018B"/>
    <w:rsid w:val="5F2E4655"/>
    <w:rsid w:val="5F3C62DC"/>
    <w:rsid w:val="5F4B3479"/>
    <w:rsid w:val="5F4F9350"/>
    <w:rsid w:val="5F57131F"/>
    <w:rsid w:val="5F671FB6"/>
    <w:rsid w:val="5F6D12E1"/>
    <w:rsid w:val="5F7C61FC"/>
    <w:rsid w:val="5F7F8424"/>
    <w:rsid w:val="5F7FBEE7"/>
    <w:rsid w:val="5F84662B"/>
    <w:rsid w:val="5F857B8E"/>
    <w:rsid w:val="5F9A366E"/>
    <w:rsid w:val="5F9D6D44"/>
    <w:rsid w:val="5FA840C8"/>
    <w:rsid w:val="5FB91762"/>
    <w:rsid w:val="5FBE5F8C"/>
    <w:rsid w:val="5FBF6015"/>
    <w:rsid w:val="5FBF9317"/>
    <w:rsid w:val="5FC3E0C2"/>
    <w:rsid w:val="5FCC5FF4"/>
    <w:rsid w:val="5FE134EE"/>
    <w:rsid w:val="5FE70EFC"/>
    <w:rsid w:val="5FEF5AE3"/>
    <w:rsid w:val="5FEF9CDF"/>
    <w:rsid w:val="5FEFC064"/>
    <w:rsid w:val="5FF23595"/>
    <w:rsid w:val="5FF98158"/>
    <w:rsid w:val="5FFDF91D"/>
    <w:rsid w:val="5FFECB26"/>
    <w:rsid w:val="5FFF095F"/>
    <w:rsid w:val="5FFF9503"/>
    <w:rsid w:val="5FFFB3F9"/>
    <w:rsid w:val="60010C0C"/>
    <w:rsid w:val="600449FA"/>
    <w:rsid w:val="600E060E"/>
    <w:rsid w:val="601479AF"/>
    <w:rsid w:val="60174B54"/>
    <w:rsid w:val="60177F60"/>
    <w:rsid w:val="60195438"/>
    <w:rsid w:val="605F19A4"/>
    <w:rsid w:val="606131E6"/>
    <w:rsid w:val="60641CD3"/>
    <w:rsid w:val="609E371C"/>
    <w:rsid w:val="60A47259"/>
    <w:rsid w:val="60A93A22"/>
    <w:rsid w:val="60F35816"/>
    <w:rsid w:val="60F656FF"/>
    <w:rsid w:val="60F741D3"/>
    <w:rsid w:val="61023CAB"/>
    <w:rsid w:val="61025A59"/>
    <w:rsid w:val="610F6876"/>
    <w:rsid w:val="61131471"/>
    <w:rsid w:val="61175E6E"/>
    <w:rsid w:val="611F7549"/>
    <w:rsid w:val="613B2923"/>
    <w:rsid w:val="614B5652"/>
    <w:rsid w:val="61541371"/>
    <w:rsid w:val="6155027F"/>
    <w:rsid w:val="61614B1F"/>
    <w:rsid w:val="616F37EB"/>
    <w:rsid w:val="617D3332"/>
    <w:rsid w:val="61880654"/>
    <w:rsid w:val="6189617B"/>
    <w:rsid w:val="619117A1"/>
    <w:rsid w:val="61932B55"/>
    <w:rsid w:val="61990FF9"/>
    <w:rsid w:val="61AE54A0"/>
    <w:rsid w:val="61C54B67"/>
    <w:rsid w:val="61EA4E6B"/>
    <w:rsid w:val="61F44573"/>
    <w:rsid w:val="61FF6495"/>
    <w:rsid w:val="62041F5B"/>
    <w:rsid w:val="621325DF"/>
    <w:rsid w:val="621A23EE"/>
    <w:rsid w:val="62287742"/>
    <w:rsid w:val="62311B55"/>
    <w:rsid w:val="62347FA2"/>
    <w:rsid w:val="62466788"/>
    <w:rsid w:val="62471074"/>
    <w:rsid w:val="62585323"/>
    <w:rsid w:val="625D388F"/>
    <w:rsid w:val="62611581"/>
    <w:rsid w:val="6271420C"/>
    <w:rsid w:val="627273E6"/>
    <w:rsid w:val="627B1F67"/>
    <w:rsid w:val="629833BF"/>
    <w:rsid w:val="62A01E1D"/>
    <w:rsid w:val="62A55294"/>
    <w:rsid w:val="62CC637D"/>
    <w:rsid w:val="62E505AE"/>
    <w:rsid w:val="62FE6CCC"/>
    <w:rsid w:val="63101DE8"/>
    <w:rsid w:val="631303F2"/>
    <w:rsid w:val="631B1054"/>
    <w:rsid w:val="6329128D"/>
    <w:rsid w:val="634C488A"/>
    <w:rsid w:val="634F5414"/>
    <w:rsid w:val="636C7DAE"/>
    <w:rsid w:val="63971320"/>
    <w:rsid w:val="639F166A"/>
    <w:rsid w:val="63B76FCF"/>
    <w:rsid w:val="63B7BAFE"/>
    <w:rsid w:val="63BB27D5"/>
    <w:rsid w:val="63BC0104"/>
    <w:rsid w:val="63BE6F1D"/>
    <w:rsid w:val="63C33BC6"/>
    <w:rsid w:val="63C6101A"/>
    <w:rsid w:val="63C74595"/>
    <w:rsid w:val="63D731CD"/>
    <w:rsid w:val="63D93361"/>
    <w:rsid w:val="63DC009D"/>
    <w:rsid w:val="63E47698"/>
    <w:rsid w:val="63E958B8"/>
    <w:rsid w:val="63EC196C"/>
    <w:rsid w:val="63F7ED2C"/>
    <w:rsid w:val="63F811BF"/>
    <w:rsid w:val="64412D3D"/>
    <w:rsid w:val="64473B65"/>
    <w:rsid w:val="64475C36"/>
    <w:rsid w:val="64591B6D"/>
    <w:rsid w:val="64607054"/>
    <w:rsid w:val="649A2044"/>
    <w:rsid w:val="64A22C18"/>
    <w:rsid w:val="64A357A5"/>
    <w:rsid w:val="64A70DF2"/>
    <w:rsid w:val="64B90B25"/>
    <w:rsid w:val="64C37BF6"/>
    <w:rsid w:val="64D13FF1"/>
    <w:rsid w:val="64F5DBB5"/>
    <w:rsid w:val="650F18B4"/>
    <w:rsid w:val="651F4D8E"/>
    <w:rsid w:val="652F0DE7"/>
    <w:rsid w:val="654518E8"/>
    <w:rsid w:val="65567E1B"/>
    <w:rsid w:val="655D5954"/>
    <w:rsid w:val="656C52F5"/>
    <w:rsid w:val="65700706"/>
    <w:rsid w:val="657FA36C"/>
    <w:rsid w:val="658E1FB1"/>
    <w:rsid w:val="659B3737"/>
    <w:rsid w:val="65A06E2A"/>
    <w:rsid w:val="65A63D0D"/>
    <w:rsid w:val="65BD63F3"/>
    <w:rsid w:val="65D031BE"/>
    <w:rsid w:val="65E63B9C"/>
    <w:rsid w:val="65E92939"/>
    <w:rsid w:val="65ED47D1"/>
    <w:rsid w:val="65F12C91"/>
    <w:rsid w:val="65F75DA9"/>
    <w:rsid w:val="65FF9DC4"/>
    <w:rsid w:val="660B4E77"/>
    <w:rsid w:val="660E4EA0"/>
    <w:rsid w:val="66195D61"/>
    <w:rsid w:val="663BF8DF"/>
    <w:rsid w:val="664813C3"/>
    <w:rsid w:val="66652D12"/>
    <w:rsid w:val="66877DF4"/>
    <w:rsid w:val="668B4E48"/>
    <w:rsid w:val="668D2028"/>
    <w:rsid w:val="668E41E0"/>
    <w:rsid w:val="66911256"/>
    <w:rsid w:val="66A03AA2"/>
    <w:rsid w:val="66A63D1B"/>
    <w:rsid w:val="66AC6B93"/>
    <w:rsid w:val="66C051B1"/>
    <w:rsid w:val="66C64799"/>
    <w:rsid w:val="66CF2E2B"/>
    <w:rsid w:val="66E44BE0"/>
    <w:rsid w:val="66EA092B"/>
    <w:rsid w:val="66F332A5"/>
    <w:rsid w:val="66F52C8B"/>
    <w:rsid w:val="67092797"/>
    <w:rsid w:val="670F2FB6"/>
    <w:rsid w:val="671D0388"/>
    <w:rsid w:val="672F39F1"/>
    <w:rsid w:val="67302B73"/>
    <w:rsid w:val="676AD167"/>
    <w:rsid w:val="67771002"/>
    <w:rsid w:val="677BDB3D"/>
    <w:rsid w:val="67B042AB"/>
    <w:rsid w:val="67B527A2"/>
    <w:rsid w:val="67B872D4"/>
    <w:rsid w:val="67BEEAFD"/>
    <w:rsid w:val="67FF25D4"/>
    <w:rsid w:val="67FF98FD"/>
    <w:rsid w:val="67FFF818"/>
    <w:rsid w:val="67FFFA37"/>
    <w:rsid w:val="6805233D"/>
    <w:rsid w:val="680B1697"/>
    <w:rsid w:val="680C5410"/>
    <w:rsid w:val="68330BEE"/>
    <w:rsid w:val="6855610D"/>
    <w:rsid w:val="68556DB7"/>
    <w:rsid w:val="68833924"/>
    <w:rsid w:val="689E49E2"/>
    <w:rsid w:val="68A43C29"/>
    <w:rsid w:val="68AB12C9"/>
    <w:rsid w:val="68AB4C28"/>
    <w:rsid w:val="68B23341"/>
    <w:rsid w:val="68CD0CA0"/>
    <w:rsid w:val="68EA4F90"/>
    <w:rsid w:val="68FA2F47"/>
    <w:rsid w:val="68FD817F"/>
    <w:rsid w:val="69004F52"/>
    <w:rsid w:val="6900553A"/>
    <w:rsid w:val="690A7BA1"/>
    <w:rsid w:val="6914776F"/>
    <w:rsid w:val="691A3CCE"/>
    <w:rsid w:val="691E53FA"/>
    <w:rsid w:val="69557DD1"/>
    <w:rsid w:val="69667EC4"/>
    <w:rsid w:val="69713C44"/>
    <w:rsid w:val="697574F7"/>
    <w:rsid w:val="697D6130"/>
    <w:rsid w:val="698C2294"/>
    <w:rsid w:val="699A59BB"/>
    <w:rsid w:val="69A74332"/>
    <w:rsid w:val="69D72B28"/>
    <w:rsid w:val="69E01250"/>
    <w:rsid w:val="69F525FF"/>
    <w:rsid w:val="69FC6AC2"/>
    <w:rsid w:val="69FE11D3"/>
    <w:rsid w:val="6A0E00FE"/>
    <w:rsid w:val="6A113B89"/>
    <w:rsid w:val="6A317D67"/>
    <w:rsid w:val="6A396007"/>
    <w:rsid w:val="6A6709FB"/>
    <w:rsid w:val="6A6E5F0E"/>
    <w:rsid w:val="6A7774B8"/>
    <w:rsid w:val="6A7D1D85"/>
    <w:rsid w:val="6A864401"/>
    <w:rsid w:val="6AA302AD"/>
    <w:rsid w:val="6AB9EED1"/>
    <w:rsid w:val="6ACB609A"/>
    <w:rsid w:val="6AE52674"/>
    <w:rsid w:val="6AF730C4"/>
    <w:rsid w:val="6AFB1985"/>
    <w:rsid w:val="6AFD34FE"/>
    <w:rsid w:val="6B1B42E7"/>
    <w:rsid w:val="6B2852DC"/>
    <w:rsid w:val="6B292E9C"/>
    <w:rsid w:val="6B2B3DFF"/>
    <w:rsid w:val="6B2D6C5D"/>
    <w:rsid w:val="6B3B0EB8"/>
    <w:rsid w:val="6B49257E"/>
    <w:rsid w:val="6B5307C5"/>
    <w:rsid w:val="6B543355"/>
    <w:rsid w:val="6B5670CE"/>
    <w:rsid w:val="6B6517CB"/>
    <w:rsid w:val="6B6F2EBA"/>
    <w:rsid w:val="6B7E88ED"/>
    <w:rsid w:val="6BAA19FC"/>
    <w:rsid w:val="6BBB5183"/>
    <w:rsid w:val="6BBF71DB"/>
    <w:rsid w:val="6BC54253"/>
    <w:rsid w:val="6BE44432"/>
    <w:rsid w:val="6BEA3CBA"/>
    <w:rsid w:val="6BEA5003"/>
    <w:rsid w:val="6BEBBF6E"/>
    <w:rsid w:val="6BF1BE94"/>
    <w:rsid w:val="6BFDDD20"/>
    <w:rsid w:val="6BFF7765"/>
    <w:rsid w:val="6C3FAB14"/>
    <w:rsid w:val="6C453BAD"/>
    <w:rsid w:val="6C4854AD"/>
    <w:rsid w:val="6C511D71"/>
    <w:rsid w:val="6C53360D"/>
    <w:rsid w:val="6C5F1FB2"/>
    <w:rsid w:val="6C6972D4"/>
    <w:rsid w:val="6C6A2BC9"/>
    <w:rsid w:val="6C7041BF"/>
    <w:rsid w:val="6C727E2F"/>
    <w:rsid w:val="6C776F52"/>
    <w:rsid w:val="6C7A503B"/>
    <w:rsid w:val="6C7F8A8F"/>
    <w:rsid w:val="6C865790"/>
    <w:rsid w:val="6C951124"/>
    <w:rsid w:val="6C9C1458"/>
    <w:rsid w:val="6C9E65C1"/>
    <w:rsid w:val="6CA0308B"/>
    <w:rsid w:val="6CA20AE1"/>
    <w:rsid w:val="6CB42012"/>
    <w:rsid w:val="6CC664D5"/>
    <w:rsid w:val="6CCD1611"/>
    <w:rsid w:val="6CE07597"/>
    <w:rsid w:val="6CE30E35"/>
    <w:rsid w:val="6CF87F54"/>
    <w:rsid w:val="6CFC8220"/>
    <w:rsid w:val="6D0F1C2A"/>
    <w:rsid w:val="6D3C0949"/>
    <w:rsid w:val="6D3E4E45"/>
    <w:rsid w:val="6D512F58"/>
    <w:rsid w:val="6D535C01"/>
    <w:rsid w:val="6D552BDA"/>
    <w:rsid w:val="6D5835D1"/>
    <w:rsid w:val="6D610E3F"/>
    <w:rsid w:val="6D624DC2"/>
    <w:rsid w:val="6D723F67"/>
    <w:rsid w:val="6D796495"/>
    <w:rsid w:val="6D7970A3"/>
    <w:rsid w:val="6D7BE64D"/>
    <w:rsid w:val="6D7E5A8E"/>
    <w:rsid w:val="6D7F7D4C"/>
    <w:rsid w:val="6D831191"/>
    <w:rsid w:val="6D9306BA"/>
    <w:rsid w:val="6D985DE1"/>
    <w:rsid w:val="6D9D07BB"/>
    <w:rsid w:val="6DBB1601"/>
    <w:rsid w:val="6DC276BF"/>
    <w:rsid w:val="6DD00C96"/>
    <w:rsid w:val="6DDB6CC0"/>
    <w:rsid w:val="6DDD7632"/>
    <w:rsid w:val="6DED2A65"/>
    <w:rsid w:val="6DED4145"/>
    <w:rsid w:val="6DF1621C"/>
    <w:rsid w:val="6DF66475"/>
    <w:rsid w:val="6DF7A619"/>
    <w:rsid w:val="6DF80910"/>
    <w:rsid w:val="6DFBB71B"/>
    <w:rsid w:val="6E403AC0"/>
    <w:rsid w:val="6E816457"/>
    <w:rsid w:val="6E900B48"/>
    <w:rsid w:val="6E92178E"/>
    <w:rsid w:val="6E9452B7"/>
    <w:rsid w:val="6E9F0D8B"/>
    <w:rsid w:val="6EAB5982"/>
    <w:rsid w:val="6EB365E5"/>
    <w:rsid w:val="6EBB05F6"/>
    <w:rsid w:val="6EBE7228"/>
    <w:rsid w:val="6EBF7216"/>
    <w:rsid w:val="6EC23352"/>
    <w:rsid w:val="6EC34770"/>
    <w:rsid w:val="6ECD4683"/>
    <w:rsid w:val="6EE9778A"/>
    <w:rsid w:val="6EF23D48"/>
    <w:rsid w:val="6EFC0F92"/>
    <w:rsid w:val="6F070DFD"/>
    <w:rsid w:val="6F0A1E85"/>
    <w:rsid w:val="6F0F8451"/>
    <w:rsid w:val="6F2B29DB"/>
    <w:rsid w:val="6F2C15ED"/>
    <w:rsid w:val="6F3332FA"/>
    <w:rsid w:val="6F3E2CFE"/>
    <w:rsid w:val="6F597AA1"/>
    <w:rsid w:val="6F696078"/>
    <w:rsid w:val="6F7E42D4"/>
    <w:rsid w:val="6F7E6BF3"/>
    <w:rsid w:val="6F826A8F"/>
    <w:rsid w:val="6F8B21F0"/>
    <w:rsid w:val="6F8B3406"/>
    <w:rsid w:val="6FB36224"/>
    <w:rsid w:val="6FBB4203"/>
    <w:rsid w:val="6FBBE756"/>
    <w:rsid w:val="6FBF4864"/>
    <w:rsid w:val="6FBFD9B1"/>
    <w:rsid w:val="6FD36103"/>
    <w:rsid w:val="6FD79E4B"/>
    <w:rsid w:val="6FDE6714"/>
    <w:rsid w:val="6FDE8880"/>
    <w:rsid w:val="6FDFA1C0"/>
    <w:rsid w:val="6FDFCCB1"/>
    <w:rsid w:val="6FE7486A"/>
    <w:rsid w:val="6FEC9154"/>
    <w:rsid w:val="6FEE4ACD"/>
    <w:rsid w:val="6FEF42D0"/>
    <w:rsid w:val="6FEFE8B6"/>
    <w:rsid w:val="6FF60E7F"/>
    <w:rsid w:val="6FF7061B"/>
    <w:rsid w:val="6FFB3A48"/>
    <w:rsid w:val="6FFDB696"/>
    <w:rsid w:val="6FFDF06B"/>
    <w:rsid w:val="6FFE06DC"/>
    <w:rsid w:val="6FFE397A"/>
    <w:rsid w:val="6FFF2E5A"/>
    <w:rsid w:val="6FFF61EB"/>
    <w:rsid w:val="6FFF93D2"/>
    <w:rsid w:val="700510C2"/>
    <w:rsid w:val="70147557"/>
    <w:rsid w:val="701E26CF"/>
    <w:rsid w:val="7027607F"/>
    <w:rsid w:val="703025E3"/>
    <w:rsid w:val="70360C7C"/>
    <w:rsid w:val="705A7660"/>
    <w:rsid w:val="705B4661"/>
    <w:rsid w:val="705F5FCE"/>
    <w:rsid w:val="706978FC"/>
    <w:rsid w:val="706B0310"/>
    <w:rsid w:val="70791FDC"/>
    <w:rsid w:val="707A362B"/>
    <w:rsid w:val="70890F05"/>
    <w:rsid w:val="70D833C2"/>
    <w:rsid w:val="70F3716D"/>
    <w:rsid w:val="70F617AE"/>
    <w:rsid w:val="70FE5BF1"/>
    <w:rsid w:val="712B4B58"/>
    <w:rsid w:val="712E4649"/>
    <w:rsid w:val="7130401B"/>
    <w:rsid w:val="71342534"/>
    <w:rsid w:val="713752AB"/>
    <w:rsid w:val="714275DF"/>
    <w:rsid w:val="71495B9C"/>
    <w:rsid w:val="714F25CA"/>
    <w:rsid w:val="715E4298"/>
    <w:rsid w:val="717057D5"/>
    <w:rsid w:val="71796B56"/>
    <w:rsid w:val="717B6A90"/>
    <w:rsid w:val="718E152E"/>
    <w:rsid w:val="719A31FD"/>
    <w:rsid w:val="719A7D5B"/>
    <w:rsid w:val="719FF866"/>
    <w:rsid w:val="71BDE798"/>
    <w:rsid w:val="71C52A01"/>
    <w:rsid w:val="71C546DD"/>
    <w:rsid w:val="71CC7F1B"/>
    <w:rsid w:val="71D074AE"/>
    <w:rsid w:val="71D27ECE"/>
    <w:rsid w:val="71D40D4C"/>
    <w:rsid w:val="71DA09BC"/>
    <w:rsid w:val="71E62972"/>
    <w:rsid w:val="71E76CD1"/>
    <w:rsid w:val="71EA4A14"/>
    <w:rsid w:val="72117BE8"/>
    <w:rsid w:val="721728AC"/>
    <w:rsid w:val="721C097B"/>
    <w:rsid w:val="72200254"/>
    <w:rsid w:val="722A4E10"/>
    <w:rsid w:val="72427BE7"/>
    <w:rsid w:val="724800A1"/>
    <w:rsid w:val="725E4ABA"/>
    <w:rsid w:val="7260019A"/>
    <w:rsid w:val="726447C6"/>
    <w:rsid w:val="727608D5"/>
    <w:rsid w:val="727E6345"/>
    <w:rsid w:val="72803F7F"/>
    <w:rsid w:val="72916C3D"/>
    <w:rsid w:val="72A13D86"/>
    <w:rsid w:val="72C62D8B"/>
    <w:rsid w:val="72CC515E"/>
    <w:rsid w:val="72DD00D4"/>
    <w:rsid w:val="72E5282B"/>
    <w:rsid w:val="72E9ACF4"/>
    <w:rsid w:val="72FE5336"/>
    <w:rsid w:val="731F1FB5"/>
    <w:rsid w:val="732D1404"/>
    <w:rsid w:val="73491C0D"/>
    <w:rsid w:val="73577500"/>
    <w:rsid w:val="73812C97"/>
    <w:rsid w:val="73993FFB"/>
    <w:rsid w:val="73C117A4"/>
    <w:rsid w:val="73C47F1D"/>
    <w:rsid w:val="73CC612C"/>
    <w:rsid w:val="73D8415F"/>
    <w:rsid w:val="73DA286B"/>
    <w:rsid w:val="73DB2B9D"/>
    <w:rsid w:val="73DD6AE4"/>
    <w:rsid w:val="73EA015B"/>
    <w:rsid w:val="73FB2F08"/>
    <w:rsid w:val="73FD32A7"/>
    <w:rsid w:val="74024296"/>
    <w:rsid w:val="7436001D"/>
    <w:rsid w:val="74404DBF"/>
    <w:rsid w:val="745413E9"/>
    <w:rsid w:val="7457323E"/>
    <w:rsid w:val="746721FE"/>
    <w:rsid w:val="746740F9"/>
    <w:rsid w:val="747E61FB"/>
    <w:rsid w:val="748E78D8"/>
    <w:rsid w:val="749A6A33"/>
    <w:rsid w:val="74C9421C"/>
    <w:rsid w:val="74CC6A1C"/>
    <w:rsid w:val="74DFCD0F"/>
    <w:rsid w:val="75045DEC"/>
    <w:rsid w:val="75083042"/>
    <w:rsid w:val="751853F4"/>
    <w:rsid w:val="753530F5"/>
    <w:rsid w:val="7537B5DD"/>
    <w:rsid w:val="753C5F35"/>
    <w:rsid w:val="754B3A1B"/>
    <w:rsid w:val="756B19C7"/>
    <w:rsid w:val="756E6DDD"/>
    <w:rsid w:val="758E5037"/>
    <w:rsid w:val="759327A6"/>
    <w:rsid w:val="759F5607"/>
    <w:rsid w:val="75B1084A"/>
    <w:rsid w:val="75BC2223"/>
    <w:rsid w:val="75EA74FE"/>
    <w:rsid w:val="75EF6053"/>
    <w:rsid w:val="75F93F67"/>
    <w:rsid w:val="75FEFAB1"/>
    <w:rsid w:val="760A7432"/>
    <w:rsid w:val="761713FB"/>
    <w:rsid w:val="763B2E0E"/>
    <w:rsid w:val="76730E79"/>
    <w:rsid w:val="767945B8"/>
    <w:rsid w:val="76870EB7"/>
    <w:rsid w:val="768C2BA9"/>
    <w:rsid w:val="76A906F3"/>
    <w:rsid w:val="76AA4771"/>
    <w:rsid w:val="76AD62DD"/>
    <w:rsid w:val="76BEDC27"/>
    <w:rsid w:val="76BF04DF"/>
    <w:rsid w:val="76C1790D"/>
    <w:rsid w:val="76DF3A64"/>
    <w:rsid w:val="76DF8DA2"/>
    <w:rsid w:val="76E732D0"/>
    <w:rsid w:val="76E82FD5"/>
    <w:rsid w:val="76EB4627"/>
    <w:rsid w:val="76ECDCB8"/>
    <w:rsid w:val="76F01A11"/>
    <w:rsid w:val="76F42D38"/>
    <w:rsid w:val="76FF7C98"/>
    <w:rsid w:val="772E0EFE"/>
    <w:rsid w:val="772ECBE3"/>
    <w:rsid w:val="773B8689"/>
    <w:rsid w:val="77440722"/>
    <w:rsid w:val="774796A8"/>
    <w:rsid w:val="77524F4D"/>
    <w:rsid w:val="775BC2E3"/>
    <w:rsid w:val="775C3CBE"/>
    <w:rsid w:val="775D138B"/>
    <w:rsid w:val="77674B55"/>
    <w:rsid w:val="776E5142"/>
    <w:rsid w:val="776F86A9"/>
    <w:rsid w:val="778D033F"/>
    <w:rsid w:val="778F5F53"/>
    <w:rsid w:val="77A6B0EC"/>
    <w:rsid w:val="77B9B0C1"/>
    <w:rsid w:val="77BD2282"/>
    <w:rsid w:val="77E114D2"/>
    <w:rsid w:val="77EFB7DB"/>
    <w:rsid w:val="77F71ABD"/>
    <w:rsid w:val="77F9F0D4"/>
    <w:rsid w:val="77FCA458"/>
    <w:rsid w:val="77FCE118"/>
    <w:rsid w:val="77FD261C"/>
    <w:rsid w:val="77FF2132"/>
    <w:rsid w:val="77FFA601"/>
    <w:rsid w:val="78120ABB"/>
    <w:rsid w:val="78186E47"/>
    <w:rsid w:val="78253E41"/>
    <w:rsid w:val="783F38BA"/>
    <w:rsid w:val="785E75C1"/>
    <w:rsid w:val="788675F0"/>
    <w:rsid w:val="788C2381"/>
    <w:rsid w:val="788D434B"/>
    <w:rsid w:val="78916E6C"/>
    <w:rsid w:val="78A02A5A"/>
    <w:rsid w:val="78B114BE"/>
    <w:rsid w:val="78CE1E32"/>
    <w:rsid w:val="78D01A6F"/>
    <w:rsid w:val="78F581DA"/>
    <w:rsid w:val="78F92BE1"/>
    <w:rsid w:val="78FE7584"/>
    <w:rsid w:val="78FFD7C2"/>
    <w:rsid w:val="79042718"/>
    <w:rsid w:val="79084F07"/>
    <w:rsid w:val="79121A2E"/>
    <w:rsid w:val="792879F4"/>
    <w:rsid w:val="79366790"/>
    <w:rsid w:val="79442C5B"/>
    <w:rsid w:val="79516D09"/>
    <w:rsid w:val="79536ACE"/>
    <w:rsid w:val="79782905"/>
    <w:rsid w:val="798F1AF1"/>
    <w:rsid w:val="79910FC0"/>
    <w:rsid w:val="79A656C4"/>
    <w:rsid w:val="79A9685F"/>
    <w:rsid w:val="79ACD51A"/>
    <w:rsid w:val="79B55948"/>
    <w:rsid w:val="79BD5479"/>
    <w:rsid w:val="79BF71B9"/>
    <w:rsid w:val="79C01DAA"/>
    <w:rsid w:val="79C63670"/>
    <w:rsid w:val="79D00993"/>
    <w:rsid w:val="79D96C01"/>
    <w:rsid w:val="79DBDAC5"/>
    <w:rsid w:val="79E415BB"/>
    <w:rsid w:val="79EE5700"/>
    <w:rsid w:val="79FA0A95"/>
    <w:rsid w:val="79FB633A"/>
    <w:rsid w:val="79FC1788"/>
    <w:rsid w:val="79FD51F1"/>
    <w:rsid w:val="7A005E33"/>
    <w:rsid w:val="7A096718"/>
    <w:rsid w:val="7A1669D2"/>
    <w:rsid w:val="7A1A3B88"/>
    <w:rsid w:val="7A3948AB"/>
    <w:rsid w:val="7A396538"/>
    <w:rsid w:val="7A3FE9F4"/>
    <w:rsid w:val="7A456C8B"/>
    <w:rsid w:val="7A5452BE"/>
    <w:rsid w:val="7A601D17"/>
    <w:rsid w:val="7A607012"/>
    <w:rsid w:val="7A664E53"/>
    <w:rsid w:val="7A67051E"/>
    <w:rsid w:val="7A7B26AD"/>
    <w:rsid w:val="7A8157E9"/>
    <w:rsid w:val="7A843F98"/>
    <w:rsid w:val="7A85352B"/>
    <w:rsid w:val="7AA86C83"/>
    <w:rsid w:val="7AB9B43B"/>
    <w:rsid w:val="7ABC5759"/>
    <w:rsid w:val="7ACF0EF8"/>
    <w:rsid w:val="7AD39BC2"/>
    <w:rsid w:val="7AD81BC9"/>
    <w:rsid w:val="7ADF999D"/>
    <w:rsid w:val="7AEE2BF2"/>
    <w:rsid w:val="7AF16E13"/>
    <w:rsid w:val="7AFB7C1C"/>
    <w:rsid w:val="7B052E72"/>
    <w:rsid w:val="7B09796A"/>
    <w:rsid w:val="7B0A57DF"/>
    <w:rsid w:val="7B0E915C"/>
    <w:rsid w:val="7B457931"/>
    <w:rsid w:val="7B5F2F65"/>
    <w:rsid w:val="7B771FEC"/>
    <w:rsid w:val="7B86146E"/>
    <w:rsid w:val="7B87299F"/>
    <w:rsid w:val="7B8B4B71"/>
    <w:rsid w:val="7B8E01BE"/>
    <w:rsid w:val="7BAEE728"/>
    <w:rsid w:val="7BBA7205"/>
    <w:rsid w:val="7BBE6194"/>
    <w:rsid w:val="7BD14F7B"/>
    <w:rsid w:val="7BE40725"/>
    <w:rsid w:val="7BF4E965"/>
    <w:rsid w:val="7BFEE41C"/>
    <w:rsid w:val="7C12710A"/>
    <w:rsid w:val="7C1B6004"/>
    <w:rsid w:val="7C251548"/>
    <w:rsid w:val="7C2B3C5E"/>
    <w:rsid w:val="7C2FBC68"/>
    <w:rsid w:val="7C51421E"/>
    <w:rsid w:val="7C63B2E2"/>
    <w:rsid w:val="7C734E74"/>
    <w:rsid w:val="7C743857"/>
    <w:rsid w:val="7C751FE2"/>
    <w:rsid w:val="7C7F712B"/>
    <w:rsid w:val="7C7FDA07"/>
    <w:rsid w:val="7C8142B6"/>
    <w:rsid w:val="7C943EFA"/>
    <w:rsid w:val="7CAD4FBB"/>
    <w:rsid w:val="7CBB3234"/>
    <w:rsid w:val="7CCB43D3"/>
    <w:rsid w:val="7CCF3A53"/>
    <w:rsid w:val="7CD0616A"/>
    <w:rsid w:val="7CD51F3F"/>
    <w:rsid w:val="7CE00658"/>
    <w:rsid w:val="7CED9261"/>
    <w:rsid w:val="7CF7AF45"/>
    <w:rsid w:val="7CFB95C5"/>
    <w:rsid w:val="7CFD7F30"/>
    <w:rsid w:val="7CFE7297"/>
    <w:rsid w:val="7D0E5094"/>
    <w:rsid w:val="7D225061"/>
    <w:rsid w:val="7D304909"/>
    <w:rsid w:val="7D3BBECB"/>
    <w:rsid w:val="7D5275D2"/>
    <w:rsid w:val="7D690E56"/>
    <w:rsid w:val="7D6FCE77"/>
    <w:rsid w:val="7D747887"/>
    <w:rsid w:val="7D877198"/>
    <w:rsid w:val="7D893462"/>
    <w:rsid w:val="7D8F6271"/>
    <w:rsid w:val="7D9C4987"/>
    <w:rsid w:val="7D9EC7D5"/>
    <w:rsid w:val="7DAA3FF0"/>
    <w:rsid w:val="7DB06BC2"/>
    <w:rsid w:val="7DB52379"/>
    <w:rsid w:val="7DB79E0A"/>
    <w:rsid w:val="7DD12FF3"/>
    <w:rsid w:val="7DD7685A"/>
    <w:rsid w:val="7DDAD040"/>
    <w:rsid w:val="7DDB5266"/>
    <w:rsid w:val="7DDFDC6A"/>
    <w:rsid w:val="7DE44A0D"/>
    <w:rsid w:val="7DE7680A"/>
    <w:rsid w:val="7DEC455F"/>
    <w:rsid w:val="7DF131D2"/>
    <w:rsid w:val="7DF77B72"/>
    <w:rsid w:val="7DFF1F99"/>
    <w:rsid w:val="7DFFC0F0"/>
    <w:rsid w:val="7DFFCD9B"/>
    <w:rsid w:val="7DFFEA6C"/>
    <w:rsid w:val="7E063EB0"/>
    <w:rsid w:val="7E1044F8"/>
    <w:rsid w:val="7E1F58F5"/>
    <w:rsid w:val="7E2E9D01"/>
    <w:rsid w:val="7E2FD504"/>
    <w:rsid w:val="7E34331A"/>
    <w:rsid w:val="7E3D5ECB"/>
    <w:rsid w:val="7E3E2F52"/>
    <w:rsid w:val="7E521976"/>
    <w:rsid w:val="7E555BF7"/>
    <w:rsid w:val="7E5C0A47"/>
    <w:rsid w:val="7E662083"/>
    <w:rsid w:val="7E671ABC"/>
    <w:rsid w:val="7E6817D6"/>
    <w:rsid w:val="7E6E42D6"/>
    <w:rsid w:val="7E747B3F"/>
    <w:rsid w:val="7E7538B7"/>
    <w:rsid w:val="7E7A6AD5"/>
    <w:rsid w:val="7E7BE11D"/>
    <w:rsid w:val="7E7EDF48"/>
    <w:rsid w:val="7E7F64E4"/>
    <w:rsid w:val="7E7FA8DB"/>
    <w:rsid w:val="7E84439E"/>
    <w:rsid w:val="7E891110"/>
    <w:rsid w:val="7E8E285F"/>
    <w:rsid w:val="7EA72A07"/>
    <w:rsid w:val="7EAD0735"/>
    <w:rsid w:val="7EAF501B"/>
    <w:rsid w:val="7EAFDE17"/>
    <w:rsid w:val="7EBBE9AC"/>
    <w:rsid w:val="7EBC6EE8"/>
    <w:rsid w:val="7EBE0A6D"/>
    <w:rsid w:val="7EBF3D01"/>
    <w:rsid w:val="7ECA4011"/>
    <w:rsid w:val="7ED097AB"/>
    <w:rsid w:val="7ED75F0F"/>
    <w:rsid w:val="7EDB9B6D"/>
    <w:rsid w:val="7EDFBB3B"/>
    <w:rsid w:val="7EE3318A"/>
    <w:rsid w:val="7EE6DD14"/>
    <w:rsid w:val="7EE87B37"/>
    <w:rsid w:val="7EEA4CC4"/>
    <w:rsid w:val="7EEB9FC8"/>
    <w:rsid w:val="7EF726EE"/>
    <w:rsid w:val="7EF7BA78"/>
    <w:rsid w:val="7EFB3AF9"/>
    <w:rsid w:val="7EFB7AF0"/>
    <w:rsid w:val="7EFDC041"/>
    <w:rsid w:val="7EFF3B0C"/>
    <w:rsid w:val="7EFF7AAF"/>
    <w:rsid w:val="7EFF872B"/>
    <w:rsid w:val="7EFF8884"/>
    <w:rsid w:val="7EFFA73A"/>
    <w:rsid w:val="7EFFDDD0"/>
    <w:rsid w:val="7F08297D"/>
    <w:rsid w:val="7F104C8C"/>
    <w:rsid w:val="7F1B04B6"/>
    <w:rsid w:val="7F1C1F84"/>
    <w:rsid w:val="7F2B01C4"/>
    <w:rsid w:val="7F2BEF08"/>
    <w:rsid w:val="7F2F2562"/>
    <w:rsid w:val="7F4544C1"/>
    <w:rsid w:val="7F5E3367"/>
    <w:rsid w:val="7F5F3D40"/>
    <w:rsid w:val="7F60371C"/>
    <w:rsid w:val="7F651B7D"/>
    <w:rsid w:val="7F67E56E"/>
    <w:rsid w:val="7F739F4F"/>
    <w:rsid w:val="7F752B5D"/>
    <w:rsid w:val="7F75710D"/>
    <w:rsid w:val="7F77E416"/>
    <w:rsid w:val="7F79E61E"/>
    <w:rsid w:val="7F7F85A2"/>
    <w:rsid w:val="7F93112B"/>
    <w:rsid w:val="7F939140"/>
    <w:rsid w:val="7F97022B"/>
    <w:rsid w:val="7F9B651A"/>
    <w:rsid w:val="7FA5CF7E"/>
    <w:rsid w:val="7FABCF5F"/>
    <w:rsid w:val="7FAC155A"/>
    <w:rsid w:val="7FAF3472"/>
    <w:rsid w:val="7FB359B9"/>
    <w:rsid w:val="7FB421BD"/>
    <w:rsid w:val="7FB473C1"/>
    <w:rsid w:val="7FB68DF0"/>
    <w:rsid w:val="7FBBE0B5"/>
    <w:rsid w:val="7FBBF7C9"/>
    <w:rsid w:val="7FBF47ED"/>
    <w:rsid w:val="7FBF7622"/>
    <w:rsid w:val="7FC27694"/>
    <w:rsid w:val="7FCB9F5E"/>
    <w:rsid w:val="7FCD90FC"/>
    <w:rsid w:val="7FCDECF9"/>
    <w:rsid w:val="7FD750AF"/>
    <w:rsid w:val="7FD76F60"/>
    <w:rsid w:val="7FDAA987"/>
    <w:rsid w:val="7FDB19D4"/>
    <w:rsid w:val="7FDD34C2"/>
    <w:rsid w:val="7FDF73B0"/>
    <w:rsid w:val="7FE10151"/>
    <w:rsid w:val="7FE3353D"/>
    <w:rsid w:val="7FE3CA00"/>
    <w:rsid w:val="7FE5FBF6"/>
    <w:rsid w:val="7FE721C8"/>
    <w:rsid w:val="7FE761E4"/>
    <w:rsid w:val="7FE7A1B4"/>
    <w:rsid w:val="7FE9630A"/>
    <w:rsid w:val="7FE96A4C"/>
    <w:rsid w:val="7FEB884C"/>
    <w:rsid w:val="7FECC05A"/>
    <w:rsid w:val="7FEFBA18"/>
    <w:rsid w:val="7FF1D57F"/>
    <w:rsid w:val="7FF510B2"/>
    <w:rsid w:val="7FF627D5"/>
    <w:rsid w:val="7FF7D9BA"/>
    <w:rsid w:val="7FF7F0EA"/>
    <w:rsid w:val="7FFA6D22"/>
    <w:rsid w:val="7FFA82DD"/>
    <w:rsid w:val="7FFB42DB"/>
    <w:rsid w:val="7FFCB26E"/>
    <w:rsid w:val="7FFD814B"/>
    <w:rsid w:val="7FFD9FAE"/>
    <w:rsid w:val="7FFDCAA0"/>
    <w:rsid w:val="7FFE0590"/>
    <w:rsid w:val="7FFE17F4"/>
    <w:rsid w:val="7FFEC91C"/>
    <w:rsid w:val="7FFF2B3A"/>
    <w:rsid w:val="7FFF2CAF"/>
    <w:rsid w:val="7FFF3358"/>
    <w:rsid w:val="7FFF3D63"/>
    <w:rsid w:val="7FFF4232"/>
    <w:rsid w:val="7FFFB6B3"/>
    <w:rsid w:val="816EBC1C"/>
    <w:rsid w:val="83F7AE7A"/>
    <w:rsid w:val="86CD2215"/>
    <w:rsid w:val="87DD225B"/>
    <w:rsid w:val="87FB9589"/>
    <w:rsid w:val="8AB7B565"/>
    <w:rsid w:val="8FF36E77"/>
    <w:rsid w:val="92FF0138"/>
    <w:rsid w:val="95FE229C"/>
    <w:rsid w:val="977B5D60"/>
    <w:rsid w:val="97BA3E9D"/>
    <w:rsid w:val="97EAB167"/>
    <w:rsid w:val="97FCA9FA"/>
    <w:rsid w:val="99F9CE9D"/>
    <w:rsid w:val="9A1DB0E4"/>
    <w:rsid w:val="9AFFE6CA"/>
    <w:rsid w:val="9BD33C30"/>
    <w:rsid w:val="9BF096E2"/>
    <w:rsid w:val="9D6D944E"/>
    <w:rsid w:val="9DBAE05B"/>
    <w:rsid w:val="9F65EFAF"/>
    <w:rsid w:val="9F6F25E0"/>
    <w:rsid w:val="9FBF6A38"/>
    <w:rsid w:val="9FE70ACE"/>
    <w:rsid w:val="9FFF0E2D"/>
    <w:rsid w:val="9FFFA905"/>
    <w:rsid w:val="A53C30EB"/>
    <w:rsid w:val="A59B1219"/>
    <w:rsid w:val="A70D6803"/>
    <w:rsid w:val="A7799AEC"/>
    <w:rsid w:val="AABFB60B"/>
    <w:rsid w:val="ABE7C24A"/>
    <w:rsid w:val="ACB5D895"/>
    <w:rsid w:val="ACD969FC"/>
    <w:rsid w:val="ACF9F370"/>
    <w:rsid w:val="ACFF783F"/>
    <w:rsid w:val="AD6FF85E"/>
    <w:rsid w:val="ADBC833D"/>
    <w:rsid w:val="ADDEBFB5"/>
    <w:rsid w:val="ADED50AF"/>
    <w:rsid w:val="AEBBA222"/>
    <w:rsid w:val="AF4F9167"/>
    <w:rsid w:val="AFB3F7C1"/>
    <w:rsid w:val="AFD74478"/>
    <w:rsid w:val="AFDF5D90"/>
    <w:rsid w:val="AFE694F8"/>
    <w:rsid w:val="AFF541E1"/>
    <w:rsid w:val="AFFB492E"/>
    <w:rsid w:val="AFFE120A"/>
    <w:rsid w:val="AFFF83BB"/>
    <w:rsid w:val="B2B9372A"/>
    <w:rsid w:val="B2C784FE"/>
    <w:rsid w:val="B3E7BB23"/>
    <w:rsid w:val="B3FE8A31"/>
    <w:rsid w:val="B4FFF1AD"/>
    <w:rsid w:val="B5CF5AEA"/>
    <w:rsid w:val="B66FCF32"/>
    <w:rsid w:val="B6BFD4C4"/>
    <w:rsid w:val="B6CBE650"/>
    <w:rsid w:val="B73E57F5"/>
    <w:rsid w:val="B741577F"/>
    <w:rsid w:val="B75BD154"/>
    <w:rsid w:val="B75F38B1"/>
    <w:rsid w:val="B795DFF4"/>
    <w:rsid w:val="B7BB3BD0"/>
    <w:rsid w:val="B7CF5728"/>
    <w:rsid w:val="B7EBD113"/>
    <w:rsid w:val="B7EFEFE6"/>
    <w:rsid w:val="B7F702D0"/>
    <w:rsid w:val="B7FD2566"/>
    <w:rsid w:val="B9BE8684"/>
    <w:rsid w:val="BAF82646"/>
    <w:rsid w:val="BB594F6D"/>
    <w:rsid w:val="BB9FABF3"/>
    <w:rsid w:val="BBB6559D"/>
    <w:rsid w:val="BBD7DEC7"/>
    <w:rsid w:val="BBDE1958"/>
    <w:rsid w:val="BBDFB0CF"/>
    <w:rsid w:val="BBE33E15"/>
    <w:rsid w:val="BBEF43C5"/>
    <w:rsid w:val="BCDB3035"/>
    <w:rsid w:val="BCF75D7A"/>
    <w:rsid w:val="BCF94F3D"/>
    <w:rsid w:val="BD63426D"/>
    <w:rsid w:val="BDB72374"/>
    <w:rsid w:val="BDBF412A"/>
    <w:rsid w:val="BDCF8A25"/>
    <w:rsid w:val="BDD8EF78"/>
    <w:rsid w:val="BDDA02EA"/>
    <w:rsid w:val="BDEF847A"/>
    <w:rsid w:val="BDEFC0C4"/>
    <w:rsid w:val="BDF04943"/>
    <w:rsid w:val="BE57F877"/>
    <w:rsid w:val="BE725299"/>
    <w:rsid w:val="BE79BB8B"/>
    <w:rsid w:val="BE7FFF60"/>
    <w:rsid w:val="BE9F7AA6"/>
    <w:rsid w:val="BEA76596"/>
    <w:rsid w:val="BEBAE066"/>
    <w:rsid w:val="BEDB1317"/>
    <w:rsid w:val="BEF555C8"/>
    <w:rsid w:val="BEFB84CB"/>
    <w:rsid w:val="BEFD1E7C"/>
    <w:rsid w:val="BEFF2A67"/>
    <w:rsid w:val="BF1E064A"/>
    <w:rsid w:val="BF38A438"/>
    <w:rsid w:val="BF3FFF29"/>
    <w:rsid w:val="BF5CA57A"/>
    <w:rsid w:val="BF97598B"/>
    <w:rsid w:val="BFBFFC38"/>
    <w:rsid w:val="BFD9AA24"/>
    <w:rsid w:val="BFE32BE4"/>
    <w:rsid w:val="BFEFC667"/>
    <w:rsid w:val="BFF20B29"/>
    <w:rsid w:val="BFF7C6C8"/>
    <w:rsid w:val="BFFD7059"/>
    <w:rsid w:val="BFFFDF48"/>
    <w:rsid w:val="C13E3F35"/>
    <w:rsid w:val="C3F70DC4"/>
    <w:rsid w:val="C3FF5894"/>
    <w:rsid w:val="C45356FF"/>
    <w:rsid w:val="C7F3FFBD"/>
    <w:rsid w:val="C96C71D7"/>
    <w:rsid w:val="C9FEA068"/>
    <w:rsid w:val="CA9B6EC0"/>
    <w:rsid w:val="CBFD8595"/>
    <w:rsid w:val="CBFF4A53"/>
    <w:rsid w:val="CCFF81BA"/>
    <w:rsid w:val="CDAE4EDC"/>
    <w:rsid w:val="CDD6DB45"/>
    <w:rsid w:val="CDFA6FEE"/>
    <w:rsid w:val="CE9D661C"/>
    <w:rsid w:val="CEFFC916"/>
    <w:rsid w:val="CF5FA584"/>
    <w:rsid w:val="CFF77463"/>
    <w:rsid w:val="CFFD13EC"/>
    <w:rsid w:val="D18FA8B7"/>
    <w:rsid w:val="D1FB24DB"/>
    <w:rsid w:val="D2DF8AE2"/>
    <w:rsid w:val="D3DD0063"/>
    <w:rsid w:val="D3E74C57"/>
    <w:rsid w:val="D3FFCDFC"/>
    <w:rsid w:val="D4FF928C"/>
    <w:rsid w:val="D5FDA11C"/>
    <w:rsid w:val="D6BC272F"/>
    <w:rsid w:val="D6EA8674"/>
    <w:rsid w:val="D794E206"/>
    <w:rsid w:val="D7DE25B1"/>
    <w:rsid w:val="D7DEC7EE"/>
    <w:rsid w:val="D7ED0036"/>
    <w:rsid w:val="D7F71C2D"/>
    <w:rsid w:val="D7FB3981"/>
    <w:rsid w:val="D7FF7827"/>
    <w:rsid w:val="D83FDD35"/>
    <w:rsid w:val="D867D162"/>
    <w:rsid w:val="D8DFC712"/>
    <w:rsid w:val="D935D3CF"/>
    <w:rsid w:val="D9A5EDD9"/>
    <w:rsid w:val="D9B43C04"/>
    <w:rsid w:val="D9FDEEFD"/>
    <w:rsid w:val="DB099D53"/>
    <w:rsid w:val="DB57BBF7"/>
    <w:rsid w:val="DB7BD0B8"/>
    <w:rsid w:val="DB7C7124"/>
    <w:rsid w:val="DB7F08DD"/>
    <w:rsid w:val="DBB786F2"/>
    <w:rsid w:val="DBF796C1"/>
    <w:rsid w:val="DBFB4022"/>
    <w:rsid w:val="DBFD5319"/>
    <w:rsid w:val="DBFEA68D"/>
    <w:rsid w:val="DBFF55DA"/>
    <w:rsid w:val="DBFF7C59"/>
    <w:rsid w:val="DC6ACC76"/>
    <w:rsid w:val="DD77DBFC"/>
    <w:rsid w:val="DD7F9848"/>
    <w:rsid w:val="DDDD3AAA"/>
    <w:rsid w:val="DDF12A83"/>
    <w:rsid w:val="DDFF9BBD"/>
    <w:rsid w:val="DE5B1729"/>
    <w:rsid w:val="DE6D7A4D"/>
    <w:rsid w:val="DEA533FE"/>
    <w:rsid w:val="DEBB2101"/>
    <w:rsid w:val="DEBDE491"/>
    <w:rsid w:val="DECFE504"/>
    <w:rsid w:val="DEFFF88B"/>
    <w:rsid w:val="DF36E5F3"/>
    <w:rsid w:val="DF6F673E"/>
    <w:rsid w:val="DF7F4EBE"/>
    <w:rsid w:val="DF7F6559"/>
    <w:rsid w:val="DFA3D811"/>
    <w:rsid w:val="DFBB277E"/>
    <w:rsid w:val="DFBCD0BC"/>
    <w:rsid w:val="DFBD1572"/>
    <w:rsid w:val="DFBFF21B"/>
    <w:rsid w:val="DFC99911"/>
    <w:rsid w:val="DFCB6B9B"/>
    <w:rsid w:val="DFCFE673"/>
    <w:rsid w:val="DFDDAC1D"/>
    <w:rsid w:val="DFEFFB4A"/>
    <w:rsid w:val="DFF72532"/>
    <w:rsid w:val="DFFD7189"/>
    <w:rsid w:val="DFFE4E81"/>
    <w:rsid w:val="DFFE94C0"/>
    <w:rsid w:val="DFFFBAAE"/>
    <w:rsid w:val="E374C507"/>
    <w:rsid w:val="E3EFD023"/>
    <w:rsid w:val="E3FB990F"/>
    <w:rsid w:val="E47F08F1"/>
    <w:rsid w:val="E4FF291B"/>
    <w:rsid w:val="E55F3C44"/>
    <w:rsid w:val="E629FA10"/>
    <w:rsid w:val="E6D76A9D"/>
    <w:rsid w:val="E77FB93B"/>
    <w:rsid w:val="E7D7A87F"/>
    <w:rsid w:val="E7DB2670"/>
    <w:rsid w:val="E7E74F06"/>
    <w:rsid w:val="E7FD5C58"/>
    <w:rsid w:val="E7FD669B"/>
    <w:rsid w:val="E7FFEA33"/>
    <w:rsid w:val="E9CD1866"/>
    <w:rsid w:val="EB56791F"/>
    <w:rsid w:val="EB5EC710"/>
    <w:rsid w:val="EB776932"/>
    <w:rsid w:val="EB8FCC53"/>
    <w:rsid w:val="EBDD1B22"/>
    <w:rsid w:val="EBFC4B45"/>
    <w:rsid w:val="EBFE7726"/>
    <w:rsid w:val="EBFEF502"/>
    <w:rsid w:val="EC7FEDDE"/>
    <w:rsid w:val="ECE93E1D"/>
    <w:rsid w:val="ED2F19E0"/>
    <w:rsid w:val="EDB4E4CA"/>
    <w:rsid w:val="EDF3AE4B"/>
    <w:rsid w:val="EDFF9326"/>
    <w:rsid w:val="EE6F7CE4"/>
    <w:rsid w:val="EECF9BDF"/>
    <w:rsid w:val="EEEDCBBB"/>
    <w:rsid w:val="EEFF1DB9"/>
    <w:rsid w:val="EF5F849E"/>
    <w:rsid w:val="EFA75B23"/>
    <w:rsid w:val="EFB760A1"/>
    <w:rsid w:val="EFD21437"/>
    <w:rsid w:val="EFDB1127"/>
    <w:rsid w:val="EFDE48CE"/>
    <w:rsid w:val="EFDE551C"/>
    <w:rsid w:val="EFDFA4C5"/>
    <w:rsid w:val="EFEEB034"/>
    <w:rsid w:val="EFFF5CA2"/>
    <w:rsid w:val="EFFFFD96"/>
    <w:rsid w:val="EFFFFF24"/>
    <w:rsid w:val="F12B95A8"/>
    <w:rsid w:val="F1AB18AC"/>
    <w:rsid w:val="F1DF48E0"/>
    <w:rsid w:val="F28D6E41"/>
    <w:rsid w:val="F2D3689A"/>
    <w:rsid w:val="F2DE35F0"/>
    <w:rsid w:val="F3570537"/>
    <w:rsid w:val="F37FE6E1"/>
    <w:rsid w:val="F3ED6A9D"/>
    <w:rsid w:val="F3FE037D"/>
    <w:rsid w:val="F3FE04AE"/>
    <w:rsid w:val="F5F76F59"/>
    <w:rsid w:val="F5F7E76E"/>
    <w:rsid w:val="F5FA860A"/>
    <w:rsid w:val="F5FFD205"/>
    <w:rsid w:val="F66B4D4B"/>
    <w:rsid w:val="F67F17BD"/>
    <w:rsid w:val="F6F52ACE"/>
    <w:rsid w:val="F6FD0C6A"/>
    <w:rsid w:val="F6FD3E54"/>
    <w:rsid w:val="F6FE5E72"/>
    <w:rsid w:val="F6FFC0BC"/>
    <w:rsid w:val="F72BCE6F"/>
    <w:rsid w:val="F75DEB39"/>
    <w:rsid w:val="F7975AF9"/>
    <w:rsid w:val="F7BF0EFD"/>
    <w:rsid w:val="F7C9181A"/>
    <w:rsid w:val="F7CF5C85"/>
    <w:rsid w:val="F7D1D8AE"/>
    <w:rsid w:val="F7EE2517"/>
    <w:rsid w:val="F7EE8E51"/>
    <w:rsid w:val="F7F77127"/>
    <w:rsid w:val="F7F79109"/>
    <w:rsid w:val="F7F7CC73"/>
    <w:rsid w:val="F7F80EB2"/>
    <w:rsid w:val="F7FBDAB6"/>
    <w:rsid w:val="F7FE1D32"/>
    <w:rsid w:val="F7FF384A"/>
    <w:rsid w:val="F7FF4FE4"/>
    <w:rsid w:val="F7FFF4A2"/>
    <w:rsid w:val="F8F3220E"/>
    <w:rsid w:val="F8FFF9CE"/>
    <w:rsid w:val="F9BF311E"/>
    <w:rsid w:val="F9DF9D70"/>
    <w:rsid w:val="F9EF8D71"/>
    <w:rsid w:val="F9F760E4"/>
    <w:rsid w:val="F9FE0830"/>
    <w:rsid w:val="FA5E7AD7"/>
    <w:rsid w:val="FADF3728"/>
    <w:rsid w:val="FAEDAABE"/>
    <w:rsid w:val="FB2B8857"/>
    <w:rsid w:val="FB4F3BE6"/>
    <w:rsid w:val="FB5379BB"/>
    <w:rsid w:val="FB5FD576"/>
    <w:rsid w:val="FB7B83B3"/>
    <w:rsid w:val="FB7F1D6E"/>
    <w:rsid w:val="FB7F5F49"/>
    <w:rsid w:val="FB8567F8"/>
    <w:rsid w:val="FBBB0F51"/>
    <w:rsid w:val="FBDDE187"/>
    <w:rsid w:val="FBEA0CD1"/>
    <w:rsid w:val="FBEE6A4C"/>
    <w:rsid w:val="FBEFF0AB"/>
    <w:rsid w:val="FBEFF7F2"/>
    <w:rsid w:val="FBF0F819"/>
    <w:rsid w:val="FBFA4870"/>
    <w:rsid w:val="FBFA5643"/>
    <w:rsid w:val="FBFA7BE4"/>
    <w:rsid w:val="FBFCCF44"/>
    <w:rsid w:val="FBFD11BE"/>
    <w:rsid w:val="FBFDBCF6"/>
    <w:rsid w:val="FBFE334E"/>
    <w:rsid w:val="FBFF3149"/>
    <w:rsid w:val="FBFF3C27"/>
    <w:rsid w:val="FBFFF1D8"/>
    <w:rsid w:val="FC4D3909"/>
    <w:rsid w:val="FC4F1680"/>
    <w:rsid w:val="FC6B1E75"/>
    <w:rsid w:val="FC6D63FB"/>
    <w:rsid w:val="FC6D8019"/>
    <w:rsid w:val="FC6ECDC2"/>
    <w:rsid w:val="FC7AFEB6"/>
    <w:rsid w:val="FC7FB450"/>
    <w:rsid w:val="FCD54CAC"/>
    <w:rsid w:val="FCDF92E6"/>
    <w:rsid w:val="FCDFFBF7"/>
    <w:rsid w:val="FCE2E352"/>
    <w:rsid w:val="FCEFE372"/>
    <w:rsid w:val="FCF5A05D"/>
    <w:rsid w:val="FCFDCD70"/>
    <w:rsid w:val="FCFF1BAB"/>
    <w:rsid w:val="FCFFD552"/>
    <w:rsid w:val="FD5DFAC8"/>
    <w:rsid w:val="FD634801"/>
    <w:rsid w:val="FD6C295E"/>
    <w:rsid w:val="FD6D325D"/>
    <w:rsid w:val="FD73DE62"/>
    <w:rsid w:val="FD7DD71E"/>
    <w:rsid w:val="FDAD938F"/>
    <w:rsid w:val="FDBA724F"/>
    <w:rsid w:val="FDCD5D28"/>
    <w:rsid w:val="FDD3043D"/>
    <w:rsid w:val="FDDBEF96"/>
    <w:rsid w:val="FDDD7591"/>
    <w:rsid w:val="FDDF0627"/>
    <w:rsid w:val="FDEFF278"/>
    <w:rsid w:val="FDF10A8C"/>
    <w:rsid w:val="FDF74B6C"/>
    <w:rsid w:val="FDFF4F7C"/>
    <w:rsid w:val="FE4FBE02"/>
    <w:rsid w:val="FE5F9864"/>
    <w:rsid w:val="FE7DB371"/>
    <w:rsid w:val="FE7DD0FA"/>
    <w:rsid w:val="FED78FA2"/>
    <w:rsid w:val="FEDA5853"/>
    <w:rsid w:val="FEDD66A5"/>
    <w:rsid w:val="FEDE1E99"/>
    <w:rsid w:val="FEDFB422"/>
    <w:rsid w:val="FEED5B06"/>
    <w:rsid w:val="FEF713D9"/>
    <w:rsid w:val="FEFBDFE6"/>
    <w:rsid w:val="FEFC5FA5"/>
    <w:rsid w:val="FEFFFD1C"/>
    <w:rsid w:val="FF17AA7E"/>
    <w:rsid w:val="FF1E567A"/>
    <w:rsid w:val="FF332E34"/>
    <w:rsid w:val="FF3B9D7C"/>
    <w:rsid w:val="FF4B9E16"/>
    <w:rsid w:val="FF537042"/>
    <w:rsid w:val="FF5B8C35"/>
    <w:rsid w:val="FF5F82C9"/>
    <w:rsid w:val="FF6F39E4"/>
    <w:rsid w:val="FF6FDD80"/>
    <w:rsid w:val="FF7560FC"/>
    <w:rsid w:val="FF773AD7"/>
    <w:rsid w:val="FF7A963B"/>
    <w:rsid w:val="FF7B263D"/>
    <w:rsid w:val="FF7C23CE"/>
    <w:rsid w:val="FF7C6EF1"/>
    <w:rsid w:val="FF7EF9FD"/>
    <w:rsid w:val="FF7F894E"/>
    <w:rsid w:val="FF7FA672"/>
    <w:rsid w:val="FF7FF368"/>
    <w:rsid w:val="FF9DD64C"/>
    <w:rsid w:val="FF9F8BBA"/>
    <w:rsid w:val="FFAF68BC"/>
    <w:rsid w:val="FFAFFB6C"/>
    <w:rsid w:val="FFB705E0"/>
    <w:rsid w:val="FFB7772F"/>
    <w:rsid w:val="FFB7917D"/>
    <w:rsid w:val="FFB7E3A6"/>
    <w:rsid w:val="FFBD8CC1"/>
    <w:rsid w:val="FFBE4660"/>
    <w:rsid w:val="FFBF0888"/>
    <w:rsid w:val="FFBFEBD7"/>
    <w:rsid w:val="FFCB6C4F"/>
    <w:rsid w:val="FFCF3A82"/>
    <w:rsid w:val="FFD73CBE"/>
    <w:rsid w:val="FFD771AC"/>
    <w:rsid w:val="FFDB1C60"/>
    <w:rsid w:val="FFDE7B56"/>
    <w:rsid w:val="FFDF5D51"/>
    <w:rsid w:val="FFDFACDF"/>
    <w:rsid w:val="FFDFB0DB"/>
    <w:rsid w:val="FFDFDA14"/>
    <w:rsid w:val="FFE53FE5"/>
    <w:rsid w:val="FFECE2EB"/>
    <w:rsid w:val="FFED7793"/>
    <w:rsid w:val="FFEF42BA"/>
    <w:rsid w:val="FFEF4FBD"/>
    <w:rsid w:val="FFF3E6C2"/>
    <w:rsid w:val="FFF59DDE"/>
    <w:rsid w:val="FFF74EA8"/>
    <w:rsid w:val="FFF75B33"/>
    <w:rsid w:val="FFF78A9E"/>
    <w:rsid w:val="FFF955EE"/>
    <w:rsid w:val="FFF9CBFE"/>
    <w:rsid w:val="FFFB1BD3"/>
    <w:rsid w:val="FFFB883C"/>
    <w:rsid w:val="FFFBB334"/>
    <w:rsid w:val="FFFBCA5A"/>
    <w:rsid w:val="FFFD1878"/>
    <w:rsid w:val="FFFD2E77"/>
    <w:rsid w:val="FFFD981E"/>
    <w:rsid w:val="FFFDC661"/>
    <w:rsid w:val="FFFF2D25"/>
    <w:rsid w:val="FFFF37E6"/>
    <w:rsid w:val="FFFF3A61"/>
    <w:rsid w:val="FFFF5B2A"/>
    <w:rsid w:val="FFFF7A67"/>
    <w:rsid w:val="FFFF9587"/>
    <w:rsid w:val="FFFFBC18"/>
    <w:rsid w:val="FFFFBC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qFormat="1" w:unhideWhenUsed="0" w:uiPriority="0" w:semiHidden="0"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qFormat="1" w:unhideWhenUsed="0" w:uiPriority="0" w:semiHidden="0" w:name="footnote text"/>
    <w:lsdException w:qFormat="1" w:uiPriority="99" w:semiHidden="0" w:name="annotation text"/>
    <w:lsdException w:qFormat="1" w:uiPriority="0" w:semiHidden="0" w:name="header"/>
    <w:lsdException w:qFormat="1" w:unhideWhenUsed="0" w:uiPriority="0" w:semiHidden="0" w:name="footer"/>
    <w:lsdException w:uiPriority="99" w:name="index heading"/>
    <w:lsdException w:qFormat="1" w:uiPriority="35" w:name="caption"/>
    <w:lsdException w:qFormat="1" w:unhideWhenUsed="0" w:uiPriority="0" w:semiHidden="0" w:name="table of figures"/>
    <w:lsdException w:uiPriority="99" w:name="envelope address"/>
    <w:lsdException w:qFormat="1" w:uiPriority="0" w:semiHidden="0" w:name="envelope return"/>
    <w:lsdException w:qFormat="1" w:unhideWhenUsed="0" w:uiPriority="0" w:semiHidden="0"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qFormat="1" w:unhideWhenUsed="0" w:uiPriority="0" w:semiHidden="0" w:name="List 4"/>
    <w:lsdException w:qFormat="1" w:unhideWhenUsed="0" w:uiPriority="0" w:semiHidden="0"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qFormat="1" w:unhideWhenUsed="0" w:uiPriority="0" w:semiHidden="0" w:name="List Continue"/>
    <w:lsdException w:uiPriority="99" w:name="List Continue 2"/>
    <w:lsdException w:uiPriority="99" w:name="List Continue 3"/>
    <w:lsdException w:uiPriority="99" w:name="List Continue 4"/>
    <w:lsdException w:uiPriority="99" w:name="List Continue 5"/>
    <w:lsdException w:qFormat="1" w:uiPriority="99" w:semiHidden="0"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qFormat="1" w:uiPriority="99"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hint="eastAsia" w:ascii="Arial Unicode MS" w:hAnsi="Arial Unicode MS" w:eastAsia="Arial Unicode MS" w:cs="Arial Unicode MS"/>
      <w:color w:val="000000"/>
      <w:kern w:val="2"/>
      <w:sz w:val="21"/>
      <w:szCs w:val="21"/>
      <w:lang w:val="zh-TW" w:eastAsia="zh-TW" w:bidi="ar-SA"/>
    </w:rPr>
  </w:style>
  <w:style w:type="paragraph" w:styleId="2">
    <w:name w:val="heading 1"/>
    <w:basedOn w:val="1"/>
    <w:next w:val="1"/>
    <w:link w:val="75"/>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71"/>
    <w:qFormat/>
    <w:uiPriority w:val="0"/>
    <w:pPr>
      <w:keepNext/>
      <w:keepLines/>
      <w:spacing w:before="260" w:after="260" w:line="416" w:lineRule="auto"/>
      <w:outlineLvl w:val="1"/>
    </w:pPr>
    <w:rPr>
      <w:rFonts w:ascii="Cambria" w:hAnsi="Cambria" w:eastAsia="宋体" w:cs="Times New Roman"/>
      <w:b/>
      <w:bCs/>
      <w:sz w:val="32"/>
      <w:szCs w:val="32"/>
    </w:rPr>
  </w:style>
  <w:style w:type="paragraph" w:styleId="4">
    <w:name w:val="heading 3"/>
    <w:basedOn w:val="1"/>
    <w:next w:val="1"/>
    <w:link w:val="76"/>
    <w:qFormat/>
    <w:uiPriority w:val="0"/>
    <w:pPr>
      <w:keepNext/>
      <w:keepLines/>
      <w:spacing w:before="260" w:after="260" w:line="416" w:lineRule="auto"/>
      <w:outlineLvl w:val="2"/>
    </w:pPr>
    <w:rPr>
      <w:b/>
      <w:bCs/>
      <w:sz w:val="32"/>
      <w:szCs w:val="32"/>
    </w:rPr>
  </w:style>
  <w:style w:type="paragraph" w:styleId="5">
    <w:name w:val="heading 4"/>
    <w:basedOn w:val="1"/>
    <w:next w:val="1"/>
    <w:link w:val="77"/>
    <w:qFormat/>
    <w:uiPriority w:val="0"/>
    <w:pPr>
      <w:keepNext/>
      <w:keepLines/>
      <w:widowControl w:val="0"/>
      <w:spacing w:before="280" w:after="290" w:line="372" w:lineRule="auto"/>
      <w:outlineLvl w:val="3"/>
    </w:pPr>
    <w:rPr>
      <w:rFonts w:hint="default" w:ascii="Arial" w:hAnsi="Arial" w:eastAsia="黑体" w:cs="Times New Roman"/>
      <w:b/>
      <w:color w:val="auto"/>
      <w:sz w:val="28"/>
      <w:szCs w:val="24"/>
      <w:lang w:val="en-US" w:eastAsia="zh-CN"/>
    </w:rPr>
  </w:style>
  <w:style w:type="paragraph" w:styleId="6">
    <w:name w:val="heading 5"/>
    <w:basedOn w:val="1"/>
    <w:next w:val="1"/>
    <w:link w:val="78"/>
    <w:qFormat/>
    <w:uiPriority w:val="0"/>
    <w:pPr>
      <w:keepNext/>
      <w:keepLines/>
      <w:widowControl w:val="0"/>
      <w:spacing w:line="372" w:lineRule="auto"/>
      <w:ind w:firstLine="402"/>
      <w:outlineLvl w:val="4"/>
    </w:pPr>
    <w:rPr>
      <w:rFonts w:hint="default" w:ascii="仿宋_GB2312" w:hAnsi="Times New Roman" w:eastAsia="仿宋_GB2312" w:cs="Times New Roman"/>
      <w:b/>
      <w:color w:val="auto"/>
      <w:sz w:val="28"/>
      <w:szCs w:val="32"/>
      <w:lang w:val="en-US" w:eastAsia="zh-CN"/>
    </w:rPr>
  </w:style>
  <w:style w:type="paragraph" w:styleId="7">
    <w:name w:val="heading 6"/>
    <w:basedOn w:val="1"/>
    <w:next w:val="1"/>
    <w:link w:val="79"/>
    <w:qFormat/>
    <w:uiPriority w:val="0"/>
    <w:pPr>
      <w:keepNext/>
      <w:keepLines/>
      <w:widowControl w:val="0"/>
      <w:spacing w:line="317" w:lineRule="auto"/>
      <w:ind w:firstLine="402"/>
      <w:outlineLvl w:val="5"/>
    </w:pPr>
    <w:rPr>
      <w:rFonts w:hint="default" w:ascii="Arial" w:hAnsi="Arial" w:eastAsia="黑体" w:cs="Times New Roman"/>
      <w:b/>
      <w:color w:val="auto"/>
      <w:sz w:val="24"/>
      <w:szCs w:val="32"/>
      <w:lang w:val="en-US" w:eastAsia="zh-CN"/>
    </w:rPr>
  </w:style>
  <w:style w:type="paragraph" w:styleId="8">
    <w:name w:val="heading 7"/>
    <w:basedOn w:val="1"/>
    <w:next w:val="1"/>
    <w:link w:val="80"/>
    <w:qFormat/>
    <w:uiPriority w:val="0"/>
    <w:pPr>
      <w:keepNext/>
      <w:keepLines/>
      <w:widowControl w:val="0"/>
      <w:spacing w:line="317" w:lineRule="auto"/>
      <w:ind w:firstLine="402"/>
      <w:outlineLvl w:val="6"/>
    </w:pPr>
    <w:rPr>
      <w:rFonts w:hint="default" w:ascii="仿宋_GB2312" w:hAnsi="Times New Roman" w:eastAsia="仿宋_GB2312" w:cs="Times New Roman"/>
      <w:b/>
      <w:color w:val="auto"/>
      <w:sz w:val="24"/>
      <w:szCs w:val="32"/>
      <w:lang w:val="en-US" w:eastAsia="zh-CN"/>
    </w:rPr>
  </w:style>
  <w:style w:type="paragraph" w:styleId="9">
    <w:name w:val="heading 8"/>
    <w:basedOn w:val="1"/>
    <w:next w:val="1"/>
    <w:link w:val="81"/>
    <w:qFormat/>
    <w:uiPriority w:val="0"/>
    <w:pPr>
      <w:keepNext/>
      <w:keepLines/>
      <w:widowControl w:val="0"/>
      <w:spacing w:line="317" w:lineRule="auto"/>
      <w:ind w:firstLine="402"/>
      <w:outlineLvl w:val="7"/>
    </w:pPr>
    <w:rPr>
      <w:rFonts w:hint="default" w:ascii="Arial" w:hAnsi="Arial" w:eastAsia="黑体" w:cs="Times New Roman"/>
      <w:color w:val="auto"/>
      <w:sz w:val="24"/>
      <w:szCs w:val="32"/>
      <w:lang w:val="en-US" w:eastAsia="zh-CN"/>
    </w:rPr>
  </w:style>
  <w:style w:type="paragraph" w:styleId="10">
    <w:name w:val="heading 9"/>
    <w:basedOn w:val="1"/>
    <w:next w:val="1"/>
    <w:link w:val="82"/>
    <w:qFormat/>
    <w:uiPriority w:val="0"/>
    <w:pPr>
      <w:keepNext/>
      <w:keepLines/>
      <w:widowControl w:val="0"/>
      <w:spacing w:line="317" w:lineRule="auto"/>
      <w:ind w:firstLine="402"/>
      <w:outlineLvl w:val="8"/>
    </w:pPr>
    <w:rPr>
      <w:rFonts w:hint="default" w:ascii="Arial" w:hAnsi="Arial" w:eastAsia="黑体" w:cs="Times New Roman"/>
      <w:color w:val="auto"/>
      <w:szCs w:val="32"/>
      <w:lang w:val="en-US" w:eastAsia="zh-CN"/>
    </w:rPr>
  </w:style>
  <w:style w:type="character" w:default="1" w:styleId="54">
    <w:name w:val="Default Paragraph Font"/>
    <w:semiHidden/>
    <w:unhideWhenUsed/>
    <w:qFormat/>
    <w:uiPriority w:val="1"/>
  </w:style>
  <w:style w:type="table" w:default="1" w:styleId="52">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widowControl w:val="0"/>
      <w:ind w:left="2520" w:leftChars="1200"/>
    </w:pPr>
    <w:rPr>
      <w:rFonts w:hint="default" w:ascii="Times New Roman" w:hAnsi="Times New Roman" w:eastAsia="宋体" w:cs="Times New Roman"/>
      <w:color w:val="auto"/>
      <w:szCs w:val="24"/>
      <w:lang w:val="en-US" w:eastAsia="zh-CN"/>
    </w:rPr>
  </w:style>
  <w:style w:type="paragraph" w:styleId="12">
    <w:name w:val="table of authorities"/>
    <w:basedOn w:val="1"/>
    <w:next w:val="1"/>
    <w:qFormat/>
    <w:uiPriority w:val="0"/>
    <w:pPr>
      <w:ind w:left="420" w:leftChars="200"/>
    </w:pPr>
  </w:style>
  <w:style w:type="paragraph" w:styleId="13">
    <w:name w:val="Normal Indent"/>
    <w:basedOn w:val="1"/>
    <w:link w:val="83"/>
    <w:qFormat/>
    <w:uiPriority w:val="99"/>
    <w:pPr>
      <w:widowControl w:val="0"/>
      <w:autoSpaceDE w:val="0"/>
      <w:autoSpaceDN w:val="0"/>
      <w:adjustRightInd w:val="0"/>
      <w:ind w:firstLine="420"/>
      <w:jc w:val="left"/>
    </w:pPr>
    <w:rPr>
      <w:rFonts w:hint="default" w:ascii="宋体" w:hAnsi="Calibri" w:eastAsia="宋体" w:cs="Times New Roman"/>
      <w:color w:val="auto"/>
      <w:kern w:val="0"/>
      <w:sz w:val="24"/>
      <w:szCs w:val="20"/>
      <w:lang w:val="en-US" w:eastAsia="zh-CN"/>
    </w:rPr>
  </w:style>
  <w:style w:type="paragraph" w:styleId="14">
    <w:name w:val="annotation text"/>
    <w:basedOn w:val="1"/>
    <w:link w:val="84"/>
    <w:unhideWhenUsed/>
    <w:qFormat/>
    <w:uiPriority w:val="99"/>
    <w:pPr>
      <w:jc w:val="left"/>
    </w:pPr>
  </w:style>
  <w:style w:type="paragraph" w:styleId="15">
    <w:name w:val="Body Text 3"/>
    <w:basedOn w:val="1"/>
    <w:link w:val="85"/>
    <w:qFormat/>
    <w:uiPriority w:val="0"/>
    <w:pPr>
      <w:widowControl w:val="0"/>
      <w:spacing w:after="120"/>
    </w:pPr>
    <w:rPr>
      <w:rFonts w:hint="default" w:ascii="Calibri" w:hAnsi="Calibri" w:eastAsia="宋体" w:cs="Times New Roman"/>
      <w:color w:val="auto"/>
      <w:sz w:val="16"/>
      <w:szCs w:val="16"/>
      <w:lang w:val="en-US" w:eastAsia="zh-CN"/>
    </w:rPr>
  </w:style>
  <w:style w:type="paragraph" w:styleId="16">
    <w:name w:val="Body Text"/>
    <w:basedOn w:val="1"/>
    <w:next w:val="1"/>
    <w:link w:val="86"/>
    <w:qFormat/>
    <w:uiPriority w:val="1"/>
    <w:pPr>
      <w:widowControl w:val="0"/>
      <w:tabs>
        <w:tab w:val="left" w:pos="567"/>
      </w:tabs>
      <w:spacing w:before="120" w:line="22" w:lineRule="atLeast"/>
    </w:pPr>
    <w:rPr>
      <w:rFonts w:hint="default" w:ascii="宋体" w:hAnsi="宋体" w:eastAsia="宋体" w:cs="Times New Roman"/>
      <w:color w:val="auto"/>
      <w:sz w:val="24"/>
      <w:szCs w:val="24"/>
      <w:lang w:val="en-US" w:eastAsia="zh-CN"/>
    </w:rPr>
  </w:style>
  <w:style w:type="paragraph" w:styleId="17">
    <w:name w:val="Body Text Indent"/>
    <w:basedOn w:val="1"/>
    <w:next w:val="18"/>
    <w:link w:val="87"/>
    <w:qFormat/>
    <w:uiPriority w:val="0"/>
    <w:pPr>
      <w:widowControl w:val="0"/>
      <w:spacing w:line="360" w:lineRule="auto"/>
      <w:ind w:firstLine="570"/>
    </w:pPr>
    <w:rPr>
      <w:rFonts w:hint="default" w:ascii="Calibri" w:hAnsi="Calibri" w:eastAsia="宋体" w:cs="Times New Roman"/>
      <w:color w:val="auto"/>
      <w:sz w:val="24"/>
      <w:szCs w:val="24"/>
      <w:lang w:val="en-US" w:eastAsia="zh-CN"/>
    </w:rPr>
  </w:style>
  <w:style w:type="paragraph" w:styleId="18">
    <w:name w:val="envelope return"/>
    <w:basedOn w:val="1"/>
    <w:unhideWhenUsed/>
    <w:qFormat/>
    <w:uiPriority w:val="0"/>
    <w:pPr>
      <w:snapToGrid w:val="0"/>
    </w:pPr>
    <w:rPr>
      <w:rFonts w:ascii="Arial" w:hAnsi="Arial"/>
    </w:rPr>
  </w:style>
  <w:style w:type="paragraph" w:styleId="19">
    <w:name w:val="List Continue"/>
    <w:basedOn w:val="1"/>
    <w:qFormat/>
    <w:uiPriority w:val="0"/>
    <w:pPr>
      <w:widowControl w:val="0"/>
      <w:spacing w:after="120"/>
      <w:ind w:left="420"/>
    </w:pPr>
    <w:rPr>
      <w:rFonts w:hint="default" w:ascii="Times New Roman" w:hAnsi="Times New Roman" w:eastAsia="楷体_GB2312" w:cs="Times New Roman"/>
      <w:color w:val="auto"/>
      <w:sz w:val="32"/>
      <w:szCs w:val="20"/>
      <w:lang w:val="en-US" w:eastAsia="zh-CN"/>
    </w:rPr>
  </w:style>
  <w:style w:type="paragraph" w:styleId="20">
    <w:name w:val="Block Text"/>
    <w:basedOn w:val="1"/>
    <w:qFormat/>
    <w:uiPriority w:val="0"/>
    <w:pPr>
      <w:widowControl w:val="0"/>
      <w:adjustRightInd w:val="0"/>
      <w:ind w:left="420" w:right="33"/>
      <w:jc w:val="left"/>
      <w:textAlignment w:val="baseline"/>
    </w:pPr>
    <w:rPr>
      <w:rFonts w:hint="default" w:ascii="Times New Roman" w:hAnsi="Times New Roman" w:eastAsia="宋体" w:cs="Times New Roman"/>
      <w:color w:val="auto"/>
      <w:kern w:val="0"/>
      <w:sz w:val="24"/>
      <w:szCs w:val="20"/>
      <w:lang w:val="en-US" w:eastAsia="zh-CN"/>
    </w:rPr>
  </w:style>
  <w:style w:type="paragraph" w:styleId="21">
    <w:name w:val="index 4"/>
    <w:basedOn w:val="1"/>
    <w:next w:val="1"/>
    <w:qFormat/>
    <w:uiPriority w:val="0"/>
    <w:pPr>
      <w:ind w:left="560" w:leftChars="200"/>
    </w:pPr>
    <w:rPr>
      <w:sz w:val="28"/>
    </w:rPr>
  </w:style>
  <w:style w:type="paragraph" w:styleId="22">
    <w:name w:val="toc 5"/>
    <w:basedOn w:val="1"/>
    <w:next w:val="1"/>
    <w:qFormat/>
    <w:uiPriority w:val="39"/>
    <w:pPr>
      <w:widowControl w:val="0"/>
      <w:ind w:left="1680" w:leftChars="800"/>
    </w:pPr>
    <w:rPr>
      <w:rFonts w:hint="default" w:ascii="Times New Roman" w:hAnsi="Times New Roman" w:eastAsia="宋体" w:cs="Times New Roman"/>
      <w:color w:val="auto"/>
      <w:szCs w:val="24"/>
      <w:lang w:val="en-US" w:eastAsia="zh-CN"/>
    </w:rPr>
  </w:style>
  <w:style w:type="paragraph" w:styleId="23">
    <w:name w:val="toc 3"/>
    <w:basedOn w:val="1"/>
    <w:next w:val="1"/>
    <w:unhideWhenUsed/>
    <w:qFormat/>
    <w:uiPriority w:val="39"/>
    <w:pPr>
      <w:spacing w:after="100" w:line="276" w:lineRule="auto"/>
      <w:ind w:left="440"/>
      <w:jc w:val="left"/>
    </w:pPr>
    <w:rPr>
      <w:rFonts w:hint="default" w:ascii="Calibri" w:hAnsi="Calibri" w:eastAsia="宋体" w:cs="Times New Roman"/>
      <w:color w:val="auto"/>
      <w:kern w:val="0"/>
      <w:sz w:val="22"/>
      <w:szCs w:val="22"/>
      <w:lang w:val="en-US" w:eastAsia="zh-CN"/>
    </w:rPr>
  </w:style>
  <w:style w:type="paragraph" w:styleId="24">
    <w:name w:val="Plain Text"/>
    <w:basedOn w:val="1"/>
    <w:link w:val="88"/>
    <w:qFormat/>
    <w:uiPriority w:val="0"/>
    <w:pPr>
      <w:widowControl w:val="0"/>
    </w:pPr>
    <w:rPr>
      <w:rFonts w:hint="default" w:ascii="宋体" w:hAnsi="Courier New" w:eastAsia="宋体" w:cs="Times New Roman"/>
      <w:color w:val="auto"/>
      <w:kern w:val="0"/>
      <w:sz w:val="20"/>
      <w:szCs w:val="20"/>
      <w:lang w:val="en-US" w:eastAsia="zh-CN"/>
    </w:rPr>
  </w:style>
  <w:style w:type="paragraph" w:styleId="25">
    <w:name w:val="toc 8"/>
    <w:basedOn w:val="1"/>
    <w:next w:val="1"/>
    <w:qFormat/>
    <w:uiPriority w:val="39"/>
    <w:pPr>
      <w:widowControl w:val="0"/>
      <w:ind w:left="2940" w:leftChars="1400"/>
    </w:pPr>
    <w:rPr>
      <w:rFonts w:hint="default" w:ascii="Times New Roman" w:hAnsi="Times New Roman" w:eastAsia="宋体" w:cs="Times New Roman"/>
      <w:color w:val="auto"/>
      <w:szCs w:val="24"/>
      <w:lang w:val="en-US" w:eastAsia="zh-CN"/>
    </w:rPr>
  </w:style>
  <w:style w:type="paragraph" w:styleId="26">
    <w:name w:val="Date"/>
    <w:basedOn w:val="1"/>
    <w:next w:val="1"/>
    <w:link w:val="89"/>
    <w:qFormat/>
    <w:uiPriority w:val="0"/>
    <w:pPr>
      <w:widowControl w:val="0"/>
      <w:ind w:left="100" w:leftChars="2500"/>
    </w:pPr>
    <w:rPr>
      <w:rFonts w:hint="default" w:ascii="仿宋_GB2312" w:hAnsi="宋体" w:eastAsia="仿宋_GB2312" w:cs="Times New Roman"/>
      <w:sz w:val="24"/>
      <w:szCs w:val="24"/>
      <w:lang w:val="en-US" w:eastAsia="zh-CN"/>
    </w:rPr>
  </w:style>
  <w:style w:type="paragraph" w:styleId="27">
    <w:name w:val="Body Text Indent 2"/>
    <w:basedOn w:val="1"/>
    <w:link w:val="90"/>
    <w:qFormat/>
    <w:uiPriority w:val="0"/>
    <w:pPr>
      <w:widowControl w:val="0"/>
      <w:ind w:firstLine="480" w:firstLineChars="200"/>
    </w:pPr>
    <w:rPr>
      <w:rFonts w:hint="default" w:ascii="仿宋_GB2312" w:hAnsi="Calibri" w:eastAsia="仿宋_GB2312" w:cs="Times New Roman"/>
      <w:color w:val="auto"/>
      <w:sz w:val="24"/>
      <w:szCs w:val="24"/>
      <w:lang w:val="en-US" w:eastAsia="zh-CN"/>
    </w:rPr>
  </w:style>
  <w:style w:type="paragraph" w:styleId="28">
    <w:name w:val="Balloon Text"/>
    <w:basedOn w:val="1"/>
    <w:link w:val="91"/>
    <w:unhideWhenUsed/>
    <w:qFormat/>
    <w:uiPriority w:val="0"/>
    <w:rPr>
      <w:sz w:val="18"/>
      <w:szCs w:val="18"/>
    </w:rPr>
  </w:style>
  <w:style w:type="paragraph" w:styleId="29">
    <w:name w:val="footer"/>
    <w:basedOn w:val="1"/>
    <w:link w:val="92"/>
    <w:qFormat/>
    <w:uiPriority w:val="0"/>
    <w:pPr>
      <w:tabs>
        <w:tab w:val="center" w:pos="4153"/>
        <w:tab w:val="right" w:pos="8306"/>
      </w:tabs>
    </w:pPr>
    <w:rPr>
      <w:rFonts w:ascii="宋体" w:hAnsi="宋体" w:cs="宋体"/>
      <w:sz w:val="18"/>
      <w:szCs w:val="18"/>
      <w:lang w:val="en-US" w:eastAsia="zh-CN"/>
    </w:rPr>
  </w:style>
  <w:style w:type="paragraph" w:styleId="30">
    <w:name w:val="header"/>
    <w:basedOn w:val="1"/>
    <w:link w:val="93"/>
    <w:unhideWhenUsed/>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unhideWhenUsed/>
    <w:qFormat/>
    <w:uiPriority w:val="39"/>
    <w:pPr>
      <w:spacing w:after="100" w:line="276" w:lineRule="auto"/>
      <w:jc w:val="left"/>
    </w:pPr>
    <w:rPr>
      <w:rFonts w:hint="default" w:ascii="Calibri" w:hAnsi="Calibri" w:eastAsia="宋体" w:cs="Times New Roman"/>
      <w:color w:val="auto"/>
      <w:kern w:val="0"/>
      <w:sz w:val="22"/>
      <w:szCs w:val="22"/>
      <w:lang w:val="en-US" w:eastAsia="zh-CN"/>
    </w:rPr>
  </w:style>
  <w:style w:type="paragraph" w:styleId="32">
    <w:name w:val="toc 4"/>
    <w:basedOn w:val="1"/>
    <w:next w:val="1"/>
    <w:qFormat/>
    <w:uiPriority w:val="39"/>
    <w:pPr>
      <w:widowControl w:val="0"/>
      <w:ind w:left="1260" w:leftChars="600"/>
    </w:pPr>
    <w:rPr>
      <w:rFonts w:hint="default" w:ascii="Times New Roman" w:hAnsi="Times New Roman" w:eastAsia="宋体" w:cs="Times New Roman"/>
      <w:color w:val="auto"/>
      <w:szCs w:val="24"/>
      <w:lang w:val="en-US" w:eastAsia="zh-CN"/>
    </w:rPr>
  </w:style>
  <w:style w:type="paragraph" w:styleId="33">
    <w:name w:val="List"/>
    <w:basedOn w:val="1"/>
    <w:qFormat/>
    <w:uiPriority w:val="0"/>
    <w:pPr>
      <w:widowControl w:val="0"/>
      <w:ind w:left="420" w:hanging="420"/>
    </w:pPr>
    <w:rPr>
      <w:rFonts w:hint="default" w:ascii="Times New Roman" w:hAnsi="Times New Roman" w:eastAsia="楷体_GB2312" w:cs="Times New Roman"/>
      <w:color w:val="auto"/>
      <w:sz w:val="32"/>
      <w:szCs w:val="20"/>
      <w:lang w:val="en-US" w:eastAsia="zh-CN"/>
    </w:rPr>
  </w:style>
  <w:style w:type="paragraph" w:styleId="34">
    <w:name w:val="footnote text"/>
    <w:basedOn w:val="1"/>
    <w:link w:val="94"/>
    <w:qFormat/>
    <w:uiPriority w:val="0"/>
    <w:pPr>
      <w:widowControl w:val="0"/>
      <w:adjustRightInd w:val="0"/>
      <w:spacing w:line="312" w:lineRule="atLeast"/>
      <w:jc w:val="left"/>
      <w:textAlignment w:val="baseline"/>
    </w:pPr>
    <w:rPr>
      <w:rFonts w:hint="default" w:ascii="Calibri" w:hAnsi="Calibri" w:eastAsia="宋体" w:cs="Times New Roman"/>
      <w:color w:val="auto"/>
      <w:sz w:val="18"/>
      <w:szCs w:val="22"/>
      <w:lang w:val="en-US" w:eastAsia="zh-CN"/>
    </w:rPr>
  </w:style>
  <w:style w:type="paragraph" w:styleId="35">
    <w:name w:val="toc 6"/>
    <w:basedOn w:val="1"/>
    <w:next w:val="1"/>
    <w:qFormat/>
    <w:uiPriority w:val="39"/>
    <w:pPr>
      <w:widowControl w:val="0"/>
      <w:ind w:left="2100" w:leftChars="1000"/>
    </w:pPr>
    <w:rPr>
      <w:rFonts w:hint="default" w:ascii="Times New Roman" w:hAnsi="Times New Roman" w:eastAsia="宋体" w:cs="Times New Roman"/>
      <w:color w:val="auto"/>
      <w:szCs w:val="24"/>
      <w:lang w:val="en-US" w:eastAsia="zh-CN"/>
    </w:rPr>
  </w:style>
  <w:style w:type="paragraph" w:styleId="36">
    <w:name w:val="List 5"/>
    <w:basedOn w:val="1"/>
    <w:qFormat/>
    <w:uiPriority w:val="0"/>
    <w:pPr>
      <w:widowControl w:val="0"/>
      <w:ind w:left="2100" w:hanging="420"/>
    </w:pPr>
    <w:rPr>
      <w:rFonts w:hint="default" w:ascii="Times New Roman" w:hAnsi="Times New Roman" w:eastAsia="楷体_GB2312" w:cs="Times New Roman"/>
      <w:color w:val="auto"/>
      <w:sz w:val="32"/>
      <w:szCs w:val="20"/>
      <w:lang w:val="en-US" w:eastAsia="zh-CN"/>
    </w:rPr>
  </w:style>
  <w:style w:type="paragraph" w:styleId="37">
    <w:name w:val="Body Text Indent 3"/>
    <w:basedOn w:val="1"/>
    <w:link w:val="95"/>
    <w:qFormat/>
    <w:uiPriority w:val="0"/>
    <w:pPr>
      <w:widowControl w:val="0"/>
      <w:autoSpaceDE w:val="0"/>
      <w:autoSpaceDN w:val="0"/>
      <w:adjustRightInd w:val="0"/>
      <w:spacing w:before="120" w:line="22" w:lineRule="atLeast"/>
      <w:ind w:left="720" w:firstLine="480"/>
      <w:jc w:val="left"/>
    </w:pPr>
    <w:rPr>
      <w:rFonts w:hint="default" w:ascii="宋体" w:hAnsi="Calibri" w:eastAsia="宋体" w:cs="Times New Roman"/>
      <w:color w:val="auto"/>
      <w:kern w:val="0"/>
      <w:sz w:val="24"/>
      <w:szCs w:val="20"/>
      <w:lang w:val="en-US" w:eastAsia="zh-CN"/>
    </w:rPr>
  </w:style>
  <w:style w:type="paragraph" w:styleId="38">
    <w:name w:val="index 7"/>
    <w:basedOn w:val="1"/>
    <w:next w:val="1"/>
    <w:qFormat/>
    <w:uiPriority w:val="0"/>
    <w:pPr>
      <w:ind w:left="2520"/>
    </w:pPr>
  </w:style>
  <w:style w:type="paragraph" w:styleId="39">
    <w:name w:val="table of figures"/>
    <w:basedOn w:val="1"/>
    <w:next w:val="1"/>
    <w:qFormat/>
    <w:uiPriority w:val="0"/>
    <w:pPr>
      <w:ind w:left="200" w:leftChars="200" w:hanging="200" w:hangingChars="200"/>
    </w:pPr>
    <w:rPr>
      <w:rFonts w:ascii="Times New Roman" w:hAnsi="Times New Roman"/>
    </w:rPr>
  </w:style>
  <w:style w:type="paragraph" w:styleId="40">
    <w:name w:val="toc 2"/>
    <w:basedOn w:val="1"/>
    <w:next w:val="1"/>
    <w:unhideWhenUsed/>
    <w:qFormat/>
    <w:uiPriority w:val="39"/>
    <w:pPr>
      <w:spacing w:after="100" w:line="276" w:lineRule="auto"/>
      <w:ind w:left="220"/>
      <w:jc w:val="left"/>
    </w:pPr>
    <w:rPr>
      <w:rFonts w:hint="default" w:ascii="Calibri" w:hAnsi="Calibri" w:eastAsia="宋体" w:cs="Times New Roman"/>
      <w:color w:val="auto"/>
      <w:kern w:val="0"/>
      <w:sz w:val="22"/>
      <w:szCs w:val="22"/>
      <w:lang w:val="en-US" w:eastAsia="zh-CN"/>
    </w:rPr>
  </w:style>
  <w:style w:type="paragraph" w:styleId="41">
    <w:name w:val="toc 9"/>
    <w:basedOn w:val="1"/>
    <w:next w:val="1"/>
    <w:qFormat/>
    <w:uiPriority w:val="39"/>
    <w:pPr>
      <w:widowControl w:val="0"/>
      <w:ind w:left="3360" w:leftChars="1600"/>
    </w:pPr>
    <w:rPr>
      <w:rFonts w:hint="default" w:ascii="Times New Roman" w:hAnsi="Times New Roman" w:eastAsia="宋体" w:cs="Times New Roman"/>
      <w:color w:val="auto"/>
      <w:szCs w:val="24"/>
      <w:lang w:val="en-US" w:eastAsia="zh-CN"/>
    </w:rPr>
  </w:style>
  <w:style w:type="paragraph" w:styleId="42">
    <w:name w:val="Body Text 2"/>
    <w:basedOn w:val="1"/>
    <w:link w:val="96"/>
    <w:qFormat/>
    <w:uiPriority w:val="0"/>
    <w:pPr>
      <w:widowControl w:val="0"/>
      <w:spacing w:after="120" w:line="480" w:lineRule="auto"/>
    </w:pPr>
    <w:rPr>
      <w:rFonts w:hint="default" w:ascii="Calibri" w:hAnsi="Calibri" w:eastAsia="宋体" w:cs="Times New Roman"/>
      <w:color w:val="auto"/>
      <w:szCs w:val="24"/>
      <w:lang w:val="en-US" w:eastAsia="zh-CN"/>
    </w:rPr>
  </w:style>
  <w:style w:type="paragraph" w:styleId="43">
    <w:name w:val="List 4"/>
    <w:basedOn w:val="1"/>
    <w:qFormat/>
    <w:uiPriority w:val="0"/>
    <w:pPr>
      <w:widowControl w:val="0"/>
      <w:ind w:left="1680" w:hanging="420"/>
    </w:pPr>
    <w:rPr>
      <w:rFonts w:hint="default" w:ascii="Times New Roman" w:hAnsi="Times New Roman" w:eastAsia="楷体_GB2312" w:cs="Times New Roman"/>
      <w:color w:val="auto"/>
      <w:sz w:val="32"/>
      <w:szCs w:val="20"/>
      <w:lang w:val="en-US" w:eastAsia="zh-CN"/>
    </w:rPr>
  </w:style>
  <w:style w:type="paragraph" w:styleId="44">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45">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Times New Roman"/>
      <w:kern w:val="0"/>
      <w:sz w:val="24"/>
      <w:szCs w:val="24"/>
      <w:lang w:val="en-US" w:eastAsia="zh-CN"/>
    </w:rPr>
  </w:style>
  <w:style w:type="paragraph" w:styleId="46">
    <w:name w:val="Normal (Web)"/>
    <w:basedOn w:val="1"/>
    <w:qFormat/>
    <w:uiPriority w:val="0"/>
    <w:pPr>
      <w:spacing w:before="100" w:beforeAutospacing="1" w:after="100" w:afterAutospacing="1"/>
      <w:jc w:val="left"/>
    </w:pPr>
    <w:rPr>
      <w:rFonts w:hint="default" w:ascii="宋体" w:hAnsi="宋体" w:eastAsia="宋体" w:cs="宋体"/>
      <w:color w:val="auto"/>
      <w:kern w:val="0"/>
      <w:sz w:val="24"/>
      <w:szCs w:val="24"/>
      <w:lang w:val="en-US" w:eastAsia="zh-CN"/>
    </w:rPr>
  </w:style>
  <w:style w:type="paragraph" w:styleId="47">
    <w:name w:val="index 1"/>
    <w:basedOn w:val="1"/>
    <w:next w:val="1"/>
    <w:qFormat/>
    <w:uiPriority w:val="0"/>
    <w:pPr>
      <w:widowControl w:val="0"/>
    </w:pPr>
    <w:rPr>
      <w:rFonts w:hint="default" w:ascii="Times New Roman" w:hAnsi="Times New Roman" w:eastAsia="宋体" w:cs="Times New Roman"/>
      <w:color w:val="auto"/>
      <w:szCs w:val="20"/>
      <w:lang w:val="en-US" w:eastAsia="zh-CN"/>
    </w:rPr>
  </w:style>
  <w:style w:type="paragraph" w:styleId="48">
    <w:name w:val="Title"/>
    <w:basedOn w:val="1"/>
    <w:link w:val="97"/>
    <w:qFormat/>
    <w:uiPriority w:val="0"/>
    <w:pPr>
      <w:spacing w:before="240" w:after="60"/>
      <w:jc w:val="center"/>
    </w:pPr>
    <w:rPr>
      <w:rFonts w:ascii="Arial" w:hAnsi="Arial" w:eastAsia="Arial" w:cs="Arial"/>
      <w:b/>
      <w:bCs/>
      <w:sz w:val="32"/>
      <w:szCs w:val="32"/>
      <w:lang w:val="en-US" w:eastAsia="zh-CN"/>
    </w:rPr>
  </w:style>
  <w:style w:type="paragraph" w:styleId="49">
    <w:name w:val="annotation subject"/>
    <w:basedOn w:val="14"/>
    <w:next w:val="14"/>
    <w:link w:val="98"/>
    <w:qFormat/>
    <w:uiPriority w:val="0"/>
    <w:pPr>
      <w:widowControl w:val="0"/>
    </w:pPr>
    <w:rPr>
      <w:rFonts w:hint="default" w:ascii="Calibri" w:hAnsi="Calibri" w:eastAsia="宋体" w:cs="Times New Roman"/>
      <w:b/>
      <w:bCs/>
      <w:color w:val="auto"/>
      <w:szCs w:val="24"/>
      <w:lang w:val="en-US" w:eastAsia="zh-CN"/>
    </w:rPr>
  </w:style>
  <w:style w:type="paragraph" w:styleId="50">
    <w:name w:val="Body Text First Indent"/>
    <w:basedOn w:val="16"/>
    <w:next w:val="51"/>
    <w:link w:val="99"/>
    <w:qFormat/>
    <w:uiPriority w:val="0"/>
    <w:pPr>
      <w:tabs>
        <w:tab w:val="clear" w:pos="567"/>
      </w:tabs>
      <w:spacing w:before="0" w:after="120" w:line="240" w:lineRule="auto"/>
      <w:ind w:firstLine="420"/>
    </w:pPr>
    <w:rPr>
      <w:rFonts w:ascii="Calibri" w:hAnsi="Calibri" w:eastAsia="楷体_GB2312"/>
      <w:sz w:val="32"/>
    </w:rPr>
  </w:style>
  <w:style w:type="paragraph" w:styleId="51">
    <w:name w:val="Body Text First Indent 2"/>
    <w:basedOn w:val="17"/>
    <w:next w:val="1"/>
    <w:link w:val="100"/>
    <w:unhideWhenUsed/>
    <w:qFormat/>
    <w:uiPriority w:val="0"/>
    <w:pPr>
      <w:spacing w:after="120" w:line="240" w:lineRule="auto"/>
      <w:ind w:left="420" w:leftChars="200" w:firstLine="420" w:firstLineChars="200"/>
    </w:pPr>
    <w:rPr>
      <w:rFonts w:ascii="Cambria" w:hAnsi="Cambria"/>
      <w:sz w:val="21"/>
    </w:rPr>
  </w:style>
  <w:style w:type="table" w:styleId="53">
    <w:name w:val="Table Grid"/>
    <w:basedOn w:val="5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5">
    <w:name w:val="Strong"/>
    <w:qFormat/>
    <w:uiPriority w:val="0"/>
    <w:rPr>
      <w:b/>
      <w:bCs/>
    </w:rPr>
  </w:style>
  <w:style w:type="character" w:styleId="56">
    <w:name w:val="page number"/>
    <w:qFormat/>
    <w:uiPriority w:val="0"/>
  </w:style>
  <w:style w:type="character" w:styleId="57">
    <w:name w:val="FollowedHyperlink"/>
    <w:qFormat/>
    <w:uiPriority w:val="0"/>
    <w:rPr>
      <w:color w:val="333333"/>
      <w:sz w:val="18"/>
      <w:szCs w:val="18"/>
      <w:u w:val="none"/>
    </w:rPr>
  </w:style>
  <w:style w:type="character" w:styleId="58">
    <w:name w:val="Emphasis"/>
    <w:basedOn w:val="54"/>
    <w:qFormat/>
    <w:uiPriority w:val="20"/>
    <w:rPr>
      <w:b/>
      <w:bCs/>
    </w:rPr>
  </w:style>
  <w:style w:type="character" w:styleId="59">
    <w:name w:val="HTML Definition"/>
    <w:basedOn w:val="54"/>
    <w:semiHidden/>
    <w:unhideWhenUsed/>
    <w:qFormat/>
    <w:uiPriority w:val="99"/>
  </w:style>
  <w:style w:type="character" w:styleId="60">
    <w:name w:val="HTML Typewriter"/>
    <w:basedOn w:val="54"/>
    <w:semiHidden/>
    <w:unhideWhenUsed/>
    <w:qFormat/>
    <w:uiPriority w:val="99"/>
    <w:rPr>
      <w:rFonts w:hint="default" w:ascii="monospace" w:hAnsi="monospace" w:eastAsia="monospace" w:cs="monospace"/>
      <w:sz w:val="20"/>
    </w:rPr>
  </w:style>
  <w:style w:type="character" w:styleId="61">
    <w:name w:val="HTML Acronym"/>
    <w:basedOn w:val="54"/>
    <w:semiHidden/>
    <w:unhideWhenUsed/>
    <w:qFormat/>
    <w:uiPriority w:val="99"/>
    <w:rPr>
      <w:rFonts w:ascii="ActionIcon ! important" w:hAnsi="ActionIcon ! important" w:eastAsia="ActionIcon ! important" w:cs="ActionIcon ! important"/>
      <w:color w:val="D6D6D6"/>
      <w:sz w:val="18"/>
      <w:szCs w:val="18"/>
    </w:rPr>
  </w:style>
  <w:style w:type="character" w:styleId="62">
    <w:name w:val="HTML Variable"/>
    <w:basedOn w:val="54"/>
    <w:semiHidden/>
    <w:unhideWhenUsed/>
    <w:qFormat/>
    <w:uiPriority w:val="99"/>
  </w:style>
  <w:style w:type="character" w:styleId="63">
    <w:name w:val="Hyperlink"/>
    <w:qFormat/>
    <w:uiPriority w:val="99"/>
    <w:rPr>
      <w:u w:val="single"/>
    </w:rPr>
  </w:style>
  <w:style w:type="character" w:styleId="64">
    <w:name w:val="HTML Code"/>
    <w:basedOn w:val="54"/>
    <w:semiHidden/>
    <w:unhideWhenUsed/>
    <w:qFormat/>
    <w:uiPriority w:val="99"/>
    <w:rPr>
      <w:rFonts w:hint="default" w:ascii="monospace" w:hAnsi="monospace" w:eastAsia="monospace" w:cs="monospace"/>
      <w:sz w:val="20"/>
    </w:rPr>
  </w:style>
  <w:style w:type="character" w:styleId="65">
    <w:name w:val="annotation reference"/>
    <w:unhideWhenUsed/>
    <w:qFormat/>
    <w:uiPriority w:val="0"/>
    <w:rPr>
      <w:sz w:val="21"/>
      <w:szCs w:val="21"/>
    </w:rPr>
  </w:style>
  <w:style w:type="character" w:styleId="66">
    <w:name w:val="HTML Cite"/>
    <w:basedOn w:val="54"/>
    <w:semiHidden/>
    <w:unhideWhenUsed/>
    <w:qFormat/>
    <w:uiPriority w:val="99"/>
  </w:style>
  <w:style w:type="character" w:styleId="67">
    <w:name w:val="footnote reference"/>
    <w:qFormat/>
    <w:uiPriority w:val="0"/>
    <w:rPr>
      <w:vertAlign w:val="superscript"/>
    </w:rPr>
  </w:style>
  <w:style w:type="character" w:styleId="68">
    <w:name w:val="HTML Keyboard"/>
    <w:basedOn w:val="54"/>
    <w:semiHidden/>
    <w:unhideWhenUsed/>
    <w:qFormat/>
    <w:uiPriority w:val="99"/>
    <w:rPr>
      <w:rFonts w:ascii="monospace" w:hAnsi="monospace" w:eastAsia="monospace" w:cs="monospace"/>
      <w:sz w:val="20"/>
    </w:rPr>
  </w:style>
  <w:style w:type="character" w:styleId="69">
    <w:name w:val="HTML Sample"/>
    <w:basedOn w:val="54"/>
    <w:semiHidden/>
    <w:unhideWhenUsed/>
    <w:qFormat/>
    <w:uiPriority w:val="99"/>
    <w:rPr>
      <w:rFonts w:hint="default" w:ascii="monospace" w:hAnsi="monospace" w:eastAsia="monospace" w:cs="monospace"/>
    </w:rPr>
  </w:style>
  <w:style w:type="paragraph" w:customStyle="1" w:styleId="70">
    <w:name w:val="Default"/>
    <w:next w:val="39"/>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character" w:customStyle="1" w:styleId="71">
    <w:name w:val="标题 2 字符"/>
    <w:link w:val="3"/>
    <w:qFormat/>
    <w:uiPriority w:val="0"/>
    <w:rPr>
      <w:rFonts w:ascii="Cambria" w:hAnsi="Cambria" w:eastAsia="宋体" w:cs="Times New Roman"/>
      <w:b/>
      <w:bCs/>
      <w:color w:val="000000"/>
      <w:sz w:val="32"/>
      <w:szCs w:val="32"/>
      <w:lang w:val="zh-TW" w:eastAsia="zh-TW"/>
    </w:rPr>
  </w:style>
  <w:style w:type="paragraph" w:customStyle="1" w:styleId="72">
    <w:name w:val="首行缩进"/>
    <w:basedOn w:val="1"/>
    <w:qFormat/>
    <w:uiPriority w:val="0"/>
    <w:pPr>
      <w:spacing w:line="360" w:lineRule="auto"/>
      <w:ind w:firstLine="480" w:firstLineChars="200"/>
    </w:pPr>
    <w:rPr>
      <w:rFonts w:ascii="宋体" w:hAnsi="宋体" w:cs="宋体"/>
      <w:kern w:val="0"/>
      <w:sz w:val="24"/>
    </w:rPr>
  </w:style>
  <w:style w:type="paragraph" w:customStyle="1" w:styleId="73">
    <w:name w:val="表格文字"/>
    <w:basedOn w:val="1"/>
    <w:next w:val="16"/>
    <w:qFormat/>
    <w:uiPriority w:val="0"/>
    <w:pPr>
      <w:adjustRightInd w:val="0"/>
      <w:spacing w:line="420" w:lineRule="atLeast"/>
      <w:jc w:val="left"/>
      <w:textAlignment w:val="baseline"/>
    </w:pPr>
    <w:rPr>
      <w:rFonts w:ascii="Calibri" w:hAnsi="Calibri"/>
      <w:kern w:val="0"/>
      <w:szCs w:val="20"/>
    </w:rPr>
  </w:style>
  <w:style w:type="paragraph" w:customStyle="1" w:styleId="74">
    <w:name w:val="样式 正文首行缩进 2 + Arial"/>
    <w:basedOn w:val="1"/>
    <w:next w:val="1"/>
    <w:qFormat/>
    <w:uiPriority w:val="0"/>
    <w:pPr>
      <w:spacing w:after="120" w:line="320" w:lineRule="atLeast"/>
      <w:ind w:firstLine="200" w:firstLineChars="200"/>
    </w:pPr>
    <w:rPr>
      <w:rFonts w:ascii="Arial" w:hAnsi="Arial" w:eastAsia="宋体" w:cs="Times New Roman"/>
      <w:kern w:val="0"/>
    </w:rPr>
  </w:style>
  <w:style w:type="character" w:customStyle="1" w:styleId="75">
    <w:name w:val="标题 1 字符"/>
    <w:link w:val="2"/>
    <w:qFormat/>
    <w:uiPriority w:val="0"/>
    <w:rPr>
      <w:rFonts w:ascii="Arial Unicode MS" w:hAnsi="Arial Unicode MS" w:eastAsia="Arial Unicode MS" w:cs="Arial Unicode MS"/>
      <w:b/>
      <w:bCs/>
      <w:color w:val="000000"/>
      <w:kern w:val="44"/>
      <w:sz w:val="44"/>
      <w:szCs w:val="44"/>
      <w:lang w:val="zh-TW" w:eastAsia="zh-TW"/>
    </w:rPr>
  </w:style>
  <w:style w:type="character" w:customStyle="1" w:styleId="76">
    <w:name w:val="标题 3 字符"/>
    <w:link w:val="4"/>
    <w:qFormat/>
    <w:uiPriority w:val="0"/>
    <w:rPr>
      <w:rFonts w:ascii="Arial Unicode MS" w:hAnsi="Arial Unicode MS" w:eastAsia="Arial Unicode MS" w:cs="Arial Unicode MS"/>
      <w:b/>
      <w:bCs/>
      <w:color w:val="000000"/>
      <w:sz w:val="32"/>
      <w:szCs w:val="32"/>
      <w:lang w:val="zh-TW" w:eastAsia="zh-TW"/>
    </w:rPr>
  </w:style>
  <w:style w:type="character" w:customStyle="1" w:styleId="77">
    <w:name w:val="标题 4 字符"/>
    <w:link w:val="5"/>
    <w:qFormat/>
    <w:uiPriority w:val="0"/>
    <w:rPr>
      <w:rFonts w:ascii="Arial" w:hAnsi="Arial" w:eastAsia="黑体"/>
      <w:b/>
      <w:kern w:val="2"/>
      <w:sz w:val="28"/>
      <w:szCs w:val="24"/>
    </w:rPr>
  </w:style>
  <w:style w:type="character" w:customStyle="1" w:styleId="78">
    <w:name w:val="标题 5 字符"/>
    <w:link w:val="6"/>
    <w:qFormat/>
    <w:uiPriority w:val="0"/>
    <w:rPr>
      <w:rFonts w:ascii="仿宋_GB2312" w:hAnsi="Times New Roman" w:eastAsia="仿宋_GB2312"/>
      <w:b/>
      <w:kern w:val="2"/>
      <w:sz w:val="28"/>
      <w:szCs w:val="32"/>
    </w:rPr>
  </w:style>
  <w:style w:type="character" w:customStyle="1" w:styleId="79">
    <w:name w:val="标题 6 字符"/>
    <w:link w:val="7"/>
    <w:qFormat/>
    <w:uiPriority w:val="0"/>
    <w:rPr>
      <w:rFonts w:ascii="Arial" w:hAnsi="Arial" w:eastAsia="黑体"/>
      <w:b/>
      <w:kern w:val="2"/>
      <w:sz w:val="24"/>
      <w:szCs w:val="32"/>
    </w:rPr>
  </w:style>
  <w:style w:type="character" w:customStyle="1" w:styleId="80">
    <w:name w:val="标题 7 字符"/>
    <w:link w:val="8"/>
    <w:qFormat/>
    <w:uiPriority w:val="0"/>
    <w:rPr>
      <w:rFonts w:ascii="仿宋_GB2312" w:hAnsi="Times New Roman" w:eastAsia="仿宋_GB2312"/>
      <w:b/>
      <w:kern w:val="2"/>
      <w:sz w:val="24"/>
      <w:szCs w:val="32"/>
    </w:rPr>
  </w:style>
  <w:style w:type="character" w:customStyle="1" w:styleId="81">
    <w:name w:val="标题 8 字符"/>
    <w:link w:val="9"/>
    <w:qFormat/>
    <w:uiPriority w:val="0"/>
    <w:rPr>
      <w:rFonts w:ascii="Arial" w:hAnsi="Arial" w:eastAsia="黑体"/>
      <w:kern w:val="2"/>
      <w:sz w:val="24"/>
      <w:szCs w:val="32"/>
    </w:rPr>
  </w:style>
  <w:style w:type="character" w:customStyle="1" w:styleId="82">
    <w:name w:val="标题 9 字符"/>
    <w:link w:val="10"/>
    <w:qFormat/>
    <w:uiPriority w:val="0"/>
    <w:rPr>
      <w:rFonts w:ascii="Arial" w:hAnsi="Arial" w:eastAsia="黑体"/>
      <w:kern w:val="2"/>
      <w:sz w:val="21"/>
      <w:szCs w:val="32"/>
    </w:rPr>
  </w:style>
  <w:style w:type="character" w:customStyle="1" w:styleId="83">
    <w:name w:val="正文缩进 字符"/>
    <w:link w:val="13"/>
    <w:qFormat/>
    <w:uiPriority w:val="0"/>
    <w:rPr>
      <w:rFonts w:ascii="宋体"/>
      <w:sz w:val="24"/>
    </w:rPr>
  </w:style>
  <w:style w:type="character" w:customStyle="1" w:styleId="84">
    <w:name w:val="批注文字 字符"/>
    <w:link w:val="14"/>
    <w:qFormat/>
    <w:uiPriority w:val="99"/>
    <w:rPr>
      <w:rFonts w:ascii="Arial Unicode MS" w:hAnsi="Arial Unicode MS" w:eastAsia="Arial Unicode MS" w:cs="Arial Unicode MS"/>
      <w:color w:val="000000"/>
      <w:szCs w:val="21"/>
      <w:lang w:val="zh-TW" w:eastAsia="zh-TW"/>
    </w:rPr>
  </w:style>
  <w:style w:type="character" w:customStyle="1" w:styleId="85">
    <w:name w:val="正文文本 3 字符"/>
    <w:link w:val="15"/>
    <w:qFormat/>
    <w:uiPriority w:val="0"/>
    <w:rPr>
      <w:kern w:val="2"/>
      <w:sz w:val="16"/>
      <w:szCs w:val="16"/>
    </w:rPr>
  </w:style>
  <w:style w:type="character" w:customStyle="1" w:styleId="86">
    <w:name w:val="正文文本 字符1"/>
    <w:link w:val="16"/>
    <w:qFormat/>
    <w:uiPriority w:val="0"/>
    <w:rPr>
      <w:rFonts w:ascii="宋体" w:hAnsi="宋体"/>
      <w:kern w:val="2"/>
      <w:sz w:val="24"/>
      <w:szCs w:val="24"/>
    </w:rPr>
  </w:style>
  <w:style w:type="character" w:customStyle="1" w:styleId="87">
    <w:name w:val="正文文本缩进 字符"/>
    <w:link w:val="17"/>
    <w:qFormat/>
    <w:uiPriority w:val="0"/>
    <w:rPr>
      <w:kern w:val="2"/>
      <w:sz w:val="24"/>
      <w:szCs w:val="24"/>
    </w:rPr>
  </w:style>
  <w:style w:type="character" w:customStyle="1" w:styleId="88">
    <w:name w:val="纯文本 字符"/>
    <w:link w:val="24"/>
    <w:qFormat/>
    <w:uiPriority w:val="0"/>
    <w:rPr>
      <w:rFonts w:ascii="宋体" w:hAnsi="Courier New"/>
    </w:rPr>
  </w:style>
  <w:style w:type="character" w:customStyle="1" w:styleId="89">
    <w:name w:val="日期 字符"/>
    <w:link w:val="26"/>
    <w:qFormat/>
    <w:uiPriority w:val="99"/>
    <w:rPr>
      <w:rFonts w:ascii="仿宋_GB2312" w:hAnsi="宋体" w:eastAsia="仿宋_GB2312"/>
      <w:color w:val="000000"/>
      <w:kern w:val="2"/>
      <w:sz w:val="24"/>
      <w:szCs w:val="24"/>
    </w:rPr>
  </w:style>
  <w:style w:type="character" w:customStyle="1" w:styleId="90">
    <w:name w:val="正文文本缩进 2 字符"/>
    <w:link w:val="27"/>
    <w:qFormat/>
    <w:uiPriority w:val="0"/>
    <w:rPr>
      <w:rFonts w:ascii="仿宋_GB2312" w:eastAsia="仿宋_GB2312"/>
      <w:kern w:val="2"/>
      <w:sz w:val="24"/>
      <w:szCs w:val="24"/>
    </w:rPr>
  </w:style>
  <w:style w:type="character" w:customStyle="1" w:styleId="91">
    <w:name w:val="批注框文本 字符"/>
    <w:link w:val="28"/>
    <w:qFormat/>
    <w:uiPriority w:val="0"/>
    <w:rPr>
      <w:rFonts w:ascii="Arial Unicode MS" w:hAnsi="Arial Unicode MS" w:eastAsia="Arial Unicode MS" w:cs="Arial Unicode MS"/>
      <w:color w:val="000000"/>
      <w:sz w:val="18"/>
      <w:szCs w:val="18"/>
      <w:lang w:val="zh-TW" w:eastAsia="zh-TW"/>
    </w:rPr>
  </w:style>
  <w:style w:type="character" w:customStyle="1" w:styleId="92">
    <w:name w:val="页脚 字符"/>
    <w:link w:val="29"/>
    <w:qFormat/>
    <w:uiPriority w:val="0"/>
    <w:rPr>
      <w:rFonts w:ascii="宋体" w:hAnsi="宋体" w:eastAsia="宋体" w:cs="宋体"/>
      <w:color w:val="000000"/>
      <w:kern w:val="0"/>
      <w:sz w:val="18"/>
      <w:szCs w:val="18"/>
    </w:rPr>
  </w:style>
  <w:style w:type="character" w:customStyle="1" w:styleId="93">
    <w:name w:val="页眉 字符"/>
    <w:link w:val="30"/>
    <w:qFormat/>
    <w:uiPriority w:val="0"/>
    <w:rPr>
      <w:rFonts w:ascii="Arial Unicode MS" w:hAnsi="Arial Unicode MS" w:eastAsia="Arial Unicode MS" w:cs="Arial Unicode MS"/>
      <w:color w:val="000000"/>
      <w:sz w:val="18"/>
      <w:szCs w:val="18"/>
      <w:lang w:val="zh-TW" w:eastAsia="zh-TW"/>
    </w:rPr>
  </w:style>
  <w:style w:type="character" w:customStyle="1" w:styleId="94">
    <w:name w:val="脚注文本 字符"/>
    <w:link w:val="34"/>
    <w:qFormat/>
    <w:uiPriority w:val="0"/>
    <w:rPr>
      <w:kern w:val="2"/>
      <w:sz w:val="18"/>
      <w:szCs w:val="22"/>
    </w:rPr>
  </w:style>
  <w:style w:type="character" w:customStyle="1" w:styleId="95">
    <w:name w:val="正文文本缩进 3 字符"/>
    <w:link w:val="37"/>
    <w:qFormat/>
    <w:uiPriority w:val="0"/>
    <w:rPr>
      <w:rFonts w:ascii="宋体"/>
      <w:sz w:val="24"/>
    </w:rPr>
  </w:style>
  <w:style w:type="character" w:customStyle="1" w:styleId="96">
    <w:name w:val="正文文本 2 字符"/>
    <w:link w:val="42"/>
    <w:qFormat/>
    <w:uiPriority w:val="0"/>
    <w:rPr>
      <w:kern w:val="2"/>
      <w:sz w:val="21"/>
      <w:szCs w:val="24"/>
    </w:rPr>
  </w:style>
  <w:style w:type="character" w:customStyle="1" w:styleId="97">
    <w:name w:val="标题 字符"/>
    <w:link w:val="48"/>
    <w:qFormat/>
    <w:uiPriority w:val="0"/>
    <w:rPr>
      <w:rFonts w:ascii="Arial" w:hAnsi="Arial" w:eastAsia="Arial" w:cs="Arial"/>
      <w:b/>
      <w:bCs/>
      <w:color w:val="000000"/>
      <w:sz w:val="32"/>
      <w:szCs w:val="32"/>
    </w:rPr>
  </w:style>
  <w:style w:type="character" w:customStyle="1" w:styleId="98">
    <w:name w:val="批注主题 字符"/>
    <w:link w:val="49"/>
    <w:qFormat/>
    <w:uiPriority w:val="0"/>
    <w:rPr>
      <w:b/>
      <w:bCs/>
      <w:kern w:val="2"/>
      <w:sz w:val="21"/>
      <w:szCs w:val="24"/>
    </w:rPr>
  </w:style>
  <w:style w:type="character" w:customStyle="1" w:styleId="99">
    <w:name w:val="正文文本首行缩进 字符"/>
    <w:link w:val="50"/>
    <w:qFormat/>
    <w:uiPriority w:val="0"/>
    <w:rPr>
      <w:rFonts w:eastAsia="楷体_GB2312"/>
      <w:kern w:val="2"/>
      <w:sz w:val="32"/>
      <w:szCs w:val="24"/>
    </w:rPr>
  </w:style>
  <w:style w:type="character" w:customStyle="1" w:styleId="100">
    <w:name w:val="正文文本首行缩进 2 字符"/>
    <w:link w:val="51"/>
    <w:qFormat/>
    <w:uiPriority w:val="99"/>
    <w:rPr>
      <w:rFonts w:ascii="Cambria" w:hAnsi="Cambria"/>
      <w:kern w:val="2"/>
      <w:sz w:val="21"/>
      <w:szCs w:val="24"/>
    </w:rPr>
  </w:style>
  <w:style w:type="paragraph" w:customStyle="1" w:styleId="101">
    <w:name w:val="明显引用1"/>
    <w:basedOn w:val="1"/>
    <w:next w:val="1"/>
    <w:qFormat/>
    <w:uiPriority w:val="30"/>
    <w:pPr>
      <w:framePr w:wrap="around" w:vAnchor="margin" w:hAnchor="text" w:y="1"/>
      <w:pBdr>
        <w:top w:val="single" w:color="4F81BD" w:sz="4" w:space="10"/>
        <w:bottom w:val="single" w:color="4F81BD" w:sz="4" w:space="10"/>
      </w:pBdr>
      <w:spacing w:before="360" w:after="360"/>
      <w:ind w:left="864" w:right="864"/>
      <w:jc w:val="center"/>
    </w:pPr>
    <w:rPr>
      <w:i/>
      <w:iCs/>
      <w:color w:val="4F81BD"/>
    </w:rPr>
  </w:style>
  <w:style w:type="paragraph" w:customStyle="1" w:styleId="102">
    <w:name w:val="Char Char10 Char Char Char Char"/>
    <w:basedOn w:val="1"/>
    <w:next w:val="103"/>
    <w:qFormat/>
    <w:uiPriority w:val="0"/>
    <w:rPr>
      <w:rFonts w:ascii="Calibri" w:hAnsi="Calibri"/>
      <w:kern w:val="0"/>
    </w:rPr>
  </w:style>
  <w:style w:type="paragraph" w:customStyle="1" w:styleId="103">
    <w:name w:val="xl87"/>
    <w:basedOn w:val="1"/>
    <w:next w:val="104"/>
    <w:qFormat/>
    <w:uiPriority w:val="0"/>
    <w:pPr>
      <w:shd w:val="clear" w:color="FFFFFF" w:fill="FFFFFF"/>
      <w:spacing w:before="280" w:after="280"/>
      <w:jc w:val="right"/>
    </w:pPr>
    <w:rPr>
      <w:rFonts w:ascii="宋体" w:hAnsi="Calibri"/>
      <w:kern w:val="0"/>
      <w:sz w:val="24"/>
    </w:rPr>
  </w:style>
  <w:style w:type="paragraph" w:customStyle="1" w:styleId="104">
    <w:name w:val="xl72"/>
    <w:basedOn w:val="1"/>
    <w:next w:val="26"/>
    <w:qFormat/>
    <w:uiPriority w:val="0"/>
    <w:pPr>
      <w:shd w:val="clear" w:color="FFFFFF" w:fill="FFFFFF"/>
      <w:spacing w:before="280" w:after="280"/>
      <w:jc w:val="right"/>
    </w:pPr>
    <w:rPr>
      <w:rFonts w:ascii="宋体" w:hAnsi="Calibri"/>
      <w:kern w:val="0"/>
      <w:sz w:val="24"/>
    </w:rPr>
  </w:style>
  <w:style w:type="character" w:customStyle="1" w:styleId="105">
    <w:name w:val="批注框文本 Char2"/>
    <w:semiHidden/>
    <w:qFormat/>
    <w:uiPriority w:val="99"/>
    <w:rPr>
      <w:kern w:val="2"/>
      <w:sz w:val="18"/>
      <w:szCs w:val="18"/>
    </w:rPr>
  </w:style>
  <w:style w:type="character" w:customStyle="1" w:styleId="106">
    <w:name w:val="批注框文本 Char1"/>
    <w:semiHidden/>
    <w:qFormat/>
    <w:uiPriority w:val="99"/>
    <w:rPr>
      <w:kern w:val="2"/>
      <w:sz w:val="18"/>
      <w:szCs w:val="18"/>
    </w:rPr>
  </w:style>
  <w:style w:type="character" w:customStyle="1" w:styleId="107">
    <w:name w:val="正文文本 Char2"/>
    <w:semiHidden/>
    <w:qFormat/>
    <w:uiPriority w:val="99"/>
    <w:rPr>
      <w:rFonts w:ascii="Arial Unicode MS" w:hAnsi="Arial Unicode MS" w:eastAsia="Arial Unicode MS" w:cs="Arial Unicode MS"/>
      <w:color w:val="000000"/>
      <w:kern w:val="2"/>
      <w:sz w:val="21"/>
      <w:szCs w:val="21"/>
      <w:lang w:val="zh-TW" w:eastAsia="zh-TW"/>
    </w:rPr>
  </w:style>
  <w:style w:type="character" w:customStyle="1" w:styleId="108">
    <w:name w:val="dash6b63_6587__char1"/>
    <w:qFormat/>
    <w:uiPriority w:val="0"/>
    <w:rPr>
      <w:rFonts w:hint="default" w:ascii="Calibri" w:hAnsi="Calibri" w:cs="Calibri"/>
      <w:sz w:val="20"/>
      <w:szCs w:val="20"/>
    </w:rPr>
  </w:style>
  <w:style w:type="character" w:customStyle="1" w:styleId="109">
    <w:name w:val="脚注文本 Char1"/>
    <w:semiHidden/>
    <w:qFormat/>
    <w:uiPriority w:val="99"/>
    <w:rPr>
      <w:rFonts w:ascii="Times New Roman" w:hAnsi="Times New Roman" w:eastAsia="宋体" w:cs="Times New Roman"/>
      <w:sz w:val="18"/>
      <w:szCs w:val="18"/>
    </w:rPr>
  </w:style>
  <w:style w:type="character" w:customStyle="1" w:styleId="110">
    <w:name w:val="_Style 93"/>
    <w:unhideWhenUsed/>
    <w:qFormat/>
    <w:uiPriority w:val="99"/>
    <w:rPr>
      <w:color w:val="605E5C"/>
      <w:shd w:val="clear" w:color="auto" w:fill="E1DFDD"/>
    </w:rPr>
  </w:style>
  <w:style w:type="character" w:customStyle="1" w:styleId="111">
    <w:name w:val="正文文本 3 Char1"/>
    <w:semiHidden/>
    <w:qFormat/>
    <w:uiPriority w:val="99"/>
    <w:rPr>
      <w:rFonts w:ascii="Arial Unicode MS" w:hAnsi="Arial Unicode MS" w:eastAsia="Arial Unicode MS" w:cs="Arial Unicode MS"/>
      <w:color w:val="000000"/>
      <w:kern w:val="2"/>
      <w:sz w:val="16"/>
      <w:szCs w:val="16"/>
      <w:lang w:val="zh-TW" w:eastAsia="zh-TW"/>
    </w:rPr>
  </w:style>
  <w:style w:type="character" w:customStyle="1" w:styleId="112">
    <w:name w:val="正文文本缩进 3 Char2"/>
    <w:semiHidden/>
    <w:qFormat/>
    <w:uiPriority w:val="99"/>
    <w:rPr>
      <w:rFonts w:ascii="Arial Unicode MS" w:hAnsi="Arial Unicode MS" w:eastAsia="Arial Unicode MS" w:cs="Arial Unicode MS"/>
      <w:color w:val="000000"/>
      <w:kern w:val="2"/>
      <w:sz w:val="16"/>
      <w:szCs w:val="16"/>
      <w:lang w:val="zh-TW" w:eastAsia="zh-TW"/>
    </w:rPr>
  </w:style>
  <w:style w:type="character" w:customStyle="1" w:styleId="113">
    <w:name w:val="批注文字 Char1"/>
    <w:semiHidden/>
    <w:qFormat/>
    <w:uiPriority w:val="99"/>
    <w:rPr>
      <w:kern w:val="2"/>
      <w:sz w:val="21"/>
      <w:szCs w:val="24"/>
    </w:rPr>
  </w:style>
  <w:style w:type="character" w:customStyle="1" w:styleId="114">
    <w:name w:val="wen11"/>
    <w:qFormat/>
    <w:uiPriority w:val="0"/>
    <w:rPr>
      <w:color w:val="000000"/>
      <w:sz w:val="21"/>
      <w:szCs w:val="21"/>
    </w:rPr>
  </w:style>
  <w:style w:type="character" w:customStyle="1" w:styleId="115">
    <w:name w:val="批注主题 Char2"/>
    <w:semiHidden/>
    <w:qFormat/>
    <w:uiPriority w:val="99"/>
    <w:rPr>
      <w:rFonts w:ascii="Arial Unicode MS" w:hAnsi="Arial Unicode MS" w:eastAsia="Arial Unicode MS" w:cs="Arial Unicode MS"/>
      <w:b/>
      <w:bCs/>
      <w:color w:val="000000"/>
      <w:kern w:val="2"/>
      <w:sz w:val="21"/>
      <w:szCs w:val="21"/>
      <w:lang w:val="zh-TW" w:eastAsia="zh-TW"/>
    </w:rPr>
  </w:style>
  <w:style w:type="character" w:customStyle="1" w:styleId="116">
    <w:name w:val="正文文本缩进 2 Char2"/>
    <w:semiHidden/>
    <w:qFormat/>
    <w:uiPriority w:val="99"/>
    <w:rPr>
      <w:rFonts w:ascii="Arial Unicode MS" w:hAnsi="Arial Unicode MS" w:eastAsia="Arial Unicode MS" w:cs="Arial Unicode MS"/>
      <w:color w:val="000000"/>
      <w:kern w:val="2"/>
      <w:sz w:val="21"/>
      <w:szCs w:val="21"/>
      <w:lang w:val="zh-TW" w:eastAsia="zh-TW"/>
    </w:rPr>
  </w:style>
  <w:style w:type="character" w:customStyle="1" w:styleId="117">
    <w:name w:val="页脚 Char1"/>
    <w:semiHidden/>
    <w:qFormat/>
    <w:uiPriority w:val="99"/>
    <w:rPr>
      <w:kern w:val="2"/>
      <w:sz w:val="18"/>
      <w:szCs w:val="18"/>
    </w:rPr>
  </w:style>
  <w:style w:type="character" w:customStyle="1" w:styleId="118">
    <w:name w:val="font61"/>
    <w:qFormat/>
    <w:uiPriority w:val="0"/>
    <w:rPr>
      <w:rFonts w:hint="eastAsia" w:ascii="宋体" w:hAnsi="宋体" w:eastAsia="宋体" w:cs="宋体"/>
      <w:color w:val="auto"/>
      <w:sz w:val="20"/>
      <w:szCs w:val="20"/>
      <w:u w:val="none"/>
    </w:rPr>
  </w:style>
  <w:style w:type="character" w:customStyle="1" w:styleId="119">
    <w:name w:val="日期 Char1"/>
    <w:semiHidden/>
    <w:qFormat/>
    <w:uiPriority w:val="99"/>
    <w:rPr>
      <w:rFonts w:ascii="Times New Roman" w:hAnsi="Times New Roman" w:eastAsia="宋体" w:cs="Times New Roman"/>
      <w:szCs w:val="24"/>
    </w:rPr>
  </w:style>
  <w:style w:type="character" w:customStyle="1" w:styleId="120">
    <w:name w:val="正文文本缩进 3 Char1"/>
    <w:semiHidden/>
    <w:qFormat/>
    <w:uiPriority w:val="99"/>
    <w:rPr>
      <w:rFonts w:ascii="Times New Roman" w:hAnsi="Times New Roman" w:eastAsia="宋体" w:cs="Times New Roman"/>
      <w:sz w:val="16"/>
      <w:szCs w:val="16"/>
    </w:rPr>
  </w:style>
  <w:style w:type="character" w:customStyle="1" w:styleId="121">
    <w:name w:val="正文首行缩进 Char1"/>
    <w:semiHidden/>
    <w:qFormat/>
    <w:uiPriority w:val="99"/>
    <w:rPr>
      <w:lang w:val="zh-TW" w:eastAsia="zh-TW"/>
    </w:rPr>
  </w:style>
  <w:style w:type="character" w:customStyle="1" w:styleId="122">
    <w:name w:val="纯文本 Char3"/>
    <w:semiHidden/>
    <w:qFormat/>
    <w:uiPriority w:val="99"/>
    <w:rPr>
      <w:rFonts w:ascii="宋体" w:hAnsi="Courier New" w:cs="Courier New"/>
      <w:kern w:val="2"/>
      <w:sz w:val="21"/>
      <w:szCs w:val="21"/>
    </w:rPr>
  </w:style>
  <w:style w:type="character" w:customStyle="1" w:styleId="123">
    <w:name w:val="NormalCharacter"/>
    <w:qFormat/>
    <w:uiPriority w:val="0"/>
    <w:rPr>
      <w:kern w:val="2"/>
      <w:sz w:val="21"/>
      <w:szCs w:val="24"/>
      <w:lang w:val="en-US" w:eastAsia="zh-CN" w:bidi="ar-SA"/>
    </w:rPr>
  </w:style>
  <w:style w:type="character" w:customStyle="1" w:styleId="124">
    <w:name w:val="日期 Char2"/>
    <w:semiHidden/>
    <w:qFormat/>
    <w:uiPriority w:val="99"/>
    <w:rPr>
      <w:rFonts w:ascii="Arial Unicode MS" w:hAnsi="Arial Unicode MS" w:eastAsia="Arial Unicode MS" w:cs="Arial Unicode MS"/>
      <w:color w:val="000000"/>
      <w:kern w:val="2"/>
      <w:sz w:val="21"/>
      <w:szCs w:val="21"/>
      <w:lang w:val="zh-TW" w:eastAsia="zh-TW"/>
    </w:rPr>
  </w:style>
  <w:style w:type="character" w:customStyle="1" w:styleId="125">
    <w:name w:val="纯文本 Char"/>
    <w:qFormat/>
    <w:uiPriority w:val="0"/>
    <w:rPr>
      <w:rFonts w:ascii="宋体" w:hAnsi="Courier New" w:cs="Courier New"/>
      <w:color w:val="000000"/>
      <w:kern w:val="2"/>
      <w:sz w:val="21"/>
      <w:szCs w:val="21"/>
      <w:lang w:val="zh-TW" w:eastAsia="zh-TW"/>
    </w:rPr>
  </w:style>
  <w:style w:type="character" w:customStyle="1" w:styleId="126">
    <w:name w:val="批注主题 Char1"/>
    <w:semiHidden/>
    <w:qFormat/>
    <w:uiPriority w:val="99"/>
    <w:rPr>
      <w:b/>
      <w:bCs/>
      <w:kern w:val="2"/>
      <w:sz w:val="21"/>
      <w:szCs w:val="24"/>
    </w:rPr>
  </w:style>
  <w:style w:type="character" w:customStyle="1" w:styleId="127">
    <w:name w:val="正文文本 2 Char1"/>
    <w:semiHidden/>
    <w:qFormat/>
    <w:uiPriority w:val="99"/>
    <w:rPr>
      <w:rFonts w:ascii="Arial Unicode MS" w:hAnsi="Arial Unicode MS" w:eastAsia="Arial Unicode MS" w:cs="Arial Unicode MS"/>
      <w:color w:val="000000"/>
      <w:kern w:val="2"/>
      <w:sz w:val="21"/>
      <w:szCs w:val="21"/>
      <w:lang w:val="zh-TW" w:eastAsia="zh-TW"/>
    </w:rPr>
  </w:style>
  <w:style w:type="character" w:customStyle="1" w:styleId="128">
    <w:name w:val="Char Char2"/>
    <w:qFormat/>
    <w:uiPriority w:val="0"/>
    <w:rPr>
      <w:rFonts w:ascii="宋体" w:hAnsi="Courier New" w:eastAsia="宋体" w:cs="Courier New"/>
      <w:kern w:val="2"/>
      <w:sz w:val="21"/>
      <w:szCs w:val="21"/>
      <w:lang w:val="en-US" w:eastAsia="zh-CN" w:bidi="ar-SA"/>
    </w:rPr>
  </w:style>
  <w:style w:type="character" w:customStyle="1" w:styleId="129">
    <w:name w:val="p141"/>
    <w:qFormat/>
    <w:uiPriority w:val="99"/>
    <w:rPr>
      <w:sz w:val="21"/>
      <w:szCs w:val="21"/>
    </w:rPr>
  </w:style>
  <w:style w:type="character" w:customStyle="1" w:styleId="130">
    <w:name w:val="p12h15"/>
    <w:qFormat/>
    <w:uiPriority w:val="0"/>
  </w:style>
  <w:style w:type="character" w:customStyle="1" w:styleId="131">
    <w:name w:val="脚注文本 Char2"/>
    <w:semiHidden/>
    <w:qFormat/>
    <w:uiPriority w:val="99"/>
    <w:rPr>
      <w:rFonts w:ascii="Arial Unicode MS" w:hAnsi="Arial Unicode MS" w:eastAsia="Arial Unicode MS" w:cs="Arial Unicode MS"/>
      <w:color w:val="000000"/>
      <w:kern w:val="2"/>
      <w:sz w:val="18"/>
      <w:szCs w:val="18"/>
      <w:lang w:val="zh-TW" w:eastAsia="zh-TW"/>
    </w:rPr>
  </w:style>
  <w:style w:type="character" w:customStyle="1" w:styleId="132">
    <w:name w:val="fontstyle21"/>
    <w:qFormat/>
    <w:uiPriority w:val="0"/>
    <w:rPr>
      <w:rFonts w:hint="eastAsia" w:ascii="宋体" w:hAnsi="宋体" w:eastAsia="宋体"/>
      <w:color w:val="000000"/>
      <w:sz w:val="24"/>
      <w:szCs w:val="24"/>
    </w:rPr>
  </w:style>
  <w:style w:type="character" w:customStyle="1" w:styleId="133">
    <w:name w:val="标题 Char2"/>
    <w:qFormat/>
    <w:uiPriority w:val="10"/>
    <w:rPr>
      <w:rFonts w:ascii="Cambria" w:hAnsi="Cambria" w:cs="Times New Roman"/>
      <w:b/>
      <w:bCs/>
      <w:kern w:val="2"/>
      <w:sz w:val="32"/>
      <w:szCs w:val="32"/>
    </w:rPr>
  </w:style>
  <w:style w:type="character" w:customStyle="1" w:styleId="134">
    <w:name w:val="apple-converted-space"/>
    <w:qFormat/>
    <w:uiPriority w:val="0"/>
  </w:style>
  <w:style w:type="character" w:customStyle="1" w:styleId="135">
    <w:name w:val="正文文本 字符"/>
    <w:qFormat/>
    <w:uiPriority w:val="0"/>
    <w:rPr>
      <w:rFonts w:ascii="宋体" w:hAnsi="宋体"/>
      <w:kern w:val="2"/>
      <w:sz w:val="24"/>
      <w:szCs w:val="24"/>
    </w:rPr>
  </w:style>
  <w:style w:type="character" w:customStyle="1" w:styleId="136">
    <w:name w:val="批注文字 Char2"/>
    <w:semiHidden/>
    <w:qFormat/>
    <w:uiPriority w:val="99"/>
    <w:rPr>
      <w:kern w:val="2"/>
      <w:sz w:val="21"/>
      <w:szCs w:val="24"/>
    </w:rPr>
  </w:style>
  <w:style w:type="character" w:customStyle="1" w:styleId="137">
    <w:name w:val="正文文本缩进 Char2"/>
    <w:semiHidden/>
    <w:qFormat/>
    <w:uiPriority w:val="99"/>
    <w:rPr>
      <w:rFonts w:ascii="Arial Unicode MS" w:hAnsi="Arial Unicode MS" w:eastAsia="Arial Unicode MS" w:cs="Arial Unicode MS"/>
      <w:color w:val="000000"/>
      <w:kern w:val="2"/>
      <w:sz w:val="21"/>
      <w:szCs w:val="21"/>
      <w:lang w:val="zh-TW" w:eastAsia="zh-TW"/>
    </w:rPr>
  </w:style>
  <w:style w:type="character" w:customStyle="1" w:styleId="138">
    <w:name w:val="正文文本缩进 2 Char1"/>
    <w:semiHidden/>
    <w:qFormat/>
    <w:uiPriority w:val="99"/>
    <w:rPr>
      <w:rFonts w:ascii="Times New Roman" w:hAnsi="Times New Roman" w:eastAsia="宋体" w:cs="Times New Roman"/>
      <w:szCs w:val="24"/>
    </w:rPr>
  </w:style>
  <w:style w:type="character" w:customStyle="1" w:styleId="139">
    <w:name w:val="unnamed11"/>
    <w:qFormat/>
    <w:uiPriority w:val="0"/>
    <w:rPr>
      <w:rFonts w:hint="default" w:ascii="Arial" w:hAnsi="Arial" w:cs="Arial"/>
      <w:color w:val="000000"/>
      <w:sz w:val="18"/>
      <w:szCs w:val="18"/>
      <w:u w:val="none"/>
    </w:rPr>
  </w:style>
  <w:style w:type="character" w:customStyle="1" w:styleId="140">
    <w:name w:val="fontstyle11"/>
    <w:qFormat/>
    <w:uiPriority w:val="0"/>
    <w:rPr>
      <w:rFonts w:hint="default" w:ascii="Times New Roman" w:hAnsi="Times New Roman" w:cs="Times New Roman"/>
      <w:color w:val="000000"/>
      <w:sz w:val="18"/>
      <w:szCs w:val="18"/>
    </w:rPr>
  </w:style>
  <w:style w:type="character" w:customStyle="1" w:styleId="141">
    <w:name w:val="*正文 Char"/>
    <w:link w:val="142"/>
    <w:qFormat/>
    <w:uiPriority w:val="0"/>
    <w:rPr>
      <w:rFonts w:ascii="宋体" w:hAnsi="宋体"/>
      <w:sz w:val="22"/>
      <w:szCs w:val="24"/>
    </w:rPr>
  </w:style>
  <w:style w:type="paragraph" w:customStyle="1" w:styleId="142">
    <w:name w:val="*正文"/>
    <w:basedOn w:val="1"/>
    <w:link w:val="141"/>
    <w:qFormat/>
    <w:uiPriority w:val="0"/>
    <w:pPr>
      <w:widowControl w:val="0"/>
      <w:spacing w:line="360" w:lineRule="auto"/>
      <w:ind w:firstLine="200" w:firstLineChars="200"/>
    </w:pPr>
    <w:rPr>
      <w:rFonts w:hint="default" w:ascii="宋体" w:hAnsi="宋体" w:eastAsia="宋体" w:cs="Times New Roman"/>
      <w:color w:val="auto"/>
      <w:kern w:val="0"/>
      <w:sz w:val="22"/>
      <w:szCs w:val="24"/>
      <w:lang w:val="en-US" w:eastAsia="zh-CN"/>
    </w:rPr>
  </w:style>
  <w:style w:type="character" w:customStyle="1" w:styleId="143">
    <w:name w:val="fontstyle01"/>
    <w:qFormat/>
    <w:uiPriority w:val="0"/>
    <w:rPr>
      <w:rFonts w:hint="default" w:ascii="Times New Roman" w:hAnsi="Times New Roman" w:cs="Times New Roman"/>
      <w:color w:val="000000"/>
      <w:sz w:val="24"/>
      <w:szCs w:val="24"/>
    </w:rPr>
  </w:style>
  <w:style w:type="character" w:customStyle="1" w:styleId="144">
    <w:name w:val="纯文本 Char2"/>
    <w:semiHidden/>
    <w:qFormat/>
    <w:uiPriority w:val="99"/>
    <w:rPr>
      <w:rFonts w:ascii="宋体" w:hAnsi="Courier New" w:eastAsia="宋体" w:cs="Courier New"/>
      <w:szCs w:val="21"/>
    </w:rPr>
  </w:style>
  <w:style w:type="character" w:customStyle="1" w:styleId="145">
    <w:name w:val="正文文本 Char1"/>
    <w:semiHidden/>
    <w:qFormat/>
    <w:uiPriority w:val="99"/>
    <w:rPr>
      <w:rFonts w:ascii="Times New Roman" w:hAnsi="Times New Roman" w:eastAsia="宋体" w:cs="Times New Roman"/>
      <w:szCs w:val="24"/>
    </w:rPr>
  </w:style>
  <w:style w:type="character" w:customStyle="1" w:styleId="146">
    <w:name w:val="正文缩进 Char1"/>
    <w:link w:val="147"/>
    <w:qFormat/>
    <w:uiPriority w:val="0"/>
    <w:rPr>
      <w:rFonts w:ascii="宋体"/>
      <w:sz w:val="24"/>
    </w:rPr>
  </w:style>
  <w:style w:type="paragraph" w:customStyle="1" w:styleId="147">
    <w:name w:val="正文缩进1"/>
    <w:basedOn w:val="1"/>
    <w:link w:val="146"/>
    <w:qFormat/>
    <w:uiPriority w:val="0"/>
    <w:pPr>
      <w:widowControl w:val="0"/>
      <w:autoSpaceDE w:val="0"/>
      <w:autoSpaceDN w:val="0"/>
      <w:adjustRightInd w:val="0"/>
      <w:ind w:firstLine="420"/>
      <w:jc w:val="left"/>
    </w:pPr>
    <w:rPr>
      <w:rFonts w:hint="default" w:ascii="宋体" w:hAnsi="Calibri" w:eastAsia="宋体" w:cs="Times New Roman"/>
      <w:color w:val="auto"/>
      <w:kern w:val="0"/>
      <w:sz w:val="24"/>
      <w:szCs w:val="20"/>
      <w:lang w:val="en-US" w:eastAsia="zh-CN"/>
    </w:rPr>
  </w:style>
  <w:style w:type="character" w:customStyle="1" w:styleId="148">
    <w:name w:val="页眉 Char1"/>
    <w:semiHidden/>
    <w:qFormat/>
    <w:uiPriority w:val="99"/>
    <w:rPr>
      <w:kern w:val="2"/>
      <w:sz w:val="18"/>
      <w:szCs w:val="18"/>
    </w:rPr>
  </w:style>
  <w:style w:type="character" w:customStyle="1" w:styleId="149">
    <w:name w:val="pt91"/>
    <w:qFormat/>
    <w:uiPriority w:val="0"/>
    <w:rPr>
      <w:rFonts w:hint="default"/>
      <w:color w:val="333333"/>
      <w:sz w:val="18"/>
      <w:szCs w:val="18"/>
    </w:rPr>
  </w:style>
  <w:style w:type="character" w:customStyle="1" w:styleId="150">
    <w:name w:val="正文首行缩进 2 Char1"/>
    <w:semiHidden/>
    <w:qFormat/>
    <w:uiPriority w:val="99"/>
    <w:rPr>
      <w:lang w:val="zh-TW" w:eastAsia="zh-TW"/>
    </w:rPr>
  </w:style>
  <w:style w:type="character" w:customStyle="1" w:styleId="151">
    <w:name w:val="页眉 Char2"/>
    <w:semiHidden/>
    <w:qFormat/>
    <w:uiPriority w:val="99"/>
    <w:rPr>
      <w:kern w:val="2"/>
      <w:sz w:val="18"/>
      <w:szCs w:val="18"/>
    </w:rPr>
  </w:style>
  <w:style w:type="character" w:customStyle="1" w:styleId="152">
    <w:name w:val="标题 Char1"/>
    <w:qFormat/>
    <w:uiPriority w:val="10"/>
    <w:rPr>
      <w:rFonts w:ascii="Cambria" w:hAnsi="Cambria" w:eastAsia="宋体" w:cs="Times New Roman"/>
      <w:b/>
      <w:bCs/>
      <w:sz w:val="32"/>
      <w:szCs w:val="32"/>
    </w:rPr>
  </w:style>
  <w:style w:type="character" w:customStyle="1" w:styleId="153">
    <w:name w:val="正文文本缩进 Char1"/>
    <w:semiHidden/>
    <w:qFormat/>
    <w:uiPriority w:val="99"/>
    <w:rPr>
      <w:rFonts w:ascii="Times New Roman" w:hAnsi="Times New Roman" w:eastAsia="宋体" w:cs="Times New Roman"/>
      <w:szCs w:val="24"/>
    </w:rPr>
  </w:style>
  <w:style w:type="paragraph" w:customStyle="1" w:styleId="154">
    <w:name w:val="样式 宋体 五号 行距: 单倍行距"/>
    <w:basedOn w:val="1"/>
    <w:qFormat/>
    <w:uiPriority w:val="0"/>
    <w:pPr>
      <w:widowControl w:val="0"/>
    </w:pPr>
    <w:rPr>
      <w:rFonts w:hint="default" w:ascii="宋体" w:hAnsi="宋体" w:eastAsia="仿宋_GB2312" w:cs="Times New Roman"/>
      <w:color w:val="auto"/>
      <w:szCs w:val="32"/>
      <w:lang w:val="en-US" w:eastAsia="zh-CN"/>
    </w:rPr>
  </w:style>
  <w:style w:type="paragraph" w:customStyle="1" w:styleId="155">
    <w:name w:val="style4"/>
    <w:basedOn w:val="1"/>
    <w:next w:val="156"/>
    <w:qFormat/>
    <w:uiPriority w:val="0"/>
    <w:pPr>
      <w:spacing w:before="280" w:after="280"/>
    </w:pPr>
    <w:rPr>
      <w:rFonts w:ascii="宋体"/>
      <w:sz w:val="18"/>
    </w:rPr>
  </w:style>
  <w:style w:type="paragraph" w:customStyle="1" w:styleId="156">
    <w:name w:val="2"/>
    <w:next w:val="1"/>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157">
    <w:name w:val="font6"/>
    <w:basedOn w:val="1"/>
    <w:qFormat/>
    <w:uiPriority w:val="0"/>
    <w:pPr>
      <w:spacing w:before="100" w:beforeAutospacing="1" w:after="100" w:afterAutospacing="1"/>
      <w:jc w:val="left"/>
    </w:pPr>
    <w:rPr>
      <w:rFonts w:ascii="宋体" w:hAnsi="宋体" w:eastAsia="宋体" w:cs="Times New Roman"/>
      <w:color w:val="auto"/>
      <w:kern w:val="0"/>
      <w:sz w:val="20"/>
      <w:szCs w:val="20"/>
      <w:lang w:val="en-US" w:eastAsia="zh-CN"/>
    </w:rPr>
  </w:style>
  <w:style w:type="paragraph" w:customStyle="1" w:styleId="158">
    <w:name w:val="xl29"/>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159">
    <w:name w:val="纯文本1"/>
    <w:basedOn w:val="1"/>
    <w:qFormat/>
    <w:uiPriority w:val="0"/>
    <w:pPr>
      <w:widowControl w:val="0"/>
    </w:pPr>
    <w:rPr>
      <w:rFonts w:hint="default" w:ascii="宋体" w:hAnsi="Courier New" w:eastAsia="宋体" w:cs="Times New Roman"/>
      <w:color w:val="auto"/>
      <w:kern w:val="0"/>
      <w:sz w:val="20"/>
      <w:szCs w:val="20"/>
      <w:lang w:val="en-US" w:eastAsia="zh-CN"/>
    </w:rPr>
  </w:style>
  <w:style w:type="paragraph" w:customStyle="1" w:styleId="160">
    <w:name w:val="xl27"/>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161">
    <w:name w:val="Heading4"/>
    <w:next w:val="1"/>
    <w:qFormat/>
    <w:uiPriority w:val="0"/>
    <w:pPr>
      <w:keepNext/>
      <w:keepLines/>
      <w:spacing w:before="280" w:after="290" w:line="372" w:lineRule="auto"/>
      <w:jc w:val="both"/>
    </w:pPr>
    <w:rPr>
      <w:rFonts w:ascii="Arial" w:hAnsi="Arial" w:eastAsia="Arial Unicode MS" w:cs="Arial Unicode MS"/>
      <w:b/>
      <w:bCs/>
      <w:color w:val="000000"/>
      <w:kern w:val="2"/>
      <w:sz w:val="28"/>
      <w:szCs w:val="28"/>
      <w:lang w:val="en-US" w:eastAsia="zh-CN" w:bidi="ar-SA"/>
    </w:rPr>
  </w:style>
  <w:style w:type="paragraph" w:customStyle="1" w:styleId="162">
    <w:name w:val="Char Char Char Char"/>
    <w:basedOn w:val="1"/>
    <w:qFormat/>
    <w:uiPriority w:val="0"/>
    <w:pPr>
      <w:widowControl w:val="0"/>
    </w:pPr>
    <w:rPr>
      <w:rFonts w:hint="default" w:ascii="Times New Roman" w:hAnsi="Times New Roman" w:eastAsia="宋体" w:cs="Times New Roman"/>
      <w:color w:val="auto"/>
      <w:szCs w:val="24"/>
      <w:lang w:val="en-US" w:eastAsia="zh-CN"/>
    </w:rPr>
  </w:style>
  <w:style w:type="paragraph" w:customStyle="1" w:styleId="163">
    <w:name w:val="正文_3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4">
    <w:name w:val="xl43"/>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165">
    <w:name w:val="xl32"/>
    <w:basedOn w:val="1"/>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166">
    <w:name w:val="Blockquote"/>
    <w:basedOn w:val="1"/>
    <w:qFormat/>
    <w:uiPriority w:val="0"/>
    <w:pPr>
      <w:widowControl w:val="0"/>
      <w:autoSpaceDE w:val="0"/>
      <w:autoSpaceDN w:val="0"/>
      <w:adjustRightInd w:val="0"/>
      <w:spacing w:before="100" w:after="100"/>
      <w:ind w:left="360" w:right="360"/>
      <w:jc w:val="left"/>
    </w:pPr>
    <w:rPr>
      <w:rFonts w:hint="default" w:ascii="Times New Roman" w:hAnsi="Times New Roman" w:eastAsia="宋体" w:cs="Times New Roman"/>
      <w:color w:val="auto"/>
      <w:kern w:val="0"/>
      <w:sz w:val="24"/>
      <w:szCs w:val="20"/>
      <w:lang w:val="en-US" w:eastAsia="zh-CN"/>
    </w:rPr>
  </w:style>
  <w:style w:type="paragraph" w:customStyle="1" w:styleId="167">
    <w:name w:val="_Style 2"/>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68">
    <w:name w:val="PlainText"/>
    <w:qFormat/>
    <w:uiPriority w:val="0"/>
    <w:pPr>
      <w:jc w:val="both"/>
    </w:pPr>
    <w:rPr>
      <w:rFonts w:ascii="宋体" w:hAnsi="宋体" w:eastAsia="宋体" w:cs="宋体"/>
      <w:color w:val="000000"/>
      <w:kern w:val="2"/>
      <w:sz w:val="21"/>
      <w:szCs w:val="21"/>
      <w:lang w:val="en-US" w:eastAsia="zh-CN" w:bidi="ar-SA"/>
    </w:rPr>
  </w:style>
  <w:style w:type="paragraph" w:customStyle="1" w:styleId="169">
    <w:name w:val="Char"/>
    <w:basedOn w:val="1"/>
    <w:qFormat/>
    <w:uiPriority w:val="0"/>
    <w:pPr>
      <w:widowControl w:val="0"/>
      <w:tabs>
        <w:tab w:val="left" w:pos="360"/>
      </w:tabs>
    </w:pPr>
    <w:rPr>
      <w:rFonts w:hint="default" w:ascii="Times New Roman" w:hAnsi="Times New Roman" w:eastAsia="宋体" w:cs="Times New Roman"/>
      <w:color w:val="auto"/>
      <w:sz w:val="24"/>
      <w:szCs w:val="24"/>
      <w:lang w:val="en-US" w:eastAsia="zh-CN"/>
    </w:rPr>
  </w:style>
  <w:style w:type="paragraph" w:customStyle="1" w:styleId="170">
    <w:name w:val="List Paragraph1"/>
    <w:basedOn w:val="1"/>
    <w:qFormat/>
    <w:uiPriority w:val="1"/>
    <w:pPr>
      <w:widowControl w:val="0"/>
      <w:ind w:firstLine="420" w:firstLineChars="200"/>
    </w:pPr>
    <w:rPr>
      <w:rFonts w:hint="default" w:ascii="Calibri" w:hAnsi="Calibri" w:eastAsia="宋体" w:cs="Times New Roman"/>
      <w:color w:val="auto"/>
      <w:lang w:val="en-US" w:eastAsia="zh-CN"/>
    </w:rPr>
  </w:style>
  <w:style w:type="paragraph" w:styleId="171">
    <w:name w:val="List Paragraph"/>
    <w:basedOn w:val="1"/>
    <w:qFormat/>
    <w:uiPriority w:val="34"/>
    <w:pPr>
      <w:ind w:firstLine="420" w:firstLineChars="200"/>
      <w:jc w:val="left"/>
    </w:pPr>
    <w:rPr>
      <w:rFonts w:hint="default" w:ascii="Times New Roman" w:hAnsi="Times New Roman" w:eastAsia="宋体" w:cs="Times New Roman"/>
      <w:color w:val="auto"/>
      <w:kern w:val="0"/>
      <w:sz w:val="24"/>
      <w:szCs w:val="24"/>
      <w:lang w:val="en-US" w:eastAsia="zh-CN"/>
    </w:rPr>
  </w:style>
  <w:style w:type="paragraph" w:customStyle="1" w:styleId="172">
    <w:name w:val="xl49"/>
    <w:basedOn w:val="1"/>
    <w:qFormat/>
    <w:uiPriority w:val="0"/>
    <w:pPr>
      <w:pBdr>
        <w:left w:val="single" w:color="auto" w:sz="4" w:space="0"/>
        <w:right w:val="single" w:color="auto" w:sz="8" w:space="0"/>
      </w:pBdr>
      <w:spacing w:before="100" w:beforeAutospacing="1" w:after="100" w:afterAutospacing="1"/>
      <w:jc w:val="center"/>
    </w:pPr>
    <w:rPr>
      <w:rFonts w:hint="default" w:ascii="宋体" w:hAnsi="宋体" w:eastAsia="宋体" w:cs="Times New Roman"/>
      <w:color w:val="auto"/>
      <w:kern w:val="0"/>
      <w:sz w:val="24"/>
      <w:szCs w:val="24"/>
      <w:lang w:val="en-US" w:eastAsia="zh-CN"/>
    </w:rPr>
  </w:style>
  <w:style w:type="paragraph" w:customStyle="1" w:styleId="173">
    <w:name w:val="xl47"/>
    <w:basedOn w:val="1"/>
    <w:qFormat/>
    <w:uiPriority w:val="0"/>
    <w:pPr>
      <w:pBdr>
        <w:left w:val="single" w:color="auto" w:sz="4" w:space="0"/>
        <w:bottom w:val="single" w:color="auto" w:sz="4" w:space="0"/>
        <w:right w:val="single" w:color="auto" w:sz="8"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174">
    <w:name w:val="font7"/>
    <w:basedOn w:val="1"/>
    <w:qFormat/>
    <w:uiPriority w:val="0"/>
    <w:pPr>
      <w:spacing w:before="100" w:beforeAutospacing="1" w:after="100" w:afterAutospacing="1"/>
      <w:jc w:val="left"/>
    </w:pPr>
    <w:rPr>
      <w:rFonts w:ascii="宋体" w:hAnsi="宋体" w:eastAsia="宋体" w:cs="Times New Roman"/>
      <w:color w:val="auto"/>
      <w:kern w:val="0"/>
      <w:sz w:val="20"/>
      <w:szCs w:val="20"/>
      <w:lang w:val="en-US" w:eastAsia="zh-CN"/>
    </w:rPr>
  </w:style>
  <w:style w:type="paragraph" w:customStyle="1" w:styleId="175">
    <w:name w:val="WPSOffice手动目录 1"/>
    <w:qFormat/>
    <w:uiPriority w:val="0"/>
    <w:rPr>
      <w:rFonts w:ascii="Times New Roman" w:hAnsi="Times New Roman" w:eastAsia="宋体" w:cs="Times New Roman"/>
      <w:lang w:val="en-GB" w:eastAsia="zh-CN" w:bidi="ar-SA"/>
    </w:rPr>
  </w:style>
  <w:style w:type="paragraph" w:customStyle="1" w:styleId="176">
    <w:name w:val="xl26"/>
    <w:basedOn w:val="1"/>
    <w:qFormat/>
    <w:uiPriority w:val="0"/>
    <w:pPr>
      <w:spacing w:before="100" w:beforeAutospacing="1" w:after="100" w:afterAutospacing="1"/>
      <w:jc w:val="left"/>
    </w:pPr>
    <w:rPr>
      <w:rFonts w:ascii="仿宋_GB2312" w:hAnsi="宋体" w:eastAsia="仿宋_GB2312" w:cs="Times New Roman"/>
      <w:color w:val="auto"/>
      <w:kern w:val="0"/>
      <w:sz w:val="32"/>
      <w:szCs w:val="32"/>
      <w:lang w:val="en-US" w:eastAsia="zh-CN"/>
    </w:rPr>
  </w:style>
  <w:style w:type="paragraph" w:customStyle="1" w:styleId="177">
    <w:name w:val="Table Paragraph"/>
    <w:basedOn w:val="1"/>
    <w:qFormat/>
    <w:uiPriority w:val="1"/>
    <w:pPr>
      <w:widowControl w:val="0"/>
      <w:jc w:val="left"/>
    </w:pPr>
    <w:rPr>
      <w:rFonts w:hint="default" w:ascii="Calibri" w:hAnsi="Calibri" w:eastAsia="宋体" w:cs="Times New Roman"/>
      <w:color w:val="auto"/>
      <w:kern w:val="0"/>
      <w:sz w:val="22"/>
      <w:szCs w:val="22"/>
      <w:lang w:val="en-US" w:eastAsia="en-US"/>
    </w:rPr>
  </w:style>
  <w:style w:type="paragraph" w:customStyle="1" w:styleId="178">
    <w:name w:val="UserStyle_140"/>
    <w:qFormat/>
    <w:uiPriority w:val="0"/>
    <w:rPr>
      <w:rFonts w:hint="eastAsia" w:ascii="Arial Unicode MS" w:hAnsi="Arial Unicode MS" w:eastAsia="Arial Unicode MS" w:cs="Arial Unicode MS"/>
      <w:color w:val="000000"/>
      <w:sz w:val="22"/>
      <w:szCs w:val="22"/>
      <w:lang w:val="en-US" w:eastAsia="zh-CN" w:bidi="ar-SA"/>
    </w:rPr>
  </w:style>
  <w:style w:type="paragraph" w:customStyle="1" w:styleId="179">
    <w:name w:val="_Style 1"/>
    <w:basedOn w:val="1"/>
    <w:qFormat/>
    <w:uiPriority w:val="0"/>
    <w:pPr>
      <w:widowControl w:val="0"/>
      <w:ind w:firstLine="420" w:firstLineChars="200"/>
    </w:pPr>
    <w:rPr>
      <w:rFonts w:hint="default" w:ascii="Calibri" w:hAnsi="Calibri" w:eastAsia="宋体" w:cs="Times New Roman"/>
      <w:color w:val="auto"/>
      <w:szCs w:val="22"/>
      <w:lang w:val="en-US" w:eastAsia="zh-CN"/>
    </w:rPr>
  </w:style>
  <w:style w:type="paragraph" w:customStyle="1" w:styleId="180">
    <w:name w:val="TOC3"/>
    <w:next w:val="1"/>
    <w:qFormat/>
    <w:uiPriority w:val="0"/>
    <w:pPr>
      <w:tabs>
        <w:tab w:val="left" w:pos="1260"/>
        <w:tab w:val="right" w:leader="dot" w:pos="8630"/>
      </w:tabs>
      <w:ind w:left="840"/>
      <w:jc w:val="both"/>
    </w:pPr>
    <w:rPr>
      <w:rFonts w:ascii="Times New Roman" w:hAnsi="Times New Roman" w:eastAsia="Arial Unicode MS" w:cs="Arial Unicode MS"/>
      <w:color w:val="000000"/>
      <w:kern w:val="2"/>
      <w:sz w:val="21"/>
      <w:szCs w:val="21"/>
      <w:lang w:val="en-US" w:eastAsia="zh-CN" w:bidi="ar-SA"/>
    </w:rPr>
  </w:style>
  <w:style w:type="paragraph" w:customStyle="1" w:styleId="181">
    <w:name w:val="默认段落字体 Para Char Char Char Char"/>
    <w:basedOn w:val="1"/>
    <w:qFormat/>
    <w:uiPriority w:val="0"/>
    <w:pPr>
      <w:widowControl w:val="0"/>
    </w:pPr>
    <w:rPr>
      <w:rFonts w:hint="default" w:ascii="Times New Roman" w:hAnsi="Times New Roman" w:eastAsia="宋体" w:cs="Times New Roman"/>
      <w:color w:val="auto"/>
      <w:szCs w:val="24"/>
      <w:lang w:val="en-US" w:eastAsia="zh-CN"/>
    </w:rPr>
  </w:style>
  <w:style w:type="paragraph" w:customStyle="1" w:styleId="182">
    <w:name w:val="Preformatted"/>
    <w:basedOn w:val="1"/>
    <w:qFormat/>
    <w:uiPriority w:val="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hint="default" w:ascii="Courier New" w:hAnsi="Courier New" w:eastAsia="宋体" w:cs="Times New Roman"/>
      <w:color w:val="auto"/>
      <w:kern w:val="0"/>
      <w:sz w:val="20"/>
      <w:szCs w:val="20"/>
      <w:lang w:val="en-US" w:eastAsia="zh-CN"/>
    </w:rPr>
  </w:style>
  <w:style w:type="paragraph" w:customStyle="1" w:styleId="183">
    <w:name w:val="xl45"/>
    <w:basedOn w:val="1"/>
    <w:qFormat/>
    <w:uiPriority w:val="0"/>
    <w:pPr>
      <w:pBdr>
        <w:top w:val="single" w:color="auto" w:sz="4" w:space="0"/>
        <w:left w:val="single" w:color="auto" w:sz="4" w:space="0"/>
        <w:right w:val="single" w:color="auto" w:sz="8"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184">
    <w:name w:val="索引 11"/>
    <w:basedOn w:val="1"/>
    <w:next w:val="1"/>
    <w:qFormat/>
    <w:uiPriority w:val="0"/>
    <w:pPr>
      <w:widowControl w:val="0"/>
      <w:spacing w:line="360" w:lineRule="auto"/>
    </w:pPr>
    <w:rPr>
      <w:rFonts w:hint="default" w:ascii="仿宋_GB2312" w:hAnsi="Times New Roman" w:eastAsia="仿宋_GB2312" w:cs="Times New Roman"/>
      <w:color w:val="auto"/>
      <w:sz w:val="24"/>
      <w:szCs w:val="20"/>
      <w:lang w:val="en-US" w:eastAsia="zh-CN"/>
    </w:rPr>
  </w:style>
  <w:style w:type="paragraph" w:customStyle="1" w:styleId="185">
    <w:name w:val="列出段落2"/>
    <w:basedOn w:val="1"/>
    <w:qFormat/>
    <w:uiPriority w:val="0"/>
    <w:pPr>
      <w:ind w:firstLine="420" w:firstLineChars="200"/>
      <w:jc w:val="left"/>
    </w:pPr>
    <w:rPr>
      <w:rFonts w:hint="default" w:ascii="Times New Roman" w:hAnsi="Times New Roman" w:eastAsia="宋体" w:cs="Times New Roman"/>
      <w:color w:val="auto"/>
      <w:kern w:val="0"/>
      <w:sz w:val="24"/>
      <w:szCs w:val="24"/>
      <w:lang w:val="en-US" w:eastAsia="zh-CN"/>
    </w:rPr>
  </w:style>
  <w:style w:type="paragraph" w:customStyle="1" w:styleId="186">
    <w:name w:val="TOC1"/>
    <w:next w:val="1"/>
    <w:qFormat/>
    <w:uiPriority w:val="0"/>
    <w:pPr>
      <w:jc w:val="both"/>
    </w:pPr>
    <w:rPr>
      <w:rFonts w:hint="eastAsia" w:ascii="Arial Unicode MS" w:hAnsi="Arial Unicode MS" w:eastAsia="Arial Unicode MS" w:cs="Arial Unicode MS"/>
      <w:color w:val="000000"/>
      <w:kern w:val="2"/>
      <w:sz w:val="21"/>
      <w:szCs w:val="21"/>
      <w:lang w:val="en-US" w:eastAsia="zh-CN" w:bidi="ar-SA"/>
    </w:rPr>
  </w:style>
  <w:style w:type="paragraph" w:customStyle="1" w:styleId="187">
    <w:name w:val="TOC2"/>
    <w:next w:val="1"/>
    <w:qFormat/>
    <w:uiPriority w:val="0"/>
    <w:pPr>
      <w:ind w:left="420"/>
      <w:jc w:val="both"/>
    </w:pPr>
    <w:rPr>
      <w:rFonts w:hint="eastAsia" w:ascii="Arial Unicode MS" w:hAnsi="Arial Unicode MS" w:eastAsia="Arial Unicode MS" w:cs="Arial Unicode MS"/>
      <w:color w:val="000000"/>
      <w:kern w:val="2"/>
      <w:sz w:val="21"/>
      <w:szCs w:val="21"/>
      <w:lang w:val="en-US" w:eastAsia="zh-CN" w:bidi="ar-SA"/>
    </w:rPr>
  </w:style>
  <w:style w:type="paragraph" w:customStyle="1" w:styleId="188">
    <w:name w:val="_Style 0"/>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89">
    <w:name w:val="UserStyle_112"/>
    <w:qFormat/>
    <w:uiPriority w:val="0"/>
    <w:pPr>
      <w:ind w:firstLine="420"/>
      <w:jc w:val="both"/>
    </w:pPr>
    <w:rPr>
      <w:rFonts w:hint="eastAsia" w:ascii="Arial Unicode MS" w:hAnsi="Arial Unicode MS" w:eastAsia="Arial Unicode MS" w:cs="Arial Unicode MS"/>
      <w:color w:val="000000"/>
      <w:kern w:val="2"/>
      <w:sz w:val="21"/>
      <w:szCs w:val="21"/>
      <w:lang w:val="en-US" w:eastAsia="zh-CN" w:bidi="ar-SA"/>
    </w:rPr>
  </w:style>
  <w:style w:type="paragraph" w:customStyle="1" w:styleId="190">
    <w:name w:val="BodyText"/>
    <w:qFormat/>
    <w:uiPriority w:val="0"/>
    <w:pPr>
      <w:tabs>
        <w:tab w:val="left" w:pos="567"/>
      </w:tabs>
      <w:spacing w:before="120" w:line="240" w:lineRule="atLeast"/>
      <w:jc w:val="both"/>
    </w:pPr>
    <w:rPr>
      <w:rFonts w:ascii="宋体" w:hAnsi="宋体" w:eastAsia="宋体" w:cs="宋体"/>
      <w:color w:val="000000"/>
      <w:kern w:val="2"/>
      <w:sz w:val="24"/>
      <w:szCs w:val="24"/>
      <w:lang w:val="en-US" w:eastAsia="zh-CN" w:bidi="ar-SA"/>
    </w:rPr>
  </w:style>
  <w:style w:type="paragraph" w:customStyle="1" w:styleId="191">
    <w:name w:val="正文_0"/>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192">
    <w:name w:val="xl4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default" w:ascii="宋体" w:hAnsi="宋体" w:eastAsia="宋体" w:cs="Times New Roman"/>
      <w:color w:val="auto"/>
      <w:kern w:val="0"/>
      <w:sz w:val="18"/>
      <w:szCs w:val="18"/>
      <w:lang w:val="en-US" w:eastAsia="zh-CN"/>
    </w:rPr>
  </w:style>
  <w:style w:type="paragraph" w:customStyle="1" w:styleId="193">
    <w:name w:val="列出段落1"/>
    <w:basedOn w:val="1"/>
    <w:qFormat/>
    <w:uiPriority w:val="34"/>
    <w:pPr>
      <w:widowControl w:val="0"/>
      <w:ind w:firstLine="420" w:firstLineChars="200"/>
    </w:pPr>
    <w:rPr>
      <w:rFonts w:hint="default" w:ascii="Calibri" w:hAnsi="Calibri" w:eastAsia="宋体" w:cs="Times New Roman"/>
      <w:color w:val="auto"/>
      <w:szCs w:val="22"/>
      <w:lang w:val="en-US" w:eastAsia="zh-CN"/>
    </w:rPr>
  </w:style>
  <w:style w:type="paragraph" w:customStyle="1" w:styleId="194">
    <w:name w:val="xl39"/>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jc w:val="left"/>
    </w:pPr>
    <w:rPr>
      <w:rFonts w:hint="default" w:ascii="宋体" w:hAnsi="宋体" w:eastAsia="宋体" w:cs="Times New Roman"/>
      <w:color w:val="auto"/>
      <w:kern w:val="0"/>
      <w:sz w:val="24"/>
      <w:szCs w:val="24"/>
      <w:lang w:val="en-US" w:eastAsia="zh-CN"/>
    </w:rPr>
  </w:style>
  <w:style w:type="paragraph" w:customStyle="1" w:styleId="195">
    <w:name w:val="xl36"/>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hint="default" w:ascii="宋体" w:hAnsi="宋体" w:eastAsia="宋体" w:cs="Times New Roman"/>
      <w:color w:val="auto"/>
      <w:kern w:val="0"/>
      <w:sz w:val="20"/>
      <w:szCs w:val="20"/>
      <w:lang w:val="en-US" w:eastAsia="zh-CN"/>
    </w:rPr>
  </w:style>
  <w:style w:type="paragraph" w:customStyle="1" w:styleId="196">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int="default" w:ascii="宋体" w:hAnsi="宋体" w:eastAsia="宋体" w:cs="Times New Roman"/>
      <w:color w:val="auto"/>
      <w:kern w:val="0"/>
      <w:sz w:val="24"/>
      <w:szCs w:val="24"/>
      <w:lang w:val="en-US" w:eastAsia="zh-CN"/>
    </w:rPr>
  </w:style>
  <w:style w:type="paragraph" w:customStyle="1" w:styleId="197">
    <w:name w:val="xl42"/>
    <w:basedOn w:val="1"/>
    <w:qFormat/>
    <w:uiPriority w:val="0"/>
    <w:pPr>
      <w:spacing w:before="100" w:beforeAutospacing="1" w:after="100" w:afterAutospacing="1"/>
      <w:jc w:val="center"/>
    </w:pPr>
    <w:rPr>
      <w:rFonts w:hint="default" w:ascii="宋体" w:hAnsi="宋体" w:eastAsia="宋体" w:cs="Times New Roman"/>
      <w:color w:val="auto"/>
      <w:kern w:val="0"/>
      <w:sz w:val="24"/>
      <w:szCs w:val="24"/>
      <w:lang w:val="en-US" w:eastAsia="zh-CN"/>
    </w:rPr>
  </w:style>
  <w:style w:type="paragraph" w:customStyle="1" w:styleId="198">
    <w:name w:val="小标题 2"/>
    <w:next w:val="199"/>
    <w:qFormat/>
    <w:uiPriority w:val="0"/>
    <w:pPr>
      <w:keepNext/>
      <w:keepLines/>
      <w:spacing w:before="120" w:line="300" w:lineRule="auto"/>
      <w:jc w:val="center"/>
    </w:pPr>
    <w:rPr>
      <w:rFonts w:hint="eastAsia" w:ascii="Arial Unicode MS" w:hAnsi="Arial Unicode MS" w:eastAsia="Arial Unicode MS" w:cs="Arial Unicode MS"/>
      <w:b/>
      <w:bCs/>
      <w:color w:val="000000"/>
      <w:sz w:val="30"/>
      <w:szCs w:val="30"/>
      <w:lang w:val="zh-TW" w:eastAsia="zh-TW" w:bidi="ar-SA"/>
    </w:rPr>
  </w:style>
  <w:style w:type="paragraph" w:customStyle="1" w:styleId="199">
    <w:name w:val="NormalIndent"/>
    <w:qFormat/>
    <w:uiPriority w:val="0"/>
    <w:pPr>
      <w:spacing w:line="360" w:lineRule="auto"/>
      <w:ind w:firstLine="480"/>
    </w:pPr>
    <w:rPr>
      <w:rFonts w:hint="eastAsia" w:ascii="Arial Unicode MS" w:hAnsi="Arial Unicode MS" w:eastAsia="Arial Unicode MS" w:cs="Arial Unicode MS"/>
      <w:color w:val="000000"/>
      <w:kern w:val="2"/>
      <w:sz w:val="24"/>
      <w:szCs w:val="24"/>
      <w:shd w:val="clear" w:color="auto" w:fill="00FF00"/>
      <w:lang w:val="zh-TW" w:eastAsia="zh-TW" w:bidi="ar-SA"/>
    </w:rPr>
  </w:style>
  <w:style w:type="paragraph" w:customStyle="1" w:styleId="200">
    <w:name w:val="_Style 182"/>
    <w:basedOn w:val="2"/>
    <w:next w:val="1"/>
    <w:qFormat/>
    <w:uiPriority w:val="39"/>
    <w:pPr>
      <w:spacing w:before="480" w:after="0" w:line="276" w:lineRule="auto"/>
      <w:jc w:val="left"/>
      <w:outlineLvl w:val="9"/>
    </w:pPr>
    <w:rPr>
      <w:rFonts w:hint="default" w:ascii="Cambria" w:hAnsi="Cambria" w:eastAsia="宋体" w:cs="Times New Roman"/>
      <w:color w:val="365F91"/>
      <w:kern w:val="0"/>
      <w:sz w:val="28"/>
      <w:szCs w:val="28"/>
      <w:lang w:val="en-US" w:eastAsia="zh-CN"/>
    </w:rPr>
  </w:style>
  <w:style w:type="paragraph" w:customStyle="1" w:styleId="201">
    <w:name w:val="1.正文"/>
    <w:basedOn w:val="1"/>
    <w:qFormat/>
    <w:uiPriority w:val="0"/>
    <w:pPr>
      <w:spacing w:line="360" w:lineRule="auto"/>
      <w:ind w:left="540" w:leftChars="225" w:firstLine="540" w:firstLineChars="225"/>
    </w:pPr>
    <w:rPr>
      <w:rFonts w:eastAsia="仿宋_GB2312"/>
      <w:kern w:val="0"/>
      <w:sz w:val="24"/>
      <w:szCs w:val="24"/>
    </w:rPr>
  </w:style>
  <w:style w:type="paragraph" w:customStyle="1" w:styleId="202">
    <w:name w:val="不缩进"/>
    <w:basedOn w:val="1"/>
    <w:qFormat/>
    <w:uiPriority w:val="0"/>
    <w:pPr>
      <w:widowControl w:val="0"/>
      <w:jc w:val="center"/>
    </w:pPr>
    <w:rPr>
      <w:rFonts w:hint="default" w:ascii="仿宋_GB2312" w:hAnsi="宋体" w:eastAsia="仿宋_GB2312" w:cs="Times New Roman"/>
      <w:color w:val="auto"/>
      <w:szCs w:val="24"/>
      <w:lang w:val="en-US" w:eastAsia="zh-CN"/>
    </w:rPr>
  </w:style>
  <w:style w:type="paragraph" w:customStyle="1" w:styleId="203">
    <w:name w:val="xl25"/>
    <w:basedOn w:val="1"/>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hint="default" w:ascii="宋体" w:hAnsi="宋体" w:eastAsia="宋体" w:cs="Times New Roman"/>
      <w:color w:val="auto"/>
      <w:kern w:val="0"/>
      <w:sz w:val="22"/>
      <w:szCs w:val="22"/>
      <w:lang w:val="en-US" w:eastAsia="zh-CN"/>
    </w:rPr>
  </w:style>
  <w:style w:type="paragraph" w:customStyle="1" w:styleId="204">
    <w:name w:val="段"/>
    <w:next w:val="1"/>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205">
    <w:name w:val="179"/>
    <w:qFormat/>
    <w:uiPriority w:val="0"/>
    <w:pPr>
      <w:ind w:firstLine="420"/>
    </w:pPr>
    <w:rPr>
      <w:rFonts w:hint="eastAsia" w:ascii="Arial Unicode MS" w:hAnsi="Arial Unicode MS" w:eastAsia="Arial Unicode MS" w:cs="Arial Unicode MS"/>
      <w:color w:val="000000"/>
      <w:sz w:val="24"/>
      <w:szCs w:val="24"/>
      <w:lang w:val="en-US" w:eastAsia="zh-CN" w:bidi="ar-SA"/>
    </w:rPr>
  </w:style>
  <w:style w:type="paragraph" w:styleId="206">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07">
    <w:name w:val="xl50"/>
    <w:basedOn w:val="1"/>
    <w:qFormat/>
    <w:uiPriority w:val="0"/>
    <w:pPr>
      <w:pBdr>
        <w:left w:val="single" w:color="auto" w:sz="4" w:space="0"/>
        <w:bottom w:val="single" w:color="auto" w:sz="4" w:space="0"/>
        <w:right w:val="single" w:color="auto" w:sz="8" w:space="0"/>
      </w:pBdr>
      <w:spacing w:before="100" w:beforeAutospacing="1" w:after="100" w:afterAutospacing="1"/>
      <w:jc w:val="center"/>
    </w:pPr>
    <w:rPr>
      <w:rFonts w:hint="default" w:ascii="宋体" w:hAnsi="宋体" w:eastAsia="宋体" w:cs="Times New Roman"/>
      <w:color w:val="auto"/>
      <w:kern w:val="0"/>
      <w:sz w:val="24"/>
      <w:szCs w:val="24"/>
      <w:lang w:val="en-US" w:eastAsia="zh-CN"/>
    </w:rPr>
  </w:style>
  <w:style w:type="paragraph" w:customStyle="1" w:styleId="208">
    <w:name w:val="UserStyle_161"/>
    <w:qFormat/>
    <w:uiPriority w:val="0"/>
    <w:pPr>
      <w:ind w:firstLine="420"/>
      <w:jc w:val="both"/>
    </w:pPr>
    <w:rPr>
      <w:rFonts w:hint="eastAsia" w:ascii="Arial Unicode MS" w:hAnsi="Arial Unicode MS" w:eastAsia="Arial Unicode MS" w:cs="Arial Unicode MS"/>
      <w:color w:val="000000"/>
      <w:kern w:val="2"/>
      <w:sz w:val="21"/>
      <w:szCs w:val="21"/>
      <w:lang w:val="en-US" w:eastAsia="zh-CN" w:bidi="ar-SA"/>
    </w:rPr>
  </w:style>
  <w:style w:type="paragraph" w:customStyle="1" w:styleId="209">
    <w:name w:val="正文_5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0">
    <w:name w:val="xl33"/>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hint="default" w:ascii="宋体" w:hAnsi="宋体" w:eastAsia="宋体" w:cs="Times New Roman"/>
      <w:color w:val="auto"/>
      <w:kern w:val="0"/>
      <w:sz w:val="24"/>
      <w:szCs w:val="24"/>
      <w:lang w:val="en-US" w:eastAsia="zh-CN"/>
    </w:rPr>
  </w:style>
  <w:style w:type="paragraph" w:customStyle="1" w:styleId="211">
    <w:name w:val="xl40"/>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hint="default" w:ascii="宋体" w:hAnsi="宋体" w:eastAsia="宋体" w:cs="Times New Roman"/>
      <w:color w:val="auto"/>
      <w:kern w:val="0"/>
      <w:sz w:val="24"/>
      <w:szCs w:val="24"/>
      <w:lang w:val="en-US" w:eastAsia="zh-CN"/>
    </w:rPr>
  </w:style>
  <w:style w:type="paragraph" w:customStyle="1" w:styleId="212">
    <w:name w:val="xl48"/>
    <w:basedOn w:val="1"/>
    <w:qFormat/>
    <w:uiPriority w:val="0"/>
    <w:pPr>
      <w:pBdr>
        <w:top w:val="single" w:color="auto" w:sz="4" w:space="0"/>
        <w:left w:val="single" w:color="auto" w:sz="4" w:space="0"/>
        <w:right w:val="single" w:color="auto" w:sz="8" w:space="0"/>
      </w:pBdr>
      <w:spacing w:before="100" w:beforeAutospacing="1" w:after="100" w:afterAutospacing="1"/>
      <w:jc w:val="center"/>
    </w:pPr>
    <w:rPr>
      <w:rFonts w:hint="default" w:ascii="宋体" w:hAnsi="宋体" w:eastAsia="宋体" w:cs="Times New Roman"/>
      <w:color w:val="auto"/>
      <w:kern w:val="0"/>
      <w:sz w:val="24"/>
      <w:szCs w:val="24"/>
      <w:lang w:val="en-US" w:eastAsia="zh-CN"/>
    </w:rPr>
  </w:style>
  <w:style w:type="paragraph" w:customStyle="1" w:styleId="213">
    <w:name w:val="xl37"/>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left"/>
    </w:pPr>
    <w:rPr>
      <w:rFonts w:hint="default" w:ascii="宋体" w:hAnsi="宋体" w:eastAsia="宋体" w:cs="Times New Roman"/>
      <w:color w:val="auto"/>
      <w:kern w:val="0"/>
      <w:sz w:val="24"/>
      <w:szCs w:val="24"/>
      <w:lang w:val="en-US" w:eastAsia="zh-CN"/>
    </w:rPr>
  </w:style>
  <w:style w:type="paragraph" w:customStyle="1" w:styleId="214">
    <w:name w:val="页眉与页脚"/>
    <w:qFormat/>
    <w:uiPriority w:val="0"/>
    <w:pPr>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215">
    <w:name w:val="xl34"/>
    <w:basedOn w:val="1"/>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jc w:val="left"/>
    </w:pPr>
    <w:rPr>
      <w:rFonts w:hint="default" w:ascii="宋体" w:hAnsi="宋体" w:eastAsia="宋体" w:cs="Times New Roman"/>
      <w:color w:val="auto"/>
      <w:kern w:val="0"/>
      <w:sz w:val="24"/>
      <w:szCs w:val="24"/>
      <w:lang w:val="en-US" w:eastAsia="zh-CN"/>
    </w:rPr>
  </w:style>
  <w:style w:type="paragraph" w:customStyle="1" w:styleId="216">
    <w:name w:val="正文_13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7">
    <w:name w:val="xl35"/>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jc w:val="left"/>
    </w:pPr>
    <w:rPr>
      <w:rFonts w:hint="default" w:ascii="宋体" w:hAnsi="宋体" w:eastAsia="宋体" w:cs="Times New Roman"/>
      <w:color w:val="auto"/>
      <w:kern w:val="0"/>
      <w:sz w:val="20"/>
      <w:szCs w:val="20"/>
      <w:lang w:val="en-US" w:eastAsia="zh-CN"/>
    </w:rPr>
  </w:style>
  <w:style w:type="paragraph" w:customStyle="1" w:styleId="218">
    <w:name w:val="xl44"/>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219">
    <w:name w:val="正文_6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0">
    <w:name w:val="No Spacing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21">
    <w:name w:val="小标题 3"/>
    <w:next w:val="199"/>
    <w:qFormat/>
    <w:uiPriority w:val="0"/>
    <w:pPr>
      <w:keepNext/>
      <w:keepLines/>
      <w:spacing w:before="360" w:after="120"/>
    </w:pPr>
    <w:rPr>
      <w:rFonts w:ascii="宋体" w:hAnsi="宋体" w:eastAsia="宋体" w:cs="宋体"/>
      <w:b/>
      <w:bCs/>
      <w:color w:val="000000"/>
      <w:sz w:val="24"/>
      <w:szCs w:val="24"/>
      <w:u w:val="single" w:color="000000"/>
      <w:lang w:val="en-US" w:eastAsia="zh-CN" w:bidi="ar-SA"/>
    </w:rPr>
  </w:style>
  <w:style w:type="paragraph" w:customStyle="1" w:styleId="222">
    <w:name w:val="列出段落11"/>
    <w:basedOn w:val="1"/>
    <w:qFormat/>
    <w:uiPriority w:val="0"/>
    <w:pPr>
      <w:ind w:firstLine="420" w:firstLineChars="200"/>
      <w:jc w:val="left"/>
    </w:pPr>
    <w:rPr>
      <w:rFonts w:hint="default" w:ascii="仿宋_GB2312" w:hAnsi="Times New Roman" w:eastAsia="仿宋_GB2312" w:cs="Times New Roman"/>
      <w:color w:val="auto"/>
      <w:kern w:val="0"/>
      <w:sz w:val="24"/>
      <w:szCs w:val="32"/>
      <w:lang w:val="en-US" w:eastAsia="zh-CN"/>
    </w:rPr>
  </w:style>
  <w:style w:type="paragraph" w:customStyle="1" w:styleId="223">
    <w:name w:val="shsj2em2"/>
    <w:basedOn w:val="1"/>
    <w:qFormat/>
    <w:uiPriority w:val="0"/>
    <w:pPr>
      <w:spacing w:line="600" w:lineRule="atLeast"/>
      <w:ind w:firstLine="480"/>
      <w:jc w:val="left"/>
    </w:pPr>
    <w:rPr>
      <w:rFonts w:hint="default" w:ascii="微软雅黑" w:hAnsi="微软雅黑" w:eastAsia="微软雅黑" w:cs="宋体"/>
      <w:kern w:val="0"/>
      <w:lang w:val="en-US" w:eastAsia="zh-CN"/>
    </w:rPr>
  </w:style>
  <w:style w:type="paragraph" w:customStyle="1" w:styleId="224">
    <w:name w:val="font5"/>
    <w:basedOn w:val="1"/>
    <w:qFormat/>
    <w:uiPriority w:val="0"/>
    <w:pPr>
      <w:spacing w:before="100" w:beforeAutospacing="1" w:after="100" w:afterAutospacing="1"/>
      <w:jc w:val="left"/>
    </w:pPr>
    <w:rPr>
      <w:rFonts w:ascii="宋体" w:hAnsi="宋体" w:eastAsia="宋体" w:cs="Times New Roman"/>
      <w:color w:val="auto"/>
      <w:kern w:val="0"/>
      <w:sz w:val="18"/>
      <w:szCs w:val="18"/>
      <w:lang w:val="en-US" w:eastAsia="zh-CN"/>
    </w:rPr>
  </w:style>
  <w:style w:type="paragraph" w:customStyle="1" w:styleId="225">
    <w:name w:val="font8"/>
    <w:basedOn w:val="1"/>
    <w:qFormat/>
    <w:uiPriority w:val="0"/>
    <w:pPr>
      <w:spacing w:before="100" w:beforeAutospacing="1" w:after="100" w:afterAutospacing="1"/>
      <w:jc w:val="left"/>
    </w:pPr>
    <w:rPr>
      <w:rFonts w:ascii="宋体" w:hAnsi="宋体" w:eastAsia="宋体" w:cs="Times New Roman"/>
      <w:color w:val="auto"/>
      <w:kern w:val="0"/>
      <w:sz w:val="20"/>
      <w:szCs w:val="20"/>
      <w:lang w:val="en-US" w:eastAsia="zh-CN"/>
    </w:rPr>
  </w:style>
  <w:style w:type="paragraph" w:customStyle="1" w:styleId="226">
    <w:name w:val="WPSOffice手动目录 2"/>
    <w:qFormat/>
    <w:uiPriority w:val="0"/>
    <w:pPr>
      <w:ind w:left="200" w:leftChars="200"/>
    </w:pPr>
    <w:rPr>
      <w:rFonts w:ascii="Times New Roman" w:hAnsi="Times New Roman" w:eastAsia="宋体" w:cs="Times New Roman"/>
      <w:lang w:val="en-GB" w:eastAsia="zh-CN" w:bidi="ar-SA"/>
    </w:rPr>
  </w:style>
  <w:style w:type="paragraph" w:customStyle="1" w:styleId="227">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228">
    <w:name w:val="默认"/>
    <w:qFormat/>
    <w:uiPriority w:val="0"/>
    <w:pPr>
      <w:spacing w:before="160"/>
    </w:pPr>
    <w:rPr>
      <w:rFonts w:ascii="Helvetica Neue" w:hAnsi="Helvetica Neue" w:eastAsia="Helvetica Neue" w:cs="Helvetica Neue"/>
      <w:color w:val="000000"/>
      <w:sz w:val="24"/>
      <w:szCs w:val="24"/>
      <w:lang w:val="en-US" w:eastAsia="zh-CN" w:bidi="ar-SA"/>
    </w:rPr>
  </w:style>
  <w:style w:type="paragraph" w:customStyle="1" w:styleId="229">
    <w:name w:val="样式 目录 2 + 左侧:  2 字符"/>
    <w:basedOn w:val="40"/>
    <w:qFormat/>
    <w:uiPriority w:val="0"/>
    <w:pPr>
      <w:widowControl w:val="0"/>
      <w:spacing w:after="0" w:line="440" w:lineRule="exact"/>
      <w:ind w:left="200" w:leftChars="200"/>
      <w:jc w:val="both"/>
    </w:pPr>
    <w:rPr>
      <w:rFonts w:ascii="Times New Roman" w:hAnsi="Times New Roman" w:cs="宋体"/>
      <w:kern w:val="2"/>
      <w:sz w:val="24"/>
      <w:szCs w:val="20"/>
    </w:rPr>
  </w:style>
  <w:style w:type="paragraph" w:customStyle="1" w:styleId="230">
    <w:name w:val="xl46"/>
    <w:basedOn w:val="1"/>
    <w:qFormat/>
    <w:uiPriority w:val="0"/>
    <w:pPr>
      <w:pBdr>
        <w:left w:val="single" w:color="auto" w:sz="4" w:space="0"/>
        <w:right w:val="single" w:color="auto" w:sz="8"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231">
    <w:name w:val="Char1 Char Char Char Char Char Char"/>
    <w:basedOn w:val="1"/>
    <w:qFormat/>
    <w:uiPriority w:val="0"/>
    <w:pPr>
      <w:widowControl w:val="0"/>
    </w:pPr>
    <w:rPr>
      <w:rFonts w:hint="default" w:ascii="Tahoma" w:hAnsi="Tahoma" w:eastAsia="宋体" w:cs="Times New Roman"/>
      <w:color w:val="auto"/>
      <w:sz w:val="24"/>
      <w:szCs w:val="20"/>
      <w:lang w:val="en-US" w:eastAsia="zh-CN"/>
    </w:rPr>
  </w:style>
  <w:style w:type="paragraph" w:customStyle="1" w:styleId="232">
    <w:name w:val="xl30"/>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233">
    <w:name w:val="小标题"/>
    <w:next w:val="1"/>
    <w:qFormat/>
    <w:uiPriority w:val="0"/>
    <w:pPr>
      <w:keepNext/>
      <w:keepLines/>
      <w:spacing w:before="240" w:after="120" w:line="300" w:lineRule="auto"/>
      <w:jc w:val="center"/>
    </w:pPr>
    <w:rPr>
      <w:rFonts w:ascii="宋体" w:hAnsi="宋体" w:eastAsia="宋体" w:cs="宋体"/>
      <w:b/>
      <w:bCs/>
      <w:color w:val="000000"/>
      <w:kern w:val="44"/>
      <w:sz w:val="32"/>
      <w:szCs w:val="32"/>
      <w:lang w:val="zh-TW" w:eastAsia="zh-TW" w:bidi="ar-SA"/>
    </w:rPr>
  </w:style>
  <w:style w:type="paragraph" w:customStyle="1" w:styleId="234">
    <w:name w:val="xl31"/>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235">
    <w:name w:val="_Style 13"/>
    <w:basedOn w:val="1"/>
    <w:qFormat/>
    <w:uiPriority w:val="0"/>
    <w:pPr>
      <w:widowControl w:val="0"/>
      <w:ind w:firstLine="420" w:firstLineChars="200"/>
    </w:pPr>
    <w:rPr>
      <w:rFonts w:hint="default" w:ascii="Calibri" w:hAnsi="Calibri" w:eastAsia="宋体" w:cs="Times New Roman"/>
      <w:color w:val="auto"/>
      <w:szCs w:val="22"/>
      <w:lang w:val="en-US" w:eastAsia="zh-CN"/>
    </w:rPr>
  </w:style>
  <w:style w:type="paragraph" w:customStyle="1" w:styleId="236">
    <w:name w:val="UserStyle_92"/>
    <w:qFormat/>
    <w:uiPriority w:val="0"/>
    <w:pPr>
      <w:spacing w:line="360" w:lineRule="auto"/>
      <w:ind w:firstLine="200"/>
      <w:jc w:val="both"/>
    </w:pPr>
    <w:rPr>
      <w:rFonts w:ascii="宋体" w:hAnsi="宋体" w:eastAsia="宋体" w:cs="宋体"/>
      <w:color w:val="000000"/>
      <w:sz w:val="22"/>
      <w:szCs w:val="22"/>
      <w:lang w:val="en-US" w:eastAsia="zh-CN" w:bidi="ar-SA"/>
    </w:rPr>
  </w:style>
  <w:style w:type="paragraph" w:customStyle="1" w:styleId="237">
    <w:name w:val="xl24"/>
    <w:basedOn w:val="1"/>
    <w:qFormat/>
    <w:uiPriority w:val="0"/>
    <w:pPr>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hint="default" w:ascii="宋体" w:hAnsi="宋体" w:eastAsia="宋体" w:cs="Times New Roman"/>
      <w:color w:val="auto"/>
      <w:kern w:val="0"/>
      <w:sz w:val="22"/>
      <w:szCs w:val="22"/>
      <w:lang w:val="en-US" w:eastAsia="zh-CN"/>
    </w:rPr>
  </w:style>
  <w:style w:type="paragraph" w:customStyle="1" w:styleId="238">
    <w:name w:val="TOC4"/>
    <w:next w:val="1"/>
    <w:qFormat/>
    <w:uiPriority w:val="0"/>
    <w:pPr>
      <w:ind w:left="1260"/>
      <w:jc w:val="both"/>
    </w:pPr>
    <w:rPr>
      <w:rFonts w:ascii="Times New Roman" w:hAnsi="Times New Roman" w:eastAsia="Arial Unicode MS" w:cs="Arial Unicode MS"/>
      <w:color w:val="000000"/>
      <w:kern w:val="2"/>
      <w:sz w:val="21"/>
      <w:szCs w:val="21"/>
      <w:lang w:val="en-US" w:eastAsia="zh-CN" w:bidi="ar-SA"/>
    </w:rPr>
  </w:style>
  <w:style w:type="paragraph" w:customStyle="1" w:styleId="239">
    <w:name w:val="WPSOffice手动目录 3"/>
    <w:qFormat/>
    <w:uiPriority w:val="0"/>
    <w:pPr>
      <w:ind w:left="400" w:leftChars="400"/>
    </w:pPr>
    <w:rPr>
      <w:rFonts w:ascii="Times New Roman" w:hAnsi="Times New Roman" w:eastAsia="宋体" w:cs="Times New Roman"/>
      <w:lang w:val="en-GB" w:eastAsia="zh-CN" w:bidi="ar-SA"/>
    </w:rPr>
  </w:style>
  <w:style w:type="paragraph" w:customStyle="1" w:styleId="240">
    <w:name w:val="xl51"/>
    <w:basedOn w:val="1"/>
    <w:qFormat/>
    <w:uiPriority w:val="0"/>
    <w:pPr>
      <w:pBdr>
        <w:left w:val="single" w:color="auto" w:sz="4" w:space="0"/>
        <w:bottom w:val="single" w:color="auto" w:sz="8" w:space="0"/>
        <w:right w:val="single" w:color="auto" w:sz="8" w:space="0"/>
      </w:pBdr>
      <w:spacing w:before="100" w:beforeAutospacing="1" w:after="100" w:afterAutospacing="1"/>
      <w:jc w:val="center"/>
    </w:pPr>
    <w:rPr>
      <w:rFonts w:hint="default" w:ascii="宋体" w:hAnsi="宋体" w:eastAsia="宋体" w:cs="Times New Roman"/>
      <w:color w:val="auto"/>
      <w:kern w:val="0"/>
      <w:sz w:val="24"/>
      <w:szCs w:val="24"/>
      <w:lang w:val="en-US" w:eastAsia="zh-CN"/>
    </w:rPr>
  </w:style>
  <w:style w:type="table" w:customStyle="1" w:styleId="241">
    <w:name w:val="Table Normal1"/>
    <w:unhideWhenUsed/>
    <w:qFormat/>
    <w:uiPriority w:val="2"/>
    <w:tblPr>
      <w:tblCellMar>
        <w:top w:w="0" w:type="dxa"/>
        <w:left w:w="0" w:type="dxa"/>
        <w:bottom w:w="0" w:type="dxa"/>
        <w:right w:w="0" w:type="dxa"/>
      </w:tblCellMar>
    </w:tblPr>
  </w:style>
  <w:style w:type="table" w:customStyle="1" w:styleId="242">
    <w:name w:val="网格型1"/>
    <w:basedOn w:val="5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3">
    <w:name w:val="网格型2"/>
    <w:basedOn w:val="5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
    <w:name w:val="Table Normal"/>
    <w:qFormat/>
    <w:uiPriority w:val="0"/>
    <w:rPr>
      <w:rFonts w:eastAsia="Arial Unicode MS"/>
    </w:rPr>
    <w:tblPr>
      <w:tblCellMar>
        <w:top w:w="0" w:type="dxa"/>
        <w:left w:w="0" w:type="dxa"/>
        <w:bottom w:w="0" w:type="dxa"/>
        <w:right w:w="0" w:type="dxa"/>
      </w:tblCellMar>
    </w:tblPr>
  </w:style>
  <w:style w:type="paragraph" w:customStyle="1" w:styleId="245">
    <w:name w:val="p0"/>
    <w:basedOn w:val="1"/>
    <w:qFormat/>
    <w:uiPriority w:val="0"/>
    <w:rPr>
      <w:rFonts w:ascii="Calibri" w:hAnsi="Calibri" w:eastAsia="宋体" w:cs="Times New Roman"/>
      <w:kern w:val="0"/>
    </w:rPr>
  </w:style>
  <w:style w:type="paragraph" w:customStyle="1" w:styleId="246">
    <w:name w:val="Other|1"/>
    <w:basedOn w:val="1"/>
    <w:qFormat/>
    <w:uiPriority w:val="0"/>
    <w:pPr>
      <w:widowControl w:val="0"/>
      <w:spacing w:line="377" w:lineRule="auto"/>
      <w:ind w:firstLine="400"/>
    </w:pPr>
    <w:rPr>
      <w:rFonts w:ascii="宋体" w:hAnsi="宋体" w:eastAsia="宋体" w:cs="宋体"/>
      <w:sz w:val="28"/>
      <w:szCs w:val="28"/>
      <w:lang w:bidi="zh-TW"/>
    </w:rPr>
  </w:style>
  <w:style w:type="paragraph" w:customStyle="1" w:styleId="247">
    <w:name w:val="Body text|2"/>
    <w:basedOn w:val="1"/>
    <w:qFormat/>
    <w:uiPriority w:val="0"/>
    <w:pPr>
      <w:widowControl w:val="0"/>
      <w:spacing w:after="180"/>
    </w:pPr>
    <w:rPr>
      <w:rFonts w:ascii="宋体" w:hAnsi="宋体" w:eastAsia="宋体" w:cs="宋体"/>
      <w:sz w:val="22"/>
      <w:szCs w:val="22"/>
      <w:lang w:bidi="zh-TW"/>
    </w:rPr>
  </w:style>
  <w:style w:type="paragraph" w:customStyle="1" w:styleId="248">
    <w:name w:val="_Style 231"/>
    <w:unhideWhenUsed/>
    <w:qFormat/>
    <w:uiPriority w:val="99"/>
    <w:rPr>
      <w:rFonts w:hint="eastAsia" w:ascii="Arial Unicode MS" w:hAnsi="Arial Unicode MS" w:eastAsia="Arial Unicode MS" w:cs="Arial Unicode MS"/>
      <w:color w:val="000000"/>
      <w:kern w:val="2"/>
      <w:sz w:val="21"/>
      <w:szCs w:val="21"/>
      <w:lang w:val="zh-TW" w:eastAsia="zh-TW" w:bidi="ar-SA"/>
    </w:rPr>
  </w:style>
  <w:style w:type="paragraph" w:customStyle="1" w:styleId="249">
    <w:name w:val="BodyText1I2"/>
    <w:basedOn w:val="250"/>
    <w:qFormat/>
    <w:uiPriority w:val="0"/>
    <w:pPr>
      <w:ind w:firstLine="420" w:firstLineChars="200"/>
    </w:pPr>
  </w:style>
  <w:style w:type="paragraph" w:customStyle="1" w:styleId="250">
    <w:name w:val="BodyTextIndent"/>
    <w:basedOn w:val="1"/>
    <w:qFormat/>
    <w:uiPriority w:val="0"/>
    <w:pPr>
      <w:spacing w:after="120"/>
      <w:ind w:left="420" w:leftChars="200"/>
      <w:textAlignment w:val="baseline"/>
    </w:pPr>
  </w:style>
  <w:style w:type="character" w:customStyle="1" w:styleId="251">
    <w:name w:val="font91"/>
    <w:qFormat/>
    <w:uiPriority w:val="0"/>
    <w:rPr>
      <w:rFonts w:ascii="宋体" w:hAnsi="宋体" w:eastAsia="宋体" w:cs="宋体"/>
      <w:color w:val="000000"/>
      <w:sz w:val="20"/>
      <w:szCs w:val="20"/>
      <w:u w:val="none"/>
    </w:rPr>
  </w:style>
  <w:style w:type="character" w:customStyle="1" w:styleId="252">
    <w:name w:val="font71"/>
    <w:qFormat/>
    <w:uiPriority w:val="0"/>
    <w:rPr>
      <w:rFonts w:hint="default" w:ascii="Arial" w:hAnsi="Arial" w:cs="Arial"/>
      <w:color w:val="000000"/>
      <w:sz w:val="20"/>
      <w:szCs w:val="20"/>
      <w:u w:val="none"/>
    </w:rPr>
  </w:style>
  <w:style w:type="paragraph" w:customStyle="1" w:styleId="253">
    <w:name w:val="_Style 230"/>
    <w:unhideWhenUsed/>
    <w:qFormat/>
    <w:uiPriority w:val="99"/>
    <w:rPr>
      <w:rFonts w:hint="eastAsia" w:ascii="Arial Unicode MS" w:hAnsi="Arial Unicode MS" w:eastAsia="Arial Unicode MS" w:cs="Arial Unicode MS"/>
      <w:color w:val="000000"/>
      <w:kern w:val="2"/>
      <w:sz w:val="21"/>
      <w:szCs w:val="21"/>
      <w:lang w:val="zh-TW" w:eastAsia="zh-TW" w:bidi="ar-SA"/>
    </w:rPr>
  </w:style>
  <w:style w:type="paragraph" w:customStyle="1" w:styleId="254">
    <w:name w:val="_Style 237"/>
    <w:unhideWhenUsed/>
    <w:qFormat/>
    <w:uiPriority w:val="99"/>
    <w:rPr>
      <w:rFonts w:hint="eastAsia" w:ascii="Arial Unicode MS" w:hAnsi="Arial Unicode MS" w:eastAsia="Arial Unicode MS" w:cs="Arial Unicode MS"/>
      <w:color w:val="000000"/>
      <w:kern w:val="2"/>
      <w:sz w:val="21"/>
      <w:szCs w:val="21"/>
      <w:lang w:val="zh-TW" w:eastAsia="zh-TW" w:bidi="ar-SA"/>
    </w:rPr>
  </w:style>
  <w:style w:type="character" w:customStyle="1" w:styleId="255">
    <w:name w:val="font21"/>
    <w:qFormat/>
    <w:uiPriority w:val="0"/>
    <w:rPr>
      <w:rFonts w:hint="eastAsia" w:ascii="宋体" w:hAnsi="宋体" w:eastAsia="宋体" w:cs="宋体"/>
      <w:color w:val="000000"/>
      <w:sz w:val="18"/>
      <w:szCs w:val="18"/>
      <w:u w:val="none"/>
    </w:rPr>
  </w:style>
  <w:style w:type="paragraph" w:customStyle="1" w:styleId="256">
    <w:name w:val="_Style 240"/>
    <w:unhideWhenUsed/>
    <w:qFormat/>
    <w:uiPriority w:val="99"/>
    <w:rPr>
      <w:rFonts w:hint="eastAsia" w:ascii="Arial Unicode MS" w:hAnsi="Arial Unicode MS" w:eastAsia="Arial Unicode MS" w:cs="Arial Unicode MS"/>
      <w:color w:val="000000"/>
      <w:kern w:val="2"/>
      <w:sz w:val="21"/>
      <w:szCs w:val="21"/>
      <w:lang w:val="zh-TW" w:eastAsia="zh-TW" w:bidi="ar-SA"/>
    </w:rPr>
  </w:style>
  <w:style w:type="character" w:customStyle="1" w:styleId="257">
    <w:name w:val="font31"/>
    <w:qFormat/>
    <w:uiPriority w:val="0"/>
    <w:rPr>
      <w:rFonts w:hint="default" w:ascii="Times New Roman" w:hAnsi="Times New Roman" w:cs="Times New Roman"/>
      <w:color w:val="000000"/>
      <w:sz w:val="21"/>
      <w:szCs w:val="21"/>
      <w:u w:val="none"/>
    </w:rPr>
  </w:style>
  <w:style w:type="character" w:customStyle="1" w:styleId="258">
    <w:name w:val="font111"/>
    <w:qFormat/>
    <w:uiPriority w:val="0"/>
    <w:rPr>
      <w:rFonts w:hint="default" w:ascii="等线" w:hAnsi="等线" w:eastAsia="等线" w:cs="等线"/>
      <w:color w:val="000000"/>
      <w:sz w:val="18"/>
      <w:szCs w:val="18"/>
      <w:u w:val="none"/>
    </w:rPr>
  </w:style>
  <w:style w:type="character" w:customStyle="1" w:styleId="259">
    <w:name w:val="font122"/>
    <w:qFormat/>
    <w:uiPriority w:val="0"/>
    <w:rPr>
      <w:rFonts w:ascii="黑体" w:hAnsi="宋体" w:eastAsia="黑体" w:cs="黑体"/>
      <w:color w:val="000000"/>
      <w:sz w:val="8"/>
      <w:szCs w:val="8"/>
      <w:u w:val="none"/>
    </w:rPr>
  </w:style>
  <w:style w:type="paragraph" w:customStyle="1" w:styleId="260">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261">
    <w:name w:val="未处理的提及1"/>
    <w:unhideWhenUsed/>
    <w:qFormat/>
    <w:uiPriority w:val="99"/>
    <w:rPr>
      <w:color w:val="605E5C"/>
      <w:shd w:val="clear" w:color="auto" w:fill="E1DFDD"/>
    </w:rPr>
  </w:style>
  <w:style w:type="character" w:customStyle="1" w:styleId="262">
    <w:name w:val="hover"/>
    <w:basedOn w:val="54"/>
    <w:qFormat/>
    <w:uiPriority w:val="0"/>
    <w:rPr>
      <w:color w:val="2590EB"/>
    </w:rPr>
  </w:style>
  <w:style w:type="character" w:customStyle="1" w:styleId="263">
    <w:name w:val="hover1"/>
    <w:basedOn w:val="54"/>
    <w:qFormat/>
    <w:uiPriority w:val="0"/>
    <w:rPr>
      <w:color w:val="2590EB"/>
    </w:rPr>
  </w:style>
  <w:style w:type="character" w:customStyle="1" w:styleId="264">
    <w:name w:val="hover2"/>
    <w:basedOn w:val="54"/>
    <w:qFormat/>
    <w:uiPriority w:val="0"/>
  </w:style>
  <w:style w:type="character" w:customStyle="1" w:styleId="265">
    <w:name w:val="hover3"/>
    <w:basedOn w:val="54"/>
    <w:qFormat/>
    <w:uiPriority w:val="0"/>
    <w:rPr>
      <w:color w:val="2590EB"/>
      <w:shd w:val="clear" w:color="auto" w:fill="E9F4FD"/>
    </w:rPr>
  </w:style>
  <w:style w:type="paragraph" w:customStyle="1" w:styleId="266">
    <w:name w:val="无间隔1"/>
    <w:next w:val="26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67">
    <w:name w:val="TOC Heading1"/>
    <w:next w:val="1"/>
    <w:qFormat/>
    <w:uiPriority w:val="0"/>
    <w:pPr>
      <w:wordWrap w:val="0"/>
    </w:pPr>
    <w:rPr>
      <w:rFonts w:ascii="Calibri" w:hAnsi="Calibri" w:eastAsia="宋体" w:cs="Times New Roman"/>
      <w:sz w:val="32"/>
      <w:szCs w:val="22"/>
      <w:lang w:val="en-US" w:eastAsia="zh-CN" w:bidi="ar-SA"/>
    </w:rPr>
  </w:style>
  <w:style w:type="character" w:customStyle="1" w:styleId="268">
    <w:name w:val="font01"/>
    <w:basedOn w:val="54"/>
    <w:qFormat/>
    <w:uiPriority w:val="0"/>
    <w:rPr>
      <w:rFonts w:hint="eastAsia" w:ascii="仿宋_GB2312" w:eastAsia="仿宋_GB2312" w:cs="仿宋_GB2312"/>
      <w:color w:val="000000"/>
      <w:sz w:val="20"/>
      <w:szCs w:val="20"/>
      <w:u w:val="none"/>
    </w:rPr>
  </w:style>
  <w:style w:type="character" w:customStyle="1" w:styleId="269">
    <w:name w:val="font11"/>
    <w:basedOn w:val="54"/>
    <w:qFormat/>
    <w:uiPriority w:val="0"/>
    <w:rPr>
      <w:rFonts w:hint="eastAsia" w:ascii="仿宋_GB2312" w:eastAsia="仿宋_GB2312" w:cs="仿宋_GB2312"/>
      <w:color w:val="000000"/>
      <w:sz w:val="20"/>
      <w:szCs w:val="20"/>
      <w:u w:val="none"/>
    </w:rPr>
  </w:style>
  <w:style w:type="paragraph" w:customStyle="1" w:styleId="270">
    <w:name w:val="Table Text"/>
    <w:basedOn w:val="1"/>
    <w:semiHidden/>
    <w:qFormat/>
    <w:uiPriority w:val="0"/>
    <w:rPr>
      <w:rFonts w:ascii="宋体" w:hAnsi="宋体" w:eastAsia="宋体" w:cs="宋体"/>
      <w:sz w:val="24"/>
      <w:szCs w:val="24"/>
      <w:lang w:val="en-US" w:eastAsia="en-US"/>
    </w:rPr>
  </w:style>
  <w:style w:type="paragraph" w:customStyle="1" w:styleId="271">
    <w:name w:val="Other|2"/>
    <w:basedOn w:val="1"/>
    <w:qFormat/>
    <w:uiPriority w:val="0"/>
    <w:rPr>
      <w:rFonts w:ascii="黑体" w:hAnsi="黑体" w:eastAsia="黑体" w:cs="黑体"/>
      <w:sz w:val="19"/>
      <w:szCs w:val="19"/>
    </w:rPr>
  </w:style>
  <w:style w:type="paragraph" w:customStyle="1" w:styleId="272">
    <w:name w:val="Table caption|1"/>
    <w:basedOn w:val="1"/>
    <w:qFormat/>
    <w:uiPriority w:val="0"/>
    <w:pPr>
      <w:spacing w:after="30"/>
    </w:pPr>
    <w:rPr>
      <w:rFonts w:ascii="宋体" w:hAnsi="宋体" w:eastAsia="宋体" w:cs="宋体"/>
      <w:sz w:val="15"/>
      <w:szCs w:val="15"/>
    </w:rPr>
  </w:style>
  <w:style w:type="paragraph" w:customStyle="1" w:styleId="273">
    <w:name w:val="Header or footer|1"/>
    <w:basedOn w:val="1"/>
    <w:qFormat/>
    <w:uiPriority w:val="0"/>
    <w:rPr>
      <w:rFonts w:ascii="Arial" w:hAnsi="Arial" w:eastAsia="Arial" w:cs="Arial"/>
      <w:sz w:val="18"/>
      <w:szCs w:val="18"/>
    </w:rPr>
  </w:style>
  <w:style w:type="character" w:customStyle="1" w:styleId="274">
    <w:name w:val="font51"/>
    <w:basedOn w:val="54"/>
    <w:qFormat/>
    <w:uiPriority w:val="0"/>
    <w:rPr>
      <w:rFonts w:ascii="黑体" w:hAnsi="宋体" w:eastAsia="黑体" w:cs="黑体"/>
      <w:color w:val="000000"/>
      <w:sz w:val="18"/>
      <w:szCs w:val="18"/>
      <w:u w:val="none"/>
    </w:rPr>
  </w:style>
  <w:style w:type="character" w:customStyle="1" w:styleId="275">
    <w:name w:val="font112"/>
    <w:basedOn w:val="54"/>
    <w:qFormat/>
    <w:uiPriority w:val="0"/>
    <w:rPr>
      <w:rFonts w:ascii="黑体" w:hAnsi="宋体" w:eastAsia="黑体" w:cs="黑体"/>
      <w:b/>
      <w:bCs/>
      <w:color w:val="000000"/>
      <w:sz w:val="8"/>
      <w:szCs w:val="8"/>
      <w:u w:val="none"/>
    </w:rPr>
  </w:style>
  <w:style w:type="character" w:customStyle="1" w:styleId="276">
    <w:name w:val="font121"/>
    <w:basedOn w:val="54"/>
    <w:qFormat/>
    <w:uiPriority w:val="0"/>
    <w:rPr>
      <w:rFonts w:hint="default" w:ascii="Arial" w:hAnsi="Arial" w:cs="Arial"/>
      <w:color w:val="000000"/>
      <w:sz w:val="18"/>
      <w:szCs w:val="18"/>
      <w:u w:val="none"/>
    </w:rPr>
  </w:style>
  <w:style w:type="character" w:customStyle="1" w:styleId="277">
    <w:name w:val="font41"/>
    <w:basedOn w:val="54"/>
    <w:qFormat/>
    <w:uiPriority w:val="0"/>
    <w:rPr>
      <w:rFonts w:hint="default" w:ascii="Arial" w:hAnsi="Arial" w:cs="Arial"/>
      <w:color w:val="000000"/>
      <w:sz w:val="18"/>
      <w:szCs w:val="18"/>
      <w:u w:val="none"/>
    </w:rPr>
  </w:style>
  <w:style w:type="character" w:customStyle="1" w:styleId="278">
    <w:name w:val="font131"/>
    <w:basedOn w:val="54"/>
    <w:qFormat/>
    <w:uiPriority w:val="0"/>
    <w:rPr>
      <w:rFonts w:hint="eastAsia" w:ascii="宋体" w:hAnsi="宋体" w:eastAsia="宋体" w:cs="宋体"/>
      <w:color w:val="000000"/>
      <w:sz w:val="18"/>
      <w:szCs w:val="18"/>
      <w:u w:val="none"/>
    </w:rPr>
  </w:style>
  <w:style w:type="character" w:customStyle="1" w:styleId="279">
    <w:name w:val="font141"/>
    <w:basedOn w:val="54"/>
    <w:qFormat/>
    <w:uiPriority w:val="0"/>
    <w:rPr>
      <w:rFonts w:hint="default" w:ascii="Times New Roman" w:hAnsi="Times New Roman" w:cs="Times New Roman"/>
      <w:color w:val="000000"/>
      <w:sz w:val="18"/>
      <w:szCs w:val="18"/>
      <w:u w:val="none"/>
    </w:rPr>
  </w:style>
  <w:style w:type="character" w:customStyle="1" w:styleId="280">
    <w:name w:val="font151"/>
    <w:basedOn w:val="54"/>
    <w:qFormat/>
    <w:uiPriority w:val="0"/>
    <w:rPr>
      <w:rFonts w:ascii="黑体" w:hAnsi="宋体" w:eastAsia="黑体" w:cs="黑体"/>
      <w:color w:val="FF0000"/>
      <w:sz w:val="8"/>
      <w:szCs w:val="8"/>
      <w:u w:val="none"/>
    </w:rPr>
  </w:style>
  <w:style w:type="character" w:customStyle="1" w:styleId="281">
    <w:name w:val="font161"/>
    <w:basedOn w:val="54"/>
    <w:qFormat/>
    <w:uiPriority w:val="0"/>
    <w:rPr>
      <w:rFonts w:ascii="黑体" w:hAnsi="宋体" w:eastAsia="黑体" w:cs="黑体"/>
      <w:b/>
      <w:bCs/>
      <w:color w:val="000000"/>
      <w:sz w:val="8"/>
      <w:szCs w:val="8"/>
      <w:u w:val="none"/>
    </w:rPr>
  </w:style>
  <w:style w:type="character" w:customStyle="1" w:styleId="282">
    <w:name w:val="font171"/>
    <w:basedOn w:val="54"/>
    <w:qFormat/>
    <w:uiPriority w:val="0"/>
    <w:rPr>
      <w:rFonts w:hint="default" w:ascii="Arial" w:hAnsi="Arial" w:cs="Arial"/>
      <w:color w:val="000000"/>
      <w:sz w:val="18"/>
      <w:szCs w:val="18"/>
      <w:u w:val="none"/>
    </w:rPr>
  </w:style>
  <w:style w:type="character" w:customStyle="1" w:styleId="283">
    <w:name w:val="font181"/>
    <w:basedOn w:val="54"/>
    <w:qFormat/>
    <w:uiPriority w:val="0"/>
    <w:rPr>
      <w:rFonts w:hint="eastAsia" w:ascii="宋体" w:hAnsi="宋体" w:eastAsia="宋体" w:cs="宋体"/>
      <w:color w:val="000000"/>
      <w:sz w:val="18"/>
      <w:szCs w:val="18"/>
      <w:u w:val="none"/>
    </w:rPr>
  </w:style>
  <w:style w:type="character" w:customStyle="1" w:styleId="284">
    <w:name w:val="font191"/>
    <w:basedOn w:val="54"/>
    <w:qFormat/>
    <w:uiPriority w:val="0"/>
    <w:rPr>
      <w:rFonts w:hint="default" w:ascii="Arial" w:hAnsi="Arial" w:cs="Arial"/>
      <w:color w:val="000000"/>
      <w:sz w:val="18"/>
      <w:szCs w:val="18"/>
      <w:u w:val="none"/>
    </w:rPr>
  </w:style>
  <w:style w:type="character" w:customStyle="1" w:styleId="285">
    <w:name w:val="font101"/>
    <w:basedOn w:val="54"/>
    <w:qFormat/>
    <w:uiPriority w:val="0"/>
    <w:rPr>
      <w:rFonts w:hint="eastAsia" w:ascii="黑体" w:hAnsi="宋体" w:eastAsia="黑体" w:cs="黑体"/>
      <w:color w:val="000000"/>
      <w:sz w:val="18"/>
      <w:szCs w:val="18"/>
      <w:u w:val="none"/>
    </w:rPr>
  </w:style>
  <w:style w:type="paragraph" w:customStyle="1" w:styleId="286">
    <w:name w:val="大标题"/>
    <w:basedOn w:val="1"/>
    <w:next w:val="51"/>
    <w:qFormat/>
    <w:uiPriority w:val="0"/>
    <w:pPr>
      <w:widowControl w:val="0"/>
      <w:jc w:val="center"/>
    </w:pPr>
    <w:rPr>
      <w:rFonts w:hint="default" w:ascii="Arial" w:hAnsi="Arial" w:eastAsia="宋体" w:cs="Times New Roman"/>
      <w:b/>
      <w:color w:val="auto"/>
      <w:sz w:val="28"/>
      <w:szCs w:val="24"/>
      <w:lang w:val="en-US" w:eastAsia="zh-CN"/>
    </w:rPr>
  </w:style>
  <w:style w:type="paragraph" w:customStyle="1" w:styleId="287">
    <w:name w:val="样式 宋体 四号 左"/>
    <w:basedOn w:val="1"/>
    <w:autoRedefine/>
    <w:qFormat/>
    <w:uiPriority w:val="0"/>
    <w:pPr>
      <w:spacing w:line="60" w:lineRule="auto"/>
      <w:jc w:val="left"/>
    </w:pPr>
    <w:rPr>
      <w:rFonts w:ascii="宋体" w:hAnsi="宋体" w:eastAsia="宋体" w:cs="宋体"/>
      <w:sz w:val="28"/>
      <w:szCs w:val="20"/>
    </w:rPr>
  </w:style>
  <w:style w:type="character" w:customStyle="1" w:styleId="288">
    <w:name w:val="15"/>
    <w:qFormat/>
    <w:uiPriority w:val="0"/>
    <w:rPr>
      <w:rFonts w:hint="eastAsia" w:ascii="黑体" w:hAnsi="宋体" w:eastAsia="黑体" w:cs="黑体"/>
      <w:color w:val="000000"/>
      <w:sz w:val="18"/>
      <w:szCs w:val="18"/>
    </w:rPr>
  </w:style>
  <w:style w:type="character" w:customStyle="1" w:styleId="289">
    <w:name w:val="17"/>
    <w:qFormat/>
    <w:uiPriority w:val="0"/>
    <w:rPr>
      <w:rFonts w:hint="eastAsia" w:ascii="黑体" w:hAnsi="宋体" w:eastAsia="黑体" w:cs="黑体"/>
      <w:b/>
      <w:bCs/>
      <w:color w:val="000000"/>
      <w:sz w:val="8"/>
      <w:szCs w:val="8"/>
    </w:rPr>
  </w:style>
  <w:style w:type="character" w:customStyle="1" w:styleId="290">
    <w:name w:val="19"/>
    <w:qFormat/>
    <w:uiPriority w:val="0"/>
    <w:rPr>
      <w:rFonts w:hint="eastAsia" w:ascii="黑体" w:hAnsi="宋体" w:eastAsia="黑体" w:cs="黑体"/>
      <w:color w:val="FF0000"/>
      <w:sz w:val="8"/>
      <w:szCs w:val="8"/>
    </w:rPr>
  </w:style>
  <w:style w:type="paragraph" w:customStyle="1" w:styleId="291">
    <w:name w:val="修订1"/>
    <w:hidden/>
    <w:unhideWhenUsed/>
    <w:qFormat/>
    <w:uiPriority w:val="99"/>
    <w:rPr>
      <w:rFonts w:hint="eastAsia" w:ascii="Arial Unicode MS" w:hAnsi="Arial Unicode MS" w:eastAsia="Arial Unicode MS" w:cs="Arial Unicode MS"/>
      <w:color w:val="000000"/>
      <w:kern w:val="2"/>
      <w:sz w:val="21"/>
      <w:szCs w:val="21"/>
      <w:lang w:val="zh-TW" w:eastAsia="zh-TW" w:bidi="ar-SA"/>
    </w:rPr>
  </w:style>
  <w:style w:type="paragraph" w:customStyle="1" w:styleId="292">
    <w:name w:val="修订2"/>
    <w:hidden/>
    <w:unhideWhenUsed/>
    <w:qFormat/>
    <w:uiPriority w:val="99"/>
    <w:rPr>
      <w:rFonts w:hint="eastAsia" w:ascii="Arial Unicode MS" w:hAnsi="Arial Unicode MS" w:eastAsia="Arial Unicode MS" w:cs="Arial Unicode MS"/>
      <w:color w:val="000000"/>
      <w:kern w:val="2"/>
      <w:sz w:val="21"/>
      <w:szCs w:val="21"/>
      <w:lang w:val="zh-TW" w:eastAsia="zh-TW" w:bidi="ar-SA"/>
    </w:rPr>
  </w:style>
  <w:style w:type="paragraph" w:customStyle="1" w:styleId="293">
    <w:name w:val="修订3"/>
    <w:hidden/>
    <w:semiHidden/>
    <w:qFormat/>
    <w:uiPriority w:val="99"/>
    <w:rPr>
      <w:rFonts w:hint="eastAsia" w:ascii="Arial Unicode MS" w:hAnsi="Arial Unicode MS" w:eastAsia="Arial Unicode MS" w:cs="Arial Unicode MS"/>
      <w:color w:val="000000"/>
      <w:kern w:val="2"/>
      <w:sz w:val="21"/>
      <w:szCs w:val="21"/>
      <w:lang w:val="zh-TW" w:eastAsia="zh-TW" w:bidi="ar-SA"/>
    </w:rPr>
  </w:style>
  <w:style w:type="paragraph" w:customStyle="1" w:styleId="294">
    <w:name w:val="修订4"/>
    <w:hidden/>
    <w:unhideWhenUsed/>
    <w:qFormat/>
    <w:uiPriority w:val="99"/>
    <w:rPr>
      <w:rFonts w:hint="eastAsia" w:ascii="Arial Unicode MS" w:hAnsi="Arial Unicode MS" w:eastAsia="Arial Unicode MS" w:cs="Arial Unicode MS"/>
      <w:color w:val="000000"/>
      <w:kern w:val="2"/>
      <w:sz w:val="21"/>
      <w:szCs w:val="21"/>
      <w:lang w:val="zh-TW" w:eastAsia="zh-TW" w:bidi="ar-SA"/>
    </w:rPr>
  </w:style>
  <w:style w:type="paragraph" w:customStyle="1" w:styleId="295">
    <w:name w:val="修订5"/>
    <w:hidden/>
    <w:unhideWhenUsed/>
    <w:qFormat/>
    <w:uiPriority w:val="99"/>
    <w:rPr>
      <w:rFonts w:hint="eastAsia" w:ascii="Arial Unicode MS" w:hAnsi="Arial Unicode MS" w:eastAsia="Arial Unicode MS" w:cs="Arial Unicode MS"/>
      <w:color w:val="000000"/>
      <w:kern w:val="2"/>
      <w:sz w:val="21"/>
      <w:szCs w:val="21"/>
      <w:lang w:val="zh-TW" w:eastAsia="zh-TW" w:bidi="ar-SA"/>
    </w:rPr>
  </w:style>
  <w:style w:type="paragraph" w:customStyle="1" w:styleId="296">
    <w:name w:val="修订6"/>
    <w:hidden/>
    <w:unhideWhenUsed/>
    <w:qFormat/>
    <w:uiPriority w:val="99"/>
    <w:rPr>
      <w:rFonts w:hint="eastAsia" w:ascii="Arial Unicode MS" w:hAnsi="Arial Unicode MS" w:eastAsia="Arial Unicode MS" w:cs="Arial Unicode MS"/>
      <w:color w:val="000000"/>
      <w:kern w:val="2"/>
      <w:sz w:val="21"/>
      <w:szCs w:val="21"/>
      <w:lang w:val="zh-TW" w:eastAsia="zh-TW" w:bidi="ar-SA"/>
    </w:rPr>
  </w:style>
  <w:style w:type="paragraph" w:customStyle="1" w:styleId="297">
    <w:name w:val="修订7"/>
    <w:hidden/>
    <w:unhideWhenUsed/>
    <w:qFormat/>
    <w:uiPriority w:val="99"/>
    <w:rPr>
      <w:rFonts w:hint="eastAsia" w:ascii="Arial Unicode MS" w:hAnsi="Arial Unicode MS" w:eastAsia="Arial Unicode MS" w:cs="Arial Unicode MS"/>
      <w:color w:val="000000"/>
      <w:kern w:val="2"/>
      <w:sz w:val="21"/>
      <w:szCs w:val="21"/>
      <w:lang w:val="zh-TW" w:eastAsia="zh-TW" w:bidi="ar-SA"/>
    </w:rPr>
  </w:style>
  <w:style w:type="paragraph" w:customStyle="1" w:styleId="298">
    <w:name w:val="修订8"/>
    <w:hidden/>
    <w:unhideWhenUsed/>
    <w:qFormat/>
    <w:uiPriority w:val="99"/>
    <w:rPr>
      <w:rFonts w:hint="eastAsia" w:ascii="Arial Unicode MS" w:hAnsi="Arial Unicode MS" w:eastAsia="Arial Unicode MS" w:cs="Arial Unicode MS"/>
      <w:color w:val="000000"/>
      <w:kern w:val="2"/>
      <w:sz w:val="21"/>
      <w:szCs w:val="21"/>
      <w:lang w:val="zh-TW" w:eastAsia="zh-TW" w:bidi="ar-SA"/>
    </w:rPr>
  </w:style>
  <w:style w:type="paragraph" w:customStyle="1" w:styleId="299">
    <w:name w:val="Revision"/>
    <w:hidden/>
    <w:unhideWhenUsed/>
    <w:uiPriority w:val="99"/>
    <w:rPr>
      <w:rFonts w:hint="eastAsia" w:ascii="Arial Unicode MS" w:hAnsi="Arial Unicode MS" w:eastAsia="Arial Unicode MS" w:cs="Arial Unicode MS"/>
      <w:color w:val="000000"/>
      <w:kern w:val="2"/>
      <w:sz w:val="21"/>
      <w:szCs w:val="21"/>
      <w:lang w:val="zh-TW" w:eastAsia="zh-TW"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customXml" Target="../customXml/item3.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9.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8" Type="http://schemas.openxmlformats.org/officeDocument/2006/relationships/font" Target="fonts/font18.odttf"/><Relationship Id="rId17" Type="http://schemas.openxmlformats.org/officeDocument/2006/relationships/font" Target="fonts/font17.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Version="6" SelectedStyle="\APASixthEditionOfficeOnline.xsl" StyleName="APA"/>
</file>

<file path=customXml/item3.xml><?xml version="1.0" encoding="utf-8"?>
<contractReview xmlns="http://schemas.wps.cn/vas-ai-hub/contract-review">
  <reviewItems xmlns="http://schemas.wps.cn/vas-ai-hub/contract-review">
    <reviewItem xmlns="http://schemas.wps.cn/vas-ai-hub/contract-review">
      <errorID xmlns="http://schemas.wps.cn/vas-ai-hub/contract-review">acb0c65c-01a4-4852-b1b4-68c9b55cf894</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49100190</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86a2a67e-66f0-46d9-be20-798ab40986fc</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618CBC1</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8940eebb-c945-4d92-b246-41013789a14f</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6119154D</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8a88e631-c2b6-491b-8c82-2e6fae3debeb</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592EA114</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90bafc9b-cd5f-45a7-93da-bd27da4a727d</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6CE67319</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06f29175-ad8e-4a60-a149-25d63a1b2fbd</errorID>
      <errorWord xmlns="http://schemas.wps.cn/vas-ai-hub/contract-review">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5FDA896E</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322b7f55-684d-44cd-9ba0-92c79bebcf82</errorID>
      <errorWord xmlns="http://schemas.wps.cn/vas-ai-hub/contract-review">9、</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9.</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5DD72AD5</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34873f90-34e8-44a5-b66a-712cc948edb7</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7F004A44</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19b379f3-b9e9-47f0-8b2e-dd8451ec4a18</errorID>
      <errorWord xmlns="http://schemas.wps.cn/vas-ai-hub/contract-review">上午00：00</errorWord>
      <group xmlns="http://schemas.wps.cn/vas-ai-hub/contract-review">L1_Knowledge</group>
      <groupName xmlns="http://schemas.wps.cn/vas-ai-hub/contract-review">知识性问题</groupName>
      <ability xmlns="http://schemas.wps.cn/vas-ai-hub/contract-review">L2_Time</ability>
      <abilityName xmlns="http://schemas.wps.cn/vas-ai-hub/contract-review">日期时间</abilityName>
      <candidateList xmlns="http://schemas.wps.cn/vas-ai-hub/contract-review"/>
      <explain xmlns="http://schemas.wps.cn/vas-ai-hub/contract-review">时间与前缀不匹配，可能的时间前缀有“下午、晚上、凌晨、午夜”。</explain>
      <paraID xmlns="http://schemas.wps.cn/vas-ai-hub/contract-review">76015201</paraID>
      <start xmlns="http://schemas.wps.cn/vas-ai-hub/contract-review">26</start>
      <end xmlns="http://schemas.wps.cn/vas-ai-hub/contract-review">33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b025e1e5-b832-4e9c-8ea5-a58e8f68bb2b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76015201</paraID>
      <start xmlns="http://schemas.wps.cn/vas-ai-hub/contract-review">36</start>
      <end xmlns="http://schemas.wps.cn/vas-ai-hub/contract-review">37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fe7de2b4-bc03-482e-b875-4a0ba6371f68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76015201</paraID>
      <start xmlns="http://schemas.wps.cn/vas-ai-hub/contract-review">44</start>
      <end xmlns="http://schemas.wps.cn/vas-ai-hub/contract-review">45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20c4a1da-e359-49ee-8ce7-258d55182e6e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76015201</paraID>
      <start xmlns="http://schemas.wps.cn/vas-ai-hub/contract-review">50</start>
      <end xmlns="http://schemas.wps.cn/vas-ai-hub/contract-review">51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0e5220ad-0588-40af-8772-46d62b1fa644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2E8B9A2B</paraID>
      <start xmlns="http://schemas.wps.cn/vas-ai-hub/contract-review">74</start>
      <end xmlns="http://schemas.wps.cn/vas-ai-hub/contract-review">75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8db7114c-6832-423b-9d84-178739d1499b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2E8B9A2B</paraID>
      <start xmlns="http://schemas.wps.cn/vas-ai-hub/contract-review">80</start>
      <end xmlns="http://schemas.wps.cn/vas-ai-hub/contract-review">81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909414f7-398f-480f-bba6-668079db6fe9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59D0437C</paraID>
      <start xmlns="http://schemas.wps.cn/vas-ai-hub/contract-review">10</start>
      <end xmlns="http://schemas.wps.cn/vas-ai-hub/contract-review">12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cb84ef71-06ce-45cb-afb9-7e7b4a5be7ca</errorID>
      <errorWord xmlns="http://schemas.wps.cn/vas-ai-hub/contract-review">二次</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两次</item>
      </candidateList>
      <explain xmlns="http://schemas.wps.cn/vas-ai-hub/contract-review"/>
      <paraID xmlns="http://schemas.wps.cn/vas-ai-hub/contract-review">772D5E30</paraID>
      <start xmlns="http://schemas.wps.cn/vas-ai-hub/contract-review">5</start>
      <end xmlns="http://schemas.wps.cn/vas-ai-hub/contract-review">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fc788a33-0e89-4469-81d1-e00ed2272cae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5A3A958B</paraID>
      <start xmlns="http://schemas.wps.cn/vas-ai-hub/contract-review">5</start>
      <end xmlns="http://schemas.wps.cn/vas-ai-hub/contract-review">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1462f2e0-9dfe-492e-adb3-0f373d024549</errorID>
      <errorWord xmlns="http://schemas.wps.cn/vas-ai-hub/contract-review">《关于在政府采购活动中查询及使用信用记录有关问题的通知》</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公文文件引用格式不规范</explain>
      <paraID xmlns="http://schemas.wps.cn/vas-ai-hub/contract-review">5A3A958B</paraID>
      <start xmlns="http://schemas.wps.cn/vas-ai-hub/contract-review">11</start>
      <end xmlns="http://schemas.wps.cn/vas-ai-hub/contract-review">39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e4aed833-f722-41a1-ac35-d5b187fc4897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5A3A958B</paraID>
      <start xmlns="http://schemas.wps.cn/vas-ai-hub/contract-review">39</start>
      <end xmlns="http://schemas.wps.cn/vas-ai-hub/contract-review">40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b91ac450-1120-4ebc-8058-078d6109efca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5A3A958B</paraID>
      <start xmlns="http://schemas.wps.cn/vas-ai-hub/contract-review">52</start>
      <end xmlns="http://schemas.wps.cn/vas-ai-hub/contract-review">53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45ccf055-8c60-403a-b509-49d2bfe5be3c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5A3A958B</paraID>
      <start xmlns="http://schemas.wps.cn/vas-ai-hub/contract-review">67</start>
      <end xmlns="http://schemas.wps.cn/vas-ai-hub/contract-review">68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53285d24-7e0e-492c-a56f-9a20fc7a7ca3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5A3A958B</paraID>
      <start xmlns="http://schemas.wps.cn/vas-ai-hub/contract-review">90</start>
      <end xmlns="http://schemas.wps.cn/vas-ai-hub/contract-review">91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88614e09-615c-469a-b67d-1d122f0f04b1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5A3A958B</paraID>
      <start xmlns="http://schemas.wps.cn/vas-ai-hub/contract-review">103</start>
      <end xmlns="http://schemas.wps.cn/vas-ai-hub/contract-review">104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98eaeab0-2cea-4d6c-875b-f4532ee19118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5A3A958B</paraID>
      <start xmlns="http://schemas.wps.cn/vas-ai-hub/contract-review">119</start>
      <end xmlns="http://schemas.wps.cn/vas-ai-hub/contract-review">120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7f413c2a-57f3-44d5-86ff-ce7c6fba060b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5A3A958B</paraID>
      <start xmlns="http://schemas.wps.cn/vas-ai-hub/contract-review">176</start>
      <end xmlns="http://schemas.wps.cn/vas-ai-hub/contract-review">177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fb532da5-4ecb-4c0d-b1ec-55cf50f5e59a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5A3A958B</paraID>
      <start xmlns="http://schemas.wps.cn/vas-ai-hub/contract-review">187</start>
      <end xmlns="http://schemas.wps.cn/vas-ai-hub/contract-review">188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aab5b01b-4632-4cde-940c-596de2459017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1487D721</paraID>
      <start xmlns="http://schemas.wps.cn/vas-ai-hub/contract-review">14</start>
      <end xmlns="http://schemas.wps.cn/vas-ai-hub/contract-review">15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54e9b7a5-2210-424f-b4b1-ac8019b37c7d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1487D721</paraID>
      <start xmlns="http://schemas.wps.cn/vas-ai-hub/contract-review">32</start>
      <end xmlns="http://schemas.wps.cn/vas-ai-hub/contract-review">33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742165d9-5fe3-40ee-9d83-0ed6bc106bdd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1487D721</paraID>
      <start xmlns="http://schemas.wps.cn/vas-ai-hub/contract-review">47</start>
      <end xmlns="http://schemas.wps.cn/vas-ai-hub/contract-review">48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d39257e7-8a89-4272-ba65-042913afa0d0</errorID>
      <errorWord xmlns="http://schemas.wps.cn/vas-ai-hub/contract-review">截止到</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截止</item>
      </candidateList>
      <explain xmlns="http://schemas.wps.cn/vas-ai-hub/contract-review">该表达中的“截止到”存在语义重复。【词汇解析】截止：到……为止,有明确的终止、结束含义。包含了“到”的意思。</explain>
      <paraID xmlns="http://schemas.wps.cn/vas-ai-hub/contract-review"> 910E284</paraID>
      <start xmlns="http://schemas.wps.cn/vas-ai-hub/contract-review">56</start>
      <end xmlns="http://schemas.wps.cn/vas-ai-hub/contract-review">59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eaf3a558-9f3f-45c4-aae5-c2e9ab40dd26</errorID>
      <errorWord xmlns="http://schemas.wps.cn/vas-ai-hub/contract-review">2026年1月1日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2026年1月1日起</item>
      </candidateList>
      <explain xmlns="http://schemas.wps.cn/vas-ai-hub/contract-review"/>
      <paraID xmlns="http://schemas.wps.cn/vas-ai-hub/contract-review">67CE9F05</paraID>
      <start xmlns="http://schemas.wps.cn/vas-ai-hub/contract-review">25</start>
      <end xmlns="http://schemas.wps.cn/vas-ai-hub/contract-review">34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4674b091-04e0-452a-a814-cca763923f67</errorID>
      <errorWord xmlns="http://schemas.wps.cn/vas-ai-hub/contract-review">《中小企业声明函》</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公文文件引用格式不规范</explain>
      <paraID xmlns="http://schemas.wps.cn/vas-ai-hub/contract-review">5E6E3096</paraID>
      <start xmlns="http://schemas.wps.cn/vas-ai-hub/contract-review">18</start>
      <end xmlns="http://schemas.wps.cn/vas-ai-hub/contract-review">27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70ec8d08-e507-4009-b896-815be38ee7cf</errorID>
      <errorWord xmlns="http://schemas.wps.cn/vas-ai-hub/contract-review">《财政部民政部中国残疾人联合会关于促进残疾人就业政府采购政策的通知》</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公文文件引用格式不规范</explain>
      <paraID xmlns="http://schemas.wps.cn/vas-ai-hub/contract-review"> 5437809</paraID>
      <start xmlns="http://schemas.wps.cn/vas-ai-hub/contract-review">29</start>
      <end xmlns="http://schemas.wps.cn/vas-ai-hub/contract-review">63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61c22601-3c42-4eaf-8d2a-7c928842e39f</errorID>
      <errorWord xmlns="http://schemas.wps.cn/vas-ai-hub/contract-review">《残疾人福利性单位声明函》</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公文文件引用格式不规范</explain>
      <paraID xmlns="http://schemas.wps.cn/vas-ai-hub/contract-review"> 5437809</paraID>
      <start xmlns="http://schemas.wps.cn/vas-ai-hub/contract-review">83</start>
      <end xmlns="http://schemas.wps.cn/vas-ai-hub/contract-review">96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c5d0a196-ee28-4843-8cfa-08cea94c71df</errorID>
      <errorWord xmlns="http://schemas.wps.cn/vas-ai-hub/contract-review">《关于符合本国产品标准的声明函》</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公文文件引用格式不规范</explain>
      <paraID xmlns="http://schemas.wps.cn/vas-ai-hub/contract-review"> F914967</paraID>
      <start xmlns="http://schemas.wps.cn/vas-ai-hub/contract-review">264</start>
      <end xmlns="http://schemas.wps.cn/vas-ai-hub/contract-review">280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38612f23-a993-42bc-91ef-0786e15e373f</errorID>
      <errorWord xmlns="http://schemas.wps.cn/vas-ai-hub/contract-review">《关于符合本国产品标准的声明函》</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公文文件引用格式不规范</explain>
      <paraID xmlns="http://schemas.wps.cn/vas-ai-hub/contract-review"> F914967</paraID>
      <start xmlns="http://schemas.wps.cn/vas-ai-hub/contract-review">321</start>
      <end xmlns="http://schemas.wps.cn/vas-ai-hub/contract-review">337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386f1f0e-30c0-4a71-b020-7456ef5da403</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 783924D</paraID>
      <start xmlns="http://schemas.wps.cn/vas-ai-hub/contract-review">31</start>
      <end xmlns="http://schemas.wps.cn/vas-ai-hub/contract-review">33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23b96822-c450-480e-9e38-65c28c8aefd1</errorID>
      <errorWord xmlns="http://schemas.wps.cn/vas-ai-hub/contract-review">政府采购法</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中华人民共和国政府采购法</item>
      </candidateList>
      <explain xmlns="http://schemas.wps.cn/vas-ai-hub/contract-review">当前法律法规名称使用简称，请注意是否应当使用全称。</explain>
      <paraID xmlns="http://schemas.wps.cn/vas-ai-hub/contract-review">10E52847</paraID>
      <start xmlns="http://schemas.wps.cn/vas-ai-hub/contract-review">26</start>
      <end xmlns="http://schemas.wps.cn/vas-ai-hub/contract-review">31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6fd8b12f-0438-4fe3-9452-797c04c8dbdc</errorID>
      <errorWord xmlns="http://schemas.wps.cn/vas-ai-hub/contract-review">第规定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的规定</item>
      </candidateList>
      <explain xmlns="http://schemas.wps.cn/vas-ai-hub/contract-review"/>
      <paraID xmlns="http://schemas.wps.cn/vas-ai-hub/contract-review">10E52847</paraID>
      <start xmlns="http://schemas.wps.cn/vas-ai-hub/contract-review">37</start>
      <end xmlns="http://schemas.wps.cn/vas-ai-hub/contract-review">40</end>
      <status xmlns="http://schemas.wps.cn/vas-ai-hub/contract-review">modified</status>
      <modifiedWord xmlns="http://schemas.wps.cn/vas-ai-hub/contract-review">的规定</modifiedWord>
      <trackRevisions xmlns="http://schemas.wps.cn/vas-ai-hub/contract-review">false</trackRevisions>
    </reviewItem>
    <reviewItem xmlns="http://schemas.wps.cn/vas-ai-hub/contract-review">
      <errorID xmlns="http://schemas.wps.cn/vas-ai-hub/contract-review">d24edebb-cd41-4c42-8485-088c026428ce</errorID>
      <errorWord xmlns="http://schemas.wps.cn/vas-ai-hub/contract-review">涉及到</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涉及</item>
      </candidateList>
      <explain xmlns="http://schemas.wps.cn/vas-ai-hub/contract-review">该表达中的“涉及到”存在语义重复。【词汇解析】涉及：牵涉到，关联到。包含了“到”的意思。</explain>
      <paraID xmlns="http://schemas.wps.cn/vas-ai-hub/contract-review">1B72458F</paraID>
      <start xmlns="http://schemas.wps.cn/vas-ai-hub/contract-review">13</start>
      <end xmlns="http://schemas.wps.cn/vas-ai-hub/contract-review">16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02e9ea76-126f-4992-b50a-582095dc9c3a</errorID>
      <errorWord xmlns="http://schemas.wps.cn/vas-ai-hub/contract-review">有助于对</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有助于</item>
      </candidateList>
      <explain xmlns="http://schemas.wps.cn/vas-ai-hub/contract-review">该表达中的“有助于对”存在语义重复。【词汇解析】有助于：对做某事有帮助的意思。包含了“对”的意思。</explain>
      <paraID xmlns="http://schemas.wps.cn/vas-ai-hub/contract-review"> 4DA9D8C</paraID>
      <start xmlns="http://schemas.wps.cn/vas-ai-hub/contract-review">6</start>
      <end xmlns="http://schemas.wps.cn/vas-ai-hub/contract-review">10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684236dc-d61a-4ad1-9ab1-2a14299bc376</errorID>
      <errorWord xmlns="http://schemas.wps.cn/vas-ai-hub/contract-review">到其它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到其他</item>
      </candidateList>
      <explain xmlns="http://schemas.wps.cn/vas-ai-hub/contract-review">词汇[到其它]为不规范表述或旧称，其规范书面表述为[到其他]。</explain>
      <paraID xmlns="http://schemas.wps.cn/vas-ai-hub/contract-review"> E628214</paraID>
      <start xmlns="http://schemas.wps.cn/vas-ai-hub/contract-review">218</start>
      <end xmlns="http://schemas.wps.cn/vas-ai-hub/contract-review">221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c0d314b2-0f8b-4c6a-9152-d164bbff7737</errorID>
      <errorWord xmlns="http://schemas.wps.cn/vas-ai-hub/contract-review">撤消</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撤销</item>
      </candidateList>
      <explain xmlns="http://schemas.wps.cn/vas-ai-hub/contract-review">词汇[撤消]为不规范表述或旧称，其规范书面表述为[撤销]。</explain>
      <paraID xmlns="http://schemas.wps.cn/vas-ai-hub/contract-review">48643DA4</paraID>
      <start xmlns="http://schemas.wps.cn/vas-ai-hub/contract-review">44</start>
      <end xmlns="http://schemas.wps.cn/vas-ai-hub/contract-review">46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a47b44f8-ee24-4e7d-8282-634d7c60941d</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194F83B0</paraID>
      <start xmlns="http://schemas.wps.cn/vas-ai-hub/contract-review">3</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93d77711-22bd-401d-a743-21e80af9d100</errorID>
      <errorWord xmlns="http://schemas.wps.cn/vas-ai-hub/contract-review">&lt;</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14DFEE80</paraID>
      <start xmlns="http://schemas.wps.cn/vas-ai-hub/contract-review">48</start>
      <end xmlns="http://schemas.wps.cn/vas-ai-hub/contract-review">49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edc4911e-4cda-49c9-b17c-ef16cf500be3</errorID>
      <errorWord xmlns="http://schemas.wps.cn/vas-ai-hub/contract-review">&lt;</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6DCD66CF</paraID>
      <start xmlns="http://schemas.wps.cn/vas-ai-hub/contract-review">48</start>
      <end xmlns="http://schemas.wps.cn/vas-ai-hub/contract-review">49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489b097a-9818-4175-a63b-eb9a565f18ad</errorID>
      <errorWord xmlns="http://schemas.wps.cn/vas-ai-hub/contract-review">&lt;</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7BEE09E2</paraID>
      <start xmlns="http://schemas.wps.cn/vas-ai-hub/contract-review">33</start>
      <end xmlns="http://schemas.wps.cn/vas-ai-hub/contract-review">34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a866c532-7366-46a9-bb28-261cbb11f533</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，并</item>
      </candidateList>
      <explain xmlns="http://schemas.wps.cn/vas-ai-hub/contract-review"/>
      <paraID xmlns="http://schemas.wps.cn/vas-ai-hub/contract-review"> 45F08B1</paraID>
      <start xmlns="http://schemas.wps.cn/vas-ai-hub/contract-review">74</start>
      <end xmlns="http://schemas.wps.cn/vas-ai-hub/contract-review">75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f4f16f7d-3e98-4c9f-91e8-f1d5102a29e4</errorID>
      <errorWord xmlns="http://schemas.wps.cn/vas-ai-hub/contract-review">《关于调整网络安全专用产品安全管理有关事项的公告》</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公文文件引用格式不规范</explain>
      <paraID xmlns="http://schemas.wps.cn/vas-ai-hub/contract-review">3B7BEFE5</paraID>
      <start xmlns="http://schemas.wps.cn/vas-ai-hub/contract-review">25</start>
      <end xmlns="http://schemas.wps.cn/vas-ai-hub/contract-review">50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f66fbbb7-e793-43f7-8a7e-80d7328c37bf</errorID>
      <errorWord xmlns="http://schemas.wps.cn/vas-ai-hub/contract-review">《中小企业声明函》</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公文文件引用格式不规范</explain>
      <paraID xmlns="http://schemas.wps.cn/vas-ai-hub/contract-review">7081DA6F</paraID>
      <start xmlns="http://schemas.wps.cn/vas-ai-hub/contract-review">151</start>
      <end xmlns="http://schemas.wps.cn/vas-ai-hub/contract-review">160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0ad27f9b-d968-4c95-a2a5-195f86305521</errorID>
      <errorWord xmlns="http://schemas.wps.cn/vas-ai-hub/contract-review">《财政部民政部中国残疾人联合会关于促进残疾人就业政府采购政策的通知》</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公文文件引用格式不规范</explain>
      <paraID xmlns="http://schemas.wps.cn/vas-ai-hub/contract-review">31A0F5C7</paraID>
      <start xmlns="http://schemas.wps.cn/vas-ai-hub/contract-review">32</start>
      <end xmlns="http://schemas.wps.cn/vas-ai-hub/contract-review">66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1e4e5078-80fb-4ac2-9472-72818be2dd5e</errorID>
      <errorWord xmlns="http://schemas.wps.cn/vas-ai-hub/contract-review">《残疾人福利性单位声明函》</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公文文件引用格式不规范</explain>
      <paraID xmlns="http://schemas.wps.cn/vas-ai-hub/contract-review">31A0F5C7</paraID>
      <start xmlns="http://schemas.wps.cn/vas-ai-hub/contract-review">86</start>
      <end xmlns="http://schemas.wps.cn/vas-ai-hub/contract-review">99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9982d76a-6bf6-48f2-a8a6-f1bbb08b965e</errorID>
      <errorWord xmlns="http://schemas.wps.cn/vas-ai-hub/contract-review">《残疾人福利性单位声明函》</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公文文件引用格式不规范</explain>
      <paraID xmlns="http://schemas.wps.cn/vas-ai-hub/contract-review">31A0F5C7</paraID>
      <start xmlns="http://schemas.wps.cn/vas-ai-hub/contract-review">103</start>
      <end xmlns="http://schemas.wps.cn/vas-ai-hub/contract-review">116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cfa2113e-9935-495c-93a5-3a3e2452cb17</errorID>
      <errorWord xmlns="http://schemas.wps.cn/vas-ai-hub/contract-review">政府采购法</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中华人民共和国政府采购法</item>
      </candidateList>
      <explain xmlns="http://schemas.wps.cn/vas-ai-hub/contract-review">当前法律法规名称使用简称，请注意是否应当使用全称。</explain>
      <paraID xmlns="http://schemas.wps.cn/vas-ai-hub/contract-review">31A0F5C7</paraID>
      <start xmlns="http://schemas.wps.cn/vas-ai-hub/contract-review">126</start>
      <end xmlns="http://schemas.wps.cn/vas-ai-hub/contract-review">131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fe244758-0591-4703-8084-413fd17b9b34</errorID>
      <errorWord xmlns="http://schemas.wps.cn/vas-ai-hub/contract-review">《残疾人福利性单位声明函》</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公文文件引用格式不规范</explain>
      <paraID xmlns="http://schemas.wps.cn/vas-ai-hub/contract-review">31A0F5C7</paraID>
      <start xmlns="http://schemas.wps.cn/vas-ai-hub/contract-review">176</start>
      <end xmlns="http://schemas.wps.cn/vas-ai-hub/contract-review">189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6c90f50b-076f-465f-9784-6d1ae5dbdc13</errorID>
      <errorWord xmlns="http://schemas.wps.cn/vas-ai-hub/contract-review">&lt;</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65BDAA22</paraID>
      <start xmlns="http://schemas.wps.cn/vas-ai-hub/contract-review">60</start>
      <end xmlns="http://schemas.wps.cn/vas-ai-hub/contract-review">61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e415b2a7-572e-4f63-b160-8b121cf6e2d6</errorID>
      <errorWord xmlns="http://schemas.wps.cn/vas-ai-hub/contract-review">&gt;</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65BDAA22</paraID>
      <start xmlns="http://schemas.wps.cn/vas-ai-hub/contract-review">91</start>
      <end xmlns="http://schemas.wps.cn/vas-ai-hub/contract-review">92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e5375f8e-0a9e-492a-b578-5df95f294cde</errorID>
      <errorWord xmlns="http://schemas.wps.cn/vas-ai-hub/contract-review">《关于符合本国产品标准的声明函》</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公文文件引用格式不规范</explain>
      <paraID xmlns="http://schemas.wps.cn/vas-ai-hub/contract-review">5E18F21C</paraID>
      <start xmlns="http://schemas.wps.cn/vas-ai-hub/contract-review">19</start>
      <end xmlns="http://schemas.wps.cn/vas-ai-hub/contract-review">35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44c1ce41-fabf-4e77-8bf3-4038ebdce373</errorID>
      <errorWord xmlns="http://schemas.wps.cn/vas-ai-hub/contract-review">《关于符合本国产品标准的声明函》</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公文文件引用格式不规范</explain>
      <paraID xmlns="http://schemas.wps.cn/vas-ai-hub/contract-review">5E18F21C</paraID>
      <start xmlns="http://schemas.wps.cn/vas-ai-hub/contract-review">55</start>
      <end xmlns="http://schemas.wps.cn/vas-ai-hub/contract-review">71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8f78b95f-4e3e-446a-bb28-ba638bd0a68a</errorID>
      <errorWord xmlns="http://schemas.wps.cn/vas-ai-hub/contract-review">《关于符合本国产品标准的声明函》</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公文文件引用格式不规范</explain>
      <paraID xmlns="http://schemas.wps.cn/vas-ai-hub/contract-review">5E18F21C</paraID>
      <start xmlns="http://schemas.wps.cn/vas-ai-hub/contract-review">101</start>
      <end xmlns="http://schemas.wps.cn/vas-ai-hub/contract-review">117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6a0a909d-91c8-45b9-9847-802076bbe346</errorID>
      <errorWord xmlns="http://schemas.wps.cn/vas-ai-hub/contract-review">《关于符合本国产品标准的声明函》</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公文文件引用格式不规范</explain>
      <paraID xmlns="http://schemas.wps.cn/vas-ai-hub/contract-review">5E18F21C</paraID>
      <start xmlns="http://schemas.wps.cn/vas-ai-hub/contract-review">204</start>
      <end xmlns="http://schemas.wps.cn/vas-ai-hub/contract-review">220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d02e5314-bf46-42cf-9dc1-2d93b3e4b803</errorID>
      <errorWord xmlns="http://schemas.wps.cn/vas-ai-hub/contract-review">５</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5</item>
      </candidateList>
      <explain xmlns="http://schemas.wps.cn/vas-ai-hub/contract-review">文本全半角错误。</explain>
      <paraID xmlns="http://schemas.wps.cn/vas-ai-hub/contract-review">38C2CD85</paraID>
      <start xmlns="http://schemas.wps.cn/vas-ai-hub/contract-review">21</start>
      <end xmlns="http://schemas.wps.cn/vas-ai-hub/contract-review">22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ae44bd58-3146-4173-9f84-c94b2188e38f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2B04364D</paraID>
      <start xmlns="http://schemas.wps.cn/vas-ai-hub/contract-review">13</start>
      <end xmlns="http://schemas.wps.cn/vas-ai-hub/contract-review">14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37094b21-525b-426f-ba17-df78896970f9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2B04364D</paraID>
      <start xmlns="http://schemas.wps.cn/vas-ai-hub/contract-review">36</start>
      <end xmlns="http://schemas.wps.cn/vas-ai-hub/contract-review">37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92a34b6a-353c-4dbc-8407-75392aa001cb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2B04364D</paraID>
      <start xmlns="http://schemas.wps.cn/vas-ai-hub/contract-review">50</start>
      <end xmlns="http://schemas.wps.cn/vas-ai-hub/contract-review">51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95f4e24b-6664-4c2b-ac95-d38e7b706caa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5BA3F539</paraID>
      <start xmlns="http://schemas.wps.cn/vas-ai-hub/contract-review">12</start>
      <end xmlns="http://schemas.wps.cn/vas-ai-hub/contract-review">13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cdf8ce96-0f4f-430c-9504-378208fb82de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6AEB0B8D</paraID>
      <start xmlns="http://schemas.wps.cn/vas-ai-hub/contract-review">16</start>
      <end xmlns="http://schemas.wps.cn/vas-ai-hub/contract-review">17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950c094f-9804-4374-a155-dbf00339d379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6AEB0B8D</paraID>
      <start xmlns="http://schemas.wps.cn/vas-ai-hub/contract-review">29</start>
      <end xmlns="http://schemas.wps.cn/vas-ai-hub/contract-review">30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394e1602-488c-43bf-979d-0a922c5696b6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6AEB0B8D</paraID>
      <start xmlns="http://schemas.wps.cn/vas-ai-hub/contract-review">57</start>
      <end xmlns="http://schemas.wps.cn/vas-ai-hub/contract-review">58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8be272d8-7f3c-4bf1-8281-25ee85d27c35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6AEB0B8D</paraID>
      <start xmlns="http://schemas.wps.cn/vas-ai-hub/contract-review">76</start>
      <end xmlns="http://schemas.wps.cn/vas-ai-hub/contract-review">77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9e2a8d99-d82d-4cd4-a80a-406c42fddcb2</errorID>
      <errorWord xmlns="http://schemas.wps.cn/vas-ai-hub/contract-review">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并具</item>
      </candidateList>
      <explain xmlns="http://schemas.wps.cn/vas-ai-hub/contract-review"/>
      <paraID xmlns="http://schemas.wps.cn/vas-ai-hub/contract-review">4BC21B9C</paraID>
      <start xmlns="http://schemas.wps.cn/vas-ai-hub/contract-review">44</start>
      <end xmlns="http://schemas.wps.cn/vas-ai-hub/contract-review">45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e3b23946-fba3-4482-bb85-b366cf30cfe2</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46109A34</paraID>
      <start xmlns="http://schemas.wps.cn/vas-ai-hub/contract-review">64</start>
      <end xmlns="http://schemas.wps.cn/vas-ai-hub/contract-review">66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b2a0c4e6-c82d-47b1-8429-9c467f12abad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7A2F9125</paraID>
      <start xmlns="http://schemas.wps.cn/vas-ai-hub/contract-review">33</start>
      <end xmlns="http://schemas.wps.cn/vas-ai-hub/contract-review">34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af97646c-4779-4217-98cc-14a8eee612ba</errorID>
      <errorWord xmlns="http://schemas.wps.cn/vas-ai-hub/contract-review">可在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可</item>
      </candidateList>
      <explain xmlns="http://schemas.wps.cn/vas-ai-hub/contract-review"/>
      <paraID xmlns="http://schemas.wps.cn/vas-ai-hub/contract-review"> DE0332D</paraID>
      <start xmlns="http://schemas.wps.cn/vas-ai-hub/contract-review">95</start>
      <end xmlns="http://schemas.wps.cn/vas-ai-hub/contract-review">97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b38fce45-2263-4391-9458-967ed223b2fd</errorID>
      <errorWord xmlns="http://schemas.wps.cn/vas-ai-hub/contract-review">接收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接受</item>
      </candidateList>
      <explain xmlns="http://schemas.wps.cn/vas-ai-hub/contract-review">存在发音相同字词的误用。</explain>
      <paraID xmlns="http://schemas.wps.cn/vas-ai-hub/contract-review">1F9833F4</paraID>
      <start xmlns="http://schemas.wps.cn/vas-ai-hub/contract-review">10</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3de95586-7241-4437-b2f5-ae6af98cb225</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》和</item>
      </candidateList>
      <explain xmlns="http://schemas.wps.cn/vas-ai-hub/contract-review"/>
      <paraID xmlns="http://schemas.wps.cn/vas-ai-hub/contract-review">2D0DE69E</paraID>
      <start xmlns="http://schemas.wps.cn/vas-ai-hub/contract-review">78</start>
      <end xmlns="http://schemas.wps.cn/vas-ai-hub/contract-review">79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b23afaa8-9a16-405f-9549-9d7ece14a085</errorID>
      <errorWord xmlns="http://schemas.wps.cn/vas-ai-hub/contract-review">提出质疑</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质疑</item>
      </candidateList>
      <explain xmlns="http://schemas.wps.cn/vas-ai-hub/contract-review">该表达中的“提出质疑”存在语义重复。【词汇解析】质疑：提出疑问。与“提出”语义重复。</explain>
      <paraID xmlns="http://schemas.wps.cn/vas-ai-hub/contract-review"> 955001D</paraID>
      <start xmlns="http://schemas.wps.cn/vas-ai-hub/contract-review">43</start>
      <end xmlns="http://schemas.wps.cn/vas-ai-hub/contract-review">47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2cce67ce-eed0-4cf3-8a8b-b4357fc1cdab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2B48F272</paraID>
      <start xmlns="http://schemas.wps.cn/vas-ai-hub/contract-review">12</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76518b86-f93d-438d-9924-81d8e3c0fe9d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2B48F272</paraID>
      <start xmlns="http://schemas.wps.cn/vas-ai-hub/contract-review">17</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98c8e406-8b04-4f62-a4f0-cd665c64c5cb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2B48F272</paraID>
      <start xmlns="http://schemas.wps.cn/vas-ai-hub/contract-review">21</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8f8bdf97-f7f3-4ef9-a135-62bbba2eed87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2B48F272</paraID>
      <start xmlns="http://schemas.wps.cn/vas-ai-hub/contract-review">44</start>
      <end xmlns="http://schemas.wps.cn/vas-ai-hub/contract-review">47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b789775a-a45c-483f-bf9a-9a485dfdc0bc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2B48F272</paraID>
      <start xmlns="http://schemas.wps.cn/vas-ai-hub/contract-review">49</start>
      <end xmlns="http://schemas.wps.cn/vas-ai-hub/contract-review">52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15c8031a-04b7-4e3c-a7d3-257b5d8be741</errorID>
      <errorWord xmlns="http://schemas.wps.cn/vas-ai-hub/contract-review">截止到</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截止</item>
      </candidateList>
      <explain xmlns="http://schemas.wps.cn/vas-ai-hub/contract-review">该表达中的“截止到”存在语义重复。【词汇解析】截止：到……为止,有明确的终止、结束含义。包含了“到”的意思。</explain>
      <paraID xmlns="http://schemas.wps.cn/vas-ai-hub/contract-review">70A9E3B0</paraID>
      <start xmlns="http://schemas.wps.cn/vas-ai-hub/contract-review">38</start>
      <end xmlns="http://schemas.wps.cn/vas-ai-hub/contract-review">41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1fca1b22-47ae-41b4-aca1-98a365e5fde6</errorID>
      <errorWord xmlns="http://schemas.wps.cn/vas-ai-hub/contract-review">2026年1月1日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2026年1月1日起</item>
      </candidateList>
      <explain xmlns="http://schemas.wps.cn/vas-ai-hub/contract-review"/>
      <paraID xmlns="http://schemas.wps.cn/vas-ai-hub/contract-review">26841010</paraID>
      <start xmlns="http://schemas.wps.cn/vas-ai-hub/contract-review">10</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6cf41183-6779-40b0-9a91-707638f98a06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7C976A32</paraID>
      <start xmlns="http://schemas.wps.cn/vas-ai-hub/contract-review">69</start>
      <end xmlns="http://schemas.wps.cn/vas-ai-hub/contract-review">70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2e62b173-2b77-4637-93a3-d274bd347bdd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3194AE92</paraID>
      <start xmlns="http://schemas.wps.cn/vas-ai-hub/contract-review">68</start>
      <end xmlns="http://schemas.wps.cn/vas-ai-hub/contract-review">69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7e066a1e-9003-4fc2-807c-47e75e5ba80e</errorID>
      <errorWord xmlns="http://schemas.wps.cn/vas-ai-hub/contract-review">做出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作出</item>
      </candidateList>
      <explain xmlns="http://schemas.wps.cn/vas-ai-hub/contract-review"/>
      <paraID xmlns="http://schemas.wps.cn/vas-ai-hub/contract-review"> 3995159</paraID>
      <start xmlns="http://schemas.wps.cn/vas-ai-hub/contract-review">18</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520acabd-227e-4e73-becd-a4a209b76262</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2BD2674D</paraID>
      <start xmlns="http://schemas.wps.cn/vas-ai-hub/contract-review">2</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b262ca17-c8f7-4cb8-ac07-427df2f3a1a5</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5075B29F</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c4ab5afc-728c-405a-b69d-17521270d6d8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5075B29F</paraID>
      <start xmlns="http://schemas.wps.cn/vas-ai-hub/contract-review">81</start>
      <end xmlns="http://schemas.wps.cn/vas-ai-hub/contract-review">82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7581f188-249a-4637-ac22-f9ff2cf6ddb0</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4E525D38</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80519b0c-cd9c-440a-b454-099fc7c9ea4b</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48CF16EB</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a306f9d1-cf27-4e8b-875a-0f7a752bcc67</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4BAF0C96</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02092d6e-df6b-4f51-add5-2c50a52185bc</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1582C0D1</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7f017954-70c3-495b-8906-540fbe3b3c93</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542BE219</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8ceb8b93-8064-49ef-bd1e-6c3d2e568510</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328DC08F</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b798aacd-83b9-48c6-804e-51ae4abdd90d</errorID>
      <errorWord xmlns="http://schemas.wps.cn/vas-ai-hub/contract-review">(8)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32101DF</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ad5b7112-c10e-4e26-896c-3ab468659e43</errorID>
      <errorWord xmlns="http://schemas.wps.cn/vas-ai-hub/contract-review">(9)</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（9）</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24518C46</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cf7f8c3b-83f4-4ad7-8026-e4d472d5dae3</errorID>
      <errorWord xmlns="http://schemas.wps.cn/vas-ai-hub/contract-review">(10)</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（10）</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677F1F1D</paraID>
      <start xmlns="http://schemas.wps.cn/vas-ai-hub/contract-review">1</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9bcbf52c-7f4c-40cb-bb03-cf136bfa71ab</errorID>
      <errorWord xmlns="http://schemas.wps.cn/vas-ai-hub/contract-review">(11)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12D98988</paraID>
      <start xmlns="http://schemas.wps.cn/vas-ai-hub/contract-review">0</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44a48590-d0ff-4c98-911d-06bd78e4a318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303A585</paraID>
      <start xmlns="http://schemas.wps.cn/vas-ai-hub/contract-review">1</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718db0d6-5372-48cd-8b58-645403eab2ca</errorID>
      <errorWord xmlns="http://schemas.wps.cn/vas-ai-hub/contract-review">《关于进一步加大政府采购支持中小企业力度的通知》</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公文文件引用格式不规范</explain>
      <paraID xmlns="http://schemas.wps.cn/vas-ai-hub/contract-review">5E74BC65</paraID>
      <start xmlns="http://schemas.wps.cn/vas-ai-hub/contract-review">20</start>
      <end xmlns="http://schemas.wps.cn/vas-ai-hub/contract-review">44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acb68bc4-2f4b-43f4-8250-c1d904cf72f2</errorID>
      <errorWord xmlns="http://schemas.wps.cn/vas-ai-hub/contract-review">《关于政府采购支持监狱企业发展有关问题的通知》</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公文文件引用格式不规范</explain>
      <paraID xmlns="http://schemas.wps.cn/vas-ai-hub/contract-review">5E74BC65</paraID>
      <start xmlns="http://schemas.wps.cn/vas-ai-hub/contract-review">44</start>
      <end xmlns="http://schemas.wps.cn/vas-ai-hub/contract-review">67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9497dfcf-6059-4531-a361-e348577d26e7</errorID>
      <errorWord xmlns="http://schemas.wps.cn/vas-ai-hub/contract-review">《关于促进残疾人就业政府采购政策的通知》</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公文文件引用格式不规范</explain>
      <paraID xmlns="http://schemas.wps.cn/vas-ai-hub/contract-review">5E74BC65</paraID>
      <start xmlns="http://schemas.wps.cn/vas-ai-hub/contract-review">68</start>
      <end xmlns="http://schemas.wps.cn/vas-ai-hub/contract-review">88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0be0f7f1-d9ff-424c-b99f-290a77884d2a</errorID>
      <errorWord xmlns="http://schemas.wps.cn/vas-ai-hub/contract-review">[2020]46号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〔2020〕46号</item>
      </candidateList>
      <explain xmlns="http://schemas.wps.cn/vas-ai-hub/contract-review">发文字号格式错误。</explain>
      <paraID xmlns="http://schemas.wps.cn/vas-ai-hub/contract-review">34C7334A</paraID>
      <start xmlns="http://schemas.wps.cn/vas-ai-hub/contract-review">36</start>
      <end xmlns="http://schemas.wps.cn/vas-ai-hub/contract-review">45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7fb133a2-b63e-4937-916a-4c9dbd0f0c0d</errorID>
      <errorWord xmlns="http://schemas.wps.cn/vas-ai-hub/contract-review">分值机构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分支机构</item>
      </candidateList>
      <explain xmlns="http://schemas.wps.cn/vas-ai-hub/contract-review"/>
      <paraID xmlns="http://schemas.wps.cn/vas-ai-hub/contract-review">64DC5891</paraID>
      <start xmlns="http://schemas.wps.cn/vas-ai-hub/contract-review">12</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7ec512e8-9f27-4092-bd7a-38d4fc798062</errorID>
      <errorWord xmlns="http://schemas.wps.cn/vas-ai-hub/contract-review">《财政部 民政部 中国残疾人联合会关于促进残疾人就业政府采购政策的通知》</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公文文件引用格式不规范</explain>
      <paraID xmlns="http://schemas.wps.cn/vas-ai-hub/contract-review">4E75EE83</paraID>
      <start xmlns="http://schemas.wps.cn/vas-ai-hub/contract-review">10</start>
      <end xmlns="http://schemas.wps.cn/vas-ai-hub/contract-review">46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86e11c82-bdf3-4738-8c86-151548c9bb3e</errorID>
      <errorWord xmlns="http://schemas.wps.cn/vas-ai-hub/contract-review">〔2017〕 141号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〔2017〕141号</item>
      </candidateList>
      <explain xmlns="http://schemas.wps.cn/vas-ai-hub/contract-review">发文字号格式错误。</explain>
      <paraID xmlns="http://schemas.wps.cn/vas-ai-hub/contract-review">4E75EE83</paraID>
      <start xmlns="http://schemas.wps.cn/vas-ai-hub/contract-review">49</start>
      <end xmlns="http://schemas.wps.cn/vas-ai-hub/contract-review">60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d90e9d73-7366-4b59-b504-a927a1bef7d9</errorID>
      <errorWord xmlns="http://schemas.wps.cn/vas-ai-hub/contract-review">《残疾人福利性单位声明函》</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公文文件引用格式不规范</explain>
      <paraID xmlns="http://schemas.wps.cn/vas-ai-hub/contract-review">2FB48455</paraID>
      <start xmlns="http://schemas.wps.cn/vas-ai-hub/contract-review">46</start>
      <end xmlns="http://schemas.wps.cn/vas-ai-hub/contract-review">59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b83f48b1-fa51-43f3-9c04-05ae4cc7fe55</errorID>
      <errorWord xmlns="http://schemas.wps.cn/vas-ai-hub/contract-review">《残疾人福利性单位声明函》</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公文文件引用格式不规范</explain>
      <paraID xmlns="http://schemas.wps.cn/vas-ai-hub/contract-review">3B458968</paraID>
      <start xmlns="http://schemas.wps.cn/vas-ai-hub/contract-review">8</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40fd4f5e-40e4-42b5-8ff4-feefbbf3e349</errorID>
      <errorWord xmlns="http://schemas.wps.cn/vas-ai-hub/contract-review">政府采购法</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中华人民共和国政府采购法</item>
      </candidateList>
      <explain xmlns="http://schemas.wps.cn/vas-ai-hub/contract-review">当前法律法规名称使用简称，请注意是否应当使用全称。</explain>
      <paraID xmlns="http://schemas.wps.cn/vas-ai-hub/contract-review">3B458968</paraID>
      <start xmlns="http://schemas.wps.cn/vas-ai-hub/contract-review">31</start>
      <end xmlns="http://schemas.wps.cn/vas-ai-hub/contract-review">36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db749472-5f6f-4004-8359-010465334553</errorID>
      <errorWord xmlns="http://schemas.wps.cn/vas-ai-hub/contract-review">《财政部 民政部 中国残疾人联合会关于促进残疾人就业政府采购政策的通知》</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公文文件引用格式不规范</explain>
      <paraID xmlns="http://schemas.wps.cn/vas-ai-hub/contract-review">1E551697</paraID>
      <start xmlns="http://schemas.wps.cn/vas-ai-hub/contract-review">10</start>
      <end xmlns="http://schemas.wps.cn/vas-ai-hub/contract-review">46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ff7a0f82-a93b-4d1f-8d13-03d9c8fd7790</errorID>
      <errorWord xmlns="http://schemas.wps.cn/vas-ai-hub/contract-review">〔2017〕 141号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〔2017〕141号</item>
      </candidateList>
      <explain xmlns="http://schemas.wps.cn/vas-ai-hub/contract-review">发文字号格式错误。</explain>
      <paraID xmlns="http://schemas.wps.cn/vas-ai-hub/contract-review">1E551697</paraID>
      <start xmlns="http://schemas.wps.cn/vas-ai-hub/contract-review">49</start>
      <end xmlns="http://schemas.wps.cn/vas-ai-hub/contract-review">60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babc33c7-6829-46da-9b87-bcf12ed49414</errorID>
      <errorWord xmlns="http://schemas.wps.cn/vas-ai-hub/contract-review">《残疾人福利性单位声明函》</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公文文件引用格式不规范</explain>
      <paraID xmlns="http://schemas.wps.cn/vas-ai-hub/contract-review">4D9C6B6E</paraID>
      <start xmlns="http://schemas.wps.cn/vas-ai-hub/contract-review">46</start>
      <end xmlns="http://schemas.wps.cn/vas-ai-hub/contract-review">59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3749b0a7-1b10-4464-b7c4-f0d68c9f93f5</errorID>
      <errorWord xmlns="http://schemas.wps.cn/vas-ai-hub/contract-review">《残疾人福利性单位声明函》</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公文文件引用格式不规范</explain>
      <paraID xmlns="http://schemas.wps.cn/vas-ai-hub/contract-review"> 4D24417</paraID>
      <start xmlns="http://schemas.wps.cn/vas-ai-hub/contract-review">8</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739e0b05-5fd6-4e7e-bf85-db8b3a6990f4</errorID>
      <errorWord xmlns="http://schemas.wps.cn/vas-ai-hub/contract-review">政府采购法</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中华人民共和国政府采购法</item>
      </candidateList>
      <explain xmlns="http://schemas.wps.cn/vas-ai-hub/contract-review">当前法律法规名称使用简称，请注意是否应当使用全称。</explain>
      <paraID xmlns="http://schemas.wps.cn/vas-ai-hub/contract-review"> 4D24417</paraID>
      <start xmlns="http://schemas.wps.cn/vas-ai-hub/contract-review">31</start>
      <end xmlns="http://schemas.wps.cn/vas-ai-hub/contract-review">36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e74d526d-0925-4183-a5c4-32098d75eccb</errorID>
      <errorWord xmlns="http://schemas.wps.cn/vas-ai-hub/contract-review">提供提</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提供</item>
      </candidateList>
      <explain xmlns="http://schemas.wps.cn/vas-ai-hub/contract-review"/>
      <paraID xmlns="http://schemas.wps.cn/vas-ai-hub/contract-review">237B8457</paraID>
      <start xmlns="http://schemas.wps.cn/vas-ai-hub/contract-review">5</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364ebcd7-2da0-477e-9c79-f082dfeefce1</errorID>
      <errorWord xmlns="http://schemas.wps.cn/vas-ai-hub/contract-review">《财政部等三部门联合印发商品包装和快递包装政府采购需求标准》（试行）</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《财政部等三部门联合印发商品包装和快递包装政府采购需求标准（试行）》</item>
      </candidateList>
      <explain xmlns="http://schemas.wps.cn/vas-ai-hub/contract-review">疑似政策文件、法律法规名称等书写不规范，请注意检查。</explain>
      <paraID xmlns="http://schemas.wps.cn/vas-ai-hub/contract-review"> 2260A33</paraID>
      <start xmlns="http://schemas.wps.cn/vas-ai-hub/contract-review">27</start>
      <end xmlns="http://schemas.wps.cn/vas-ai-hub/contract-review">61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4ba2c057-7e19-4f59-9f21-2916c5db50d2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2260A33</paraID>
      <start xmlns="http://schemas.wps.cn/vas-ai-hub/contract-review">61</start>
      <end xmlns="http://schemas.wps.cn/vas-ai-hub/contract-review">62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14b4bdb7-0fb4-4d80-af17-b5db01bb618b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2260A33</paraID>
      <start xmlns="http://schemas.wps.cn/vas-ai-hub/contract-review">76</start>
      <end xmlns="http://schemas.wps.cn/vas-ai-hub/contract-review">77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7bc15427-54aa-455f-81a7-617d1bcbb428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 2260A33</paraID>
      <start xmlns="http://schemas.wps.cn/vas-ai-hub/contract-review">156</start>
      <end xmlns="http://schemas.wps.cn/vas-ai-hub/contract-review">159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c06f18da-74ac-4e01-adc1-1f7d6b3540ce</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299AF6CF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b9be26ee-32d3-421d-a7b4-3de20f80bdee</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38FB38EB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1a17c3a8-b64f-4c51-bbf6-ed6e0a4a05ed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2ADF0F99</paraID>
      <start xmlns="http://schemas.wps.cn/vas-ai-hub/contract-review">60</start>
      <end xmlns="http://schemas.wps.cn/vas-ai-hub/contract-review">62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2dc2803c-cbc0-429e-8c3a-c7d1146315ce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588FD981</paraID>
      <start xmlns="http://schemas.wps.cn/vas-ai-hub/contract-review">55</start>
      <end xmlns="http://schemas.wps.cn/vas-ai-hub/contract-review">57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76178b62-de1e-4922-bef9-582c5a440fe9</errorID>
      <errorWord xmlns="http://schemas.wps.cn/vas-ai-hub/contract-review">必需</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必须</item>
      </candidateList>
      <explain xmlns="http://schemas.wps.cn/vas-ai-hub/contract-review"/>
      <paraID xmlns="http://schemas.wps.cn/vas-ai-hub/contract-review">4631F0C4</paraID>
      <start xmlns="http://schemas.wps.cn/vas-ai-hub/contract-review">54</start>
      <end xmlns="http://schemas.wps.cn/vas-ai-hub/contract-review">56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19e4349e-f886-49f4-8edb-8f33490156bf</errorID>
      <errorWord xmlns="http://schemas.wps.cn/vas-ai-hub/contract-review">通过后才可</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通过后方可</item>
      </candidateList>
      <explain xmlns="http://schemas.wps.cn/vas-ai-hub/contract-review"/>
      <paraID xmlns="http://schemas.wps.cn/vas-ai-hub/contract-review">4631F0C4</paraID>
      <start xmlns="http://schemas.wps.cn/vas-ai-hub/contract-review">65</start>
      <end xmlns="http://schemas.wps.cn/vas-ai-hub/contract-review">70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1966c4e1-b5ac-460b-be34-a086feb9a03c</errorID>
      <errorWord xmlns="http://schemas.wps.cn/vas-ai-hub/contract-review">才</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才能</item>
      </candidateList>
      <explain xmlns="http://schemas.wps.cn/vas-ai-hub/contract-review"/>
      <paraID xmlns="http://schemas.wps.cn/vas-ai-hub/contract-review">67AAA75B</paraID>
      <start xmlns="http://schemas.wps.cn/vas-ai-hub/contract-review">107</start>
      <end xmlns="http://schemas.wps.cn/vas-ai-hub/contract-review">108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336be778-4fd1-4113-9dc8-136d1ce1dd51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27A8F499</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d50aa37c-7fa5-4ba9-9c3e-6bdd3cc5588d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277D4757</paraID>
      <start xmlns="http://schemas.wps.cn/vas-ai-hub/contract-review">174</start>
      <end xmlns="http://schemas.wps.cn/vas-ai-hub/contract-review">175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ebe55ef8-cc35-4748-be9e-3b08cec53cb8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277D4757</paraID>
      <start xmlns="http://schemas.wps.cn/vas-ai-hub/contract-review">193</start>
      <end xmlns="http://schemas.wps.cn/vas-ai-hub/contract-review">194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ff139cf8-f806-4b24-9f07-b227062aa86b</errorID>
      <errorWord xmlns="http://schemas.wps.cn/vas-ai-hub/contract-review">屏敝</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屏蔽</item>
      </candidateList>
      <explain xmlns="http://schemas.wps.cn/vas-ai-hub/contract-review"/>
      <paraID xmlns="http://schemas.wps.cn/vas-ai-hub/contract-review">  32FC50</paraID>
      <start xmlns="http://schemas.wps.cn/vas-ai-hub/contract-review">19</start>
      <end xmlns="http://schemas.wps.cn/vas-ai-hub/contract-review">21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a90526da-de3f-4123-b5e1-63494c97fb02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32FC50</paraID>
      <start xmlns="http://schemas.wps.cn/vas-ai-hub/contract-review">105</start>
      <end xmlns="http://schemas.wps.cn/vas-ai-hub/contract-review">106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0f6b0a13-dcb5-46b3-88cd-1224c0c27b83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32FC50</paraID>
      <start xmlns="http://schemas.wps.cn/vas-ai-hub/contract-review">124</start>
      <end xmlns="http://schemas.wps.cn/vas-ai-hub/contract-review">125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3ee705ec-29f2-4ffe-90b9-fe470f7bde43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500F3E00</paraID>
      <start xmlns="http://schemas.wps.cn/vas-ai-hub/contract-review">30</start>
      <end xmlns="http://schemas.wps.cn/vas-ai-hub/contract-review">31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eca49ccc-5a4c-47de-b35d-50bb851fe946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500F3E00</paraID>
      <start xmlns="http://schemas.wps.cn/vas-ai-hub/contract-review">45</start>
      <end xmlns="http://schemas.wps.cn/vas-ai-hub/contract-review">46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07d03040-aa7b-459c-952c-7fec1ef8b898</errorID>
      <errorWord xmlns="http://schemas.wps.cn/vas-ai-hub/contract-review">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制和</item>
      </candidateList>
      <explain xmlns="http://schemas.wps.cn/vas-ai-hub/contract-review"/>
      <paraID xmlns="http://schemas.wps.cn/vas-ai-hub/contract-review">6D084EE8</paraID>
      <start xmlns="http://schemas.wps.cn/vas-ai-hub/contract-review">56</start>
      <end xmlns="http://schemas.wps.cn/vas-ai-hub/contract-review">57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4400c63f-9eb8-4c4a-9d96-3c555c0f24fc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6D084EE8</paraID>
      <start xmlns="http://schemas.wps.cn/vas-ai-hub/contract-review">99</start>
      <end xmlns="http://schemas.wps.cn/vas-ai-hub/contract-review">100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6a1c4b80-d3f9-43bb-a96f-d2fa2d684add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6D084EE8</paraID>
      <start xmlns="http://schemas.wps.cn/vas-ai-hub/contract-review">118</start>
      <end xmlns="http://schemas.wps.cn/vas-ai-hub/contract-review">119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f700eb9f-8e1b-471b-9c63-965ae5fa0dc5</errorID>
      <errorWord xmlns="http://schemas.wps.cn/vas-ai-hub/contract-review">解锁</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公文中禁止出现该词语</explain>
      <paraID xmlns="http://schemas.wps.cn/vas-ai-hub/contract-review"> BF43A7C</paraID>
      <start xmlns="http://schemas.wps.cn/vas-ai-hub/contract-review">12</start>
      <end xmlns="http://schemas.wps.cn/vas-ai-hub/contract-review">14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af7a9872-0536-4ec0-bdf2-28cd505f04f2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BF43A7C</paraID>
      <start xmlns="http://schemas.wps.cn/vas-ai-hub/contract-review">56</start>
      <end xmlns="http://schemas.wps.cn/vas-ai-hub/contract-review">57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9981450b-c970-456f-bf55-892074394c4a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BF43A7C</paraID>
      <start xmlns="http://schemas.wps.cn/vas-ai-hub/contract-review">75</start>
      <end xmlns="http://schemas.wps.cn/vas-ai-hub/contract-review">76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e5d5adc2-1194-4131-a030-f29752853685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73B0DA22</paraID>
      <start xmlns="http://schemas.wps.cn/vas-ai-hub/contract-review">33</start>
      <end xmlns="http://schemas.wps.cn/vas-ai-hub/contract-review">34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777d8582-07c7-40c8-965e-739abc73a703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73B0DA22</paraID>
      <start xmlns="http://schemas.wps.cn/vas-ai-hub/contract-review">52</start>
      <end xmlns="http://schemas.wps.cn/vas-ai-hub/contract-review">53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2ee3adeb-c615-48db-8b46-b1a8e59bdc25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73B0DA22</paraID>
      <start xmlns="http://schemas.wps.cn/vas-ai-hub/contract-review">212</start>
      <end xmlns="http://schemas.wps.cn/vas-ai-hub/contract-review">213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712ecc62-7308-47ae-b7a4-96d1d5d982bc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73B0DA22</paraID>
      <start xmlns="http://schemas.wps.cn/vas-ai-hub/contract-review">231</start>
      <end xmlns="http://schemas.wps.cn/vas-ai-hub/contract-review">232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3e09ef8f-1ff2-4c55-917f-e61cd7068aa0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41A30E89</paraID>
      <start xmlns="http://schemas.wps.cn/vas-ai-hub/contract-review">215</start>
      <end xmlns="http://schemas.wps.cn/vas-ai-hub/contract-review">216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c6f4f425-b5c0-40a9-a971-6ecc64c6c539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41A30E89</paraID>
      <start xmlns="http://schemas.wps.cn/vas-ai-hub/contract-review">234</start>
      <end xmlns="http://schemas.wps.cn/vas-ai-hub/contract-review">235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22ee9012-6be4-4ef1-8e78-39419b4d7266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7460C5D8</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376ef89f-9075-46ed-af6c-49c950f5acad</errorID>
      <errorWord xmlns="http://schemas.wps.cn/vas-ai-hub/contract-review">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选择</item>
      </candidateList>
      <explain xmlns="http://schemas.wps.cn/vas-ai-hub/contract-review"/>
      <paraID xmlns="http://schemas.wps.cn/vas-ai-hub/contract-review">7460C5D8</paraID>
      <start xmlns="http://schemas.wps.cn/vas-ai-hub/contract-review">301</start>
      <end xmlns="http://schemas.wps.cn/vas-ai-hub/contract-review">302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0c139712-08d2-42d3-98ff-8c84fa25713f</errorID>
      <errorWord xmlns="http://schemas.wps.cn/vas-ai-hub/contract-review">稳压稳压</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稳压</item>
      </candidateList>
      <explain xmlns="http://schemas.wps.cn/vas-ai-hub/contract-review"/>
      <paraID xmlns="http://schemas.wps.cn/vas-ai-hub/contract-review">7460C5D8</paraID>
      <start xmlns="http://schemas.wps.cn/vas-ai-hub/contract-review">429</start>
      <end xmlns="http://schemas.wps.cn/vas-ai-hub/contract-review">433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17e3181d-4584-4ab3-b2ec-230a937dc531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7460C5D8</paraID>
      <start xmlns="http://schemas.wps.cn/vas-ai-hub/contract-review">785</start>
      <end xmlns="http://schemas.wps.cn/vas-ai-hub/contract-review">786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eec5d428-393c-4052-aef6-2ba7a764b917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7460C5D8</paraID>
      <start xmlns="http://schemas.wps.cn/vas-ai-hub/contract-review">804</start>
      <end xmlns="http://schemas.wps.cn/vas-ai-hub/contract-review">805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09001a85-8cf8-467f-bd42-aaff5b7f5ed3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7460C5D8</paraID>
      <start xmlns="http://schemas.wps.cn/vas-ai-hub/contract-review">809</start>
      <end xmlns="http://schemas.wps.cn/vas-ai-hub/contract-review">810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63ce8d0b-7653-4233-8a00-cabb50c1782c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7460C5D8</paraID>
      <start xmlns="http://schemas.wps.cn/vas-ai-hub/contract-review">842</start>
      <end xmlns="http://schemas.wps.cn/vas-ai-hub/contract-review">843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44787b62-4647-4b7f-a5e8-a058d440cc5c</errorID>
      <errorWord xmlns="http://schemas.wps.cn/vas-ai-hub/contract-review">两</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两个</item>
      </candidateList>
      <explain xmlns="http://schemas.wps.cn/vas-ai-hub/contract-review"/>
      <paraID xmlns="http://schemas.wps.cn/vas-ai-hub/contract-review">7460C5D8</paraID>
      <start xmlns="http://schemas.wps.cn/vas-ai-hub/contract-review">1175</start>
      <end xmlns="http://schemas.wps.cn/vas-ai-hub/contract-review">1176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56a6bb9a-e7a4-4d2a-b58d-7060b69ec34c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202529D7</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7a7ce80c-b2f6-4785-8aa6-d1d4d042c5c2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4CC2D813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b44df2c9-b8be-4f5d-a6ff-8caf7bb33b2d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3DE8D0F0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fb1ccdc2-3f3e-46c5-93a7-fb4f516d645c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27A46DEA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e40ad62c-96ce-4749-b014-c725cc1384f4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65657AC0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c48ae346-ad8c-470d-83cf-75d80c613bf4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123170F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18b95013-18f9-4eeb-b7e8-f3a64e6f53a1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3A383EDD</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007d2629-4932-43a2-9010-898ca872e99b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459A0CF3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a311b1ad-d5bf-433a-9f39-4672fb3f9ecd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41EFABBB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4668bdfd-07c6-49dc-9c62-8733a15c14a3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47F44F4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81f95ea4-35cf-4289-88a5-758380f81b62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2184EA08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3c199fd9-1640-4975-a60a-8152668cf046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5AA71FD7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37a9f0bc-cd04-4926-887e-e46c684c477f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587D62E1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1b71145b-c69c-4325-95ba-5f8cf394fb13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DD276F5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4bd091c5-f680-40c6-977f-724882fa55cd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72271FA6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16723db3-da44-4744-8c0a-d8befd54d675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50A30D61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29fb9c58-4886-4d5a-af65-7e652272f75d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1A452525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648d7cd1-81d6-4817-954c-04b75f2c7f8e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7F43FCB4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28a80e5c-0182-4603-b788-5bddeaaf76da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6E427C00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9be63d77-40de-4633-87cb-f48b113a1198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3A8A01AB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3e928ded-8580-4e14-b1b8-ed060968362e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5B6EE02D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a392d7b1-cf30-4b1e-a106-1bce88252386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358476E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f39437ca-8bfe-4fce-8e7b-1e9131283021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6CB8EAB3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81a3cd46-b494-4678-9587-5e34f34f4d1d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3B694F6D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b37c1e44-3acf-4198-8f53-2be0f47be9d5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5218D420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c81c94c4-1a3a-40b4-b9ec-289c3e0149cb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7A9023FC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f372d3e5-1c84-4977-8ca0-c020fceba2ff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6C17296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26c10fc0-e0e8-470f-8816-9350013b5223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3D2D5ED9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2fc33180-07bb-4ed0-9a7c-a5203e27b13a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109C7923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5f2fe7aa-b419-4644-87dd-9770f288359e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44E2BDD6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aee5b399-d6ef-4d73-94cd-6ca05dcad661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4999A657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56986f06-b433-462d-bb25-f4b8e3fd7c2b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6D694F46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c22aaa19-1492-4cd9-a42f-ee9b884ff7ee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22D746C4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162be763-5d51-4464-93b4-c2b79ad9b51f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37C2A552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681d8c4a-d6ca-4df9-91a0-88b87abcdffd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88BBD15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cefdd198-39dc-4839-bea3-814858645be5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4BC53BFC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6e37f1fa-5f5a-4d6c-8d5f-0a909c3d883c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689B08F0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2a2a8e2b-f802-415b-bbd4-8d264c867e46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5729AC10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abb7c349-b097-4447-88a5-9c1258d10662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B035C58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5691347f-0f62-4287-a4d4-1f131494c1a5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1AFA6062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ee675b99-f294-460c-8532-f88652c0f98c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DD38862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c34606e6-5494-4a31-8882-85f21371a51a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723C995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aadc10f3-9ebe-42a7-b551-f67a83356a0f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52E0D64C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5a2891bb-2ef4-40b9-9ee6-a5e77e2c37ec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1689F66E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4668db82-2df9-4bdf-965d-57a377f7cc55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474008FE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2199fa70-540f-4ab1-b032-8e89e3cd2c13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7EA5CB4A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18fe1fce-6a27-4419-9eb8-c34ce67445a5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36B527B1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8a289cf5-863c-4ce4-a1be-4039c36566db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5EC07137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ab425a03-2846-434e-8ffa-4b6d6622611f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6D7BFBF6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dfd2d1ab-517f-4d04-8294-75419cc148a1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6B2D6FD8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8ddc7db6-5a47-4810-bb8b-0ce03b9a9764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49289F77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5edc83b5-6b39-4167-80e0-3e2c1875cccc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B39B034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b345de64-ae71-43db-a9b2-aa60eac1ec38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3F2980CD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0704ffeb-b3bb-4bb2-811a-2e1082c62cde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1DBBD218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16dd0bc2-7710-45e9-b8a5-62b511b6c421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4C1E6A6F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eda4dc25-8434-477f-80d4-f7c0d7367015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7D2B58BE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aeb48a27-a3d6-472d-8a29-2c30418bd342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2F87D85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a0f6e392-ffe7-4884-922b-400a53d570f3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2E49EABB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9f0042af-9a29-4a1c-a611-fc9832c8880c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64BEDDE0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42a959e8-6b78-4a86-8054-0f94344bf7f8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5F15BA48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264e8841-5f94-446f-a369-9ca6899cf3ca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5F984CEC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d21abde9-3f48-46e6-9938-f9fa05a7020a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3FF6B609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02dfa223-ba3c-4303-884a-edd1c30e5cce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76B23CBA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08a815e7-f7a9-48b6-b42d-7b89c3d02125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2ED09406</paraID>
      <start xmlns="http://schemas.wps.cn/vas-ai-hub/contract-review">34</start>
      <end xmlns="http://schemas.wps.cn/vas-ai-hub/contract-review">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fb9f08a1-fd6f-442c-8cae-271169b9f29f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77BD436E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a16c47e2-b3e3-4850-b801-8cdb588c3578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32D0BE56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bca87fcb-82d2-41dd-b072-b33000edc3fa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3D4A6D62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380ba8ac-2a63-4ed1-a473-0ab0335c38ee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6B5322F6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f48a74a5-949e-4352-b36b-3672060877e6</errorID>
      <errorWord xmlns="http://schemas.wps.cn/vas-ai-hub/contract-review">防炫目</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防眩目</item>
      </candidateList>
      <explain xmlns="http://schemas.wps.cn/vas-ai-hub/contract-review"/>
      <paraID xmlns="http://schemas.wps.cn/vas-ai-hub/contract-review">6B5322F6</paraID>
      <start xmlns="http://schemas.wps.cn/vas-ai-hub/contract-review">4</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a462563c-94c4-4b18-94de-aa64a8633173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7D5A9448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557032d7-6754-4885-b22e-1237562c1a3e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D2D1F46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9832b413-e6ea-42a3-9faf-43ce8da0cea4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19EB7A6D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c52dc0fc-0f29-4aa2-a8ab-bfb8ee47c989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79C46C74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0f5cc7f8-2e09-4cc3-a691-2b77035f9da0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2148964F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d9f438b1-b91e-47cc-82fb-08acae6d7632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78BB17AF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8f2ad01d-1661-49f7-b332-a7716c9b6558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3E60D216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3496427b-06c8-4e30-a780-856a6d9a66cc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3B1FBB05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d45575c5-43f1-4878-8f45-da140f0873c1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1F37C49D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4a6b5da3-0ef8-4c3f-a81b-6bef2d0005f3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397E8B22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939a9856-8ded-4f44-9406-bcb38e5dc3ba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534DB3C7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10db8e40-2c77-4d88-872e-f132767d19ad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37382E79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bc4bc3c9-255d-4777-a19b-2020dbd72bfa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5DF4E6D6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3617c783-c023-4beb-89e8-52280a96f050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334062DE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822760c8-5a30-411e-986d-9807b40a729a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584BB2A7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992761ca-78b0-45f9-b8f4-15b4052aa576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2BC5CBC3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613f6c8b-c8b9-4b64-bb91-d4f7842a9f45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27F89DC2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9ae472b3-d3f7-4d1e-be8c-3dbbaf19e932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7C8E1B0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f124c151-fac7-4d07-a986-1c6b4ebe67c8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50955232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f15cc5ad-61af-49a0-bc34-8e097cc7b9d8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B7F3557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d4212c3c-13dd-4bd9-888c-80c2f94ff873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2A2DF0AC</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85795b5d-e71c-4e14-a72d-e328047a60c5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56288CA6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002cbed8-6848-4eaa-bade-0a2e7306bc9d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6CA896E4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2b94b153-77c0-4b42-81c2-4d98013a871d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3836AAAC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1caa0ab3-a14e-4b98-987b-7734954f9210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243E63AD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a7e955c4-5b83-407c-8690-6fa376e4e9b6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3D466DB9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fb1d615d-a9ea-4884-b26d-e0b18d27d4a3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51EC1B30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4da18b53-eb2e-466a-aee5-b442777b445b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6D2082B1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756d73ee-89ea-46f6-9115-4b6ba063fae2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2A086327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a53bb845-8809-49ff-9310-100176451311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1ED09EBF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b179f30e-f51a-46bf-9aad-4409a44ab461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6CD2351B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ebdf9d9b-e29d-4390-9896-bd2009a9ec8b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574C3CAD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cb52a26f-177b-4d72-ba3a-05b069ce6550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1B31EA93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7b73798e-7b0c-4c88-af86-0ab8171ca7a1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6500B84E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ac56f0a3-e0a2-4a22-9b2d-e060df0893e2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740FC66C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dd0608ed-53e5-4f0a-94b9-841581e0a589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1C3C0E27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94f8072f-5799-48b1-b6f6-fb13d0079d14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A8DFB62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e586f307-91b8-4541-8875-cee15543c562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3F19FCB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912c0aaf-3ac9-4c9b-bbe5-0360bac938f2</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678BE345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24b20c7d-9d29-44ea-a6af-5acef953b4ae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225C01EC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6ec6e5d4-0e10-4e47-a7fd-da931dd29c6f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1AF076C3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2627f276-390a-48e5-bb8b-58f44d9a383a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1608E30B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0435e400-ce85-4796-9b9e-b9d60513da46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25FA58D4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bb0264cd-3af0-46ba-875e-efccee857f94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56EE9921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87f87b6f-9966-4d31-8a03-b0e3e708012e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3DABDACB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9ecf9027-3d06-4c2d-b759-4a763cd42663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4F58587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c5518f89-5eaa-47d7-84fe-be884e832e6b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5C5DEA68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9ee42025-1624-4e0a-837a-8184aa5d2d6d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1EE1E54B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d2e91685-33e0-4d2f-9d04-cac209b19a90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5B26404B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8ad639fa-9546-4a72-b0ff-9a832398c738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36F4A135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3cabf7bf-66ca-4da1-a3aa-237ccecd5046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61D94F49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aaeac4cc-a86e-4312-8fc4-bdabc1dd553e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77E357FD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f7b83538-6fff-453a-9ccd-082810e7d1e5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11D11C4E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b2cd6677-2ddf-4bc1-9ba2-cfd78285a330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1E37991B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825bce4f-8799-437f-b97e-a6b5edcbb21b</errorID>
      <errorWord xmlns="http://schemas.wps.cn/vas-ai-hub/contract-review">a)</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a）</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55F96032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d57f0c79-0c60-45d4-8db2-f9245557cac6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55F96032</paraID>
      <start xmlns="http://schemas.wps.cn/vas-ai-hub/contract-review">64</start>
      <end xmlns="http://schemas.wps.cn/vas-ai-hub/contract-review">65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03352ada-6d0b-40de-9b58-070a0822d1ca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D77EBF0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4ebef683-cbe0-46a5-84e8-30a3ecc43001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4CA3052B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c68c5da4-923f-4e52-8f9b-173ffc0a23c7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6A9EE6F6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f32d0d33-e4ab-435a-9644-70d0759bfb91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6D0F6C77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0fd4e42f-f96c-4bf0-a78f-a9762fc4791a</errorID>
      <errorWord xmlns="http://schemas.wps.cn/vas-ai-hub/contract-review">a)</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a）</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3C1102A</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2bc495e6-7331-49df-b473-cb635628cc76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3C1102A</paraID>
      <start xmlns="http://schemas.wps.cn/vas-ai-hub/contract-review">33</start>
      <end xmlns="http://schemas.wps.cn/vas-ai-hub/contract-review">34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620e8b83-6ad7-42ea-b8bd-c984bfe43551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3C1102A</paraID>
      <start xmlns="http://schemas.wps.cn/vas-ai-hub/contract-review">55</start>
      <end xmlns="http://schemas.wps.cn/vas-ai-hub/contract-review">56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896b252b-7d69-43cb-ab53-27a069098d41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3C1102A</paraID>
      <start xmlns="http://schemas.wps.cn/vas-ai-hub/contract-review">79</start>
      <end xmlns="http://schemas.wps.cn/vas-ai-hub/contract-review">80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43cafa38-d8e9-452b-be47-1b8ad0d8707d</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 3C1102A</paraID>
      <start xmlns="http://schemas.wps.cn/vas-ai-hub/contract-review">109</start>
      <end xmlns="http://schemas.wps.cn/vas-ai-hub/contract-review">111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6ef64a2e-26c7-4db0-8fff-ed9f68d4aafa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3C1102A</paraID>
      <start xmlns="http://schemas.wps.cn/vas-ai-hub/contract-review">131</start>
      <end xmlns="http://schemas.wps.cn/vas-ai-hub/contract-review">132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1c81ac28-d771-47d4-840f-7f98bf13d283</errorID>
      <errorWord xmlns="http://schemas.wps.cn/vas-ai-hub/contract-review">解锁</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公文中禁止出现该词语</explain>
      <paraID xmlns="http://schemas.wps.cn/vas-ai-hub/contract-review"> 3C1102A</paraID>
      <start xmlns="http://schemas.wps.cn/vas-ai-hub/contract-review">164</start>
      <end xmlns="http://schemas.wps.cn/vas-ai-hub/contract-review">166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98958d30-89f3-4d9a-8e29-91f613a10c05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3C1102A</paraID>
      <start xmlns="http://schemas.wps.cn/vas-ai-hub/contract-review">174</start>
      <end xmlns="http://schemas.wps.cn/vas-ai-hub/contract-review">175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6de91863-a574-4823-b05e-6e3adbf35b16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3C1102A</paraID>
      <start xmlns="http://schemas.wps.cn/vas-ai-hub/contract-review">202</start>
      <end xmlns="http://schemas.wps.cn/vas-ai-hub/contract-review">203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5e82ecdb-07c0-461e-9631-09e8ae10a67d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3C1102A</paraID>
      <start xmlns="http://schemas.wps.cn/vas-ai-hub/contract-review">238</start>
      <end xmlns="http://schemas.wps.cn/vas-ai-hub/contract-review">239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a24113e5-1d00-4b5e-9c65-c239630ca580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3C1102A</paraID>
      <start xmlns="http://schemas.wps.cn/vas-ai-hub/contract-review">301</start>
      <end xmlns="http://schemas.wps.cn/vas-ai-hub/contract-review">302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7233cdf8-fbe5-4942-a8df-bd19aa3e234d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3C1102A</paraID>
      <start xmlns="http://schemas.wps.cn/vas-ai-hub/contract-review">323</start>
      <end xmlns="http://schemas.wps.cn/vas-ai-hub/contract-review">324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eb1d0925-4520-42a0-aa03-df20532dc11b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3C1102A</paraID>
      <start xmlns="http://schemas.wps.cn/vas-ai-hub/contract-review">366</start>
      <end xmlns="http://schemas.wps.cn/vas-ai-hub/contract-review">367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f0f8477a-aae7-4cdd-adbc-84a22325b1d9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3C1102A</paraID>
      <start xmlns="http://schemas.wps.cn/vas-ai-hub/contract-review">399</start>
      <end xmlns="http://schemas.wps.cn/vas-ai-hub/contract-review">400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7665273f-ebe7-415a-9488-aadb1a98fb5e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3C1102A</paraID>
      <start xmlns="http://schemas.wps.cn/vas-ai-hub/contract-review">426</start>
      <end xmlns="http://schemas.wps.cn/vas-ai-hub/contract-review">427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4f2d942f-2156-4413-a3ce-5934aab1fda9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3C1102A</paraID>
      <start xmlns="http://schemas.wps.cn/vas-ai-hub/contract-review">481</start>
      <end xmlns="http://schemas.wps.cn/vas-ai-hub/contract-review">482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9315ec23-0723-42ec-8a0e-56d47aba01ae</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 3C1102A</paraID>
      <start xmlns="http://schemas.wps.cn/vas-ai-hub/contract-review">482</start>
      <end xmlns="http://schemas.wps.cn/vas-ai-hub/contract-review">484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9fa0e79d-3ca7-4ddc-8eb9-4767e20faed0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4EEEAF46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8f058184-5d92-4d91-b478-a3f3132f037a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35C6E121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6bd340bb-e084-4fe7-b112-ba2d41353a6d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162CE7EE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1f1d93db-05e7-4905-a318-afa88ded7077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53CA5D2B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a8177b30-46cb-4178-86fd-c2423c75d0f1</errorID>
      <errorWord xmlns="http://schemas.wps.cn/vas-ai-hub/contract-review">噪音</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噪声</item>
      </candidateList>
      <explain xmlns="http://schemas.wps.cn/vas-ai-hub/contract-review">词汇[噪音]为不规范表述或旧称，其规范书面表述为[噪声]。</explain>
      <paraID xmlns="http://schemas.wps.cn/vas-ai-hub/contract-review">53CA5D2B</paraID>
      <start xmlns="http://schemas.wps.cn/vas-ai-hub/contract-review">3</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99d9b430-83d7-44cf-81c7-7dd95d540229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38929A55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5bf0fd7e-2b33-4ebd-8653-675665e7a89e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6B3780C6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0b920a03-3897-4087-9645-4813ad227c93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4B541A39</paraID>
      <start xmlns="http://schemas.wps.cn/vas-ai-hub/contract-review">34</start>
      <end xmlns="http://schemas.wps.cn/vas-ai-hub/contract-review">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e6e25ab8-870c-4425-805f-2933d1a704a9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4B541A39</paraID>
      <start xmlns="http://schemas.wps.cn/vas-ai-hub/contract-review">62</start>
      <end xmlns="http://schemas.wps.cn/vas-ai-hub/contract-review">63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570504b3-b937-42d3-82f4-dbb43cd9c0f2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4B541A39</paraID>
      <start xmlns="http://schemas.wps.cn/vas-ai-hub/contract-review">78</start>
      <end xmlns="http://schemas.wps.cn/vas-ai-hub/contract-review">79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e565c417-c9b9-4bfb-a4b3-e2c375cb9237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4B541A39</paraID>
      <start xmlns="http://schemas.wps.cn/vas-ai-hub/contract-review">96</start>
      <end xmlns="http://schemas.wps.cn/vas-ai-hub/contract-review">97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1babfaf7-13db-441a-9d14-581b02814250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4B541A39</paraID>
      <start xmlns="http://schemas.wps.cn/vas-ai-hub/contract-review">119</start>
      <end xmlns="http://schemas.wps.cn/vas-ai-hub/contract-review">120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b06c7278-d7b3-4e57-b82a-55f0fef42db1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ECFF2CD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222df2b1-d252-4266-bd2f-128e141b2d04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5AA25C17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f50ef523-61ef-4144-957f-3380ca26bec5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514C9B08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8b54f975-2237-4f46-a682-00dc014d8774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2E475AD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d911e5e9-2080-45c1-bd9d-84eeeae6770b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6ED9F2F3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74c463b4-6afe-452d-898a-5cf4ef9d66dd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3A4A493E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93a0ef8c-3eb1-4a1c-82fb-46de44e4940c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5F0D51F7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0e6be64a-cb9e-4a17-bc52-613c5797a9a3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1D0E5570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dc2154ec-b278-4b19-958d-acfa7b6cd2ab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54004B3B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6835fedf-6799-42dd-a588-7b6d98a5bf8d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2A530302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85fcd427-db10-4f97-94d6-2bdc0e96e861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7F78C5D0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c3fec48d-5011-45ac-ad1d-9d1b8485b5d3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5749AA2E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5b2c6e53-3c01-47ef-8525-e18a24f6af13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4E226C2C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2e516884-8745-473d-8e84-ec1a1a28eb9b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199CB6F8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45302a19-efcb-47c9-b947-a7a04e1e1b5f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3C45FFA1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f742eac6-ff36-466c-b796-9d017d36313e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646CA079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5e90c01a-610c-45d3-bbb5-0b3991238412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1091007A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a1844060-cfc4-4dd1-bd16-f299ac907d7b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25CBF880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e273bb2c-6ade-4870-b8fc-421854615343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56502D93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29754fb4-c85b-4aff-8523-227bf1cc2f1b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5CF1500B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1cb80654-8521-463b-b878-da1853f330a9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4DD0F751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fef592c8-ac68-4bfe-8aa0-781cdf842bde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64ACC3F4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c03ba936-e4b1-4655-af86-d757e2404ff7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2C85A6FD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41caf5fe-ef46-4a56-a3b5-55e4c2a38de3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1E640FA7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dbb96dc3-fea7-43a4-9a71-be68b0214567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68FACC1C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c9ef2949-ff65-483d-872d-ccc804b8f906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78753CFD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11060944-637e-45b5-8095-2993555363a9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7E3620BA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b153c2e2-6a19-49a9-96d7-29f34e5fa5f3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7D928923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90446442-0072-4cba-b878-b533388f7dcf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479E2018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da9282fa-de8b-4db5-8a4b-fb6cd527ff26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18420825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ac69f59c-195e-4f31-bcb1-a8eec445f35b</errorID>
      <errorWord xmlns="http://schemas.wps.cn/vas-ai-hub/contract-review">位深</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位置</item>
      </candidateList>
      <explain xmlns="http://schemas.wps.cn/vas-ai-hub/contract-review"/>
      <paraID xmlns="http://schemas.wps.cn/vas-ai-hub/contract-review">18420825</paraID>
      <start xmlns="http://schemas.wps.cn/vas-ai-hub/contract-review">4</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e3a93b3a-8b1b-4e82-be75-a22a64d7b97e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2B5F401B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3ff6a937-ff87-45d7-9212-78d6f3f00cee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2B09C7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bcc74b7e-1076-4030-abf0-f83fb079c9f9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5C1D9BAF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a3cb5d34-9582-462c-8031-bb44753b1ce0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76EA682E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bf64991f-a3aa-466e-919d-2905fc9c1807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7AA63C15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af684858-7de3-4eaf-b304-6e19944c7de6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565BF7AD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5a389cc6-955c-4810-ac3a-dcf286012e58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30772F09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4ea68f57-60a2-49ba-bf85-a3158b7e4903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6754449C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a20c5b0d-abb6-4e88-b4fd-4677dfc8a016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2430F3F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8ee0286e-2694-4996-bace-3a3074ddd56a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61AC8813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e6dc5579-050a-4077-85ed-1d495eb4d7e5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3572BB00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267d3402-5fe9-4f9e-a439-4aea2b7b12dd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D7CBE94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bc03a475-4426-49e4-a8f6-2ddb54b3166b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5A7E380</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eb243e26-23a9-41e1-a0eb-b654bf6deed7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2D3293C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48d271e7-4dfb-49f1-9000-71c12be6d8f4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79E18BA1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dc84a410-ec03-4343-be63-6e3bf1580354</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5CB69F77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37d3fafe-51f9-48be-be85-af9fe20121d2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4827AF40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255f3a5a-428b-4aa1-a178-164807f2a834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357B0EE1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d93e12d4-5f11-47b0-9eda-f1555652f7e3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269BE139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84d148d8-8ec8-4331-9098-33e37319c2a3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13A87A50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266b131a-cd59-4e68-ac8b-6fa2190e5b9c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73EE06E2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49988d98-f436-4aec-ad73-bc81704a9475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D8B1081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eb0fdb42-a6c4-4b50-a688-c38f03a61f68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D8B1081</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729000f7-20b7-4507-ba86-c450e1250a54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D8B1081</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c8a075f0-4b4a-4fbd-ad67-3b177886ec3f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6DF325DA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ed0c2ad6-3d33-46cc-8692-445fe15a6f54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24001A74</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0074a30b-c0d6-4cd8-abc0-cf0026c022c5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24001A74</paraID>
      <start xmlns="http://schemas.wps.cn/vas-ai-hub/contract-review">15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48595b62-0beb-42f0-9611-873f1c46b7fc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3B332BED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89c8441c-99ee-49bc-a900-c29e453f1a47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352906C1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95cd1198-7664-42d7-b90e-92f9ec01ccf3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21E4A845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34079c2e-d031-45df-a38c-2cd605b8f4c3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5C183528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0602a0ef-6a08-46bd-bb0d-5c45688460bf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5B054AB0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f9e4f8ad-9ddd-4cf7-8d78-cc16ce87ec38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750F1B2D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657626ac-6f28-434a-96ea-c8b1c040fe61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188EFC2A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ea5c7efc-1aea-4c15-b3dc-777441ad394e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406C84DF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060a67a6-edb1-47d1-a6f3-5d3a6040c91e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A7CF25E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2bdbd349-ce01-4bab-afaf-8cd06953ffa2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33198C01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2bd015ac-36c7-4156-ae4d-976a0f95a4d6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761CE2CB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e6fb9446-c9ae-4d0c-8eb8-8c3fa9635f1c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3E7240B8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ea3f834b-dc0e-4d30-8631-324e88354686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40299FA5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3d7e06d2-c3b9-41f2-9968-9e619b3e51f7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41C43A08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5ef14626-cd04-468d-aa3b-b9a9e4f59338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1FF325DE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3e0876dd-4241-4096-b86f-f2cb57447c25</errorID>
      <errorWord xmlns="http://schemas.wps.cn/vas-ai-hub/contract-review">a)</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a）</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4E006AC6</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75d69b2b-bf3e-4ed8-9907-a944cddfc4b3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4E006AC6</paraID>
      <start xmlns="http://schemas.wps.cn/vas-ai-hub/contract-review">24</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f31f5cd8-0aa1-432f-b095-961bdd019ec0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244C170F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7d110a02-5de0-42bd-9ab1-bfaf444e3782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161D508D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9b018af3-9d38-4963-99bc-94e86dfa1c5f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40952CF0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1c0f8049-1f8b-4a68-a2d3-31b6fc2b5a09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73411C6F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83d74cad-a8d4-4287-bdae-e5296dc88149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23ECC443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50a57814-de13-4a90-950b-064060174411</errorID>
      <errorWord xmlns="http://schemas.wps.cn/vas-ai-hub/contract-review">a)</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a）</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154C7498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a1958275-2695-414d-948a-327abe09f5fe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154C7498</paraID>
      <start xmlns="http://schemas.wps.cn/vas-ai-hub/contract-review">21</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d4601e64-601e-4918-af31-3ba90a399ebd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74DB38A1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e7928869-93bc-4983-9129-4a47d92465ce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7B5783EA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6eea01ac-6b0e-4ba4-b5a2-68ff4336fce2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498B8CE0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89413201-2889-4f2f-a269-c0f28c3ad490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9A8433F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4b496e4a-dde8-4431-9a40-56623180e155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72F947FE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3e7b1315-fad8-447d-a504-d0f63d942a9a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1A2D4120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26b8e0fd-7a2a-4abc-a4d0-0ef18b656dfa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55282DDC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4bba95d2-2c3a-42e5-99b9-3cd1e4955c8a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64058756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1b494fd2-4049-45c8-8a6c-f8cb1ff50f0b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2BF58239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02358e94-fbd1-48c8-a5ea-38e4904d658a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4918A65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4cd2a173-f708-4fce-8201-e9e49fae685b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58E3825B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7b1f4ba6-b3c9-498d-824a-b589be4d4703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2B0CC343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ad904790-513e-46ae-aaad-6fdd006eadec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78869CBB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d78e53a9-7d56-46e3-89ac-df09786f3516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5F37B774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fa869f40-53e0-49dd-b9ee-9485bc5b59b8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374B8FA5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16a93312-2f42-402a-84db-e559a2ccb16f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68D29025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c1f036d6-379f-4219-9549-721a6c47c009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6742E5B8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42bd44c2-8cfd-44bf-9073-b4db37b46467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1E1D1A13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b10cfb3a-4984-4aa3-9eb8-43ddee1c00ba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2B4B5E0F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6e55f176-7719-417f-8c2a-324a722064e3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56432DB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d395a4c8-c549-4566-ac5c-ab7419b9b561</errorID>
      <errorWord xmlns="http://schemas.wps.cn/vas-ai-hub/contract-review">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作</item>
      </candidateList>
      <explain xmlns="http://schemas.wps.cn/vas-ai-hub/contract-review"/>
      <paraID xmlns="http://schemas.wps.cn/vas-ai-hub/contract-review">6FFFA105</paraID>
      <start xmlns="http://schemas.wps.cn/vas-ai-hub/contract-review">39</start>
      <end xmlns="http://schemas.wps.cn/vas-ai-hub/contract-review">40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b7809751-4b6b-474d-a32c-176a67cee589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1427EA9D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ec72e32c-9685-4e77-93e8-5aaa85b8874f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5A60426E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aef416f6-a629-4df9-a8e9-c0ef2421206d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5CD7EE13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71ec7317-5755-4698-8343-47a74e24d98d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62D544EA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deca0e17-e4d6-43da-9b26-83340b09decb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49052214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b553b5f1-09ea-4b95-8a46-6a379a33ee10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64F937E6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0df014c2-2ea5-4a2b-abe2-7c9d2532cb0f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2D97AE71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280cb519-1933-48d3-855e-89da889b9d14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2F0BF740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3365e791-7c31-4d84-b528-648de31bfbd5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7DF66351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fc1f1633-ab39-4317-b118-30c6dbe78b38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704D2557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f33e7831-dd9e-4942-8206-32e09569340f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F92D0BA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dea6cf52-34ef-49c3-9809-fc270f22dfd5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E5E22F9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d0a91a8a-e454-490c-b319-0db003c56ce7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3B6A1478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b9c5b2f6-4e64-4ffa-941a-f904c7c7f667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6FA0092C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466028fb-96a7-4e1b-ab82-070417ecc9a8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7ECE9CFE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b48d6fde-dda0-4a2c-b068-e750fc990171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5769B176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bfe4396c-77ba-47c4-b4cf-d37059c1bcfc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53C8DDAA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0ff74fdf-278d-4650-8553-a3a739531ffa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5BEC92A1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8d2abb7a-05d7-47d2-a0ec-c070d0ecd669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3707662F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0731c8d9-a62d-4f05-879d-7d79de802734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31E7F589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dcf2bfc8-bc2c-4499-8bd6-19ab175a2764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6970C8DA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569a37cb-c84c-4dbd-95a1-4554e56b71a0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26D6337B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2601f3c5-943a-45d1-8eeb-0070fbc81eb1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42AFEBC8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d54843de-56db-49c5-856c-61deee8b633f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71F527FA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61e9bd7b-ec75-4abf-936a-2968f7b470b5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7F72E77E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65691f30-d330-4dc9-b386-65839e71c8af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7627CD1F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3a6b238a-2d1d-4310-9fc6-5a239010fa61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3AB05831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167e7717-0ef4-46a0-a4ec-4f30d54cd1fd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1A34193C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bb436fee-4ccd-4dbd-8775-49eddb739602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78A845D9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253cc240-d5c7-450c-be47-91374b48e322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6A8C7E94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d06b3472-580c-482a-8ede-24b4a1784b55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1F445686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4d182eee-1716-48dc-b815-c5376a69dcf3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1BB81B37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a32de288-e3f5-41ab-8ebb-250df73d4759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515724FD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00b97e72-1769-44f5-b999-39e2e5abd990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1732D37B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3dcefdde-fb0b-482f-a30c-3f5c55249c13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5B329F8A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b09272ea-d957-471d-ab73-d5666be86881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401F49C6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f5658d35-f6af-4620-9c6a-2390138e7fad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71295C0F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0a1c4f65-b45c-45d1-a4df-4743c133245b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5ABDA641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6b39877a-8465-42bf-aae8-9ec770a95c01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47F03900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6e71f96d-3387-4030-89d9-33cf0938bbe7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65C78373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08c01155-5cec-43c6-8951-2436736735bd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11949D33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d3b276d4-f56b-4ff7-869f-c3f425294e19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D5F5C96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146fc34c-2562-4c44-83aa-6bca25030d6b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3E959706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19bac4aa-3dce-4ca9-b8a7-6df5aa487363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BCFA7FC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c998df22-3a09-4b3a-a91f-b4740752953c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6BE64B83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af880bbf-36bf-40f6-a94c-9a4d1fce4efe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7CEBC597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77c8f99d-aba8-4c8d-9316-94f442e5daee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2BF52A40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ad35445e-40a0-4bb7-90b9-4fe886e39572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7762968A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85c2043e-f352-4ff4-a272-dab3013fbada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66E49E3C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b2f0e7f3-c3f5-431f-8891-22817ae0ff5f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6B9760DA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4e4932ff-78b3-496b-a3ea-8b7c4b62b1ea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14A502A3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f42dbfae-0d36-4694-b730-bf59c0091edc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1962F511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99f4cae9-bc5e-4e21-ad74-6445eba8218c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579681DB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3af1f51d-8026-4737-9124-1a6b78d8ab8b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44009E94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0421679b-e5aa-4454-b2e4-1844511ca4d9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6B32C902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2b49303c-e288-46a9-b841-6d2ca51f77d7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165650BC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7d5ac9cb-5ede-472c-88ff-e3150e8efba1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34B39985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5dd62200-ed9c-4883-988c-fa48eb6e5d73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691542A1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c34a02c9-6098-4126-9a88-69e122d6fd8e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4763E247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8510d0f5-8b7b-4983-aca1-3394c02021ed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5DEC990E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43bb621a-93c6-4204-a357-5774afb7ecd3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6650511A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91ea66b6-638b-4c28-814b-1686a4795477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3244495C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741a625a-db4d-4557-9502-87b4bf9a53ff</errorID>
      <errorWord xmlns="http://schemas.wps.cn/vas-ai-hub/contract-review">a)</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a）</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BF0C04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f6dcac14-c967-49b7-aa31-84cc9bb83b51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BF0C04</paraID>
      <start xmlns="http://schemas.wps.cn/vas-ai-hub/contract-review">29</start>
      <end xmlns="http://schemas.wps.cn/vas-ai-hub/contract-review">30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f1d2e0cb-8f49-4d0e-8211-6942197cf65b</errorID>
      <errorWord xmlns="http://schemas.wps.cn/vas-ai-hub/contract-review">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日内</item>
      </candidateList>
      <explain xmlns="http://schemas.wps.cn/vas-ai-hub/contract-review"/>
      <paraID xmlns="http://schemas.wps.cn/vas-ai-hub/contract-review">  BF0C04</paraID>
      <start xmlns="http://schemas.wps.cn/vas-ai-hub/contract-review">56</start>
      <end xmlns="http://schemas.wps.cn/vas-ai-hub/contract-review">57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90605627-57b5-41b0-b92f-57c20af0532c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BF0C04</paraID>
      <start xmlns="http://schemas.wps.cn/vas-ai-hub/contract-review">100</start>
      <end xmlns="http://schemas.wps.cn/vas-ai-hub/contract-review">101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9ff91a67-e177-4dc3-a190-770f2c04a812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BF0C04</paraID>
      <start xmlns="http://schemas.wps.cn/vas-ai-hub/contract-review">141</start>
      <end xmlns="http://schemas.wps.cn/vas-ai-hub/contract-review">142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3198ae7c-01cc-44e5-8914-deda7d6c02be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15105B96</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b4668510-52c1-4e0a-a2ce-1acec56f0a22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2F96375A</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1609257a-a187-4902-a2f1-e00553ed553a</errorID>
      <errorWord xmlns="http://schemas.wps.cn/vas-ai-hub/contract-review">a)</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a）</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30D63177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41abfa9a-ea7f-437b-b326-61f7bb6144a1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30D63177</paraID>
      <start xmlns="http://schemas.wps.cn/vas-ai-hub/contract-review">53</start>
      <end xmlns="http://schemas.wps.cn/vas-ai-hub/contract-review">54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61fe3881-58be-4577-89b5-f277791abe80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30D63177</paraID>
      <start xmlns="http://schemas.wps.cn/vas-ai-hub/contract-review">72</start>
      <end xmlns="http://schemas.wps.cn/vas-ai-hub/contract-review">73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833e1e2c-cbc0-4969-b5a0-8bd8c6862f25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547C0CAA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8faf2ae5-2ca2-43ed-9b97-b65d26b0c793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35FEC94C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58e16b5e-1052-418f-8ef2-20f393fb2d9f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7DF67903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c831d425-47b5-4ef2-bdac-11be6449f732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738D5EB3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2e964922-8d81-4aec-9daa-20c32d90169b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5BDD6D89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087b45c1-f443-4e22-bb6a-7bbb92871841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58C00A6B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72567741-209c-4223-b41d-7d3d3a34f6fa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7F166FB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977e679a-0a5c-4fe8-b86d-35e5d59babfd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530867E0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cf35082d-3914-4f66-9fd1-9f41c904abaa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34E10DAF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1d0972ed-8a6c-4e1a-b854-13b2a2c5f768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38D6B7BC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00581eeb-1d64-4216-835f-c624b24f8563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EBD44D3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537250ca-d710-46d5-bc3a-c576062533f4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E061112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d6aae7ee-3527-4876-9d0d-70b2cb592f25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4C37BE4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34b96719-4297-4296-82fc-9a16feb60af3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5A7485A9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1b3116eb-8c11-41eb-bca5-82a1898e6837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6EBAFAF1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e513bd6f-ff77-4ac0-8c82-1aa224f1c56e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1639E20B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61de7f71-a9a4-471b-b93b-7d4adb08d741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2EF8CA50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6356b01e-460d-4ed8-a4a8-78b83817507e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19761FCE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5affa462-fa41-472c-b73e-3b19e787f1a1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252ED81E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0cb9005d-d0c5-4e2b-88eb-bfa5261b4659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63114569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0c07d7a3-3426-4f3e-9317-72aa1d210b00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28A0ADCE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b9fb9dc6-25b8-4dee-946b-e436536898f9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4B381C14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d5bff0fd-507c-40a5-8fe1-7f55940b6efd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429A1896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52123514-6693-439e-9b35-869e1d8e4bfa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74974D71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911bf47f-2d37-4dfb-aa5e-94ef87e995c2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6B82D991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23c7bd37-551c-4d85-9be9-92b321701679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6653E7DF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0347d8e7-812f-4d43-b45b-0ae4e0e25cfe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3BF33582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71eca2cd-a74d-4977-80e4-2f36cc787b4a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5244275F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115402e4-d161-4d98-8d1e-93be9974b113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1BA756C8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3cc93c5c-bf17-4119-9400-74fc96d31411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34F7572B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a6a54171-0a4b-457a-9c64-1692373046de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2D7A9F14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ccd5fa5c-bcef-43e1-a51b-6d94cc6cab5d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1026D2D2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07107bf4-d8bc-45a3-97f3-e75b3f38666f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3C727038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1295f008-d33a-49c1-bbf4-145b3ca7b4cb</errorID>
      <errorWord xmlns="http://schemas.wps.cn/vas-ai-hub/contract-review">a)</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a）</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D47FB73</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f50cbcfb-c7a2-4cc7-84ce-44ab51b5b857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D47FB73</paraID>
      <start xmlns="http://schemas.wps.cn/vas-ai-hub/contract-review">26</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a1bdf0f3-6ce7-4cd8-8da5-b848e59b3208</errorID>
      <errorWord xmlns="http://schemas.wps.cn/vas-ai-hub/contract-review">涉及到</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涉及</item>
      </candidateList>
      <explain xmlns="http://schemas.wps.cn/vas-ai-hub/contract-review">该表达中的“涉及到”存在语义重复。【词汇解析】涉及：牵涉到，关联到。包含了“到”的意思。</explain>
      <paraID xmlns="http://schemas.wps.cn/vas-ai-hub/contract-review"> D47FB73</paraID>
      <start xmlns="http://schemas.wps.cn/vas-ai-hub/contract-review">46</start>
      <end xmlns="http://schemas.wps.cn/vas-ai-hub/contract-review">49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d8249c4e-c5e7-4a97-b419-5051224bc899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D47FB73</paraID>
      <start xmlns="http://schemas.wps.cn/vas-ai-hub/contract-review">52</start>
      <end xmlns="http://schemas.wps.cn/vas-ai-hub/contract-review">53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bdd69ee6-941e-496f-98dd-6696d93aab6f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D47FB73</paraID>
      <start xmlns="http://schemas.wps.cn/vas-ai-hub/contract-review">59</start>
      <end xmlns="http://schemas.wps.cn/vas-ai-hub/contract-review">60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d54ee6cf-882b-4ef6-8286-a3245e9db966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D47FB73</paraID>
      <start xmlns="http://schemas.wps.cn/vas-ai-hub/contract-review">66</start>
      <end xmlns="http://schemas.wps.cn/vas-ai-hub/contract-review">67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5559608f-8b42-48cd-9ae0-c82997a8ea32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3523562D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06f00bf5-731b-4d7f-b561-0ae9843e556a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27ADC7A7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da81be90-591a-46fb-898e-173c92a71999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E7FCD89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54a52ed9-377f-461e-8484-b27b9acb4021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57FCC2DB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7024fbb8-0a2b-4357-b934-f45d3d062e37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703EC6AC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bc777e47-22c8-46dd-b07d-825aa6f74cac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3358ABEC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6690c06c-2457-4643-a111-532c3f0d50c8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3086C717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0d4ca706-1718-414e-bfed-966c36ae8507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3D9097CB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f1e5d2a0-80c6-4e18-aa28-a57e643bbf52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7F962121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af41fa0f-4834-4e95-b485-61fbf82c5048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3D81E60D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08404cfb-65d8-42ad-ae4d-5ccc9ddf14dc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28D1932A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9974007d-d307-483c-a551-ebe8e3e7261f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B078B34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8bbd6291-3a65-44bc-8f8f-9d07061b1d9c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CD4B146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22add3c2-af55-48b1-bcf7-127693fb792c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56A182C6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6fd97b28-9eb4-402b-beb1-d0d60a9d2905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7ACDCA22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316c4595-6ca3-4cad-9754-b2a79a2443d1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43D077A2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9d91908a-73db-46d6-98cb-6b315380363c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12C6A59E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f91810d1-e635-450b-a3e2-d109e31b640d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77E77129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01661974-fd1f-409d-9b75-482b7ee1ca09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6D924ACA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999449d9-b1c5-4605-951a-cbc005131baf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204C14DB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18e896b1-9bbf-4f02-80ff-81845d7a5e97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7F2F77F5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f57813e1-a060-46a0-9054-854e95354cae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5B19F294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2974d774-9fdf-4b4a-ab0d-12f19bb5f7fd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66EA1792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8d30831e-7ded-4f45-ac3a-f6525d6e0ef5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3D97241D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9fa68f10-d023-4fde-84b2-d6839cf158d4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3637BF41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dc29e0f4-fecc-44d4-a298-32f5bb1bd16f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13B0ECAB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d1c6aa98-b3c4-4a57-a8b3-f7daabb45327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5DC0A4F6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d2ea726a-cf19-45a1-85c1-b0c8a0dfff94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42854CDB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59a17f56-7fc8-41c8-a5c3-a6ffe738b307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7BED900F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4e997253-5563-4fd2-95f8-aa47d96a26d3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63BC884F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13408ea9-5e43-4505-bc65-e8e7cc26de3b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66DDE093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d6d96f23-fca6-4fc9-aa31-abc1919ad5fe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68FD59AA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fd54d083-9199-4fb0-9ef5-9890f0219435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40CEDE6C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61c5de4d-9c92-46ba-857d-0a68b1b5b4ad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5B37BE82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f6a68b87-7b10-4d7f-82d2-268c2f56683e</errorID>
      <errorWord xmlns="http://schemas.wps.cn/vas-ai-hub/contract-review">rpm</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explain xmlns="http://schemas.wps.cn/vas-ai-hub/contract-review">非法定单位</explain>
      <paraID xmlns="http://schemas.wps.cn/vas-ai-hub/contract-review"> 49462F0</paraID>
      <start xmlns="http://schemas.wps.cn/vas-ai-hub/contract-review">5</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ff334b3d-a4ec-4151-913a-5ec33c0bf7b9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6DEBF703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8f17bc37-ef73-41dc-9c6a-f80a0ae45375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62436786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77fbf052-78c3-46b1-9d57-2ae73cb8fb91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4EE7770A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0b0e399c-642f-469f-be84-5fc0a1f26ca0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4D2AB405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c9189a92-194c-428e-ab80-07003c4dd677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637786A5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c51ceac1-fe3e-4d7f-8e4c-1fb7243e59bd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7B754D51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c0461a2e-7385-4802-9630-22aac5b4de45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2B929ABC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1e5a9523-d255-4f5b-a49b-a01c0e59b22a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4457241C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fa0b52ab-a155-4f27-989e-d417b59867f3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5E112B2C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8a022053-ff46-4f05-91c6-b3622ba1e723</errorID>
      <errorWord xmlns="http://schemas.wps.cn/vas-ai-hub/contract-review">a)</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a）</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53B2317E</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7196251b-4dc4-4a71-8b69-976e609f440e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53B2317E</paraID>
      <start xmlns="http://schemas.wps.cn/vas-ai-hub/contract-review">24</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92980e2f-add8-41fd-b8b2-bc985589c7ad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53B2317E</paraID>
      <start xmlns="http://schemas.wps.cn/vas-ai-hub/contract-review">75</start>
      <end xmlns="http://schemas.wps.cn/vas-ai-hub/contract-review">76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667b20d3-17e8-4a11-88d3-a75faec8ad78</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53B2317E</paraID>
      <start xmlns="http://schemas.wps.cn/vas-ai-hub/contract-review">76</start>
      <end xmlns="http://schemas.wps.cn/vas-ai-hub/contract-review">78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55a56ba4-5ef6-42cc-a361-0ab9f04b5fd2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786DFA28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b4a4a7bf-50ce-44a6-b56b-16acd3fea47e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2E22BFA7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057af79a-054e-42ca-aa48-3eec32be9a94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7FA05EB7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89414c62-68d2-4f99-a43c-31f3f3ee2769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465E850C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ef887d0d-4cb5-4216-ab49-27e4a5d325dc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4B661DEA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f17b833e-bb60-4999-b5b4-6b5b8c2cb164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27967280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03c6b9a2-9692-41a0-b2e0-3012895183bd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6D6D7C97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6254a52a-4941-4b67-a227-ca9bb4cba059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1C518F8A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44cc44cb-0198-40d7-9581-d24e662d6631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44827CF5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cc1e3b46-ba88-4291-b887-a40b445a8b7b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377D2594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e28b2c1c-a03e-4cfb-ba03-21efbe30689a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57177DB3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7ff93f05-62d4-4f8c-a306-41af1e42a68f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3C053FC8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f5f9dc7e-e35f-404a-9179-56101d5bfec6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306CC05C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b4259cc5-377f-4a82-b740-d65b8e77361c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7C8A83E0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cc46156d-7401-4f45-b806-530d569a397c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446F6769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75c5679f-d013-4128-b53b-4d1e0a216eff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74B1EAF8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6fc07363-c279-4e66-ba9e-b730451f668e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68903057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2abf8f2c-9647-4819-bb1e-ee462717e214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DD27DA5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03fef358-9cb7-46ea-b4ec-7b922ccc0e14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5F2AE63A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0d9da154-42d0-4ecb-96de-08146c1140bf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170A4FF6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7a6c2e97-b06a-4933-9123-4b79bb349641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1AA5887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9d2edfc8-58f4-45f9-b890-2b04881e0faa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58AD0EE0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d7411d81-03c9-48ba-8d79-8da476274e5f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2209260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135190fc-c742-41cc-a889-a2d1ba451cca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369C2F0A</paraID>
      <start xmlns="http://schemas.wps.cn/vas-ai-hub/contract-review">34</start>
      <end xmlns="http://schemas.wps.cn/vas-ai-hub/contract-review">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2adc72b4-46b3-4037-bd9b-52535a1c0435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10E2B598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0bff28eb-371a-4507-a742-245df00d644f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645D4775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bd6dbce9-417e-468b-882c-a304a077b790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3E9F0E16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677282a3-73db-4abd-aa9e-7fd996a174a2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76EC2D5E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085706c3-66d0-4042-9ca3-ab0f4126add5</errorID>
      <errorWord xmlns="http://schemas.wps.cn/vas-ai-hub/contract-review">防炫目</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防眩目</item>
      </candidateList>
      <explain xmlns="http://schemas.wps.cn/vas-ai-hub/contract-review"/>
      <paraID xmlns="http://schemas.wps.cn/vas-ai-hub/contract-review">76EC2D5E</paraID>
      <start xmlns="http://schemas.wps.cn/vas-ai-hub/contract-review">4</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7162e97b-cbc8-4573-80c6-13cae07a2de7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3ADCB5A0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18b8c68c-e58b-4818-82eb-49a4e317f102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2E3B14D4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1233521b-96c3-4680-aede-00a5e044d254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41224FC7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850f2f70-d538-4584-bb51-350007197326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5C5B5B62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578c0f90-27d0-4153-ac6e-7b3080beb1a5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79BAB309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3a032cc0-06be-4050-ae97-62b31f49dd9b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A7366EB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b0e6844f-cddf-449b-91bd-e954ee2e61ca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200825BF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dbbb2919-f74f-4a87-8d4d-f626c1a54785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3A0CF4F7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bb279a78-ee49-48bb-ab9a-bef758e942ba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17007F4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4d03cb4a-31f9-4014-a9f3-d80cd0c8863e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41EDCF6B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ccb8a49a-2fc0-47e3-abd0-c978ddf7b5a5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322A19AE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ec7c24d6-bbba-442c-ad10-607130e6f0f6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7D59F68A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bd2560d1-8c71-4158-9370-5d8191652d73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2433E760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93bbec72-2e3a-4463-9134-9b38548e4c65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223D0241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5125d646-32ae-4743-9ed2-b7e4b0cc7add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72A19307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9a7c5acc-09db-45f1-8c9d-906648ad5b26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5729FF5C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72c34069-e756-43a6-9cae-31001b2788e6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7ED14419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84b06c07-a648-41e9-a75e-542968fd6ff7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3D2E7D2D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c9356e40-aeba-445b-b4f4-0aaf2396be84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3C49639A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cac2bae2-6aea-4ba4-b587-30bff409d349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667EDEF0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43849a85-9b29-452d-90fb-0ff2d200e31f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2C3B8EC8</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65afaec3-6943-4fd0-a172-eb36b85f117b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FF2B2C9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7fe2e4ef-5fe2-419c-a35c-aa9e9a029855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6CC18ACE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1a6de2af-1410-4930-a060-975c738ac7b7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5AD2DC0B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0728f246-d227-4c09-9793-69cf61ffb583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66506BD5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bf953a46-1ffc-427f-83b9-66ab1d93e71e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40D5CFB4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1ae4b7b7-b2e9-4529-a0bc-e9e9468f74bc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658DF9CA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310425c7-0691-4f86-b85a-89ca4cda2962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66D8C415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7e8151ce-f627-4b30-91e0-92da04fee965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B5FF30C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cb8b4543-9172-4976-b128-b3406baa6026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7AFBD332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17a73db4-b21d-44c7-82b2-dd3995c1998c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6BBAA811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6dbbe995-fb58-47af-81b1-9d79b7fc1527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72CE8E15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df53b811-a00f-49e8-842f-a81a770380a7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67236540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c6748158-f7c9-489c-98d9-4b18852e5d3f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53F03665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99a1e763-3fc5-41a9-afe0-bbd0d57de066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7402075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92382284-2658-429e-8857-7b50bc1ef2a6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4229E01A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9f8cde8b-5a85-4a4e-b72d-8d18c93d5fd9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322B4A4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c2462c0a-c3ac-48b2-9b13-29642f09e9de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6578AE0D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50825ac2-ab62-4555-b6d9-89bdd1132df2</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61BA0496</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f2abefd5-4749-4bcc-b131-c747e99dc61d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3BB4C8C2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b8afb886-1881-48ff-91a3-3c17977ad1dc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F159ABF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35c332c0-2c31-4c5e-9501-d6a61e31ea2f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4ADE514D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9301d072-986f-4ea0-aa94-e34b23050bb2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151627C6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9146e78c-6cd9-4bea-a4d3-110133278998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382B267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c69dddf2-e8e3-4b0e-8835-bcca02d4e0a8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1C0A9746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61318a7f-173e-46d3-8a07-20d44867afa0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5D5A1785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28558565-4180-4982-9cd8-0f6ffa4b77f5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644520E8</paraID>
      <start xmlns="http://schemas.wps.cn/vas-ai-hub/contract-review">15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1b79fe44-b883-4209-a060-ccca9f9a56c7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644520E8</paraID>
      <start xmlns="http://schemas.wps.cn/vas-ai-hub/contract-review">87</start>
      <end xmlns="http://schemas.wps.cn/vas-ai-hub/contract-review">88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242c1594-a168-457e-bda8-f8d2b5d9dd6f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5A7D7284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eddf458c-c600-488f-ba75-439864f116d4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273CC02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ae5c5b76-ff53-4a9f-8e33-094a7b9449fc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2F660833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2a72dc60-ed2c-42c1-90db-d29042f95b04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413A9321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1a083556-0702-43ba-8db1-9df03de234d6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7F2B1EAB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67a98f60-6caa-4861-9fe1-c9c8eb8d1332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52619D26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98711c5d-bb1e-4661-9736-b9d26b6bace1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707D7A17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5ef3449b-7b83-4845-86ea-2c28d11873ab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18C1AC6F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9b6fd09e-5494-4ac4-802b-e8458cab776c</errorID>
      <errorWord xmlns="http://schemas.wps.cn/vas-ai-hub/contract-review">a)</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a）</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5900DD56</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e7e7e3ca-9de9-4143-bd5e-2a4b1ac9131f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5900DD56</paraID>
      <start xmlns="http://schemas.wps.cn/vas-ai-hub/contract-review">64</start>
      <end xmlns="http://schemas.wps.cn/vas-ai-hub/contract-review">65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b788b580-64b1-4856-a4cb-99d39ea8e152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6D5AAD0D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451d643f-8bf7-4d29-8208-01e46ba89812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4AADAC61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f0452702-d381-43a6-aa3c-84910adf3b75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D022A88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0d984fa9-b5cb-44d3-b95d-7115421aa649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27266D70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e02a76ca-caac-4a7b-aa37-a965af8e0ecd</errorID>
      <errorWord xmlns="http://schemas.wps.cn/vas-ai-hub/contract-review">a)</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a）</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84126DA</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a5f06677-a5e7-4bfb-ad2f-2a942a83b52e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84126DA</paraID>
      <start xmlns="http://schemas.wps.cn/vas-ai-hub/contract-review">33</start>
      <end xmlns="http://schemas.wps.cn/vas-ai-hub/contract-review">34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73b8342d-a04d-4196-8cb3-7a3f628eee88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84126DA</paraID>
      <start xmlns="http://schemas.wps.cn/vas-ai-hub/contract-review">55</start>
      <end xmlns="http://schemas.wps.cn/vas-ai-hub/contract-review">56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79b9084c-446d-4344-9b2d-4bc7f1c54094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84126DA</paraID>
      <start xmlns="http://schemas.wps.cn/vas-ai-hub/contract-review">79</start>
      <end xmlns="http://schemas.wps.cn/vas-ai-hub/contract-review">80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02c2a871-38bc-4457-a65b-72dcdb310a50</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 84126DA</paraID>
      <start xmlns="http://schemas.wps.cn/vas-ai-hub/contract-review">109</start>
      <end xmlns="http://schemas.wps.cn/vas-ai-hub/contract-review">111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a3d7caf0-9e30-4645-8a8e-e2da0864565d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84126DA</paraID>
      <start xmlns="http://schemas.wps.cn/vas-ai-hub/contract-review">131</start>
      <end xmlns="http://schemas.wps.cn/vas-ai-hub/contract-review">132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a6539053-7171-423a-9b73-6c43c56c4c71</errorID>
      <errorWord xmlns="http://schemas.wps.cn/vas-ai-hub/contract-review">解锁</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公文中禁止出现该词语</explain>
      <paraID xmlns="http://schemas.wps.cn/vas-ai-hub/contract-review"> 84126DA</paraID>
      <start xmlns="http://schemas.wps.cn/vas-ai-hub/contract-review">164</start>
      <end xmlns="http://schemas.wps.cn/vas-ai-hub/contract-review">166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1cf9978b-ec0e-48f4-ad15-529c87c76e20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84126DA</paraID>
      <start xmlns="http://schemas.wps.cn/vas-ai-hub/contract-review">174</start>
      <end xmlns="http://schemas.wps.cn/vas-ai-hub/contract-review">175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b631a462-9f7d-4b39-b895-2b6eefbe924e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84126DA</paraID>
      <start xmlns="http://schemas.wps.cn/vas-ai-hub/contract-review">202</start>
      <end xmlns="http://schemas.wps.cn/vas-ai-hub/contract-review">203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f0f3eca3-678d-44ff-9617-2897bf73f719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84126DA</paraID>
      <start xmlns="http://schemas.wps.cn/vas-ai-hub/contract-review">238</start>
      <end xmlns="http://schemas.wps.cn/vas-ai-hub/contract-review">239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76ec769f-3830-4883-ab4d-e08d2e02cdbf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84126DA</paraID>
      <start xmlns="http://schemas.wps.cn/vas-ai-hub/contract-review">301</start>
      <end xmlns="http://schemas.wps.cn/vas-ai-hub/contract-review">302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6207150d-95c1-448d-b918-8c76c7def85f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84126DA</paraID>
      <start xmlns="http://schemas.wps.cn/vas-ai-hub/contract-review">323</start>
      <end xmlns="http://schemas.wps.cn/vas-ai-hub/contract-review">324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1bb4ec4c-1fcd-4ad1-95d2-8be438664267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84126DA</paraID>
      <start xmlns="http://schemas.wps.cn/vas-ai-hub/contract-review">366</start>
      <end xmlns="http://schemas.wps.cn/vas-ai-hub/contract-review">367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1b301269-78e3-4304-8ca1-ef62a61404af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84126DA</paraID>
      <start xmlns="http://schemas.wps.cn/vas-ai-hub/contract-review">399</start>
      <end xmlns="http://schemas.wps.cn/vas-ai-hub/contract-review">400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e123a7ca-09c8-48be-98d9-67abbf9829d0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84126DA</paraID>
      <start xmlns="http://schemas.wps.cn/vas-ai-hub/contract-review">426</start>
      <end xmlns="http://schemas.wps.cn/vas-ai-hub/contract-review">427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a6e178b7-1ca3-4a0b-af9c-ef841f288dff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84126DA</paraID>
      <start xmlns="http://schemas.wps.cn/vas-ai-hub/contract-review">481</start>
      <end xmlns="http://schemas.wps.cn/vas-ai-hub/contract-review">482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5e1c9862-1fe8-450d-b0bf-6ea3044ec891</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 84126DA</paraID>
      <start xmlns="http://schemas.wps.cn/vas-ai-hub/contract-review">482</start>
      <end xmlns="http://schemas.wps.cn/vas-ai-hub/contract-review">484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58bcba38-e5ec-4b15-a660-9d3c1ffa78ed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49535DCC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14cb0e33-02ae-42e7-b73d-550b0277ea8a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1E4249B5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eb9b78da-ecfb-4ef4-925e-bdb13f399574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6D6D4CC6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1bae8520-f8c4-4f83-97e7-005fa2faa901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15274510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4cf64c90-ff3b-4661-a6bd-f55719aec5b3</errorID>
      <errorWord xmlns="http://schemas.wps.cn/vas-ai-hub/contract-review">噪音</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噪声</item>
      </candidateList>
      <explain xmlns="http://schemas.wps.cn/vas-ai-hub/contract-review">词汇[噪音]为不规范表述或旧称，其规范书面表述为[噪声]。</explain>
      <paraID xmlns="http://schemas.wps.cn/vas-ai-hub/contract-review">15274510</paraID>
      <start xmlns="http://schemas.wps.cn/vas-ai-hub/contract-review">3</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6fd1f0a8-2e38-47e3-bcde-be1403b61df4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29154487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8c717033-3ece-4373-9963-c69ce3bb0a20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2FF2C7D6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43338f69-4bcc-4343-8101-1ce7d01b2a22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2AFFD5D</paraID>
      <start xmlns="http://schemas.wps.cn/vas-ai-hub/contract-review">34</start>
      <end xmlns="http://schemas.wps.cn/vas-ai-hub/contract-review">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22700f6d-4f3c-4938-8669-f6f9e4f09dd0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2AFFD5D</paraID>
      <start xmlns="http://schemas.wps.cn/vas-ai-hub/contract-review">62</start>
      <end xmlns="http://schemas.wps.cn/vas-ai-hub/contract-review">63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f397dd50-5cca-4151-b552-8de22e59da66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2AFFD5D</paraID>
      <start xmlns="http://schemas.wps.cn/vas-ai-hub/contract-review">78</start>
      <end xmlns="http://schemas.wps.cn/vas-ai-hub/contract-review">79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9d620a67-e411-43b1-826d-e5450e1680f9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2AFFD5D</paraID>
      <start xmlns="http://schemas.wps.cn/vas-ai-hub/contract-review">96</start>
      <end xmlns="http://schemas.wps.cn/vas-ai-hub/contract-review">97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6110f772-8ac9-4de5-8ed2-5d55301e1d8f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2AFFD5D</paraID>
      <start xmlns="http://schemas.wps.cn/vas-ai-hub/contract-review">119</start>
      <end xmlns="http://schemas.wps.cn/vas-ai-hub/contract-review">120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5592d774-b19b-4d94-b96f-d23437c37124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70AAD7D2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8ce8cf77-385b-4b6b-96fc-59c8a8876ad1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65269267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1eaaf0fc-4534-4062-92f5-e063129eb00a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36264DCB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e9213b70-5d8d-4472-b799-1bfc46b07ca3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76832D59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98c8f757-d7a1-476f-a9df-3cd8beccb2e1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73EF3D65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7b17df49-6741-42c9-a5bc-463b5fe4560b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3C133B43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0653e1a5-6b2e-4744-b1c1-c6b11f7699e4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1B7AB133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d3bf3ab3-dea0-4254-a544-17fc9469dbfb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4CECBDA7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c5726ed2-63b6-426f-94f2-7e24df8b1293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52A20D67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6fd6088d-dbd9-4c0f-b1aa-a725f306799f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2DE8FED0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755ed8e6-c560-4ea4-ae62-a1152a01b50f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3BEEA85C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5fcefad7-ea34-4a7e-8b0e-c66a0454d291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4DBD953B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ef8fc723-4c7c-438c-b06d-de79426e9f38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717926E0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738980a7-9d04-4434-9450-992bfc7abea8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4FD55BE8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0ee3efa3-baf3-4d55-b0a4-09e371596e37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5519179F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be74e231-a251-4f2e-acb5-2fb72b523a21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3EAC1E55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4ec46302-2576-432b-aa9c-ef54f4577a7b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1BCEEF53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67e845c3-8625-421c-a393-41447f8d1c2c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6CBFFAD2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193ecf2f-fb0b-4f28-bf03-95c558c951e2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6CBDB04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77e68e5a-9590-4d10-be59-07fdf5f71899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559DCCDE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8b530ba4-1c97-404e-b8e3-05a53847fe6c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3C72E463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38bf46d0-59cf-4c5f-8461-7f7edf386237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1EB077BE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26e53490-b0a8-48c7-9343-286200e59356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73BCEB0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c113cd14-e52b-4346-985d-97f96ad2229d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1C74F388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b280ca32-eb7e-4dab-8459-7c250786c3a3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7D339B9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962efbdf-5d70-4da7-bf35-96efaecd16c7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4D5A2ECB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75db9bef-1ee7-4b87-80bb-3e69aad60976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D7DFB3D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fc9c4bae-19d9-4880-a4a5-d2117451b8c0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351C1240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33776b13-b3de-499d-bba0-5480937692c3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3A46B8DC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90a334e5-08e5-4d75-b4fc-59566eea59e9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462E9BAD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050ede44-6f7a-4fde-ad3b-78228f6bc6b0</errorID>
      <errorWord xmlns="http://schemas.wps.cn/vas-ai-hub/contract-review">位深</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位置</item>
      </candidateList>
      <explain xmlns="http://schemas.wps.cn/vas-ai-hub/contract-review"/>
      <paraID xmlns="http://schemas.wps.cn/vas-ai-hub/contract-review">462E9BAD</paraID>
      <start xmlns="http://schemas.wps.cn/vas-ai-hub/contract-review">4</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d7c50849-da1c-491e-a5c7-c331578e37ab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7F2449DB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0d49ad76-c1f6-465e-b6ba-e38348540536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2E324E12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6d68890a-b3fd-49e8-b46b-d6d8c1ce8248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4151DD7A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e0e10c6b-2215-4088-96e4-09c752725273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7CAA696F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7f305a41-31e2-47a8-b579-2e47fb328d9e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5A7A5871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524a59b2-3490-49fd-bf2b-3d5a11808e96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229FDC04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d8c06b3f-9a47-4a40-9220-76f31d4d01fe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17BBE246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94099cec-90ae-4b15-9bac-cecd9c5cb1d7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1DE466A2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020979ee-84a8-435a-b153-e186a1f9dc81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596FD7FC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1b408a26-bd0e-436c-a1d9-512d1fde1adb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32BDC187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d2a66966-0879-4f34-9aac-d5d04304cfa1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615F4325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44514f8c-7558-4d51-98cf-f15574a896dc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1E9FC606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831bb05e-f9ad-4d4b-8898-875e1d99222b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727C9703</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c3367314-f2c0-4f47-bd2d-af142a743034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5548529D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49a5a8aa-fe95-4bf0-9d22-b91bc4ace0df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5296427A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4c338919-a710-41f8-9466-df0f50c74873</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69811C4F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a3ab2d1a-3e06-4d96-b5ae-a6693966a3fc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23C9786E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960a9580-82ca-4dc2-b6e2-2a2046d4afe3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31DE783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7848903b-62af-4a97-ac50-d9e29381064b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65047AF6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308c6ba3-4990-4f0e-aaa5-7d7a7687e4c1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308384BE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210c4c8b-074c-4b26-b7f9-7cc4b471d706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6DF47FEB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162420b1-9bd8-4f02-ab64-1621de4c062b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57DC54A7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c1f727a2-d817-4025-bdf8-e6905f3b5ed5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57DC54A7</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4239f0f8-d7fe-4bae-a81d-5e223540547a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57DC54A7</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0143666e-193c-472f-a316-fd19f3ab08fa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3CECEBBE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b6b55b93-3a44-4a66-be1e-6f728764e887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681CB05D</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0d554155-98ab-43f5-a245-cc1af634bc4d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681CB05D</paraID>
      <start xmlns="http://schemas.wps.cn/vas-ai-hub/contract-review">15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e743bb86-8580-45cd-be53-ecbef4ac65ce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23BADEF7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2ffa56a1-5401-4460-9e31-fbba690346c2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530874A8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42460844-b59f-4736-b92b-638f3e5c2608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1C0D9AB0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8ecab4fc-c0db-420f-a8b9-e2dc5d2d2880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50F4117A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dc595170-733a-42e4-a1f6-5856d41d76ad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2F7C15B9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b28a2ce8-b16f-4d79-8692-0aa36c1f7b8a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465A218A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fbac0f30-7c02-4456-8223-8f8fd21d5496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7B464E61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b068b0d5-bb76-451d-951d-857ebc3ac827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5339E7E8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8ce30c45-7d82-4bcc-a7b8-bd6eb373a722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D9CB3EE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f4a2decc-0b33-4466-8e1e-298a761bf845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1F8EAEF2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eddd52c8-7444-4006-9443-40be4e4a9b58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3FDA3CAD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882bade5-d34c-4565-8180-75d17b0ba3af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71558EEB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b89547ee-d2c3-40fd-ab11-9196e9e0d266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7A58CF12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89f8c491-b72f-4d19-be9d-6e30ff6422c5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3FDDECFD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8f610231-2e45-4e5d-b8d3-729f124305de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3FD976E8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daa5bdbc-3150-48ae-9c5b-e46cb70a69db</errorID>
      <errorWord xmlns="http://schemas.wps.cn/vas-ai-hub/contract-review">a)</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a）</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14B389AF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2ef1e627-de21-4fed-ac43-47e76f457af4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14B389AF</paraID>
      <start xmlns="http://schemas.wps.cn/vas-ai-hub/contract-review">24</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75b0bdec-ad73-4576-9868-5ea75eac13ed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1774EA01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b43538e1-3034-48a2-9821-1af4cdf07ece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7B41E128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391aded6-d9a9-4e16-9f3c-f6f1fc52c9e0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3D6DC791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a2a00166-066c-4f81-a82d-2b0bb347626d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5568A768</paraID>
      <start xmlns="http://schemas.wps.cn/vas-ai-hub/contract-review">45</start>
      <end xmlns="http://schemas.wps.cn/vas-ai-hub/contract-review">46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26f0fa06-9f43-480e-9674-f598c952baa1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5568A768</paraID>
      <start xmlns="http://schemas.wps.cn/vas-ai-hub/contract-review">73</start>
      <end xmlns="http://schemas.wps.cn/vas-ai-hub/contract-review">74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294f729d-fc52-43ea-82a2-77e221eb8570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5568A768</paraID>
      <start xmlns="http://schemas.wps.cn/vas-ai-hub/contract-review">93</start>
      <end xmlns="http://schemas.wps.cn/vas-ai-hub/contract-review">94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7daf2e68-e99c-4de7-8250-a55a97207b33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34CE383F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9408600b-94b5-4bc5-982b-85d591f346f5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665099F5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31f5f5f6-eec2-42bb-afb5-dbb47a1b173f</errorID>
      <errorWord xmlns="http://schemas.wps.cn/vas-ai-hub/contract-review">a)</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a）</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3D2F3A60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7f231914-620a-4002-ba14-40e920f49958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3D2F3A60</paraID>
      <start xmlns="http://schemas.wps.cn/vas-ai-hub/contract-review">21</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279b8dfc-38d4-46e4-a94f-ae19dd9fea18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799AE4A8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53200a0d-2de7-442c-a0b6-e245a7d1a7e9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6F19BEB6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1d468f00-6c2d-4bf7-a85c-30f883843583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7DC095FB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7c93f138-82c5-45a0-864a-f3056d16eb2f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6046CA99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035273ff-8453-4c9b-90aa-0b87e29a35a4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65956B99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ff3f4817-2505-4007-8fb5-6ac039dfe9b1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3895E7B2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fc85f063-9325-410c-8c6c-1e843c9afbf7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69E6637D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3c66d00a-b07a-44ce-87fa-8db5cf8b5e27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3BEDDB3D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ba4833de-4da3-4a02-9396-9cc088d8aa66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71E1FD2C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26401012-39ec-4ade-9d7e-9c453bf436a8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5BA7773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f620d9af-3dcc-4dcd-8652-dcc6af144c8f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5398680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2d86d7ed-a345-4c55-8435-75e8bc104bc6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AE97ED2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4ae3cea2-6ac2-4143-a84e-b7761f001a32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26143BFC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37342d56-8697-41ce-a2d3-ce1152cbe1dc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714E07BD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5c99362e-047f-4046-a493-601de6cb6ddc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19DDDD4C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8dfaee48-cea9-435d-8c4a-57e950c2e287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6F7F6F38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8c5701cf-2b02-4932-84b5-1b47ac0a900f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19684BAE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d875baf1-6fc7-4670-a6e4-5d18ae6bc7a5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21703896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db1c71f9-d2f9-486f-9afc-49c45c5f8044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20B714B3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359d7966-afca-48f9-a743-e299f4e64a6d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2AA1DEF6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a9b5a3bc-dc60-453e-a465-d91b30fb8b1d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3F375133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b5471990-9d43-4ce1-bdfb-0d3295a26a74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4832DDE1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c574fe05-51ac-46ec-8128-e0ed453d5ea8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72B9E7F5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548e5fbc-e25e-44ba-8f7f-35926a04d792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610486EE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8ab0372a-4a21-48cb-bc45-5263bed69b6e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15AAB6E7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c22f794d-a5db-4822-908e-dffd159746c7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51376E45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f0365d1f-3af5-4e91-8768-60ee7fd0a8e2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187439B8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6829a1dc-191f-417f-9aa4-e8f072a024bc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3DD6FDDE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f1a22269-469d-40e4-abc2-0995c1f76591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6A63BBAA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74677d64-aea7-4c70-9392-6d56196e8192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F236B70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0b0ce137-1171-4c5c-b96e-d0785a10947f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1340FE0D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e3c8434a-21af-4dff-b1c1-61dd46663c57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3F5EF677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73c7eb61-b0eb-47f9-8f48-0ebbbe807fd2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4780EC22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13b90e7d-1a74-428a-802e-7e8dbf552a07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37EFAAF8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9dec9106-8b96-4cbc-8b0a-77481ea0c6e8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2E9DD6CE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7dbb1cdf-b2a6-415e-bf70-078c0cfd64af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78465B2C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e6882ca5-c706-4853-95af-792bcb3da8a1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1D0DF27D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53833332-af15-4735-9a5e-f9a2e06993d5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3B1C69AC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2c0af0e6-8267-4179-98db-ba0848ffba25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5B321D90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02cc3bee-3ed6-48e3-b7f1-0a8c5ef44d6d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2CA4FFFF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569e000b-fa15-4660-b1e1-7acac688033b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33096C13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87ea8fa8-f221-4a6d-a53e-434516749ae8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B83DDF6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1c0d8343-6f6e-40c6-9598-c55c9b7013eb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FFE801C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9401faee-94d5-407f-9fc4-d3b9564ea4d7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31857768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1079c6de-8143-44dd-bb27-a40b6e8fbc41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7AC5B4BE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4dc787a1-9cd9-4398-8948-01ae83d0b334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DB3C9BF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2bb82114-9aa1-4311-a41f-c913fec48e45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211F5950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674c498b-d632-491a-9847-867f4beaf7a5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4AB21F63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ffaf6fd8-3403-4075-8e12-66a4e530c18a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71604232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caaca13a-144a-49fd-995d-3b544f41482b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14D86078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a38d347e-77e7-4b13-b5ef-3c16d0050b9e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114E94A6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0dd848a6-054b-46b5-9690-c32c5aacfe3d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EA96E0A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c2ed560d-cef1-4f94-b66a-1c1be52e658a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511AB6F9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3197a551-7a39-4a76-865f-45ed10caca74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8EA533D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ab9358b9-72eb-4a60-beab-322fe240b3c8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2682E6B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b5ec5d74-d6cd-411b-ba47-d6e23831fabe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71C96AB4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83d89bff-b961-4d01-bea9-b4d9791c5171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7A099EBB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263eb897-7fd7-4174-9955-bb46c1adcbfd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5E1B6697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b3789119-f509-4110-a733-47c076f2f5c5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EDAD12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37412b81-d7f4-4874-b28d-28ce90fad82f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39153979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9407bc5b-147f-476d-b348-ec092875f2fa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4FB6951C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b16837e7-54d2-4d27-b7a6-1f89edde06fb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2A833089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3309f9c0-7fdc-4e51-a035-41d055643564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78A4523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961db03b-6af2-4c34-89f6-192339f62127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5E8AF361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bf80e704-31de-45b1-9e4e-defb37a126e0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14E808A7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82b2ce9f-615b-4e92-b6f9-0b38bbf9cef5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24A0B6E7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ce47a34e-f882-4e9d-9bbf-5493b703fe91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249D0125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d7e5396a-1d65-44a3-9d58-5f2bbebeb9ad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36419BB1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eefac001-4a26-4005-833d-a8bc956c0b0c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470CC61E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cc139df9-0c1a-4b7a-a58c-9e1b4523582b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50194131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1c3b1aa1-127c-4ac5-ad30-5d00ef81a7db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33BC792C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6e2ad091-21fd-4645-987c-1a3c10458b44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60816686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a25f437a-2ce3-4c7f-a310-cbf0152a35c3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3B8FC5C4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5c1457c9-acfa-42a6-9756-d27845d03da9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15A2B3B7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0abe43b9-b2cd-4046-88aa-ac0fe4adc887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44E4DA39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fa14cbd3-910f-4c75-80a1-70fad5831772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1A949D98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0fad3e79-617f-4a42-b2e4-905269b7da23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4185F95C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3c74cc36-1b28-46c6-9bfb-f8d122c7bce7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4BBC0A19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da384915-c602-414e-9707-7c2be82bd59e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6A550137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62f3b43c-7344-4f98-81c8-6c0542a390fc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5A1C872D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6e1e7fef-a0d1-403c-a859-508a5293e332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67530ECA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65500fcd-a191-4bbf-99b6-0572ff68a1d5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786B5909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263e0e2c-8266-4881-a90b-072dee49558d</errorID>
      <errorWord xmlns="http://schemas.wps.cn/vas-ai-hub/contract-review">a)</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a）</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6861040D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a4493c92-db85-4adf-b868-2ceb63ad4268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6861040D</paraID>
      <start xmlns="http://schemas.wps.cn/vas-ai-hub/contract-review">29</start>
      <end xmlns="http://schemas.wps.cn/vas-ai-hub/contract-review">30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05861036-7965-4fa3-b3e2-ca950b3099b8</errorID>
      <errorWord xmlns="http://schemas.wps.cn/vas-ai-hub/contract-review">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日内</item>
      </candidateList>
      <explain xmlns="http://schemas.wps.cn/vas-ai-hub/contract-review"/>
      <paraID xmlns="http://schemas.wps.cn/vas-ai-hub/contract-review">6861040D</paraID>
      <start xmlns="http://schemas.wps.cn/vas-ai-hub/contract-review">56</start>
      <end xmlns="http://schemas.wps.cn/vas-ai-hub/contract-review">57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31edf798-2674-4568-a932-8c3fb8654441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6861040D</paraID>
      <start xmlns="http://schemas.wps.cn/vas-ai-hub/contract-review">100</start>
      <end xmlns="http://schemas.wps.cn/vas-ai-hub/contract-review">101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5ba3f325-7236-4f5a-9b20-1097fc39d47b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6861040D</paraID>
      <start xmlns="http://schemas.wps.cn/vas-ai-hub/contract-review">141</start>
      <end xmlns="http://schemas.wps.cn/vas-ai-hub/contract-review">142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2756a725-7aba-4784-b9f8-3b95c7d044ec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4C8925B9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2c4623a7-2be7-4b1f-bfc9-be861da8dbdd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44790E63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3211a3a2-4acd-43ce-be1f-972d9290ce0f</errorID>
      <errorWord xmlns="http://schemas.wps.cn/vas-ai-hub/contract-review">a)</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a）</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7329C02E</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31b81054-e66e-4ec0-9840-7c45c60df337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7329C02E</paraID>
      <start xmlns="http://schemas.wps.cn/vas-ai-hub/contract-review">53</start>
      <end xmlns="http://schemas.wps.cn/vas-ai-hub/contract-review">54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7e64940b-b6de-4e83-9624-9a61dd8b3b12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7329C02E</paraID>
      <start xmlns="http://schemas.wps.cn/vas-ai-hub/contract-review">72</start>
      <end xmlns="http://schemas.wps.cn/vas-ai-hub/contract-review">73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a97bd495-74cc-4b76-a139-d84159fe9884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3F342505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5289bd65-b0e0-4082-b250-93a6fa49d088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4E7CFCDE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fad45030-2cc6-4c58-b9bb-4864c0d067fe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29379B56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f80b436a-57a7-48fb-b7a9-e01a8bdc9836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554F0D47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790a654b-2064-4f51-9d30-ce48d4134bfc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56A18BE6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6b825e58-e8d8-486b-b285-331af5672883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E80EAC6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7c64f54e-f6e4-45e0-94d8-4c2c3bf534ba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546263DF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dddea1d1-f74f-4d62-894e-c2b4abe59a5d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5D9E4B22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bfd3ea74-bc8a-4523-8869-8348e465b942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722792A4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27073bed-692f-4dec-ae07-579716837da5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73318739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1546a9ef-b246-4288-956d-4494cd315731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5D4482D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ffb8f577-32d6-453f-93fe-545a46259de6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3BE1A836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3c5221d4-7f4e-41f3-b008-a2b132f240ff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4A40E339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919a49e2-a5c1-486c-97e7-8e8936400af5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3659D255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d37323f0-45fb-4f8d-a54a-8777d72b0429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2B874E5A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3a738cfc-18c2-488c-a053-fb477471a3c1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D58E6B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dc019181-02b9-429b-b08f-169f9a746009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6DAF5BCC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7d1dcb8c-c3e6-431c-a947-9332baa76ec3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7B618DAD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957771b0-c2ca-4149-8385-e7411506fa62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32A222E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912e56ec-7316-4317-89f1-b0ec664ea9de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427FF75E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6de7db35-7193-4029-80b7-688fb316faff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4241A1D9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a48a15f6-68d0-4513-9adc-e1f93bf26b2e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51BFB5E9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11484707-1930-48e6-88a3-6d5e843656f1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42B2851C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89c69428-ea92-4a56-b87a-eea3a838b42e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C7803F8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08802237-8324-4e2b-b25b-357405056967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733CF16B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5d38c810-5b05-4164-9427-70804c3048ac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77D6EC9C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05066648-c87d-42fa-a8d4-fc544b39958d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B4010BD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2c28dbab-8f55-4a72-8a09-7842cd4bfee8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5A47DE43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ee3c6bc8-daa6-42ad-90d6-3e5546eb0d93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122698DE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6fbca6ab-1672-4201-97b4-1cc5e937fc70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32AB41C1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d0e857d4-508a-46cd-96e9-8986dc941780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22127C18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3ae472ed-b55d-4dcd-9abf-4b197375f99b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6AC94DC9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258a5163-5387-47f7-8363-34e386cbf790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47BA1347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975f7d24-b178-4132-a68b-f12d11c9ae08</errorID>
      <errorWord xmlns="http://schemas.wps.cn/vas-ai-hub/contract-review">a)</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a）</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48825CFD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07f30af8-678c-4a8e-9ea3-da1a11a6968f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48825CFD</paraID>
      <start xmlns="http://schemas.wps.cn/vas-ai-hub/contract-review">26</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5362197b-012e-40f3-8a23-9ef37926fed2</errorID>
      <errorWord xmlns="http://schemas.wps.cn/vas-ai-hub/contract-review">涉及到</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涉及</item>
      </candidateList>
      <explain xmlns="http://schemas.wps.cn/vas-ai-hub/contract-review">该表达中的“涉及到”存在语义重复。【词汇解析】涉及：牵涉到，关联到。包含了“到”的意思。</explain>
      <paraID xmlns="http://schemas.wps.cn/vas-ai-hub/contract-review">48825CFD</paraID>
      <start xmlns="http://schemas.wps.cn/vas-ai-hub/contract-review">46</start>
      <end xmlns="http://schemas.wps.cn/vas-ai-hub/contract-review">49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ed1bdcdd-5395-4465-8d6f-875e87122393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48825CFD</paraID>
      <start xmlns="http://schemas.wps.cn/vas-ai-hub/contract-review">52</start>
      <end xmlns="http://schemas.wps.cn/vas-ai-hub/contract-review">53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0bf2bb67-aa41-4eff-b929-d1a4d6885eb1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48825CFD</paraID>
      <start xmlns="http://schemas.wps.cn/vas-ai-hub/contract-review">59</start>
      <end xmlns="http://schemas.wps.cn/vas-ai-hub/contract-review">60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7a6a899a-596d-4b26-8ba9-90d7e5a0493a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48825CFD</paraID>
      <start xmlns="http://schemas.wps.cn/vas-ai-hub/contract-review">66</start>
      <end xmlns="http://schemas.wps.cn/vas-ai-hub/contract-review">67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5b368b43-7655-4f9b-92c4-2d0c781b0379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837EC51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7cd9456a-01e8-439d-9158-b2853abc5033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6471869D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682d5696-b236-43b6-b703-3b46d78fea92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6AC9357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276ed0ac-e3a9-45dc-b895-cd90a69d3bf9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259D1BC4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8744932a-29a4-4829-b454-1f7bba635b3a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CCA9243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d24275f0-43c8-4a5f-97d8-5375c39661c7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5259C6EA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0123974d-6acb-4f48-9e5d-fbb808163cdd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1B015F5E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26384d77-bbf1-4064-b002-1a3496bfff1b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1EB4517F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ff87241e-b582-4034-9162-a8b038635387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15ABE89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8d525b65-1c02-4c39-8e92-f81c6b9ccf82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114C4DE9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79890d37-733c-400c-9ee7-db37c4f6be61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772DD308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40ba548e-4ef0-4a4d-a796-a55eef411f65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3405BF23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c22f605d-f00e-437f-b469-c830489c3512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63C3498A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70bb2802-2fa6-4f7a-a98c-a16c45a72924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55E915BD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9a570177-4b35-4848-b7fa-f489d24805a5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7CB933D6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104479b8-45e2-4567-bbad-5b6ba3ad7f0f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680683AA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9eaf5dab-1f97-4db2-95b5-de1b67ef2a8e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5C5E5140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c31ff35a-567c-4d97-9ee0-1a2cbd39622b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2143DE98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fc12dda8-58fb-49fa-a34b-8bb374666fb0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5BA602B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c2455772-7ed4-4916-be2a-101832cceb57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155FF1F9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625947cd-e062-42ae-8adc-7f313086388a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1CD29668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3fba1d9c-625a-4195-91e5-c887d4cd48f6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599FED9C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5ac5e458-ad8d-4567-be45-a83154e91683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676B6365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a5c32d66-ed77-40cf-bb88-87ffbff65a76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59FEA7D9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63d68d38-2502-44de-9c4a-030d92d89e46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197A1EF4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9ff01985-0fbf-4129-997b-9a8007cbc353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47F3BA0C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3c1c29c6-27ef-4ad4-b50e-21749294a387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54C467DC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26926e99-3c69-4c11-af3d-4b98313e635e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DD143E2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f6b6ce60-0d67-4ce6-bc4c-2b315d3a4c5e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52B821A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158f70d9-4803-4ca7-9bdd-fef802dd4f29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698D95B7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0079f45a-9081-465a-918c-77a09adbcabc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77B5813E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f156aa8d-f942-4aee-a82b-d15b828a874c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4DCABEFF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c3521e3f-d717-437d-a602-0430e0ec1716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760E271B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0f77456d-2c32-4837-8e3d-e9d087f5da3c</errorID>
      <errorWord xmlns="http://schemas.wps.cn/vas-ai-hub/contract-review">a)</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a）</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40BE88FF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0237de89-ced5-44b0-b434-610d36d57508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45B10FCA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154f5ef9-1f34-466a-a3ea-b6196db38ea0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5FD25CC7</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357c957a-8b59-4825-8592-b58b58d46759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5FD25CC7</paraID>
      <start xmlns="http://schemas.wps.cn/vas-ai-hub/contract-review">20</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1ea148fa-23ca-4443-aca1-230a12cc60bf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4C1A6087</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f6d429ae-00d1-493b-8e13-33f22fbfb894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4C1A6087</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59ff5bf5-d33c-42c7-afc0-a33bd8f3f95b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467D9A9C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95b37831-cfac-4d1a-a94c-df81d5857c6a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5BA12BFC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31d20d50-2d4e-4f24-94b0-a7b9ef306fe0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49F786B1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d392c2e4-9429-4fdf-83af-d70e2b5a7d72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69215BC9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e637b93c-c256-4ecb-8ded-033a8a2ce11e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24C0804C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25dba616-63a0-44e5-8d22-0a665a837deb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277E33E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227b1ee0-9d66-4442-af89-df75793f3f27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28CF2A11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db914e9d-09bf-4ca6-b543-527e9718dc6d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2E8D9C41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78dd064e-c582-4db6-be84-44af4601f847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7FCE04AD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49354a7c-c981-4123-a6a0-2fb6a9058ce3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1D964A93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4eebdb68-f15e-4aea-a1d5-db8d679d4ff2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4F6F41B2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4eac4631-39af-44b8-9df6-2261e95ffece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43664234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942bad71-e5a0-4ca2-ae5c-0d56821c4509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35351D47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d0efd387-fb67-4f81-8c0d-8aa437bc9864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16E3F9E2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af1f9b4e-f986-485e-a9dd-147dda1a6b1d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42F61FD4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20f56363-d9fd-4a8a-8429-3812cd470d7e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5D7BB1CD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f9668d7f-d227-4c2e-bee9-781fabf3d528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6D60FD6E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b1048319-ff72-4d75-a133-24da23e0f2a5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E69BA0F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27b9aa8a-4f5e-4e3a-9b82-8d2f273ddf35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317D3E02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f7d87358-fa28-44a3-80b4-93872fbea031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2CC09258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b0a756d2-3fba-4e0b-b3c7-485956ee25ae</errorID>
      <errorWord xmlns="http://schemas.wps.cn/vas-ai-hub/contract-review">a)</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a）</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72BAF59C</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b11d23c8-a568-4105-a391-56a74afd5eb5</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72BAF59C</paraID>
      <start xmlns="http://schemas.wps.cn/vas-ai-hub/contract-review">33</start>
      <end xmlns="http://schemas.wps.cn/vas-ai-hub/contract-review">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17f529fa-3b66-4798-8eb8-e31e2f1157ff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63B18095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e6610ffd-2980-4197-930a-dadf7f36c0fa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2B9EB949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4eeb2d72-9773-468d-9cd8-b54dad9f3777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54672863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670ef1ea-5874-4a35-9859-ebb99f190c84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461685C5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91d228b0-674f-4075-9ce2-4819fe5f8972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6916A52A</paraID>
      <start xmlns="http://schemas.wps.cn/vas-ai-hub/contract-review">13</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77a482ca-cbe2-4af0-a2d5-c7234a1c23d9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6916A52A</paraID>
      <start xmlns="http://schemas.wps.cn/vas-ai-hub/contract-review">15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2ad376f2-c4f0-4c38-9dbc-860ceba28c10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4853D55D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ad3cd4ec-c7c0-4e8b-b096-d474ffa3cebd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532D205C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79fda747-a62c-45a1-879b-463609b70ea5</errorID>
      <errorWord xmlns="http://schemas.wps.cn/vas-ai-hub/contract-review">20％～93%</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20%～93%</item>
      </candidateList>
      <explain xmlns="http://schemas.wps.cn/vas-ai-hub/contract-review">1. “20％～93%”中的单位“%”仅出现在后一个数字上，容易引起歧义；根据《现代汉语标点符号数字用法规范手册》，数字表示范围两边需要使用统一的格式。2.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 53F3F85</paraID>
      <start xmlns="http://schemas.wps.cn/vas-ai-hub/contract-review">80</start>
      <end xmlns="http://schemas.wps.cn/vas-ai-hub/contract-review">87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6bffb44c-71b8-4e16-9be8-146b74ddf3a4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53F3F85</paraID>
      <start xmlns="http://schemas.wps.cn/vas-ai-hub/contract-review">91</start>
      <end xmlns="http://schemas.wps.cn/vas-ai-hub/contract-review">92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c906f567-9993-44b4-b1c2-6213d5455194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61688210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5469c33b-f732-4a00-a798-8f49b638621f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2048BBA7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987b976c-5be4-4c74-a7d7-612c5a457ae5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2153B13D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c3535cce-e710-47b8-9144-c3715f180100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11222BE1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5d94e134-d2df-45dc-bdd0-07c66dd9b617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66FA22A3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0c6ff878-ba26-4551-a912-91df4a8f40ad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49B230ED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c8b2850f-e87c-40a1-8f68-089abbf50e70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183D6309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f9ddb634-6992-4c87-9a38-e16bc1835536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60D2026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3363a10a-a036-41ed-a1dc-4193fa8624f7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772ABF21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98dbf32b-b257-4edc-bafc-e510959409b5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5F9BA898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8102d8ae-1971-41e9-aedb-3ed48d610d9c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272B33EF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64a86297-0066-4143-9755-0a717466fad8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3F742D3E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17d744d4-d392-4702-8ff4-ef36dfee7637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2C2EDBE4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1734de56-76c8-498d-afe4-1dd75d61ca0f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1CB67A45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577fe060-36d4-4128-89b8-7c4f48803b77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5F3A12A6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dab49279-f202-4296-a676-988f728df83c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51EA5D3E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c31cb1ff-dbd6-4dbd-9a25-e2e5b95b5680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45E2B3E8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58bc8aa1-828f-4800-b4f2-062cce9e9d0f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251CB635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5629f84b-1108-4848-8ecf-14e690a7bdf6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AFD962E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f41e80d1-0987-47fd-bd83-1366ff03dc94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3D7728EB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05802598-8a9c-4240-bff8-5873e097c42c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39DCAE1F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11f97fea-e264-4c9a-868c-a304c45737c6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6210A211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918fb727-888c-4926-a6af-b4a5c3a1e1f1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4AA47C12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48133208-671c-4330-905c-0ef72c6866cc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7699CD03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296d9894-fe25-4af0-b598-1e8a61501866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55AE1CE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d08801c6-b56c-4f93-86e5-1e65392dc7aa</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A955D1A</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bdaeb625-4c43-41bf-b398-c9bdbb01e123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A955D1A</paraID>
      <start xmlns="http://schemas.wps.cn/vas-ai-hub/contract-review">20</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111f160f-2a39-4d1a-9d7a-2ca7c48bc1e8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A955D1A</paraID>
      <start xmlns="http://schemas.wps.cn/vas-ai-hub/contract-review">38</start>
      <end xmlns="http://schemas.wps.cn/vas-ai-hub/contract-review">39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9d688f55-6d3d-48d9-9768-3521916f6244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A955D1A</paraID>
      <start xmlns="http://schemas.wps.cn/vas-ai-hub/contract-review">74</start>
      <end xmlns="http://schemas.wps.cn/vas-ai-hub/contract-review">75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383cb1c3-6b11-4a43-93f4-2ade548cc44a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A955D1A</paraID>
      <start xmlns="http://schemas.wps.cn/vas-ai-hub/contract-review">93</start>
      <end xmlns="http://schemas.wps.cn/vas-ai-hub/contract-review">94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69eec790-9899-4e37-b3ed-412705b8ae2f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A955D1A</paraID>
      <start xmlns="http://schemas.wps.cn/vas-ai-hub/contract-review">118</start>
      <end xmlns="http://schemas.wps.cn/vas-ai-hub/contract-review">119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0b573f0b-4bd8-499b-b34b-2e26a31b7c3b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A955D1A</paraID>
      <start xmlns="http://schemas.wps.cn/vas-ai-hub/contract-review">148</start>
      <end xmlns="http://schemas.wps.cn/vas-ai-hub/contract-review">149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8b32ed65-4704-42b3-9968-4a71fe618e35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A955D1A</paraID>
      <start xmlns="http://schemas.wps.cn/vas-ai-hub/contract-review">182</start>
      <end xmlns="http://schemas.wps.cn/vas-ai-hub/contract-review">183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3b4344da-d5ad-459a-a580-84edc9f93b4f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A955D1A</paraID>
      <start xmlns="http://schemas.wps.cn/vas-ai-hub/contract-review">231</start>
      <end xmlns="http://schemas.wps.cn/vas-ai-hub/contract-review">232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a6a88ff7-824c-4d83-b86c-53b9dbc2e8d4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A955D1A</paraID>
      <start xmlns="http://schemas.wps.cn/vas-ai-hub/contract-review">269</start>
      <end xmlns="http://schemas.wps.cn/vas-ai-hub/contract-review">270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6da38331-632c-4ca0-95ae-b2dc64750c1c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A955D1A</paraID>
      <start xmlns="http://schemas.wps.cn/vas-ai-hub/contract-review">298</start>
      <end xmlns="http://schemas.wps.cn/vas-ai-hub/contract-review">299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76b5a187-b275-4846-90c6-c0b2a3ae4652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A955D1A</paraID>
      <start xmlns="http://schemas.wps.cn/vas-ai-hub/contract-review">332</start>
      <end xmlns="http://schemas.wps.cn/vas-ai-hub/contract-review">333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6f8977f7-7ca0-4b35-b1c0-e04883c6e83c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A955D1A</paraID>
      <start xmlns="http://schemas.wps.cn/vas-ai-hub/contract-review">366</start>
      <end xmlns="http://schemas.wps.cn/vas-ai-hub/contract-review">367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e8e77ad7-6641-4327-9d58-7374987934cf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A955D1A</paraID>
      <start xmlns="http://schemas.wps.cn/vas-ai-hub/contract-review">406</start>
      <end xmlns="http://schemas.wps.cn/vas-ai-hub/contract-review">407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694c03dd-0c4f-429d-ac7d-aaf9828834d5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A955D1A</paraID>
      <start xmlns="http://schemas.wps.cn/vas-ai-hub/contract-review">429</start>
      <end xmlns="http://schemas.wps.cn/vas-ai-hub/contract-review">430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9a8888f7-412c-4389-a32a-fbc0796cbb9a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A955D1A</paraID>
      <start xmlns="http://schemas.wps.cn/vas-ai-hub/contract-review">444</start>
      <end xmlns="http://schemas.wps.cn/vas-ai-hub/contract-review">445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6d0e52fe-7f2f-4176-999d-ea8c76d6fe04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A955D1A</paraID>
      <start xmlns="http://schemas.wps.cn/vas-ai-hub/contract-review">471</start>
      <end xmlns="http://schemas.wps.cn/vas-ai-hub/contract-review">472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5dbd2d75-63b9-433b-8f8a-e05b442a7ffc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A955D1A</paraID>
      <start xmlns="http://schemas.wps.cn/vas-ai-hub/contract-review">510</start>
      <end xmlns="http://schemas.wps.cn/vas-ai-hub/contract-review">511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ace5f5bd-e973-4a2f-82fe-b7fd4aa6524a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A955D1A</paraID>
      <start xmlns="http://schemas.wps.cn/vas-ai-hub/contract-review">532</start>
      <end xmlns="http://schemas.wps.cn/vas-ai-hub/contract-review">533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8c025009-d1df-47af-a410-ddaa21195dca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A955D1A</paraID>
      <start xmlns="http://schemas.wps.cn/vas-ai-hub/contract-review">559</start>
      <end xmlns="http://schemas.wps.cn/vas-ai-hub/contract-review">560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5835b716-0655-4377-bea8-4de3c959d791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A955D1A</paraID>
      <start xmlns="http://schemas.wps.cn/vas-ai-hub/contract-review">612</start>
      <end xmlns="http://schemas.wps.cn/vas-ai-hub/contract-review">613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3102e912-b889-4786-90b5-cc4e915e2078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A955D1A</paraID>
      <start xmlns="http://schemas.wps.cn/vas-ai-hub/contract-review">630</start>
      <end xmlns="http://schemas.wps.cn/vas-ai-hub/contract-review">631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b18ba049-6677-49a0-badf-d21c847373ae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A955D1A</paraID>
      <start xmlns="http://schemas.wps.cn/vas-ai-hub/contract-review">701</start>
      <end xmlns="http://schemas.wps.cn/vas-ai-hub/contract-review">702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1e546a17-f582-4743-b8a4-97fb8fdafd97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7052E37A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720252a7-f7a0-4886-b473-ec50d21e6cad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1E49E1E7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2f56a1f3-ede3-45a6-be9d-6132b5c6b274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136C2254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06f313da-2504-4657-ab90-931d887a7e28</errorID>
      <errorWord xmlns="http://schemas.wps.cn/vas-ai-hub/contract-review">应并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应</item>
      </candidateList>
      <explain xmlns="http://schemas.wps.cn/vas-ai-hub/contract-review"/>
      <paraID xmlns="http://schemas.wps.cn/vas-ai-hub/contract-review">366DA7F7</paraID>
      <start xmlns="http://schemas.wps.cn/vas-ai-hub/contract-review">143</start>
      <end xmlns="http://schemas.wps.cn/vas-ai-hub/contract-review">145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a943e15b-c8ce-480e-b068-3c7e334a7474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2808343D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62372437-7012-4cc0-be94-118a14efae0d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5DC8D02A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8afaeddb-8465-4de5-8696-6042c0e64d84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4736CB13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20584ca4-9132-418c-a140-fc36798040c5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1C198573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e51b8c63-c83d-44b0-beae-747af11d820c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6C3ACAC4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6d74fb1c-1cfb-4658-8e80-f012e778d22c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17A17652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854f113a-9d83-4785-8d3f-d6575c6ac101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2844E4EF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ca13c414-56eb-4608-ba89-a5220b3cc5ba</errorID>
      <errorWord xmlns="http://schemas.wps.cn/vas-ai-hub/contract-review">a)</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a）</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760F60B0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b30471e7-3a46-4ebf-912e-5074afb71cd5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29F7AB75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d016db2e-9e00-49c6-b3c5-fa991d30d867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1D796639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76269216-54d0-4155-bfa3-14250e2fb296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19181D6F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8343f2df-3fbb-4289-9089-20feb8a1bb34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4D2DEB9D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80f4b5f4-5de1-4cd5-8b74-0eebc4dc2a29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357018F2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a7b7424e-2db4-4d8f-8b84-6f5fb381c87b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2879C4AC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cd9912d3-ff9f-4912-9eaf-0c62251ad1fc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34750283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02aaf0a1-5e6c-48e4-a88b-17df445789ed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695AC032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4ce5757b-8954-4162-bed5-114e7fb8d00a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1F5B547C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e289954b-413f-4cbd-99b1-d321eecd2c72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2F1372B7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a223f5c3-56a9-4f72-a30f-efcb76e0f2f1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457FCC96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91465ee9-360f-496f-8e15-7cae600ddc16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4D48F4E9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61f23e2f-953b-43aa-959e-a5e0d235d514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31CB70AE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844c83c3-e065-46b4-982e-53020ec41055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3C39F93E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9ab2cf77-cdb6-400c-9cf5-c187609b8fef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2719C4B1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cc711ec3-b1af-43df-aa72-0a4300a806b9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10C0D754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203c079e-792f-4a48-9045-4855d29695a9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73B22C03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b517c046-5107-4a31-93f2-0699c6e1e731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770DD918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2f733d36-a9ae-4dab-9ef2-f60e444f96ae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55D64C46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455e8c89-dfc0-42a4-889d-6d1fe392619c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193902BE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f0b1ce71-1f7d-4f0b-a4f9-98702766883e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3CC9099C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839599d9-7951-47f7-96d2-44734b3648c2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782819D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31e3fd14-bd8f-453d-9b0a-89cadf9560a2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2F3AB9BE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29ef2b03-d7a4-4ff0-8c0f-f2eba522e854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34ACC618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430c4624-99fe-4d2c-ad2e-7f07ae92815f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633855C4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9314cc38-e26f-40ce-b365-7a2b8c1675f6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4D8F2375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f52a2c2f-c438-4185-bdc6-bffd3b69f8c3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25BD57C9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ec23e675-15d2-48e8-95d1-d0883a92e3d2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6BDD8A7D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253a02be-ccff-439c-82ea-2330c094db4f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5F7D060B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453fb6e0-3cec-497f-af32-064957292a5d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5A5DCD14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7ad4ccaa-ff39-4aba-89f6-f521e169b40d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135FE0FE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72e635ed-5c30-411a-b150-01706f126e93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60472146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48865338-2bfa-4f3d-a797-b89a89217150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26C911B2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affd817b-5ad9-4972-b955-618594309855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21BC8423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71f8d140-0526-49a1-9471-8f64789b985f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1022DA21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7815c054-9fdc-4182-8314-474508970f4e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2921577B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11b5c6f4-8e8c-4adb-af73-d98b8313e239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7F25C6AC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587506b3-1b32-4a12-becc-c5082316676c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181564EA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985fa28d-a401-459f-bde5-8fa27a77b059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7CD13B1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9a9af3be-d476-4ee2-a174-337c6318270d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1E663880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34a4ffd4-6a92-4673-b23c-7e8015c83805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52925759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4aa4eaaf-1e77-4a3d-9741-cb48fa63bb7d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36D3DED9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9be3701a-edff-4978-a404-894ff77e93f1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7918EB44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4c915421-3782-4b22-acbd-d9ead11e5816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4612E97D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97318e64-99a4-4c67-854d-697e7ae9551d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5E944749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6f0470df-9f0a-4401-8bc8-6f6cf21f8d6c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455B14A5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6d2a21b7-cf6e-49d7-bac7-1515bd503868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46EC3D1F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06150a0f-84b7-4cb2-8f3e-f0a2eb75998b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6FF1A420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449de77d-0160-4d78-aa4f-4ef2b627eba3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6F6C894B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de06f43a-7179-4d29-b6af-9a2a5d8fd053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31DBE753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39902d50-7e16-47bd-83d0-85527c7e0bbf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512817D4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7bb7d3a1-3451-4ff0-8fa0-f12929e3d06d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A2710F0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2960113e-fe3a-4a81-a1c6-6e7ffea22838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5994DC4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cf95bbdf-792a-441b-b88e-8af9440a46f8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654908C1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2bb9b7cd-9b25-4cd8-ba9a-d2b8e5511bcd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79257CAD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8073d99b-ec3d-4c9e-b37d-83a75b81b583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1F499A29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ae3a35e3-ef14-49a5-8770-d27001b4048e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38012C85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c0f337ea-e9f3-42ba-a001-d47d94fa056e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2015B240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b4becca6-ac4c-4bb5-8776-5bcfa2d3224d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56DAE97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134673d1-0f54-4f4d-90f5-3a8de09116d2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5BCF7E1E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84ee71e0-2d0b-4af4-9e92-10859610524c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6A2BA6E9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ed420bc8-b9a7-4313-aa10-6f8d634352df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27AF2AE9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24314f71-729e-4706-a693-2b27774272ea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51F72A82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7baa6e2c-6372-4c76-90c3-e24a49ed6f59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1226A6A7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eb0e638b-e1f9-4697-ae27-754e66f6ec77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496282E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efbe2d4a-6d98-4121-8c29-e04755c89085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F9016F9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c0138885-26f5-4b4f-bcf5-6b95a86c8e37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43BC45E5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ca7a0258-f841-41fa-9e7d-acf1ea4f178c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28D2410D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2dd8bc41-1b0a-43e8-bdb3-a2722be64bf1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4CFD3EA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4fa9052e-de7d-40b4-bbae-fd686c63af41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651287C8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acd4646a-6778-4bdf-b8ef-14c8a36cf76b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12EFEA50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3ae7d135-2ed8-4b75-86f1-4e84a61ebc40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26F00BAD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b93252e0-209b-42c9-99a7-281eb29e817a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61FCB8B9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18c01846-3ea8-4e8a-aaff-fdfef84f0329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3315D926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78d3cd6b-fbd1-4549-b66a-32de9a09aab7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68384D16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71fb4a04-2594-45f3-a964-b2d98b025ade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52F22D5E</paraID>
      <start xmlns="http://schemas.wps.cn/vas-ai-hub/contract-review">13</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d6268c3e-f365-497b-8551-11750c3a1ff0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52F22D5E</paraID>
      <start xmlns="http://schemas.wps.cn/vas-ai-hub/contract-review">20</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235cb778-1417-433c-9cea-ec6077240942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6174A3C9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3706598b-53a0-4536-8d0b-9f6ca227d22f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52BC37A6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4559b097-f76c-4680-8d5e-28470895c8b9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5E833E87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5d1c0875-eb77-4314-9ce7-5fd203c21239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6C02B8A0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bb5fc7f8-733c-4fab-ac07-e18b2c1d4a2e</errorID>
      <errorWord xmlns="http://schemas.wps.cn/vas-ai-hub/contract-review">a)</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a）</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3F71CE6E</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a5db5e5d-57cb-434c-9f15-f231e443a6de</errorID>
      <errorWord xmlns="http://schemas.wps.cn/vas-ai-hub/contract-review">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日内</item>
      </candidateList>
      <explain xmlns="http://schemas.wps.cn/vas-ai-hub/contract-review"/>
      <paraID xmlns="http://schemas.wps.cn/vas-ai-hub/contract-review">3F71CE6E</paraID>
      <start xmlns="http://schemas.wps.cn/vas-ai-hub/contract-review">56</start>
      <end xmlns="http://schemas.wps.cn/vas-ai-hub/contract-review">57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2ab41e31-d09a-4377-970f-3c3933641570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56A80D53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d0549d3c-bc13-41a6-870d-61baa5b39fc4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813FA74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1797dec9-dd73-42c8-bff1-5e5461b04a1e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2AC7EFA3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dd6e8601-71d7-4d1c-9a1e-0c2cd6cdf09d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53410094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1dd117b0-c324-4cbe-b84e-a31eb5c15fe7</errorID>
      <errorWord xmlns="http://schemas.wps.cn/vas-ai-hub/contract-review">a)</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a）</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7FC008BA</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b41e3e63-05ee-4198-9ed8-363cd5f0560f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6020D011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9899c0ff-a6ee-48e8-b26c-8039fa3b8282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65DB06F2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2eaee964-faf9-4215-aed5-cf5063ced6ea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3740E0C3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6015eb4a-c132-44b8-8c74-61cf83e7bd38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2091B8F7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3ce67c97-262d-4395-ba81-e72f991dc0e0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11719C52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4bc2db6a-4edd-423d-8f35-524e503ad694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3AA97D4C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9c429394-e838-4f86-b9b9-55c8aa0c36be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7F09FFF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a95a235e-0c2f-4b60-aefd-fa6f4b177ce9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4A5E1387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afbb2988-af95-43c1-852b-41a244d70cf5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2073CA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1a0e0525-f280-4685-a7c8-c7dbe0b39425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7A7F8126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0f7b98ad-db3b-4865-a5d9-35e3921babc3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88A8C2A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550c52b7-e1f6-4f68-9445-76ddcd73e6ea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79337B84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38c5fbee-88bb-4793-b403-c38b37ad3da3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47165F2E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8553d550-7e1c-48b0-baf1-0c33f975ab2e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4109E473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1fe852d2-99b4-496d-a119-b2a20fa59355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759C39FA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5101fa4e-e60f-47ca-85d5-b50833edc528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56922CF</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99011e92-9fae-44a4-b93e-cec8cc730db4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289E8E5C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0f53154c-45d6-4533-ae0f-aba92059ea8c</errorID>
      <errorWord xmlns="http://schemas.wps.cn/vas-ai-hub/contract-review">供保</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保供</item>
      </candidateList>
      <explain xmlns="http://schemas.wps.cn/vas-ai-hub/contract-review"/>
      <paraID xmlns="http://schemas.wps.cn/vas-ai-hub/contract-review">2EC35DC2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6998059a-4dad-44af-8d1a-03e0b229b46e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17F09E2A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177dd66f-f36a-42e0-a397-05789f8a4cdb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4F07E10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4d5c678a-3e83-4607-b5ec-539239ed2e0d</errorID>
      <errorWord xmlns="http://schemas.wps.cn/vas-ai-hub/contract-review">供保</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保供</item>
      </candidateList>
      <explain xmlns="http://schemas.wps.cn/vas-ai-hub/contract-review"/>
      <paraID xmlns="http://schemas.wps.cn/vas-ai-hub/contract-review">203A32AF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1e6f9ee4-7325-4024-bdfa-365c0908fab6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73B72EB9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2602d7b4-932d-4039-8429-a504318283f8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55887687</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0b4406d6-ffcc-404f-bd7f-5a523ca3afb2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32566E22</paraID>
      <start xmlns="http://schemas.wps.cn/vas-ai-hub/contract-review">21</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78a32093-c264-4a24-9091-5b1b4d23f86c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32566E22</paraID>
      <start xmlns="http://schemas.wps.cn/vas-ai-hub/contract-review">38</start>
      <end xmlns="http://schemas.wps.cn/vas-ai-hub/contract-review">39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63047aea-73f9-450a-ab20-d99b0da42e72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32566E22</paraID>
      <start xmlns="http://schemas.wps.cn/vas-ai-hub/contract-review">43</start>
      <end xmlns="http://schemas.wps.cn/vas-ai-hub/contract-review">44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2c56aeec-1f1d-45eb-8df5-32a9d7135ef9</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3B1EB89C</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ded3b90f-7b2b-4f82-afb4-988b6a72b8cb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35BCE137</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79350e7d-73d1-48dc-b2b1-c4049d727460</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2A18CF20</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369c1d68-b10a-4313-b51e-62b7ae14cc70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2A18CF20</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312ba4ce-eaea-4461-8edb-0f7aadb3835d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2A18CF20</paraID>
      <start xmlns="http://schemas.wps.cn/vas-ai-hub/contract-review">13</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c74af19a-5ac0-4fb8-9f29-ff289c9a3076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2A18CF20</paraID>
      <start xmlns="http://schemas.wps.cn/vas-ai-hub/contract-review">137</start>
      <end xmlns="http://schemas.wps.cn/vas-ai-hub/contract-review">138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8f5c2906-4f59-449b-9632-3f853521655e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2A18CF20</paraID>
      <start xmlns="http://schemas.wps.cn/vas-ai-hub/contract-review">140</start>
      <end xmlns="http://schemas.wps.cn/vas-ai-hub/contract-review">141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eb441eb9-2242-4db4-930a-ff4c55424f21</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14CED7CB</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8d36c00f-4183-4592-823d-bf4073993c63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14CED7CB</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78044dec-48d2-47fd-aa86-41442022ee64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14CED7CB</paraID>
      <start xmlns="http://schemas.wps.cn/vas-ai-hub/contract-review">21</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75810e8f-312d-4587-8608-33692698b22f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14CED7CB</paraID>
      <start xmlns="http://schemas.wps.cn/vas-ai-hub/contract-review">79</start>
      <end xmlns="http://schemas.wps.cn/vas-ai-hub/contract-review">80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c69651b9-b4ef-45c2-a776-939b647c910e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14CED7CB</paraID>
      <start xmlns="http://schemas.wps.cn/vas-ai-hub/contract-review">87</start>
      <end xmlns="http://schemas.wps.cn/vas-ai-hub/contract-review">88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4df2952a-0ce9-484b-a6f7-091476286f38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14CED7CB</paraID>
      <start xmlns="http://schemas.wps.cn/vas-ai-hub/contract-review">113</start>
      <end xmlns="http://schemas.wps.cn/vas-ai-hub/contract-review">114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bde27673-099e-4cda-8bfb-0e488e9da6d8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14CED7CB</paraID>
      <start xmlns="http://schemas.wps.cn/vas-ai-hub/contract-review">116</start>
      <end xmlns="http://schemas.wps.cn/vas-ai-hub/contract-review">117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cc8ce7a8-6716-44c8-8ce5-5030593e2dc2</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5E394011</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18c8445a-a145-4f1d-9d26-8544890c414b</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555BA44A</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638b0d6e-64fc-4d31-aa19-1dac9cfe0d07</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37BA9C1A</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048bdd47-1292-4fd1-9a76-48980ef425d6</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D035688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5020e719-b51a-4f95-b64b-f1fa88351f67</errorID>
      <errorWord xmlns="http://schemas.wps.cn/vas-ai-hub/contract-review">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541B6504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2519e60d-beaf-4a00-907b-a5fa1b0c6c19</errorID>
      <errorWord xmlns="http://schemas.wps.cn/vas-ai-hub/contract-review">截止到</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截止</item>
      </candidateList>
      <explain xmlns="http://schemas.wps.cn/vas-ai-hub/contract-review">该表达中的“截止到”存在语义重复。【词汇解析】截止：到……为止,有明确的终止、结束含义。包含了“到”的意思。</explain>
      <paraID xmlns="http://schemas.wps.cn/vas-ai-hub/contract-review">769EAA29</paraID>
      <start xmlns="http://schemas.wps.cn/vas-ai-hub/contract-review">56</start>
      <end xmlns="http://schemas.wps.cn/vas-ai-hub/contract-review">59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a7b4669f-d2e5-4f65-8647-eb2c2b0164bd</errorID>
      <errorWord xmlns="http://schemas.wps.cn/vas-ai-hub/contract-review">2026年1月1日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2026年1月1日起</item>
      </candidateList>
      <explain xmlns="http://schemas.wps.cn/vas-ai-hub/contract-review"/>
      <paraID xmlns="http://schemas.wps.cn/vas-ai-hub/contract-review">3FF2D989</paraID>
      <start xmlns="http://schemas.wps.cn/vas-ai-hub/contract-review">25</start>
      <end xmlns="http://schemas.wps.cn/vas-ai-hub/contract-review">34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078666c8-ba2d-485f-b429-961e62c681d8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7AA662C</paraID>
      <start xmlns="http://schemas.wps.cn/vas-ai-hub/contract-review">39</start>
      <end xmlns="http://schemas.wps.cn/vas-ai-hub/contract-review">40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e6fbeb2f-67ad-476c-8729-c13734bf01c6</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1D3521E4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806b24c5-ed4a-4f9e-9057-020529946fee</errorID>
      <errorWord xmlns="http://schemas.wps.cn/vas-ai-hub/contract-review">&lt;</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411AEF4A</paraID>
      <start xmlns="http://schemas.wps.cn/vas-ai-hub/contract-review">50</start>
      <end xmlns="http://schemas.wps.cn/vas-ai-hub/contract-review">51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4558d882-4e38-4418-9c31-e49869b381ef</errorID>
      <errorWord xmlns="http://schemas.wps.cn/vas-ai-hub/contract-review">&lt;</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415AB3D6</paraID>
      <start xmlns="http://schemas.wps.cn/vas-ai-hub/contract-review">50</start>
      <end xmlns="http://schemas.wps.cn/vas-ai-hub/contract-review">51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557c4ae1-3e59-4cd8-80d4-292e93ea29e7</errorID>
      <errorWord xmlns="http://schemas.wps.cn/vas-ai-hub/contract-review">&lt;</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4FB1FD4C</paraID>
      <start xmlns="http://schemas.wps.cn/vas-ai-hub/contract-review">35</start>
      <end xmlns="http://schemas.wps.cn/vas-ai-hub/contract-review">36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50249bbb-a60c-4f54-a7c6-5a8ffe0457b4</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122D9B1D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6c4ccb77-0cc7-447f-995b-f11668a5d849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24C8492D</paraID>
      <start xmlns="http://schemas.wps.cn/vas-ai-hub/contract-review">46</start>
      <end xmlns="http://schemas.wps.cn/vas-ai-hub/contract-review">48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e2fedd68-3f25-4d21-a589-bf3b0124d159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3BEDB763</paraID>
      <start xmlns="http://schemas.wps.cn/vas-ai-hub/contract-review">13</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24f831e7-9cff-4fa9-8be0-8c66cba097cf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191227EC</paraID>
      <start xmlns="http://schemas.wps.cn/vas-ai-hub/contract-review">42</start>
      <end xmlns="http://schemas.wps.cn/vas-ai-hub/contract-review">45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5ea849f6-96c8-49d8-875a-44819df1ea61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75203885</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cea8ae4f-52de-4fe9-a049-205ecfb9eed6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75203885</paraID>
      <start xmlns="http://schemas.wps.cn/vas-ai-hub/contract-review">12</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271a1681-ce2e-42bd-830d-82178bb37c9b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75203885</paraID>
      <start xmlns="http://schemas.wps.cn/vas-ai-hub/contract-review">135</start>
      <end xmlns="http://schemas.wps.cn/vas-ai-hub/contract-review">136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f8265442-8857-4b2c-904b-100017e10d7e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75203885</paraID>
      <start xmlns="http://schemas.wps.cn/vas-ai-hub/contract-review">138</start>
      <end xmlns="http://schemas.wps.cn/vas-ai-hub/contract-review">139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2bbd2fac-70f4-4ec4-8368-08667a692304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70254CE3</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95ebf60b-ce2c-4112-b69b-0ee7deb72b79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70254CE3</paraID>
      <start xmlns="http://schemas.wps.cn/vas-ai-hub/contract-review">19</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d3d8f6de-fb7c-4092-a80c-c244c2f9f8b9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70254CE3</paraID>
      <start xmlns="http://schemas.wps.cn/vas-ai-hub/contract-review">75</start>
      <end xmlns="http://schemas.wps.cn/vas-ai-hub/contract-review">76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2aa40ced-5221-48a9-91d1-ed2d926c1574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70254CE3</paraID>
      <start xmlns="http://schemas.wps.cn/vas-ai-hub/contract-review">83</start>
      <end xmlns="http://schemas.wps.cn/vas-ai-hub/contract-review">84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51fc8b34-e7d5-4bb4-81a1-713e78cf210b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70254CE3</paraID>
      <start xmlns="http://schemas.wps.cn/vas-ai-hub/contract-review">106</start>
      <end xmlns="http://schemas.wps.cn/vas-ai-hub/contract-review">107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a78d07c3-22d6-4615-8940-9ddbf7b5a2c5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70254CE3</paraID>
      <start xmlns="http://schemas.wps.cn/vas-ai-hub/contract-review">109</start>
      <end xmlns="http://schemas.wps.cn/vas-ai-hub/contract-review">110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2732212a-35f2-49f8-a4a5-47abdd861a48</errorID>
      <errorWord xmlns="http://schemas.wps.cn/vas-ai-hub/contract-review">下</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下简</item>
      </candidateList>
      <explain xmlns="http://schemas.wps.cn/vas-ai-hub/contract-review"/>
      <paraID xmlns="http://schemas.wps.cn/vas-ai-hub/contract-review">4767ECFC</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bd3d080b-f6e1-48a6-a1ea-8757bd3788d6</errorID>
      <errorWord xmlns="http://schemas.wps.cn/vas-ai-hub/contract-review">下</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下简</item>
      </candidateList>
      <explain xmlns="http://schemas.wps.cn/vas-ai-hub/contract-review"/>
      <paraID xmlns="http://schemas.wps.cn/vas-ai-hub/contract-review">78FB5C01</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75ba1789-d3cb-40b3-9ad4-8e70e678b870</errorID>
      <errorWord xmlns="http://schemas.wps.cn/vas-ai-hub/contract-review">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其他</item>
      </candidateList>
      <explain xmlns="http://schemas.wps.cn/vas-ai-hub/contract-review"/>
      <paraID xmlns="http://schemas.wps.cn/vas-ai-hub/contract-review">4143DF96</paraID>
      <start xmlns="http://schemas.wps.cn/vas-ai-hub/contract-review">57</start>
      <end xmlns="http://schemas.wps.cn/vas-ai-hub/contract-review">58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74286840-1ac6-47f3-800d-2f3b9968c3b1</errorID>
      <errorWord xmlns="http://schemas.wps.cn/vas-ai-hub/contract-review">涉及到</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涉及</item>
      </candidateList>
      <explain xmlns="http://schemas.wps.cn/vas-ai-hub/contract-review">该表达中的“涉及到”存在语义重复。【词汇解析】涉及：牵涉到，关联到。包含了“到”的意思。</explain>
      <paraID xmlns="http://schemas.wps.cn/vas-ai-hub/contract-review">653B06B0</paraID>
      <start xmlns="http://schemas.wps.cn/vas-ai-hub/contract-review">40</start>
      <end xmlns="http://schemas.wps.cn/vas-ai-hub/contract-review">43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0474cda8-67df-4b93-b04b-f33ecf3508fe</errorID>
      <errorWord xmlns="http://schemas.wps.cn/vas-ai-hub/contract-review">中止</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终止</item>
      </candidateList>
      <explain xmlns="http://schemas.wps.cn/vas-ai-hub/contract-review"/>
      <paraID xmlns="http://schemas.wps.cn/vas-ai-hub/contract-review">5E27F67E</paraID>
      <start xmlns="http://schemas.wps.cn/vas-ai-hub/contract-review">109</start>
      <end xmlns="http://schemas.wps.cn/vas-ai-hub/contract-review">111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1773189e-03df-4789-8c06-a8e4f24c992b</errorID>
      <errorWord xmlns="http://schemas.wps.cn/vas-ai-hub/contract-review">应</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应当</item>
      </candidateList>
      <explain xmlns="http://schemas.wps.cn/vas-ai-hub/contract-review"/>
      <paraID xmlns="http://schemas.wps.cn/vas-ai-hub/contract-review">5B5A624E</paraID>
      <start xmlns="http://schemas.wps.cn/vas-ai-hub/contract-review">34</start>
      <end xmlns="http://schemas.wps.cn/vas-ai-hub/contract-review">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36bd6508-f7e9-4940-b5e4-99984a8b8c8d</errorID>
      <errorWord xmlns="http://schemas.wps.cn/vas-ai-hub/contract-review">不</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不可</item>
      </candidateList>
      <explain xmlns="http://schemas.wps.cn/vas-ai-hub/contract-review"/>
      <paraID xmlns="http://schemas.wps.cn/vas-ai-hub/contract-review">6FB3839E</paraID>
      <start xmlns="http://schemas.wps.cn/vas-ai-hub/contract-review">26</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63387bcb-1f92-4352-9d05-cc76d46ca93a</errorID>
      <errorWord xmlns="http://schemas.wps.cn/vas-ai-hub/contract-review">作</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做</item>
      </candidateList>
      <explain xmlns="http://schemas.wps.cn/vas-ai-hub/contract-review">存在发音相同字词的误用。</explain>
      <paraID xmlns="http://schemas.wps.cn/vas-ai-hub/contract-review">13F46BB7</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56eb47e1-300d-4d45-8661-0aec8ae83fac</errorID>
      <errorWord xmlns="http://schemas.wps.cn/vas-ai-hub/contract-review">[2017]10号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〔2017〕10号</item>
      </candidateList>
      <explain xmlns="http://schemas.wps.cn/vas-ai-hub/contract-review">发文字号格式错误。</explain>
      <paraID xmlns="http://schemas.wps.cn/vas-ai-hub/contract-review">6F110E15</paraID>
      <start xmlns="http://schemas.wps.cn/vas-ai-hub/contract-review">137</start>
      <end xmlns="http://schemas.wps.cn/vas-ai-hub/contract-review">146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fcd27768-1d3d-432c-9aa5-7998403c432f</errorID>
      <errorWord xmlns="http://schemas.wps.cn/vas-ai-hub/contract-review">[2011]300号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〔2011〕300号</item>
      </candidateList>
      <explain xmlns="http://schemas.wps.cn/vas-ai-hub/contract-review">发文字号格式错误。</explain>
      <paraID xmlns="http://schemas.wps.cn/vas-ai-hub/contract-review">72C0E962</paraID>
      <start xmlns="http://schemas.wps.cn/vas-ai-hub/contract-review">6</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938006fd-5cea-440a-9047-06b1d0270405</errorID>
      <errorWord xmlns="http://schemas.wps.cn/vas-ai-hub/contract-review">《国务院关于进一步促进中小企业发展的若干意见》</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公文文件引用格式不规范</explain>
      <paraID xmlns="http://schemas.wps.cn/vas-ai-hub/contract-review">4C2C1ECA</paraID>
      <start xmlns="http://schemas.wps.cn/vas-ai-hub/contract-review">25</start>
      <end xmlns="http://schemas.wps.cn/vas-ai-hub/contract-review">48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41be36aa-2c00-43ae-80ee-f3a86552d579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4C2C1ECA</paraID>
      <start xmlns="http://schemas.wps.cn/vas-ai-hub/contract-review">48</start>
      <end xmlns="http://schemas.wps.cn/vas-ai-hub/contract-review">49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96eb50eb-2eea-4920-a71f-78882a42b7ec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4C2C1ECA</paraID>
      <start xmlns="http://schemas.wps.cn/vas-ai-hub/contract-review">60</start>
      <end xmlns="http://schemas.wps.cn/vas-ai-hub/contract-review">61</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431ABA3-2C8D-47AC-BB1B-AF15CBD73F80}">
  <ds:schemaRefs/>
</ds:datastoreItem>
</file>

<file path=customXml/itemProps3.xml><?xml version="1.0" encoding="utf-8"?>
<ds:datastoreItem xmlns:ds="http://schemas.openxmlformats.org/officeDocument/2006/customXml" ds:itemID="{E3650B3F-7639-414B-ACF7-536E1509C96A}">
  <ds:schemaRefs/>
</ds:datastoreItem>
</file>

<file path=docProps/app.xml><?xml version="1.0" encoding="utf-8"?>
<Properties xmlns="http://schemas.openxmlformats.org/officeDocument/2006/extended-properties" xmlns:vt="http://schemas.openxmlformats.org/officeDocument/2006/docPropsVTypes">
  <Template>Normal.dotm</Template>
  <Pages>160</Pages>
  <Words>167</Words>
  <Characters>186</Characters>
  <Lines>617</Lines>
  <Paragraphs>173</Paragraphs>
  <TotalTime>0</TotalTime>
  <ScaleCrop>false</ScaleCrop>
  <LinksUpToDate>false</LinksUpToDate>
  <CharactersWithSpaces>210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2026-10-13T01:54:00Z</dcterms:created>
  <dc:creator>Administrator</dc:creator>
  <cp:lastModifiedBy>37506</cp:lastModifiedBy>
  <cp:lastPrinted>2026-07-18T00:23:00Z</cp:lastPrinted>
  <dcterms:modified xsi:type="dcterms:W3CDTF">2026-11-03T02:55:01Z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88C442DFDFCA4F61B26CA5F1FA582570_13</vt:lpwstr>
  </property>
  <property fmtid="{D5CDD505-2E9C-101B-9397-08002B2CF9AE}" pid="4" name="KSOTemplateDocerSaveRecord">
    <vt:lpwstr>eyJoZGlkIjoiODU1MzFhYzhmZjhiNDYxODI2ODA4MjU5OTdjNTI2NGIiLCJ1c2VySWQiOiIzNDk0NzYxNTcifQ==</vt:lpwstr>
  </property>
</Properties>
</file>