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AF57F">
      <w:pPr>
        <w:wordWrap w:val="0"/>
        <w:topLinePunct/>
        <w:spacing w:line="360" w:lineRule="auto"/>
        <w:jc w:val="center"/>
        <w:rPr>
          <w:rFonts w:hint="eastAsia" w:ascii="宋体" w:hAnsi="宋体" w:eastAsia="宋体" w:cs="宋体"/>
          <w:b/>
          <w:color w:val="auto"/>
          <w:sz w:val="48"/>
          <w:szCs w:val="48"/>
          <w:lang w:eastAsia="zh-CN"/>
        </w:rPr>
      </w:pPr>
      <w:bookmarkStart w:id="0" w:name="OLE_LINK2"/>
      <w:r>
        <w:rPr>
          <w:rFonts w:hint="eastAsia" w:ascii="宋体" w:hAnsi="宋体" w:cs="宋体"/>
          <w:b/>
          <w:color w:val="auto"/>
          <w:sz w:val="48"/>
          <w:szCs w:val="48"/>
          <w:lang w:eastAsia="zh-CN"/>
        </w:rPr>
        <w:t>尉氏县中心医院（尉氏县第三医共体总医院）儿童康复设备一批采购项目</w:t>
      </w:r>
    </w:p>
    <w:bookmarkEnd w:id="0"/>
    <w:p w14:paraId="29316C0E">
      <w:pPr>
        <w:wordWrap w:val="0"/>
        <w:topLinePunct/>
        <w:spacing w:line="360" w:lineRule="auto"/>
        <w:jc w:val="center"/>
        <w:rPr>
          <w:rFonts w:hint="eastAsia" w:ascii="宋体" w:hAnsi="宋体" w:cs="宋体"/>
          <w:b/>
          <w:bCs/>
          <w:color w:val="auto"/>
          <w:szCs w:val="21"/>
        </w:rPr>
      </w:pPr>
    </w:p>
    <w:p w14:paraId="59FCC232">
      <w:pPr>
        <w:wordWrap w:val="0"/>
        <w:topLinePunct/>
        <w:spacing w:line="360" w:lineRule="auto"/>
        <w:jc w:val="center"/>
        <w:rPr>
          <w:rFonts w:hint="eastAsia" w:ascii="黑体" w:hAnsi="黑体" w:eastAsia="黑体" w:cs="黑体"/>
          <w:b/>
          <w:color w:val="auto"/>
          <w:sz w:val="96"/>
          <w:szCs w:val="96"/>
        </w:rPr>
      </w:pPr>
      <w:r>
        <w:rPr>
          <w:rFonts w:hint="eastAsia" w:ascii="黑体" w:hAnsi="黑体" w:eastAsia="黑体" w:cs="黑体"/>
          <w:b/>
          <w:color w:val="auto"/>
          <w:sz w:val="96"/>
          <w:szCs w:val="96"/>
        </w:rPr>
        <w:t>招标文件</w:t>
      </w:r>
    </w:p>
    <w:p w14:paraId="3299C98D">
      <w:pPr>
        <w:spacing w:line="360" w:lineRule="auto"/>
        <w:rPr>
          <w:rFonts w:ascii="Calibri" w:hAnsi="Calibri"/>
          <w:color w:val="auto"/>
          <w:szCs w:val="22"/>
        </w:rPr>
      </w:pPr>
    </w:p>
    <w:p w14:paraId="6D0EDB7A">
      <w:pPr>
        <w:wordWrap w:val="0"/>
        <w:topLinePunct/>
        <w:spacing w:line="360" w:lineRule="auto"/>
        <w:jc w:val="center"/>
        <w:rPr>
          <w:rFonts w:hint="default" w:ascii="黑体" w:hAnsi="宋体" w:eastAsia="黑体" w:cs="宋体"/>
          <w:color w:val="auto"/>
          <w:szCs w:val="21"/>
          <w:highlight w:val="yellow"/>
          <w:lang w:val="en-US" w:eastAsia="zh-CN"/>
        </w:rPr>
      </w:pPr>
      <w:r>
        <w:rPr>
          <w:rFonts w:hint="eastAsia" w:ascii="黑体" w:hAnsi="宋体" w:eastAsia="黑体" w:cs="宋体"/>
          <w:color w:val="auto"/>
          <w:szCs w:val="21"/>
          <w:highlight w:val="none"/>
        </w:rPr>
        <w:t>采购编号：</w:t>
      </w:r>
      <w:r>
        <w:rPr>
          <w:rFonts w:hint="eastAsia" w:ascii="黑体" w:hAnsi="宋体" w:eastAsia="黑体" w:cs="宋体"/>
          <w:color w:val="auto"/>
          <w:szCs w:val="21"/>
          <w:highlight w:val="none"/>
          <w:lang w:val="en-US" w:eastAsia="zh-CN"/>
        </w:rPr>
        <w:t>尉财公开采购2026-23</w:t>
      </w:r>
    </w:p>
    <w:p w14:paraId="5F1F6071">
      <w:pPr>
        <w:wordWrap w:val="0"/>
        <w:topLinePunct/>
        <w:spacing w:line="360" w:lineRule="auto"/>
        <w:rPr>
          <w:rFonts w:hint="eastAsia" w:ascii="黑体" w:hAnsi="宋体" w:eastAsia="黑体" w:cs="宋体"/>
          <w:color w:val="auto"/>
          <w:szCs w:val="21"/>
        </w:rPr>
      </w:pPr>
    </w:p>
    <w:p w14:paraId="3BE241CE">
      <w:pPr>
        <w:wordWrap w:val="0"/>
        <w:topLinePunct/>
        <w:spacing w:line="360" w:lineRule="auto"/>
        <w:ind w:firstLine="532" w:firstLineChars="190"/>
        <w:jc w:val="center"/>
        <w:rPr>
          <w:rFonts w:hint="eastAsia" w:ascii="黑体" w:hAnsi="宋体" w:eastAsia="黑体" w:cs="宋体"/>
          <w:color w:val="auto"/>
          <w:sz w:val="28"/>
          <w:szCs w:val="28"/>
        </w:rPr>
      </w:pPr>
    </w:p>
    <w:p w14:paraId="4D509F64">
      <w:pPr>
        <w:wordWrap w:val="0"/>
        <w:topLinePunct/>
        <w:adjustRightInd w:val="0"/>
        <w:spacing w:after="60" w:line="360" w:lineRule="auto"/>
        <w:ind w:left="63" w:leftChars="30" w:right="63" w:rightChars="30" w:firstLine="420"/>
        <w:jc w:val="center"/>
        <w:textAlignment w:val="baseline"/>
        <w:rPr>
          <w:rFonts w:hint="eastAsia" w:ascii="黑体" w:hAnsi="宋体" w:eastAsia="黑体" w:cs="宋体"/>
          <w:color w:val="auto"/>
          <w:kern w:val="0"/>
          <w:sz w:val="28"/>
          <w:szCs w:val="28"/>
        </w:rPr>
      </w:pPr>
      <w:r>
        <w:rPr>
          <w:rFonts w:hint="eastAsia" w:ascii="宋体" w:hAnsi="宋体" w:cs="宋体"/>
          <w:color w:val="auto"/>
          <w:kern w:val="0"/>
          <w:sz w:val="32"/>
          <w:szCs w:val="20"/>
        </w:rPr>
        <w:drawing>
          <wp:inline distT="0" distB="0" distL="114300" distR="114300">
            <wp:extent cx="2052955" cy="1732915"/>
            <wp:effectExtent l="0" t="0" r="4445" b="635"/>
            <wp:docPr id="13" name="图片 2" descr="恒展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恒展图片"/>
                    <pic:cNvPicPr>
                      <a:picLocks noChangeAspect="1"/>
                    </pic:cNvPicPr>
                  </pic:nvPicPr>
                  <pic:blipFill>
                    <a:blip r:embed="rId10"/>
                    <a:stretch>
                      <a:fillRect/>
                    </a:stretch>
                  </pic:blipFill>
                  <pic:spPr>
                    <a:xfrm>
                      <a:off x="0" y="0"/>
                      <a:ext cx="2052955" cy="1732915"/>
                    </a:xfrm>
                    <a:prstGeom prst="rect">
                      <a:avLst/>
                    </a:prstGeom>
                    <a:noFill/>
                    <a:ln>
                      <a:noFill/>
                    </a:ln>
                  </pic:spPr>
                </pic:pic>
              </a:graphicData>
            </a:graphic>
          </wp:inline>
        </w:drawing>
      </w:r>
    </w:p>
    <w:p w14:paraId="279E7A12">
      <w:pPr>
        <w:wordWrap w:val="0"/>
        <w:topLinePunct/>
        <w:spacing w:after="120" w:line="360" w:lineRule="auto"/>
        <w:ind w:firstLine="420" w:firstLineChars="200"/>
        <w:rPr>
          <w:rFonts w:hint="eastAsia" w:ascii="Arial" w:hAnsi="Arial" w:cs="宋体"/>
          <w:color w:val="auto"/>
          <w:kern w:val="0"/>
          <w:szCs w:val="21"/>
        </w:rPr>
      </w:pPr>
    </w:p>
    <w:p w14:paraId="3172C35F">
      <w:pPr>
        <w:wordWrap w:val="0"/>
        <w:topLinePunct/>
        <w:spacing w:line="360" w:lineRule="auto"/>
        <w:rPr>
          <w:rFonts w:hint="eastAsia" w:ascii="黑体" w:hAnsi="宋体" w:eastAsia="黑体" w:cs="宋体"/>
          <w:color w:val="auto"/>
          <w:sz w:val="28"/>
          <w:szCs w:val="28"/>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4071"/>
      </w:tblGrid>
      <w:tr w14:paraId="4681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2465" w:type="dxa"/>
            <w:tcBorders>
              <w:top w:val="single" w:color="FFFFFF" w:sz="4" w:space="0"/>
              <w:left w:val="single" w:color="FFFFFF" w:sz="4" w:space="0"/>
              <w:bottom w:val="single" w:color="FFFFFF" w:sz="4" w:space="0"/>
              <w:right w:val="single" w:color="FFFFFF" w:sz="4" w:space="0"/>
            </w:tcBorders>
            <w:noWrap w:val="0"/>
            <w:vAlign w:val="top"/>
          </w:tcPr>
          <w:p w14:paraId="233A56ED">
            <w:pPr>
              <w:wordWrap w:val="0"/>
              <w:topLinePunct/>
              <w:spacing w:line="360" w:lineRule="auto"/>
              <w:jc w:val="distribute"/>
              <w:rPr>
                <w:rFonts w:hint="eastAsia" w:ascii="黑体" w:hAnsi="宋体" w:eastAsia="黑体" w:cs="宋体"/>
                <w:b/>
                <w:color w:val="auto"/>
                <w:kern w:val="0"/>
                <w:sz w:val="32"/>
                <w:szCs w:val="32"/>
              </w:rPr>
            </w:pPr>
            <w:r>
              <w:rPr>
                <w:rFonts w:hint="eastAsia" w:ascii="黑体" w:hAnsi="宋体" w:eastAsia="黑体" w:cs="宋体"/>
                <w:b/>
                <w:color w:val="auto"/>
                <w:sz w:val="32"/>
                <w:szCs w:val="32"/>
              </w:rPr>
              <w:t>采购人：</w:t>
            </w:r>
          </w:p>
        </w:tc>
        <w:tc>
          <w:tcPr>
            <w:tcW w:w="4071" w:type="dxa"/>
            <w:tcBorders>
              <w:top w:val="single" w:color="FFFFFF" w:sz="4" w:space="0"/>
              <w:left w:val="single" w:color="FFFFFF" w:sz="4" w:space="0"/>
              <w:bottom w:val="single" w:color="FFFFFF" w:sz="4" w:space="0"/>
              <w:right w:val="single" w:color="FFFFFF" w:sz="4" w:space="0"/>
            </w:tcBorders>
            <w:noWrap w:val="0"/>
            <w:vAlign w:val="top"/>
          </w:tcPr>
          <w:p w14:paraId="2203F8EC">
            <w:pPr>
              <w:wordWrap w:val="0"/>
              <w:topLinePunct/>
              <w:spacing w:line="360" w:lineRule="auto"/>
              <w:jc w:val="distribute"/>
              <w:rPr>
                <w:rFonts w:hint="eastAsia" w:ascii="黑体" w:hAnsi="宋体" w:eastAsia="黑体" w:cs="宋体"/>
                <w:b/>
                <w:color w:val="auto"/>
                <w:kern w:val="0"/>
                <w:sz w:val="32"/>
                <w:szCs w:val="32"/>
                <w:lang w:eastAsia="zh-CN"/>
              </w:rPr>
            </w:pPr>
            <w:r>
              <w:rPr>
                <w:rFonts w:hint="eastAsia" w:ascii="黑体" w:hAnsi="宋体" w:eastAsia="黑体" w:cs="宋体"/>
                <w:b/>
                <w:color w:val="auto"/>
                <w:kern w:val="0"/>
                <w:sz w:val="32"/>
                <w:szCs w:val="32"/>
                <w:lang w:eastAsia="zh-CN"/>
              </w:rPr>
              <w:t>尉氏县中心医院</w:t>
            </w:r>
          </w:p>
          <w:p w14:paraId="3DE5F7A9">
            <w:pPr>
              <w:wordWrap w:val="0"/>
              <w:topLinePunct/>
              <w:spacing w:line="360" w:lineRule="auto"/>
              <w:jc w:val="distribute"/>
              <w:rPr>
                <w:rFonts w:hint="eastAsia" w:ascii="黑体" w:hAnsi="宋体" w:eastAsia="黑体" w:cs="宋体"/>
                <w:b/>
                <w:color w:val="auto"/>
                <w:kern w:val="0"/>
                <w:sz w:val="32"/>
                <w:szCs w:val="32"/>
              </w:rPr>
            </w:pPr>
            <w:r>
              <w:rPr>
                <w:rFonts w:hint="eastAsia" w:ascii="黑体" w:hAnsi="宋体" w:eastAsia="黑体" w:cs="宋体"/>
                <w:b/>
                <w:color w:val="auto"/>
                <w:kern w:val="0"/>
                <w:sz w:val="32"/>
                <w:szCs w:val="32"/>
                <w:lang w:eastAsia="zh-CN"/>
              </w:rPr>
              <w:t>（尉氏县第三医共体总医院）</w:t>
            </w:r>
          </w:p>
        </w:tc>
      </w:tr>
      <w:tr w14:paraId="5D59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2465" w:type="dxa"/>
            <w:tcBorders>
              <w:top w:val="single" w:color="FFFFFF" w:sz="4" w:space="0"/>
              <w:left w:val="single" w:color="FFFFFF" w:sz="4" w:space="0"/>
              <w:bottom w:val="single" w:color="FFFFFF" w:sz="4" w:space="0"/>
              <w:right w:val="single" w:color="FFFFFF" w:sz="4" w:space="0"/>
            </w:tcBorders>
            <w:noWrap w:val="0"/>
            <w:vAlign w:val="top"/>
          </w:tcPr>
          <w:p w14:paraId="125FA9B2">
            <w:pPr>
              <w:wordWrap w:val="0"/>
              <w:topLinePunct/>
              <w:spacing w:line="360" w:lineRule="auto"/>
              <w:jc w:val="distribute"/>
              <w:rPr>
                <w:rFonts w:hint="eastAsia" w:ascii="黑体" w:hAnsi="宋体" w:eastAsia="黑体" w:cs="宋体"/>
                <w:b/>
                <w:color w:val="auto"/>
                <w:sz w:val="32"/>
                <w:szCs w:val="32"/>
              </w:rPr>
            </w:pPr>
            <w:r>
              <w:rPr>
                <w:rFonts w:hint="eastAsia" w:ascii="黑体" w:hAnsi="宋体" w:eastAsia="黑体" w:cs="宋体"/>
                <w:b/>
                <w:color w:val="auto"/>
                <w:sz w:val="32"/>
                <w:szCs w:val="32"/>
              </w:rPr>
              <w:t>采购代理机构：</w:t>
            </w:r>
          </w:p>
        </w:tc>
        <w:tc>
          <w:tcPr>
            <w:tcW w:w="4071" w:type="dxa"/>
            <w:tcBorders>
              <w:top w:val="single" w:color="FFFFFF" w:sz="4" w:space="0"/>
              <w:left w:val="single" w:color="FFFFFF" w:sz="4" w:space="0"/>
              <w:bottom w:val="single" w:color="FFFFFF" w:sz="4" w:space="0"/>
              <w:right w:val="single" w:color="FFFFFF" w:sz="4" w:space="0"/>
            </w:tcBorders>
            <w:noWrap w:val="0"/>
            <w:vAlign w:val="top"/>
          </w:tcPr>
          <w:p w14:paraId="7FEA64BD">
            <w:pPr>
              <w:wordWrap w:val="0"/>
              <w:topLinePunct/>
              <w:spacing w:line="360" w:lineRule="auto"/>
              <w:jc w:val="distribute"/>
              <w:rPr>
                <w:rFonts w:ascii="黑体" w:hAnsi="宋体" w:eastAsia="黑体" w:cs="宋体"/>
                <w:b/>
                <w:color w:val="auto"/>
                <w:sz w:val="32"/>
                <w:szCs w:val="32"/>
              </w:rPr>
            </w:pPr>
            <w:r>
              <w:rPr>
                <w:rFonts w:hint="eastAsia" w:ascii="黑体" w:hAnsi="宋体" w:eastAsia="黑体" w:cs="宋体"/>
                <w:b/>
                <w:color w:val="auto"/>
                <w:sz w:val="32"/>
                <w:szCs w:val="32"/>
              </w:rPr>
              <w:t>河南恒展工程咨询有限公司</w:t>
            </w:r>
          </w:p>
        </w:tc>
      </w:tr>
      <w:tr w14:paraId="36B8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465" w:type="dxa"/>
            <w:tcBorders>
              <w:top w:val="single" w:color="FFFFFF" w:sz="4" w:space="0"/>
              <w:left w:val="single" w:color="FFFFFF" w:sz="4" w:space="0"/>
              <w:bottom w:val="single" w:color="FFFFFF" w:sz="4" w:space="0"/>
              <w:right w:val="single" w:color="FFFFFF" w:sz="4" w:space="0"/>
            </w:tcBorders>
            <w:noWrap w:val="0"/>
            <w:vAlign w:val="top"/>
          </w:tcPr>
          <w:p w14:paraId="221775F3">
            <w:pPr>
              <w:wordWrap w:val="0"/>
              <w:topLinePunct/>
              <w:spacing w:line="360" w:lineRule="auto"/>
              <w:jc w:val="distribute"/>
              <w:rPr>
                <w:rFonts w:hint="eastAsia" w:ascii="黑体" w:hAnsi="宋体" w:eastAsia="黑体" w:cs="宋体"/>
                <w:b/>
                <w:color w:val="auto"/>
                <w:sz w:val="32"/>
                <w:szCs w:val="32"/>
              </w:rPr>
            </w:pPr>
            <w:r>
              <w:rPr>
                <w:rFonts w:hint="eastAsia" w:ascii="黑体" w:hAnsi="宋体" w:eastAsia="黑体" w:cs="宋体"/>
                <w:b/>
                <w:color w:val="auto"/>
                <w:sz w:val="32"/>
                <w:szCs w:val="32"/>
              </w:rPr>
              <w:t>日期：</w:t>
            </w:r>
          </w:p>
        </w:tc>
        <w:tc>
          <w:tcPr>
            <w:tcW w:w="4071" w:type="dxa"/>
            <w:tcBorders>
              <w:top w:val="single" w:color="FFFFFF" w:sz="4" w:space="0"/>
              <w:left w:val="single" w:color="FFFFFF" w:sz="4" w:space="0"/>
              <w:bottom w:val="single" w:color="FFFFFF" w:sz="4" w:space="0"/>
              <w:right w:val="single" w:color="FFFFFF" w:sz="4" w:space="0"/>
            </w:tcBorders>
            <w:noWrap w:val="0"/>
            <w:vAlign w:val="top"/>
          </w:tcPr>
          <w:p w14:paraId="1B8DF572">
            <w:pPr>
              <w:wordWrap w:val="0"/>
              <w:topLinePunct/>
              <w:spacing w:line="360" w:lineRule="auto"/>
              <w:jc w:val="distribute"/>
              <w:rPr>
                <w:rFonts w:hint="eastAsia" w:ascii="黑体" w:hAnsi="宋体" w:eastAsia="黑体" w:cs="宋体"/>
                <w:b/>
                <w:color w:val="auto"/>
                <w:sz w:val="32"/>
                <w:szCs w:val="32"/>
              </w:rPr>
            </w:pPr>
            <w:r>
              <w:rPr>
                <w:rFonts w:hint="eastAsia" w:ascii="黑体" w:hAnsi="宋体" w:eastAsia="黑体" w:cs="宋体"/>
                <w:b/>
                <w:color w:val="auto"/>
                <w:sz w:val="32"/>
                <w:szCs w:val="32"/>
              </w:rPr>
              <w:t>二〇二</w:t>
            </w:r>
            <w:r>
              <w:rPr>
                <w:rFonts w:hint="eastAsia" w:ascii="黑体" w:hAnsi="宋体" w:eastAsia="黑体" w:cs="宋体"/>
                <w:b/>
                <w:color w:val="auto"/>
                <w:sz w:val="32"/>
                <w:szCs w:val="32"/>
                <w:lang w:val="en-US" w:eastAsia="zh-CN"/>
              </w:rPr>
              <w:t>六</w:t>
            </w:r>
            <w:r>
              <w:rPr>
                <w:rFonts w:hint="eastAsia" w:ascii="黑体" w:hAnsi="宋体" w:eastAsia="黑体" w:cs="宋体"/>
                <w:b/>
                <w:color w:val="auto"/>
                <w:sz w:val="32"/>
                <w:szCs w:val="32"/>
              </w:rPr>
              <w:t>年</w:t>
            </w:r>
            <w:r>
              <w:rPr>
                <w:rFonts w:hint="eastAsia" w:ascii="黑体" w:hAnsi="宋体" w:eastAsia="黑体" w:cs="宋体"/>
                <w:b/>
                <w:color w:val="auto"/>
                <w:sz w:val="32"/>
                <w:szCs w:val="32"/>
                <w:lang w:val="en-US" w:eastAsia="zh-CN"/>
              </w:rPr>
              <w:t>九</w:t>
            </w:r>
            <w:r>
              <w:rPr>
                <w:rFonts w:hint="eastAsia" w:ascii="黑体" w:hAnsi="宋体" w:eastAsia="黑体" w:cs="宋体"/>
                <w:b/>
                <w:color w:val="auto"/>
                <w:sz w:val="32"/>
                <w:szCs w:val="32"/>
              </w:rPr>
              <w:t>月</w:t>
            </w:r>
          </w:p>
        </w:tc>
      </w:tr>
    </w:tbl>
    <w:p w14:paraId="78A1CA6A">
      <w:pPr>
        <w:rPr>
          <w:rFonts w:hint="eastAsia" w:ascii="宋体" w:hAnsi="宋体"/>
          <w:b/>
          <w:bCs/>
          <w:color w:val="auto"/>
          <w:sz w:val="36"/>
          <w:szCs w:val="36"/>
        </w:rPr>
      </w:pPr>
      <w:r>
        <w:rPr>
          <w:rFonts w:hint="eastAsia" w:ascii="宋体" w:hAnsi="宋体"/>
          <w:b/>
          <w:bCs/>
          <w:color w:val="auto"/>
          <w:sz w:val="36"/>
          <w:szCs w:val="36"/>
        </w:rPr>
        <w:br w:type="page"/>
      </w:r>
    </w:p>
    <w:p w14:paraId="0F13C5F3">
      <w:pPr>
        <w:pStyle w:val="34"/>
        <w:rPr>
          <w:rFonts w:hint="eastAsia" w:eastAsia="宋体"/>
          <w:lang w:eastAsia="zh-CN"/>
        </w:rPr>
      </w:pPr>
      <w:r>
        <w:rPr>
          <w:rFonts w:hint="eastAsia" w:eastAsia="宋体"/>
          <w:lang w:eastAsia="zh-CN"/>
        </w:rPr>
        <w:drawing>
          <wp:inline distT="0" distB="0" distL="114300" distR="114300">
            <wp:extent cx="5742305" cy="7924800"/>
            <wp:effectExtent l="0" t="0" r="10795" b="0"/>
            <wp:docPr id="1" name="图片 1" descr="招标文件编制的委托与批准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招标文件编制的委托与批准_01"/>
                    <pic:cNvPicPr>
                      <a:picLocks noChangeAspect="1"/>
                    </pic:cNvPicPr>
                  </pic:nvPicPr>
                  <pic:blipFill>
                    <a:blip r:embed="rId11"/>
                    <a:stretch>
                      <a:fillRect/>
                    </a:stretch>
                  </pic:blipFill>
                  <pic:spPr>
                    <a:xfrm>
                      <a:off x="0" y="0"/>
                      <a:ext cx="5742305" cy="7924800"/>
                    </a:xfrm>
                    <a:prstGeom prst="rect">
                      <a:avLst/>
                    </a:prstGeom>
                  </pic:spPr>
                </pic:pic>
              </a:graphicData>
            </a:graphic>
          </wp:inline>
        </w:drawing>
      </w:r>
    </w:p>
    <w:p w14:paraId="3D94EA81">
      <w:pPr>
        <w:rPr>
          <w:rFonts w:hint="eastAsia" w:ascii="宋体" w:hAnsi="宋体"/>
          <w:b/>
          <w:bCs/>
          <w:color w:val="auto"/>
          <w:sz w:val="36"/>
          <w:szCs w:val="36"/>
        </w:rPr>
      </w:pPr>
      <w:r>
        <w:rPr>
          <w:rFonts w:hint="eastAsia" w:ascii="宋体" w:hAnsi="宋体"/>
          <w:b/>
          <w:bCs/>
          <w:color w:val="auto"/>
          <w:sz w:val="36"/>
          <w:szCs w:val="36"/>
        </w:rPr>
        <w:br w:type="page"/>
      </w:r>
    </w:p>
    <w:p w14:paraId="7BD1A765">
      <w:pPr>
        <w:spacing w:line="800" w:lineRule="exact"/>
        <w:jc w:val="center"/>
        <w:rPr>
          <w:rFonts w:hint="eastAsia" w:ascii="宋体" w:hAnsi="宋体" w:cs="Arial"/>
          <w:b/>
          <w:bCs/>
          <w:color w:val="auto"/>
          <w:sz w:val="36"/>
          <w:szCs w:val="36"/>
        </w:rPr>
      </w:pPr>
      <w:r>
        <w:rPr>
          <w:rFonts w:hint="eastAsia" w:ascii="宋体" w:hAnsi="宋体"/>
          <w:b/>
          <w:bCs/>
          <w:color w:val="auto"/>
          <w:sz w:val="36"/>
          <w:szCs w:val="36"/>
        </w:rPr>
        <w:t>目  录</w:t>
      </w:r>
    </w:p>
    <w:p w14:paraId="0EF72F01">
      <w:pPr>
        <w:pStyle w:val="22"/>
        <w:keepNext w:val="0"/>
        <w:keepLines w:val="0"/>
        <w:pageBreakBefore w:val="0"/>
        <w:widowControl w:val="0"/>
        <w:tabs>
          <w:tab w:val="right" w:leader="dot" w:pos="9072"/>
          <w:tab w:val="clear" w:pos="846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TOC \o "1-3" \h \z \u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_Toc10030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第一章 投标邀请</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_Toc10030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4</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201E1C7A">
      <w:pPr>
        <w:pStyle w:val="22"/>
        <w:keepNext w:val="0"/>
        <w:keepLines w:val="0"/>
        <w:pageBreakBefore w:val="0"/>
        <w:widowControl w:val="0"/>
        <w:tabs>
          <w:tab w:val="right" w:leader="dot" w:pos="9072"/>
          <w:tab w:val="clear" w:pos="846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_Toc28590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第二章 投标人须知</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_Toc28590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8</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2DEE7800">
      <w:pPr>
        <w:pStyle w:val="22"/>
        <w:keepNext w:val="0"/>
        <w:keepLines w:val="0"/>
        <w:pageBreakBefore w:val="0"/>
        <w:widowControl w:val="0"/>
        <w:tabs>
          <w:tab w:val="right" w:leader="dot" w:pos="9072"/>
          <w:tab w:val="clear" w:pos="846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_Toc3931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第三章 资格审查</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_Toc3931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28</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6DC17A54">
      <w:pPr>
        <w:pStyle w:val="22"/>
        <w:keepNext w:val="0"/>
        <w:keepLines w:val="0"/>
        <w:pageBreakBefore w:val="0"/>
        <w:widowControl w:val="0"/>
        <w:tabs>
          <w:tab w:val="right" w:leader="dot" w:pos="9072"/>
          <w:tab w:val="clear" w:pos="846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_Toc21563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第四章 评标办法（综合评分法）</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_Toc21563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29</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3802A55F">
      <w:pPr>
        <w:pStyle w:val="22"/>
        <w:keepNext w:val="0"/>
        <w:keepLines w:val="0"/>
        <w:pageBreakBefore w:val="0"/>
        <w:widowControl w:val="0"/>
        <w:tabs>
          <w:tab w:val="right" w:leader="dot" w:pos="9072"/>
          <w:tab w:val="clear" w:pos="846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_Toc24811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第五章 合同</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_Toc24811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36</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09AB6768">
      <w:pPr>
        <w:pStyle w:val="22"/>
        <w:keepNext w:val="0"/>
        <w:keepLines w:val="0"/>
        <w:pageBreakBefore w:val="0"/>
        <w:widowControl w:val="0"/>
        <w:tabs>
          <w:tab w:val="right" w:leader="dot" w:pos="9072"/>
          <w:tab w:val="clear" w:pos="846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_Toc3463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第六章 招标项目需求及技术要求</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_Toc3463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41</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0757BE14">
      <w:pPr>
        <w:pStyle w:val="22"/>
        <w:keepNext w:val="0"/>
        <w:keepLines w:val="0"/>
        <w:pageBreakBefore w:val="0"/>
        <w:widowControl w:val="0"/>
        <w:tabs>
          <w:tab w:val="right" w:leader="dot" w:pos="9072"/>
          <w:tab w:val="clear" w:pos="846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_Toc3366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第七章 投标文件资格审查文件册通用格式</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_Toc3366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87</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2B73FC31">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_Toc2531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一、 投标人资格声明函</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_Toc2531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89</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3130587C">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_Toc15631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二、 投标人基本情况</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_Toc15631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90</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319635FE">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_Toc4815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三、 投标人资格证明文件</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_Toc4815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91</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526FCA9D">
      <w:pPr>
        <w:pStyle w:val="22"/>
        <w:keepNext w:val="0"/>
        <w:keepLines w:val="0"/>
        <w:pageBreakBefore w:val="0"/>
        <w:widowControl w:val="0"/>
        <w:tabs>
          <w:tab w:val="right" w:leader="dot" w:pos="9072"/>
          <w:tab w:val="clear" w:pos="846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_Toc16755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第八章 投标文件通用格式</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_Toc16755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93</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61CB9B25">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_Toc27849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一、法定代表人身份证明</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_Toc27849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95</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52AA701A">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_Toc12341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一、 法定代表人授权委托书</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_Toc12341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96</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16D66997">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_Toc5145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二、 投标书</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_Toc5145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97</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61D986B3">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_Toc14937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三、 投标承诺函</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_Toc14937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98</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13435ED0">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_Toc4969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四、 投标报价表格</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_Toc4969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99</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7D1521F9">
      <w:pPr>
        <w:pStyle w:val="1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_Toc10515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(一) 开标一览表</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_Toc10515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99</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0EF904FA">
      <w:pPr>
        <w:pStyle w:val="1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_Toc16691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(二) 投标报价一览表</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_Toc16691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100</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44B17CB3">
      <w:pPr>
        <w:pStyle w:val="1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_Toc31337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(三) 备件、专用工具和消耗品价格表</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_Toc31337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101</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7ADB2C73">
      <w:pPr>
        <w:pStyle w:val="1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_Toc25400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(四) 货物分项报价一览表</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_Toc25400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102</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229C302C">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_Toc24548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五、 商务和技术偏差表</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_Toc24548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103</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3998D78B">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_Toc10055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六、 售后服务计划</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_Toc10055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105</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257E5801">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_Toc12509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七、 投标人及投标产品简介</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_Toc12509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106</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4D7B9D86">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_Toc27914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八、 投标人提供的其他优惠条件</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_Toc27914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107</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18B2F7C0">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_Toc1316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九、 反商业贿赂承诺书</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_Toc1316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108</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082F063F">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_Toc1480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十、 中小企业声明函</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_Toc1480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109</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1EE20014">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_Toc26291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十一、 残疾人福利性单位声明函</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_Toc26291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111</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2FBFF47A">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_Toc11564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lang w:val="en-GB"/>
        </w:rPr>
        <w:t>十</w:t>
      </w:r>
      <w:r>
        <w:rPr>
          <w:rFonts w:hint="eastAsia" w:ascii="宋体" w:hAnsi="宋体" w:eastAsia="宋体" w:cs="宋体"/>
          <w:color w:val="auto"/>
          <w:sz w:val="21"/>
          <w:szCs w:val="21"/>
        </w:rPr>
        <w:t>二</w:t>
      </w:r>
      <w:r>
        <w:rPr>
          <w:rFonts w:hint="eastAsia" w:ascii="宋体" w:hAnsi="宋体" w:eastAsia="宋体" w:cs="宋体"/>
          <w:color w:val="auto"/>
          <w:sz w:val="21"/>
          <w:szCs w:val="21"/>
          <w:lang w:val="en-GB"/>
        </w:rPr>
        <w:t>、 监狱企业证明材料</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_Toc11564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112</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1D78092D">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_Toc24262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lang w:val="en-GB"/>
        </w:rPr>
        <w:t>十</w:t>
      </w:r>
      <w:r>
        <w:rPr>
          <w:rFonts w:hint="eastAsia" w:ascii="宋体" w:hAnsi="宋体" w:eastAsia="宋体" w:cs="宋体"/>
          <w:color w:val="auto"/>
          <w:sz w:val="21"/>
          <w:szCs w:val="21"/>
        </w:rPr>
        <w:t>三</w:t>
      </w:r>
      <w:r>
        <w:rPr>
          <w:rFonts w:hint="eastAsia" w:ascii="宋体" w:hAnsi="宋体" w:eastAsia="宋体" w:cs="宋体"/>
          <w:color w:val="auto"/>
          <w:sz w:val="21"/>
          <w:szCs w:val="21"/>
          <w:lang w:val="en-GB"/>
        </w:rPr>
        <w:t>、 节能产品、环境标志产品明细表</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_Toc24262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113</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3649BF6D">
      <w:pPr>
        <w:pStyle w:val="25"/>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_Toc14549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十四、 其他资料</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_Toc14549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115</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6D1C8B9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fldChar w:fldCharType="end"/>
      </w:r>
    </w:p>
    <w:p w14:paraId="3E0B3A34">
      <w:pPr>
        <w:pStyle w:val="2"/>
        <w:rPr>
          <w:rFonts w:hint="eastAsia" w:ascii="宋体" w:hAnsi="宋体"/>
          <w:color w:val="auto"/>
          <w:szCs w:val="32"/>
        </w:rPr>
      </w:pPr>
      <w:r>
        <w:rPr>
          <w:rFonts w:hint="eastAsia" w:ascii="宋体" w:hAnsi="宋体"/>
          <w:color w:val="auto"/>
          <w:szCs w:val="32"/>
        </w:rPr>
        <w:br w:type="page"/>
      </w:r>
      <w:bookmarkStart w:id="1" w:name="_Toc10030"/>
      <w:r>
        <w:rPr>
          <w:rFonts w:hint="eastAsia" w:ascii="宋体" w:hAnsi="宋体"/>
          <w:color w:val="auto"/>
          <w:szCs w:val="32"/>
        </w:rPr>
        <w:t xml:space="preserve">第一章 </w:t>
      </w:r>
      <w:r>
        <w:rPr>
          <w:rFonts w:hint="eastAsia" w:ascii="宋体" w:hAnsi="宋体"/>
          <w:color w:val="auto"/>
          <w:szCs w:val="32"/>
          <w:lang w:val="en-US" w:eastAsia="zh-CN"/>
        </w:rPr>
        <w:t>投标邀请</w:t>
      </w:r>
      <w:r>
        <w:rPr>
          <w:rFonts w:hint="eastAsia" w:ascii="宋体" w:hAnsi="宋体"/>
          <w:color w:val="auto"/>
          <w:szCs w:val="32"/>
        </w:rPr>
        <w:t xml:space="preserve"> </w:t>
      </w:r>
      <w:bookmarkEnd w:id="1"/>
    </w:p>
    <w:p w14:paraId="029B0BDF">
      <w:pPr>
        <w:spacing w:line="360" w:lineRule="auto"/>
        <w:jc w:val="center"/>
        <w:rPr>
          <w:rFonts w:hint="eastAsia" w:ascii="黑体" w:hAnsi="黑体" w:eastAsia="黑体" w:cs="黑体"/>
          <w:color w:val="auto"/>
          <w:sz w:val="28"/>
          <w:szCs w:val="28"/>
        </w:rPr>
      </w:pPr>
      <w:bookmarkStart w:id="2" w:name="_Toc312133603"/>
      <w:r>
        <w:rPr>
          <w:rFonts w:hint="eastAsia" w:ascii="黑体" w:hAnsi="黑体" w:eastAsia="黑体" w:cs="黑体"/>
          <w:color w:val="auto"/>
          <w:sz w:val="28"/>
          <w:szCs w:val="28"/>
          <w:lang w:eastAsia="zh-CN"/>
        </w:rPr>
        <w:t>尉氏县中心医院（尉氏县第三医共体总医院）儿童康复设备一批采购项目</w:t>
      </w:r>
      <w:r>
        <w:rPr>
          <w:rFonts w:hint="eastAsia" w:ascii="黑体" w:hAnsi="黑体" w:eastAsia="黑体" w:cs="黑体"/>
          <w:color w:val="auto"/>
          <w:sz w:val="28"/>
          <w:szCs w:val="28"/>
          <w:lang w:val="en-US" w:eastAsia="zh-CN"/>
        </w:rPr>
        <w:t>-</w:t>
      </w:r>
      <w:r>
        <w:rPr>
          <w:rFonts w:hint="eastAsia" w:ascii="黑体" w:hAnsi="黑体" w:eastAsia="黑体" w:cs="黑体"/>
          <w:color w:val="auto"/>
          <w:sz w:val="28"/>
          <w:szCs w:val="28"/>
        </w:rPr>
        <w:t>公开招标公告</w:t>
      </w:r>
    </w:p>
    <w:p w14:paraId="005420E0">
      <w:pPr>
        <w:keepNext w:val="0"/>
        <w:keepLines w:val="0"/>
        <w:pageBreakBefore w:val="0"/>
        <w:kinsoku/>
        <w:overflowPunct/>
        <w:topLinePunct w:val="0"/>
        <w:bidi w:val="0"/>
        <w:snapToGrid/>
        <w:spacing w:line="360" w:lineRule="auto"/>
        <w:rPr>
          <w:color w:val="auto"/>
        </w:rPr>
      </w:pPr>
    </w:p>
    <w:p w14:paraId="276C79D9">
      <w:pPr>
        <w:keepNext w:val="0"/>
        <w:keepLines w:val="0"/>
        <w:pageBreakBefore w:val="0"/>
        <w:kinsoku/>
        <w:overflowPunct/>
        <w:topLinePunct w:val="0"/>
        <w:bidi w:val="0"/>
        <w:snapToGrid/>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项目概况</w:t>
      </w:r>
    </w:p>
    <w:p w14:paraId="2EE9B372">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lang w:eastAsia="zh-CN"/>
        </w:rPr>
        <w:t>尉氏县中心医院（尉氏县第三医共体总医院）儿童康复设备一批采购项目</w:t>
      </w:r>
      <w:r>
        <w:rPr>
          <w:rFonts w:hint="eastAsia" w:ascii="宋体" w:hAnsi="宋体" w:cs="宋体"/>
          <w:color w:val="auto"/>
          <w:szCs w:val="21"/>
        </w:rPr>
        <w:t>招标项目的潜在投标人应在登录</w:t>
      </w:r>
      <w:r>
        <w:rPr>
          <w:rFonts w:hint="eastAsia" w:ascii="宋体" w:hAnsi="宋体" w:cs="宋体"/>
          <w:color w:val="auto"/>
          <w:szCs w:val="21"/>
        </w:rPr>
        <w:fldChar w:fldCharType="begin"/>
      </w:r>
      <w:r>
        <w:rPr>
          <w:rFonts w:hint="eastAsia" w:ascii="宋体" w:hAnsi="宋体" w:cs="宋体"/>
          <w:color w:val="auto"/>
          <w:szCs w:val="21"/>
        </w:rPr>
        <w:instrText xml:space="preserve">HYPERLINK "https://www.kfsggzyjyw.cn/"</w:instrText>
      </w:r>
      <w:r>
        <w:rPr>
          <w:rFonts w:hint="eastAsia" w:ascii="宋体" w:hAnsi="宋体" w:cs="宋体"/>
          <w:color w:val="auto"/>
          <w:szCs w:val="21"/>
        </w:rPr>
        <w:fldChar w:fldCharType="separate"/>
      </w:r>
      <w:r>
        <w:rPr>
          <w:rFonts w:hint="eastAsia" w:ascii="宋体" w:hAnsi="宋体" w:cs="宋体"/>
          <w:color w:val="auto"/>
          <w:szCs w:val="21"/>
        </w:rPr>
        <w:t>开封市公共资源交易信息网 (http://www.kfsggzyjyw.cn)</w:t>
      </w:r>
      <w:r>
        <w:rPr>
          <w:rFonts w:hint="eastAsia" w:ascii="宋体" w:hAnsi="宋体" w:cs="宋体"/>
          <w:color w:val="auto"/>
          <w:szCs w:val="21"/>
        </w:rPr>
        <w:fldChar w:fldCharType="end"/>
      </w:r>
      <w:r>
        <w:rPr>
          <w:rFonts w:hint="eastAsia" w:ascii="宋体" w:hAnsi="宋体" w:cs="宋体"/>
          <w:color w:val="auto"/>
          <w:szCs w:val="21"/>
        </w:rPr>
        <w:t>会员系统网上下载</w:t>
      </w:r>
      <w:r>
        <w:rPr>
          <w:rFonts w:hint="eastAsia" w:ascii="宋体" w:hAnsi="宋体" w:cs="宋体"/>
          <w:color w:val="auto"/>
          <w:szCs w:val="21"/>
        </w:rPr>
        <w:fldChar w:fldCharType="begin"/>
      </w:r>
      <w:r>
        <w:rPr>
          <w:rFonts w:hint="eastAsia" w:ascii="宋体" w:hAnsi="宋体" w:cs="宋体"/>
          <w:color w:val="auto"/>
          <w:szCs w:val="21"/>
        </w:rPr>
        <w:instrText xml:space="preserve">HYPERLINK "http://www.hnggzy.net）获取招标文件，并于2022年"</w:instrText>
      </w:r>
      <w:r>
        <w:rPr>
          <w:rFonts w:hint="eastAsia" w:ascii="宋体" w:hAnsi="宋体" w:cs="宋体"/>
          <w:color w:val="auto"/>
          <w:szCs w:val="21"/>
        </w:rPr>
        <w:fldChar w:fldCharType="separate"/>
      </w:r>
      <w:r>
        <w:rPr>
          <w:rFonts w:hint="eastAsia" w:ascii="宋体" w:hAnsi="宋体" w:cs="宋体"/>
          <w:color w:val="auto"/>
          <w:szCs w:val="21"/>
        </w:rPr>
        <w:t>获取招标文件，并于202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rPr>
        <w:fldChar w:fldCharType="end"/>
      </w:r>
      <w:r>
        <w:rPr>
          <w:rFonts w:hint="eastAsia" w:ascii="宋体" w:hAnsi="宋体" w:cs="宋体"/>
          <w:color w:val="auto"/>
          <w:szCs w:val="21"/>
          <w:lang w:val="en-US" w:eastAsia="zh-CN"/>
        </w:rPr>
        <w:t>10</w:t>
      </w:r>
      <w:r>
        <w:rPr>
          <w:rFonts w:hint="eastAsia" w:ascii="宋体" w:hAnsi="宋体" w:cs="宋体"/>
          <w:color w:val="auto"/>
          <w:szCs w:val="21"/>
        </w:rPr>
        <w:t>月</w:t>
      </w:r>
      <w:r>
        <w:rPr>
          <w:rFonts w:hint="eastAsia" w:ascii="宋体" w:hAnsi="宋体" w:cs="宋体"/>
          <w:color w:val="auto"/>
          <w:szCs w:val="21"/>
          <w:lang w:val="en-US" w:eastAsia="zh-CN"/>
        </w:rPr>
        <w:t>14</w:t>
      </w:r>
      <w:r>
        <w:rPr>
          <w:rFonts w:hint="eastAsia" w:ascii="宋体" w:hAnsi="宋体" w:cs="宋体"/>
          <w:color w:val="auto"/>
          <w:szCs w:val="21"/>
        </w:rPr>
        <w:t>日</w:t>
      </w:r>
      <w:r>
        <w:rPr>
          <w:rFonts w:hint="eastAsia" w:ascii="宋体" w:hAnsi="宋体" w:cs="宋体"/>
          <w:color w:val="auto"/>
          <w:szCs w:val="21"/>
          <w:lang w:val="en-US" w:eastAsia="zh-CN"/>
        </w:rPr>
        <w:t>09</w:t>
      </w:r>
      <w:r>
        <w:rPr>
          <w:rFonts w:hint="eastAsia" w:ascii="宋体" w:hAnsi="宋体" w:cs="宋体"/>
          <w:color w:val="auto"/>
          <w:szCs w:val="21"/>
        </w:rPr>
        <w:t>时</w:t>
      </w:r>
      <w:r>
        <w:rPr>
          <w:rFonts w:hint="eastAsia" w:ascii="宋体" w:hAnsi="宋体" w:cs="宋体"/>
          <w:color w:val="auto"/>
          <w:szCs w:val="21"/>
          <w:lang w:val="en-US" w:eastAsia="zh-CN"/>
        </w:rPr>
        <w:t>30</w:t>
      </w:r>
      <w:r>
        <w:rPr>
          <w:rFonts w:hint="eastAsia" w:ascii="宋体" w:hAnsi="宋体" w:cs="宋体"/>
          <w:color w:val="auto"/>
          <w:szCs w:val="21"/>
        </w:rPr>
        <w:t>分（北京时间）前递交投标文件。</w:t>
      </w:r>
    </w:p>
    <w:p w14:paraId="3A79EF50">
      <w:pPr>
        <w:keepNext w:val="0"/>
        <w:keepLines w:val="0"/>
        <w:pageBreakBefore w:val="0"/>
        <w:kinsoku/>
        <w:overflowPunct/>
        <w:topLinePunct w:val="0"/>
        <w:bidi w:val="0"/>
        <w:snapToGrid/>
        <w:spacing w:line="360" w:lineRule="auto"/>
        <w:rPr>
          <w:rFonts w:hint="eastAsia" w:ascii="宋体" w:hAnsi="宋体" w:cs="宋体"/>
          <w:b/>
          <w:bCs/>
          <w:color w:val="auto"/>
          <w:szCs w:val="21"/>
        </w:rPr>
      </w:pPr>
      <w:r>
        <w:rPr>
          <w:rFonts w:hint="eastAsia" w:ascii="宋体" w:hAnsi="宋体" w:cs="宋体"/>
          <w:b/>
          <w:bCs/>
          <w:color w:val="auto"/>
          <w:szCs w:val="21"/>
        </w:rPr>
        <w:t>一、项目基本情况</w:t>
      </w:r>
    </w:p>
    <w:p w14:paraId="0D7F2DEC">
      <w:pPr>
        <w:keepNext w:val="0"/>
        <w:keepLines w:val="0"/>
        <w:pageBreakBefore w:val="0"/>
        <w:kinsoku/>
        <w:overflowPunct/>
        <w:topLinePunct w:val="0"/>
        <w:bidi w:val="0"/>
        <w:snapToGrid/>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1、项目编号：</w:t>
      </w:r>
      <w:r>
        <w:rPr>
          <w:rFonts w:hint="eastAsia" w:ascii="宋体" w:hAnsi="宋体" w:cs="宋体"/>
          <w:color w:val="auto"/>
          <w:szCs w:val="21"/>
          <w:highlight w:val="none"/>
          <w:lang w:val="en-US" w:eastAsia="zh-CN"/>
        </w:rPr>
        <w:t>尉财公开采购2026-23</w:t>
      </w:r>
    </w:p>
    <w:p w14:paraId="1E6B5553">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2、项目名称：</w:t>
      </w:r>
      <w:r>
        <w:rPr>
          <w:rFonts w:hint="eastAsia" w:ascii="宋体" w:hAnsi="宋体" w:cs="宋体"/>
          <w:color w:val="auto"/>
          <w:szCs w:val="21"/>
          <w:highlight w:val="none"/>
          <w:lang w:eastAsia="zh-CN"/>
        </w:rPr>
        <w:t>尉氏县中心医院（尉氏县第三医共体总医院）儿童康复设备一批采购项目</w:t>
      </w:r>
    </w:p>
    <w:p w14:paraId="10D41932">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3、采购方式：公开招标</w:t>
      </w:r>
    </w:p>
    <w:p w14:paraId="3396387C">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4、预算金额：</w:t>
      </w:r>
      <w:r>
        <w:rPr>
          <w:rFonts w:hint="eastAsia" w:ascii="宋体" w:hAnsi="宋体" w:cs="宋体"/>
          <w:color w:val="auto"/>
          <w:szCs w:val="21"/>
          <w:highlight w:val="none"/>
          <w:lang w:val="en-US" w:eastAsia="zh-CN"/>
        </w:rPr>
        <w:t>1700000.00</w:t>
      </w:r>
      <w:r>
        <w:rPr>
          <w:rFonts w:hint="eastAsia" w:ascii="宋体" w:hAnsi="宋体" w:cs="宋体"/>
          <w:color w:val="auto"/>
          <w:szCs w:val="21"/>
          <w:highlight w:val="none"/>
        </w:rPr>
        <w:t>元</w:t>
      </w:r>
    </w:p>
    <w:p w14:paraId="624C4AB6">
      <w:pPr>
        <w:keepNext w:val="0"/>
        <w:keepLines w:val="0"/>
        <w:pageBreakBefore w:val="0"/>
        <w:kinsoku/>
        <w:overflowPunct/>
        <w:topLinePunct w:val="0"/>
        <w:bidi w:val="0"/>
        <w:snapToGrid/>
        <w:spacing w:line="360" w:lineRule="auto"/>
        <w:ind w:firstLine="630" w:firstLineChars="300"/>
        <w:rPr>
          <w:rFonts w:hint="eastAsia" w:ascii="宋体" w:hAnsi="宋体" w:cs="宋体"/>
          <w:color w:val="auto"/>
          <w:szCs w:val="21"/>
          <w:highlight w:val="none"/>
        </w:rPr>
      </w:pPr>
      <w:r>
        <w:rPr>
          <w:rFonts w:hint="eastAsia" w:ascii="宋体" w:hAnsi="宋体" w:cs="宋体"/>
          <w:color w:val="auto"/>
          <w:szCs w:val="21"/>
          <w:highlight w:val="none"/>
        </w:rPr>
        <w:t>最高限价：</w:t>
      </w:r>
      <w:r>
        <w:rPr>
          <w:rFonts w:hint="eastAsia" w:ascii="宋体" w:hAnsi="宋体" w:cs="宋体"/>
          <w:color w:val="auto"/>
          <w:szCs w:val="21"/>
          <w:highlight w:val="none"/>
          <w:lang w:val="en-US" w:eastAsia="zh-CN"/>
        </w:rPr>
        <w:t>1700000.00</w:t>
      </w:r>
      <w:r>
        <w:rPr>
          <w:rFonts w:hint="eastAsia" w:ascii="宋体" w:hAnsi="宋体" w:cs="宋体"/>
          <w:color w:val="auto"/>
          <w:szCs w:val="21"/>
          <w:highlight w:val="none"/>
        </w:rPr>
        <w:t>元</w:t>
      </w:r>
    </w:p>
    <w:tbl>
      <w:tblPr>
        <w:tblStyle w:val="29"/>
        <w:tblpPr w:leftFromText="180" w:rightFromText="180" w:vertAnchor="text" w:horzAnchor="page" w:tblpX="1709" w:tblpY="39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1581"/>
        <w:gridCol w:w="4112"/>
        <w:gridCol w:w="1380"/>
        <w:gridCol w:w="1266"/>
      </w:tblGrid>
      <w:tr w14:paraId="2B08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 w:type="dxa"/>
            <w:noWrap w:val="0"/>
            <w:vAlign w:val="center"/>
          </w:tcPr>
          <w:p w14:paraId="5E4D9B62">
            <w:pPr>
              <w:pStyle w:val="37"/>
              <w:keepNext w:val="0"/>
              <w:keepLines w:val="0"/>
              <w:pageBreakBefore w:val="0"/>
              <w:kinsoku/>
              <w:overflowPunct/>
              <w:topLinePunct w:val="0"/>
              <w:bidi w:val="0"/>
              <w:snapToGrid/>
              <w:spacing w:line="360" w:lineRule="auto"/>
              <w:jc w:val="center"/>
              <w:rPr>
                <w:rFonts w:hint="eastAsia"/>
                <w:color w:val="auto"/>
                <w:highlight w:val="none"/>
              </w:rPr>
            </w:pPr>
            <w:r>
              <w:rPr>
                <w:rFonts w:hint="eastAsia" w:ascii="宋体" w:hAnsi="宋体" w:cs="宋体"/>
                <w:color w:val="auto"/>
                <w:sz w:val="21"/>
                <w:szCs w:val="21"/>
                <w:highlight w:val="none"/>
              </w:rPr>
              <w:t>序号</w:t>
            </w:r>
          </w:p>
        </w:tc>
        <w:tc>
          <w:tcPr>
            <w:tcW w:w="1581" w:type="dxa"/>
            <w:noWrap w:val="0"/>
            <w:vAlign w:val="center"/>
          </w:tcPr>
          <w:p w14:paraId="30B79E94">
            <w:pPr>
              <w:pStyle w:val="37"/>
              <w:keepNext w:val="0"/>
              <w:keepLines w:val="0"/>
              <w:pageBreakBefore w:val="0"/>
              <w:kinsoku/>
              <w:overflowPunct/>
              <w:topLinePunct w:val="0"/>
              <w:bidi w:val="0"/>
              <w:snapToGrid/>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包号</w:t>
            </w:r>
          </w:p>
        </w:tc>
        <w:tc>
          <w:tcPr>
            <w:tcW w:w="4112" w:type="dxa"/>
            <w:noWrap w:val="0"/>
            <w:vAlign w:val="center"/>
          </w:tcPr>
          <w:p w14:paraId="3FC645BC">
            <w:pPr>
              <w:pStyle w:val="37"/>
              <w:keepNext w:val="0"/>
              <w:keepLines w:val="0"/>
              <w:pageBreakBefore w:val="0"/>
              <w:kinsoku/>
              <w:overflowPunct/>
              <w:topLinePunct w:val="0"/>
              <w:bidi w:val="0"/>
              <w:snapToGrid/>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包名称</w:t>
            </w:r>
          </w:p>
        </w:tc>
        <w:tc>
          <w:tcPr>
            <w:tcW w:w="1380" w:type="dxa"/>
            <w:noWrap w:val="0"/>
            <w:vAlign w:val="center"/>
          </w:tcPr>
          <w:p w14:paraId="483D3914">
            <w:pPr>
              <w:pStyle w:val="37"/>
              <w:keepNext w:val="0"/>
              <w:keepLines w:val="0"/>
              <w:pageBreakBefore w:val="0"/>
              <w:kinsoku/>
              <w:overflowPunct/>
              <w:topLinePunct w:val="0"/>
              <w:bidi w:val="0"/>
              <w:snapToGrid/>
              <w:spacing w:line="360" w:lineRule="auto"/>
              <w:jc w:val="center"/>
              <w:rPr>
                <w:rFonts w:hint="eastAsia"/>
                <w:color w:val="auto"/>
                <w:highlight w:val="none"/>
              </w:rPr>
            </w:pPr>
            <w:r>
              <w:rPr>
                <w:rFonts w:hint="eastAsia" w:ascii="宋体" w:hAnsi="宋体" w:cs="宋体"/>
                <w:color w:val="auto"/>
                <w:sz w:val="21"/>
                <w:szCs w:val="21"/>
                <w:highlight w:val="none"/>
              </w:rPr>
              <w:t>包预算（元）</w:t>
            </w:r>
          </w:p>
        </w:tc>
        <w:tc>
          <w:tcPr>
            <w:tcW w:w="1266" w:type="dxa"/>
            <w:noWrap w:val="0"/>
            <w:vAlign w:val="center"/>
          </w:tcPr>
          <w:p w14:paraId="19730FE9">
            <w:pPr>
              <w:pStyle w:val="37"/>
              <w:keepNext w:val="0"/>
              <w:keepLines w:val="0"/>
              <w:pageBreakBefore w:val="0"/>
              <w:kinsoku/>
              <w:overflowPunct/>
              <w:topLinePunct w:val="0"/>
              <w:bidi w:val="0"/>
              <w:snapToGrid/>
              <w:spacing w:line="360" w:lineRule="auto"/>
              <w:jc w:val="center"/>
              <w:rPr>
                <w:rFonts w:hint="eastAsia"/>
                <w:color w:val="auto"/>
                <w:highlight w:val="none"/>
              </w:rPr>
            </w:pPr>
            <w:r>
              <w:rPr>
                <w:rFonts w:hint="eastAsia" w:ascii="宋体" w:hAnsi="宋体" w:cs="宋体"/>
                <w:color w:val="auto"/>
                <w:sz w:val="21"/>
                <w:szCs w:val="21"/>
                <w:highlight w:val="none"/>
              </w:rPr>
              <w:t>包最高限价（元）</w:t>
            </w:r>
          </w:p>
        </w:tc>
      </w:tr>
      <w:tr w14:paraId="36FB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65" w:type="dxa"/>
            <w:shd w:val="clear" w:color="auto" w:fill="auto"/>
            <w:noWrap w:val="0"/>
            <w:vAlign w:val="center"/>
          </w:tcPr>
          <w:p w14:paraId="09D72015">
            <w:pPr>
              <w:pStyle w:val="37"/>
              <w:keepNext w:val="0"/>
              <w:keepLines w:val="0"/>
              <w:pageBreakBefore w:val="0"/>
              <w:kinsoku/>
              <w:overflowPunct/>
              <w:topLinePunct w:val="0"/>
              <w:bidi w:val="0"/>
              <w:snapToGrid/>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1581" w:type="dxa"/>
            <w:shd w:val="clear" w:color="auto" w:fill="auto"/>
            <w:noWrap w:val="0"/>
            <w:vAlign w:val="center"/>
          </w:tcPr>
          <w:p w14:paraId="3E9F48E1">
            <w:pPr>
              <w:pStyle w:val="37"/>
              <w:keepNext w:val="0"/>
              <w:keepLines w:val="0"/>
              <w:pageBreakBefore w:val="0"/>
              <w:kinsoku/>
              <w:overflowPunct/>
              <w:topLinePunct w:val="0"/>
              <w:bidi w:val="0"/>
              <w:snapToGrid/>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尉财公开采购202</w:t>
            </w:r>
            <w:r>
              <w:rPr>
                <w:rFonts w:hint="eastAsia" w:ascii="宋体" w:hAnsi="宋体" w:cs="宋体"/>
                <w:color w:val="auto"/>
                <w:kern w:val="2"/>
                <w:sz w:val="21"/>
                <w:szCs w:val="21"/>
                <w:lang w:val="en-US" w:eastAsia="zh-CN" w:bidi="ar-SA"/>
              </w:rPr>
              <w:t>6</w:t>
            </w:r>
            <w:r>
              <w:rPr>
                <w:rFonts w:hint="eastAsia" w:ascii="宋体" w:hAnsi="宋体" w:eastAsia="宋体" w:cs="宋体"/>
                <w:color w:val="auto"/>
                <w:kern w:val="2"/>
                <w:sz w:val="21"/>
                <w:szCs w:val="21"/>
                <w:lang w:val="en-US" w:eastAsia="zh-CN" w:bidi="ar-SA"/>
              </w:rPr>
              <w:t>-</w:t>
            </w:r>
          </w:p>
        </w:tc>
        <w:tc>
          <w:tcPr>
            <w:tcW w:w="4112" w:type="dxa"/>
            <w:shd w:val="clear" w:color="auto" w:fill="auto"/>
            <w:noWrap w:val="0"/>
            <w:vAlign w:val="center"/>
          </w:tcPr>
          <w:p w14:paraId="4D7EEBD5">
            <w:pPr>
              <w:pStyle w:val="37"/>
              <w:keepNext w:val="0"/>
              <w:keepLines w:val="0"/>
              <w:pageBreakBefore w:val="0"/>
              <w:kinsoku/>
              <w:overflowPunct/>
              <w:topLinePunct w:val="0"/>
              <w:bidi w:val="0"/>
              <w:snapToGrid/>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尉氏县中心医院（尉氏县第三医共体总医院）儿童康复设备一批采购项目</w:t>
            </w:r>
          </w:p>
        </w:tc>
        <w:tc>
          <w:tcPr>
            <w:tcW w:w="1380" w:type="dxa"/>
            <w:noWrap w:val="0"/>
            <w:vAlign w:val="center"/>
          </w:tcPr>
          <w:p w14:paraId="203FFE5E">
            <w:pPr>
              <w:keepNext w:val="0"/>
              <w:keepLines w:val="0"/>
              <w:pageBreakBefore w:val="0"/>
              <w:widowControl/>
              <w:suppressLineNumbers w:val="0"/>
              <w:kinsoku/>
              <w:overflowPunct/>
              <w:topLinePunct w:val="0"/>
              <w:bidi w:val="0"/>
              <w:snapToGrid/>
              <w:spacing w:line="360" w:lineRule="auto"/>
              <w:jc w:val="center"/>
              <w:textAlignment w:val="center"/>
              <w:rPr>
                <w:rFonts w:hint="default" w:ascii="宋体" w:hAnsi="宋体" w:eastAsia="宋体" w:cs="宋体"/>
                <w:i w:val="0"/>
                <w:iCs w:val="0"/>
                <w:color w:val="000000"/>
                <w:kern w:val="2"/>
                <w:sz w:val="21"/>
                <w:szCs w:val="21"/>
                <w:highlight w:val="none"/>
                <w:u w:val="none"/>
                <w:lang w:val="en-US" w:eastAsia="zh-CN" w:bidi="ar-SA"/>
              </w:rPr>
            </w:pPr>
            <w:r>
              <w:rPr>
                <w:rFonts w:hint="eastAsia" w:ascii="宋体" w:hAnsi="宋体" w:cs="宋体"/>
                <w:color w:val="auto"/>
                <w:szCs w:val="21"/>
                <w:highlight w:val="none"/>
                <w:lang w:val="en-US" w:eastAsia="zh-CN"/>
              </w:rPr>
              <w:t>1700000.00</w:t>
            </w:r>
          </w:p>
        </w:tc>
        <w:tc>
          <w:tcPr>
            <w:tcW w:w="1266" w:type="dxa"/>
            <w:noWrap w:val="0"/>
            <w:vAlign w:val="center"/>
          </w:tcPr>
          <w:p w14:paraId="450B960F">
            <w:pPr>
              <w:keepNext w:val="0"/>
              <w:keepLines w:val="0"/>
              <w:pageBreakBefore w:val="0"/>
              <w:widowControl/>
              <w:suppressLineNumbers w:val="0"/>
              <w:kinsoku/>
              <w:overflowPunct/>
              <w:topLinePunct w:val="0"/>
              <w:bidi w:val="0"/>
              <w:snapToGrid/>
              <w:spacing w:line="360" w:lineRule="auto"/>
              <w:jc w:val="center"/>
              <w:textAlignment w:val="center"/>
              <w:rPr>
                <w:rFonts w:hint="default" w:ascii="宋体" w:hAnsi="宋体" w:eastAsia="宋体" w:cs="宋体"/>
                <w:i w:val="0"/>
                <w:iCs w:val="0"/>
                <w:color w:val="000000"/>
                <w:kern w:val="2"/>
                <w:sz w:val="21"/>
                <w:szCs w:val="21"/>
                <w:highlight w:val="none"/>
                <w:u w:val="none"/>
                <w:lang w:val="en-US" w:eastAsia="zh-CN" w:bidi="ar-SA"/>
              </w:rPr>
            </w:pPr>
            <w:r>
              <w:rPr>
                <w:rFonts w:hint="eastAsia" w:ascii="宋体" w:hAnsi="宋体" w:cs="宋体"/>
                <w:color w:val="auto"/>
                <w:szCs w:val="21"/>
                <w:highlight w:val="none"/>
                <w:lang w:val="en-US" w:eastAsia="zh-CN"/>
              </w:rPr>
              <w:t>1700000.00</w:t>
            </w:r>
          </w:p>
        </w:tc>
      </w:tr>
    </w:tbl>
    <w:p w14:paraId="49BF28EC">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5、采购需求（包括但不限于标的的名称、数量、简要技术需求或服务要求等）</w:t>
      </w:r>
    </w:p>
    <w:p w14:paraId="187EC948">
      <w:pPr>
        <w:pStyle w:val="37"/>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5.1采购内容：</w:t>
      </w:r>
      <w:r>
        <w:rPr>
          <w:rFonts w:hint="eastAsia" w:ascii="宋体" w:hAnsi="宋体" w:cs="宋体"/>
          <w:color w:val="auto"/>
          <w:sz w:val="21"/>
          <w:szCs w:val="21"/>
          <w:highlight w:val="none"/>
          <w:lang w:eastAsia="zh-CN"/>
        </w:rPr>
        <w:t>尉氏县中心医院（尉氏县第三医共体总医院）</w:t>
      </w:r>
      <w:r>
        <w:rPr>
          <w:rFonts w:hint="eastAsia" w:ascii="宋体" w:hAnsi="宋体" w:cs="宋体"/>
          <w:color w:val="auto"/>
          <w:sz w:val="21"/>
          <w:szCs w:val="21"/>
          <w:highlight w:val="none"/>
        </w:rPr>
        <w:t>采购儿童康复设备一批，用于提升我院儿童康复诊疗质量与服务能力</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具体详见政府采购附件</w:t>
      </w:r>
      <w:r>
        <w:rPr>
          <w:rFonts w:hint="eastAsia" w:ascii="宋体" w:hAnsi="宋体" w:cs="宋体"/>
          <w:color w:val="auto"/>
          <w:sz w:val="21"/>
          <w:szCs w:val="21"/>
          <w:highlight w:val="none"/>
          <w:lang w:eastAsia="zh-CN"/>
        </w:rPr>
        <w:t>。</w:t>
      </w:r>
    </w:p>
    <w:p w14:paraId="30C0FC24">
      <w:pPr>
        <w:keepNext w:val="0"/>
        <w:keepLines w:val="0"/>
        <w:pageBreakBefore w:val="0"/>
        <w:kinsoku/>
        <w:overflowPunct/>
        <w:topLinePunct w:val="0"/>
        <w:bidi w:val="0"/>
        <w:snapToGrid/>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5.2</w:t>
      </w:r>
      <w:r>
        <w:rPr>
          <w:rFonts w:hint="eastAsia" w:ascii="宋体" w:hAnsi="宋体" w:cs="宋体"/>
          <w:color w:val="auto"/>
          <w:szCs w:val="21"/>
          <w:highlight w:val="none"/>
          <w:lang w:val="en-US" w:eastAsia="zh-CN"/>
        </w:rPr>
        <w:t>交货地点：河南省尉氏县光明路与福星大道交叉口尉氏县中心医院7号楼二楼儿童康复科。</w:t>
      </w:r>
    </w:p>
    <w:p w14:paraId="37AA035C">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5.3交货期：接采购人通知之日起</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个日历天内完成交货及安装调试</w:t>
      </w:r>
      <w:r>
        <w:rPr>
          <w:rFonts w:hint="eastAsia" w:ascii="宋体" w:hAnsi="宋体" w:cs="宋体"/>
          <w:color w:val="auto"/>
          <w:szCs w:val="21"/>
          <w:highlight w:val="none"/>
          <w:lang w:eastAsia="zh-CN"/>
        </w:rPr>
        <w:t>。</w:t>
      </w:r>
    </w:p>
    <w:p w14:paraId="2DFE51A6">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5.4</w:t>
      </w:r>
      <w:r>
        <w:rPr>
          <w:rFonts w:hint="eastAsia" w:ascii="宋体" w:hAnsi="宋体" w:cs="宋体"/>
          <w:color w:val="auto"/>
          <w:szCs w:val="21"/>
          <w:highlight w:val="none"/>
        </w:rPr>
        <w:t>质保期：</w:t>
      </w:r>
      <w:r>
        <w:rPr>
          <w:rFonts w:hint="eastAsia" w:ascii="宋体" w:hAnsi="宋体" w:cs="宋体"/>
          <w:color w:val="auto"/>
          <w:szCs w:val="21"/>
          <w:highlight w:val="none"/>
          <w:lang w:val="en-US" w:eastAsia="zh-CN"/>
        </w:rPr>
        <w:t>1年</w:t>
      </w:r>
      <w:r>
        <w:rPr>
          <w:rFonts w:hint="eastAsia" w:ascii="宋体" w:hAnsi="宋体" w:cs="宋体"/>
          <w:color w:val="auto"/>
          <w:szCs w:val="21"/>
          <w:highlight w:val="none"/>
          <w:lang w:eastAsia="zh-CN"/>
        </w:rPr>
        <w:t>。</w:t>
      </w:r>
    </w:p>
    <w:p w14:paraId="12985974">
      <w:pPr>
        <w:keepNext w:val="0"/>
        <w:keepLines w:val="0"/>
        <w:pageBreakBefore w:val="0"/>
        <w:kinsoku/>
        <w:overflowPunct/>
        <w:topLinePunct w:val="0"/>
        <w:bidi w:val="0"/>
        <w:snapToGrid/>
        <w:spacing w:line="360" w:lineRule="auto"/>
        <w:ind w:firstLine="420" w:firstLineChars="200"/>
        <w:rPr>
          <w:rFonts w:hint="eastAsia"/>
          <w:color w:val="auto"/>
          <w:szCs w:val="21"/>
          <w:lang w:val="zh-CN"/>
        </w:rPr>
      </w:pPr>
      <w:r>
        <w:rPr>
          <w:rFonts w:hint="eastAsia" w:ascii="宋体" w:hAnsi="宋体" w:cs="宋体"/>
          <w:color w:val="auto"/>
          <w:szCs w:val="21"/>
        </w:rPr>
        <w:t>5.5质量标准：</w:t>
      </w:r>
      <w:r>
        <w:rPr>
          <w:rFonts w:hint="eastAsia"/>
          <w:color w:val="auto"/>
          <w:szCs w:val="21"/>
          <w:lang w:val="zh-CN"/>
        </w:rPr>
        <w:t>符合相关的国家标准、行业标准和专业标准。</w:t>
      </w:r>
    </w:p>
    <w:p w14:paraId="58F7AC33">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6、合同履行期限：签订合同之日至质保期满。</w:t>
      </w:r>
    </w:p>
    <w:p w14:paraId="1948AC2E">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7、本项目是否接受联合体投标：否</w:t>
      </w:r>
    </w:p>
    <w:p w14:paraId="5737A2E5">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8、是否接受进口产品：否</w:t>
      </w:r>
    </w:p>
    <w:p w14:paraId="1951065E">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9、是否专门面向中小企业：</w:t>
      </w:r>
      <w:r>
        <w:rPr>
          <w:rFonts w:hint="eastAsia" w:ascii="宋体" w:hAnsi="宋体" w:cs="宋体"/>
          <w:color w:val="auto"/>
          <w:szCs w:val="21"/>
          <w:highlight w:val="none"/>
          <w:lang w:val="en-US" w:eastAsia="zh-CN"/>
        </w:rPr>
        <w:t>否</w:t>
      </w:r>
    </w:p>
    <w:p w14:paraId="0C785E0E">
      <w:pPr>
        <w:keepNext w:val="0"/>
        <w:keepLines w:val="0"/>
        <w:pageBreakBefore w:val="0"/>
        <w:kinsoku/>
        <w:overflowPunct/>
        <w:topLinePunct w:val="0"/>
        <w:bidi w:val="0"/>
        <w:snapToGrid/>
        <w:spacing w:line="360" w:lineRule="auto"/>
        <w:rPr>
          <w:rFonts w:hint="eastAsia" w:ascii="宋体" w:hAnsi="宋体" w:cs="宋体"/>
          <w:b/>
          <w:bCs/>
          <w:color w:val="auto"/>
          <w:szCs w:val="21"/>
        </w:rPr>
      </w:pPr>
      <w:r>
        <w:rPr>
          <w:rFonts w:hint="eastAsia" w:ascii="宋体" w:hAnsi="宋体" w:cs="宋体"/>
          <w:b/>
          <w:bCs/>
          <w:color w:val="auto"/>
          <w:szCs w:val="21"/>
        </w:rPr>
        <w:t>二、申请人资格要求：</w:t>
      </w:r>
    </w:p>
    <w:p w14:paraId="7A09260F">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1、满足《中华人民共和国政府采购法》第二十二条规定；</w:t>
      </w:r>
    </w:p>
    <w:p w14:paraId="39250346">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2、落实政府采购政策满足的资格要求：</w:t>
      </w:r>
      <w:r>
        <w:rPr>
          <w:rFonts w:hint="eastAsia" w:ascii="宋体" w:hAnsi="宋体" w:cs="宋体"/>
          <w:color w:val="auto"/>
          <w:szCs w:val="21"/>
          <w:lang w:val="en-US" w:eastAsia="zh-CN"/>
        </w:rPr>
        <w:t>无。</w:t>
      </w:r>
    </w:p>
    <w:p w14:paraId="7AC831F1">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3、本项目的特定资格要求</w:t>
      </w:r>
    </w:p>
    <w:p w14:paraId="1A478C15">
      <w:pPr>
        <w:keepNext w:val="0"/>
        <w:keepLines w:val="0"/>
        <w:pageBreakBefore w:val="0"/>
        <w:kinsoku/>
        <w:overflowPunct/>
        <w:topLinePunct w:val="0"/>
        <w:bidi w:val="0"/>
        <w:snapToGrid/>
        <w:spacing w:line="360" w:lineRule="auto"/>
        <w:ind w:firstLine="420"/>
        <w:rPr>
          <w:rFonts w:hint="eastAsia"/>
        </w:rPr>
      </w:pPr>
      <w:r>
        <w:rPr>
          <w:rFonts w:hint="eastAsia" w:ascii="宋体" w:hAnsi="宋体" w:cs="宋体"/>
          <w:color w:val="auto"/>
          <w:sz w:val="21"/>
          <w:szCs w:val="21"/>
        </w:rPr>
        <w:t>3.1资格要求：投标产品具有《医疗器械监督管理条例》（国务院令第739号)</w:t>
      </w:r>
      <w:r>
        <w:rPr>
          <w:rFonts w:hint="eastAsia" w:ascii="宋体" w:hAnsi="宋体" w:cs="宋体"/>
          <w:color w:val="auto"/>
          <w:sz w:val="21"/>
          <w:szCs w:val="21"/>
          <w:lang w:eastAsia="zh-CN"/>
        </w:rPr>
        <w:t>规定的有效</w:t>
      </w:r>
      <w:r>
        <w:rPr>
          <w:rFonts w:hint="eastAsia" w:ascii="宋体" w:hAnsi="宋体" w:cs="宋体"/>
          <w:color w:val="auto"/>
          <w:sz w:val="21"/>
          <w:szCs w:val="21"/>
        </w:rPr>
        <w:t>的医疗器械注册证</w:t>
      </w:r>
      <w:r>
        <w:rPr>
          <w:rFonts w:hint="eastAsia" w:ascii="宋体" w:hAnsi="宋体" w:cs="宋体"/>
          <w:color w:val="auto"/>
          <w:sz w:val="21"/>
          <w:szCs w:val="21"/>
          <w:lang w:eastAsia="zh-CN"/>
        </w:rPr>
        <w:t>或备案凭证（</w:t>
      </w:r>
      <w:r>
        <w:rPr>
          <w:rFonts w:hint="eastAsia" w:ascii="宋体" w:hAnsi="宋体" w:cs="宋体"/>
          <w:color w:val="auto"/>
          <w:sz w:val="21"/>
          <w:szCs w:val="21"/>
          <w:lang w:val="en-US" w:eastAsia="zh-CN"/>
        </w:rPr>
        <w:t>注：非医疗器械产品可不提供</w:t>
      </w:r>
      <w:r>
        <w:rPr>
          <w:rFonts w:hint="eastAsia" w:ascii="宋体" w:hAnsi="宋体" w:cs="宋体"/>
          <w:color w:val="auto"/>
          <w:sz w:val="21"/>
          <w:szCs w:val="21"/>
          <w:lang w:eastAsia="zh-CN"/>
        </w:rPr>
        <w:t>）</w:t>
      </w:r>
      <w:r>
        <w:rPr>
          <w:rFonts w:hint="eastAsia" w:ascii="宋体" w:hAnsi="宋体" w:cs="宋体"/>
          <w:bCs/>
          <w:color w:val="auto"/>
          <w:sz w:val="21"/>
          <w:szCs w:val="21"/>
          <w:shd w:val="clear" w:color="auto" w:fill="FFFFFF"/>
        </w:rPr>
        <w:t>。</w:t>
      </w:r>
      <w:r>
        <w:rPr>
          <w:rFonts w:hint="eastAsia" w:ascii="宋体" w:hAnsi="宋体" w:cs="宋体"/>
          <w:bCs/>
          <w:color w:val="auto"/>
          <w:sz w:val="21"/>
          <w:szCs w:val="21"/>
          <w:shd w:val="clear" w:color="auto" w:fill="FFFFFF"/>
          <w:lang w:val="en-US" w:eastAsia="zh-CN"/>
        </w:rPr>
        <w:t>投标人</w:t>
      </w:r>
      <w:r>
        <w:rPr>
          <w:rFonts w:hint="eastAsia" w:ascii="宋体" w:hAnsi="宋体" w:cs="宋体"/>
          <w:bCs/>
          <w:color w:val="auto"/>
          <w:sz w:val="21"/>
          <w:szCs w:val="21"/>
          <w:shd w:val="clear" w:color="auto" w:fill="FFFFFF"/>
        </w:rPr>
        <w:t>为境内生产企业时须具有医疗器械生产许可证（从事第一类医疗器械生产的须具有备案凭证）；</w:t>
      </w:r>
      <w:r>
        <w:rPr>
          <w:rFonts w:hint="eastAsia" w:ascii="宋体" w:hAnsi="宋体" w:cs="宋体"/>
          <w:bCs/>
          <w:color w:val="auto"/>
          <w:sz w:val="21"/>
          <w:szCs w:val="21"/>
          <w:shd w:val="clear" w:color="auto" w:fill="FFFFFF"/>
          <w:lang w:val="en-US" w:eastAsia="zh-CN"/>
        </w:rPr>
        <w:t>投标人</w:t>
      </w:r>
      <w:r>
        <w:rPr>
          <w:rFonts w:hint="eastAsia" w:ascii="宋体" w:hAnsi="宋体" w:cs="宋体"/>
          <w:bCs/>
          <w:color w:val="auto"/>
          <w:sz w:val="21"/>
          <w:szCs w:val="21"/>
          <w:shd w:val="clear" w:color="auto" w:fill="FFFFFF"/>
        </w:rPr>
        <w:t>为代理商时须具有医疗器械经营许可证或医疗器械经营备案凭证（从事第一类医疗器械经营活动的除外）</w:t>
      </w:r>
      <w:r>
        <w:rPr>
          <w:rFonts w:hint="eastAsia" w:ascii="宋体" w:hAnsi="宋体" w:cs="宋体"/>
          <w:bCs/>
          <w:color w:val="auto"/>
          <w:sz w:val="21"/>
          <w:szCs w:val="21"/>
          <w:shd w:val="clear" w:color="auto" w:fill="FFFFFF"/>
          <w:lang w:eastAsia="zh-CN"/>
        </w:rPr>
        <w:t>。</w:t>
      </w:r>
    </w:p>
    <w:p w14:paraId="7A251AD4">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3.2</w:t>
      </w:r>
      <w:r>
        <w:rPr>
          <w:rFonts w:hint="eastAsia" w:ascii="宋体" w:hAnsi="宋体" w:cs="宋体"/>
          <w:color w:val="auto"/>
          <w:szCs w:val="21"/>
          <w:lang w:eastAsia="zh-CN"/>
        </w:rPr>
        <w:t>信用记录</w:t>
      </w:r>
      <w:r>
        <w:rPr>
          <w:rFonts w:hint="eastAsia" w:ascii="宋体" w:hAnsi="宋体" w:cs="宋体"/>
          <w:color w:val="auto"/>
          <w:szCs w:val="21"/>
        </w:rPr>
        <w:t>：</w:t>
      </w:r>
      <w:r>
        <w:rPr>
          <w:rFonts w:hint="eastAsia" w:ascii="宋体" w:hAnsi="宋体" w:cs="宋体"/>
          <w:b w:val="0"/>
          <w:bCs w:val="0"/>
          <w:sz w:val="21"/>
          <w:szCs w:val="21"/>
          <w:highlight w:val="none"/>
        </w:rPr>
        <w:t>根据《关于在政府采购活动中查询及使用信用记录有关问题的通知》(财库[2016]125号)的规定，采购人或采购代理机构将通过“信用中国”网站（www.creditchina.gov.cn）、中国执行信息公开网（http://zxgk.court.gov.cn）、中国政府采购网（www.ccgp.gov.cn）、国家企业信用信息公示系统（http://www.gsxt.gov.cn）等渠道查询供应商信用记录，被列入失信被执行人、重大税收违法失信主体、政府采购严重违法失信行为记录名单、严重违法失信名单的供应商将被拒绝参与本项目政府采购活动（截止时点：投标截止时间）。在规定的查询时间之后，网站信息发生的任何变更均不再作为评审依据。供应商自行提供的与网站信息不一致的其他证明材料亦不作为资格审查的依据。信用信息查询记录和证据将同采购文件等资料一同归档保存。</w:t>
      </w:r>
    </w:p>
    <w:p w14:paraId="7354F242">
      <w:pPr>
        <w:keepNext w:val="0"/>
        <w:keepLines w:val="0"/>
        <w:pageBreakBefore w:val="0"/>
        <w:kinsoku/>
        <w:wordWrap w:val="0"/>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3.3其他要求：单位负责人为同一人或者存在直接控股、管理关系的不同投标人，不得参加同一合同项下的政府采购活动。</w:t>
      </w:r>
    </w:p>
    <w:p w14:paraId="40BD2599">
      <w:pPr>
        <w:keepNext w:val="0"/>
        <w:keepLines w:val="0"/>
        <w:pageBreakBefore w:val="0"/>
        <w:kinsoku/>
        <w:overflowPunct/>
        <w:topLinePunct w:val="0"/>
        <w:bidi w:val="0"/>
        <w:snapToGrid/>
        <w:spacing w:line="360" w:lineRule="auto"/>
        <w:rPr>
          <w:rFonts w:hint="eastAsia" w:ascii="宋体" w:hAnsi="宋体" w:cs="宋体"/>
          <w:b/>
          <w:bCs/>
          <w:color w:val="auto"/>
          <w:szCs w:val="21"/>
        </w:rPr>
      </w:pPr>
      <w:r>
        <w:rPr>
          <w:rFonts w:hint="eastAsia" w:ascii="宋体" w:hAnsi="宋体" w:cs="宋体"/>
          <w:b/>
          <w:bCs/>
          <w:color w:val="auto"/>
          <w:szCs w:val="21"/>
        </w:rPr>
        <w:t>三、获取招标文件</w:t>
      </w:r>
    </w:p>
    <w:p w14:paraId="1410B300">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1.时间：202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09</w:t>
      </w:r>
      <w:r>
        <w:rPr>
          <w:rFonts w:hint="eastAsia" w:ascii="宋体" w:hAnsi="宋体" w:cs="宋体"/>
          <w:color w:val="auto"/>
          <w:szCs w:val="21"/>
        </w:rPr>
        <w:t>月</w:t>
      </w:r>
      <w:r>
        <w:rPr>
          <w:rFonts w:hint="eastAsia" w:ascii="宋体" w:hAnsi="宋体" w:cs="宋体"/>
          <w:color w:val="auto"/>
          <w:szCs w:val="21"/>
          <w:lang w:val="en-US" w:eastAsia="zh-CN"/>
        </w:rPr>
        <w:t>24</w:t>
      </w:r>
      <w:r>
        <w:rPr>
          <w:rFonts w:hint="eastAsia" w:ascii="宋体" w:hAnsi="宋体" w:cs="宋体"/>
          <w:color w:val="auto"/>
          <w:szCs w:val="21"/>
        </w:rPr>
        <w:t>日至202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10</w:t>
      </w:r>
      <w:r>
        <w:rPr>
          <w:rFonts w:hint="eastAsia" w:ascii="宋体" w:hAnsi="宋体" w:cs="宋体"/>
          <w:color w:val="auto"/>
          <w:szCs w:val="21"/>
        </w:rPr>
        <w:t>月</w:t>
      </w:r>
      <w:r>
        <w:rPr>
          <w:rFonts w:hint="eastAsia" w:ascii="宋体" w:hAnsi="宋体" w:cs="宋体"/>
          <w:color w:val="auto"/>
          <w:szCs w:val="21"/>
          <w:lang w:val="en-US" w:eastAsia="zh-CN"/>
        </w:rPr>
        <w:t>13</w:t>
      </w:r>
      <w:r>
        <w:rPr>
          <w:rFonts w:hint="eastAsia" w:ascii="宋体" w:hAnsi="宋体" w:cs="宋体"/>
          <w:color w:val="auto"/>
          <w:szCs w:val="21"/>
        </w:rPr>
        <w:t>日，每天上午00:00至12:00，下午12:00至23:59（北京时间，法定节假日除外）。</w:t>
      </w:r>
    </w:p>
    <w:p w14:paraId="33CFCD78">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lang w:eastAsia="zh-CN"/>
        </w:rPr>
      </w:pPr>
      <w:r>
        <w:rPr>
          <w:rFonts w:hint="eastAsia" w:ascii="宋体" w:hAnsi="宋体" w:cs="宋体"/>
          <w:color w:val="auto"/>
          <w:szCs w:val="21"/>
        </w:rPr>
        <w:t>2.地点：</w:t>
      </w:r>
      <w:r>
        <w:rPr>
          <w:rFonts w:hint="eastAsia" w:ascii="宋体" w:hAnsi="宋体" w:cs="宋体"/>
          <w:kern w:val="0"/>
          <w:szCs w:val="21"/>
          <w:shd w:val="clear" w:color="auto" w:fill="FFFFFF"/>
        </w:rPr>
        <w:t>开封市公共资源交易网（</w:t>
      </w:r>
      <w:bookmarkStart w:id="3" w:name="OLE_LINK1"/>
      <w:r>
        <w:rPr>
          <w:rFonts w:hint="eastAsia" w:ascii="宋体" w:hAnsi="宋体" w:cs="宋体"/>
          <w:kern w:val="0"/>
          <w:szCs w:val="21"/>
          <w:shd w:val="clear" w:color="auto" w:fill="FFFFFF"/>
        </w:rPr>
        <w:t>http://www.kfsggzyjyw.cn</w:t>
      </w:r>
      <w:bookmarkEnd w:id="3"/>
      <w:r>
        <w:rPr>
          <w:rFonts w:hint="eastAsia" w:ascii="宋体" w:hAnsi="宋体" w:cs="宋体"/>
          <w:kern w:val="0"/>
          <w:szCs w:val="21"/>
          <w:shd w:val="clear" w:color="auto" w:fill="FFFFFF"/>
        </w:rPr>
        <w:t>）会员系统网上下载</w:t>
      </w:r>
      <w:r>
        <w:rPr>
          <w:rFonts w:hint="eastAsia" w:ascii="宋体" w:hAnsi="宋体" w:cs="宋体"/>
          <w:color w:val="auto"/>
          <w:szCs w:val="21"/>
          <w:lang w:eastAsia="zh-CN"/>
        </w:rPr>
        <w:t>。</w:t>
      </w:r>
    </w:p>
    <w:p w14:paraId="0C554128">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3.方式：通过电子交易系统下载。投标单位须注册成为《开封市公共资源交易信息网》会员并取得CA密钥，凭CA密钥登录“政采、工程业务系统”并按网上提示下载招标文件及资料（详见http://www.kfsggzyjyw.cn办事指南-操作规程)。</w:t>
      </w:r>
    </w:p>
    <w:p w14:paraId="58188DCF">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4.售价：0元</w:t>
      </w:r>
    </w:p>
    <w:p w14:paraId="716BEC78">
      <w:pPr>
        <w:keepNext w:val="0"/>
        <w:keepLines w:val="0"/>
        <w:pageBreakBefore w:val="0"/>
        <w:kinsoku/>
        <w:overflowPunct/>
        <w:topLinePunct w:val="0"/>
        <w:bidi w:val="0"/>
        <w:snapToGrid/>
        <w:spacing w:line="360" w:lineRule="auto"/>
        <w:rPr>
          <w:rFonts w:hint="eastAsia" w:ascii="宋体" w:hAnsi="宋体" w:cs="宋体"/>
          <w:b/>
          <w:bCs/>
          <w:color w:val="auto"/>
          <w:szCs w:val="21"/>
        </w:rPr>
      </w:pPr>
      <w:r>
        <w:rPr>
          <w:rFonts w:hint="eastAsia" w:ascii="宋体" w:hAnsi="宋体" w:cs="宋体"/>
          <w:b/>
          <w:bCs/>
          <w:color w:val="auto"/>
          <w:szCs w:val="21"/>
        </w:rPr>
        <w:t>四、投标截止时间及地点</w:t>
      </w:r>
    </w:p>
    <w:p w14:paraId="59871484">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1.时间：202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10</w:t>
      </w:r>
      <w:r>
        <w:rPr>
          <w:rFonts w:hint="eastAsia" w:ascii="宋体" w:hAnsi="宋体" w:cs="宋体"/>
          <w:color w:val="auto"/>
          <w:szCs w:val="21"/>
        </w:rPr>
        <w:t>月</w:t>
      </w:r>
      <w:r>
        <w:rPr>
          <w:rFonts w:hint="eastAsia" w:ascii="宋体" w:hAnsi="宋体" w:cs="宋体"/>
          <w:color w:val="auto"/>
          <w:szCs w:val="21"/>
          <w:lang w:val="en-US" w:eastAsia="zh-CN"/>
        </w:rPr>
        <w:t>14</w:t>
      </w:r>
      <w:r>
        <w:rPr>
          <w:rFonts w:hint="eastAsia" w:ascii="宋体" w:hAnsi="宋体" w:cs="宋体"/>
          <w:color w:val="auto"/>
          <w:szCs w:val="21"/>
        </w:rPr>
        <w:t>日</w:t>
      </w:r>
      <w:r>
        <w:rPr>
          <w:rFonts w:hint="eastAsia" w:ascii="宋体" w:hAnsi="宋体" w:cs="宋体"/>
          <w:color w:val="auto"/>
          <w:szCs w:val="21"/>
          <w:lang w:val="en-US" w:eastAsia="zh-CN"/>
        </w:rPr>
        <w:t>09</w:t>
      </w:r>
      <w:r>
        <w:rPr>
          <w:rFonts w:hint="eastAsia" w:ascii="宋体" w:hAnsi="宋体" w:cs="宋体"/>
          <w:color w:val="auto"/>
          <w:szCs w:val="21"/>
        </w:rPr>
        <w:t>时</w:t>
      </w:r>
      <w:r>
        <w:rPr>
          <w:rFonts w:hint="eastAsia" w:ascii="宋体" w:hAnsi="宋体" w:cs="宋体"/>
          <w:color w:val="auto"/>
          <w:szCs w:val="21"/>
          <w:lang w:val="en-US" w:eastAsia="zh-CN"/>
        </w:rPr>
        <w:t>30</w:t>
      </w:r>
      <w:r>
        <w:rPr>
          <w:rFonts w:hint="eastAsia" w:ascii="宋体" w:hAnsi="宋体" w:cs="宋体"/>
          <w:color w:val="auto"/>
          <w:szCs w:val="21"/>
        </w:rPr>
        <w:t>分（北京时间）</w:t>
      </w:r>
    </w:p>
    <w:p w14:paraId="0A72CE4A">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lang w:eastAsia="zh-CN"/>
        </w:rPr>
      </w:pPr>
      <w:r>
        <w:rPr>
          <w:rFonts w:hint="eastAsia" w:ascii="宋体" w:hAnsi="宋体" w:cs="宋体"/>
          <w:color w:val="auto"/>
          <w:szCs w:val="21"/>
        </w:rPr>
        <w:t>2.地点：电子投标文件须在投标文件提交的截止时间前在开封市公共资源交易中心网站（http://www.kfsggzyjyw.cn/kfggzy/）会员系统中加密上传</w:t>
      </w:r>
      <w:r>
        <w:rPr>
          <w:rFonts w:hint="eastAsia" w:ascii="宋体" w:hAnsi="宋体" w:cs="宋体"/>
          <w:color w:val="auto"/>
          <w:szCs w:val="21"/>
          <w:lang w:eastAsia="zh-CN"/>
        </w:rPr>
        <w:t>。</w:t>
      </w:r>
    </w:p>
    <w:p w14:paraId="725502AB">
      <w:pPr>
        <w:keepNext w:val="0"/>
        <w:keepLines w:val="0"/>
        <w:pageBreakBefore w:val="0"/>
        <w:kinsoku/>
        <w:overflowPunct/>
        <w:topLinePunct w:val="0"/>
        <w:bidi w:val="0"/>
        <w:snapToGrid/>
        <w:spacing w:line="360" w:lineRule="auto"/>
        <w:rPr>
          <w:rFonts w:hint="eastAsia" w:ascii="宋体" w:hAnsi="宋体" w:cs="宋体"/>
          <w:b/>
          <w:bCs/>
          <w:color w:val="auto"/>
          <w:szCs w:val="21"/>
        </w:rPr>
      </w:pPr>
      <w:r>
        <w:rPr>
          <w:rFonts w:hint="eastAsia" w:ascii="宋体" w:hAnsi="宋体" w:cs="宋体"/>
          <w:b/>
          <w:bCs/>
          <w:color w:val="auto"/>
          <w:szCs w:val="21"/>
        </w:rPr>
        <w:t>五、开标时间及地点</w:t>
      </w:r>
    </w:p>
    <w:p w14:paraId="2F53AED7">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1.时间：202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10</w:t>
      </w:r>
      <w:r>
        <w:rPr>
          <w:rFonts w:hint="eastAsia" w:ascii="宋体" w:hAnsi="宋体" w:cs="宋体"/>
          <w:color w:val="auto"/>
          <w:szCs w:val="21"/>
        </w:rPr>
        <w:t>月</w:t>
      </w:r>
      <w:r>
        <w:rPr>
          <w:rFonts w:hint="eastAsia" w:ascii="宋体" w:hAnsi="宋体" w:cs="宋体"/>
          <w:color w:val="auto"/>
          <w:szCs w:val="21"/>
          <w:lang w:val="en-US" w:eastAsia="zh-CN"/>
        </w:rPr>
        <w:t>14</w:t>
      </w:r>
      <w:r>
        <w:rPr>
          <w:rFonts w:hint="eastAsia" w:ascii="宋体" w:hAnsi="宋体" w:cs="宋体"/>
          <w:color w:val="auto"/>
          <w:szCs w:val="21"/>
        </w:rPr>
        <w:t>日</w:t>
      </w:r>
      <w:r>
        <w:rPr>
          <w:rFonts w:hint="eastAsia" w:ascii="宋体" w:hAnsi="宋体" w:cs="宋体"/>
          <w:color w:val="auto"/>
          <w:szCs w:val="21"/>
          <w:lang w:val="en-US" w:eastAsia="zh-CN"/>
        </w:rPr>
        <w:t>09</w:t>
      </w:r>
      <w:r>
        <w:rPr>
          <w:rFonts w:hint="eastAsia" w:ascii="宋体" w:hAnsi="宋体" w:cs="宋体"/>
          <w:color w:val="auto"/>
          <w:szCs w:val="21"/>
        </w:rPr>
        <w:t>时</w:t>
      </w:r>
      <w:r>
        <w:rPr>
          <w:rFonts w:hint="eastAsia" w:ascii="宋体" w:hAnsi="宋体" w:cs="宋体"/>
          <w:color w:val="auto"/>
          <w:szCs w:val="21"/>
          <w:lang w:val="en-US" w:eastAsia="zh-CN"/>
        </w:rPr>
        <w:t>30</w:t>
      </w:r>
      <w:r>
        <w:rPr>
          <w:rFonts w:hint="eastAsia" w:ascii="宋体" w:hAnsi="宋体" w:cs="宋体"/>
          <w:color w:val="auto"/>
          <w:szCs w:val="21"/>
        </w:rPr>
        <w:t>分（北京时间）</w:t>
      </w:r>
    </w:p>
    <w:p w14:paraId="113E7D78">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2.地点：尉氏县公共资源交易中心开标室（尉氏县市民之家六楼）</w:t>
      </w:r>
      <w:r>
        <w:rPr>
          <w:rFonts w:hint="eastAsia" w:ascii="宋体" w:hAnsi="宋体" w:eastAsia="宋体" w:cs="宋体"/>
          <w:highlight w:val="none"/>
        </w:rPr>
        <w:t>。</w:t>
      </w:r>
    </w:p>
    <w:p w14:paraId="0C803E06">
      <w:pPr>
        <w:keepNext w:val="0"/>
        <w:keepLines w:val="0"/>
        <w:pageBreakBefore w:val="0"/>
        <w:kinsoku/>
        <w:overflowPunct/>
        <w:topLinePunct w:val="0"/>
        <w:bidi w:val="0"/>
        <w:snapToGrid/>
        <w:spacing w:line="360" w:lineRule="auto"/>
        <w:rPr>
          <w:rFonts w:hint="eastAsia" w:ascii="宋体" w:hAnsi="宋体" w:cs="宋体"/>
          <w:b/>
          <w:bCs/>
          <w:color w:val="auto"/>
          <w:szCs w:val="21"/>
        </w:rPr>
      </w:pPr>
      <w:r>
        <w:rPr>
          <w:rFonts w:hint="eastAsia" w:ascii="宋体" w:hAnsi="宋体" w:cs="宋体"/>
          <w:b/>
          <w:bCs/>
          <w:color w:val="auto"/>
          <w:szCs w:val="21"/>
        </w:rPr>
        <w:t>六、发布公告的媒介及招标公告期限</w:t>
      </w:r>
    </w:p>
    <w:p w14:paraId="66238E30">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本次招标公告在《河南省政府采购网》、《开封市公共资源交易信息网》上发布，招标公告期限为五个工作日。</w:t>
      </w:r>
    </w:p>
    <w:p w14:paraId="2212DBE9">
      <w:pPr>
        <w:keepNext w:val="0"/>
        <w:keepLines w:val="0"/>
        <w:pageBreakBefore w:val="0"/>
        <w:kinsoku/>
        <w:overflowPunct/>
        <w:topLinePunct w:val="0"/>
        <w:bidi w:val="0"/>
        <w:snapToGrid/>
        <w:spacing w:line="360" w:lineRule="auto"/>
        <w:rPr>
          <w:rFonts w:hint="eastAsia" w:ascii="宋体" w:hAnsi="宋体" w:cs="宋体"/>
          <w:b/>
          <w:bCs/>
          <w:color w:val="auto"/>
          <w:szCs w:val="21"/>
        </w:rPr>
      </w:pPr>
      <w:r>
        <w:rPr>
          <w:rFonts w:hint="eastAsia" w:ascii="宋体" w:hAnsi="宋体" w:cs="宋体"/>
          <w:b/>
          <w:bCs/>
          <w:color w:val="auto"/>
          <w:szCs w:val="21"/>
        </w:rPr>
        <w:t>七、其他补充事宜</w:t>
      </w:r>
    </w:p>
    <w:p w14:paraId="242C9BD4">
      <w:pPr>
        <w:pStyle w:val="26"/>
        <w:keepNext w:val="0"/>
        <w:keepLines w:val="0"/>
        <w:pageBreakBefore w:val="0"/>
        <w:widowControl/>
        <w:kinsoku/>
        <w:overflowPunct/>
        <w:topLinePunct w:val="0"/>
        <w:bidi w:val="0"/>
        <w:snapToGrid/>
        <w:spacing w:before="0" w:beforeAutospacing="0" w:after="0" w:afterAutospacing="0" w:line="360" w:lineRule="auto"/>
        <w:ind w:firstLine="420" w:firstLineChars="200"/>
        <w:rPr>
          <w:rFonts w:hint="eastAsia" w:ascii="宋体" w:hAnsi="宋体" w:cs="宋体"/>
          <w:color w:val="auto"/>
          <w:sz w:val="21"/>
          <w:szCs w:val="21"/>
          <w:shd w:val="clear" w:color="auto" w:fill="FFFFFF"/>
        </w:rPr>
      </w:pPr>
      <w:r>
        <w:rPr>
          <w:rFonts w:hint="eastAsia" w:ascii="宋体" w:hAnsi="宋体" w:cs="宋体"/>
          <w:color w:val="auto"/>
          <w:sz w:val="21"/>
          <w:szCs w:val="21"/>
          <w:shd w:val="clear" w:color="auto" w:fill="FFFFFF"/>
        </w:rPr>
        <w:t>1.本项目执行促进中小型企业发展政策（监狱企业、残疾人福利性企业视同小微企业）、强制采购节能产品、优先采购节能环保产品等政府采购政策。</w:t>
      </w:r>
    </w:p>
    <w:p w14:paraId="15933DE5">
      <w:pPr>
        <w:pStyle w:val="26"/>
        <w:keepNext w:val="0"/>
        <w:keepLines w:val="0"/>
        <w:pageBreakBefore w:val="0"/>
        <w:widowControl/>
        <w:kinsoku/>
        <w:wordWrap w:val="0"/>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cs="宋体"/>
          <w:color w:val="auto"/>
          <w:sz w:val="21"/>
          <w:szCs w:val="21"/>
          <w:shd w:val="clear" w:color="auto" w:fill="FFFFFF"/>
        </w:rPr>
      </w:pPr>
      <w:r>
        <w:rPr>
          <w:rFonts w:hint="eastAsia" w:ascii="宋体" w:hAnsi="宋体" w:cs="宋体"/>
          <w:color w:val="auto"/>
          <w:sz w:val="21"/>
          <w:szCs w:val="21"/>
          <w:shd w:val="clear" w:color="auto" w:fill="FFFFFF"/>
          <w:lang w:val="en-US" w:eastAsia="zh-CN"/>
        </w:rPr>
        <w:t>2</w:t>
      </w:r>
      <w:r>
        <w:rPr>
          <w:rFonts w:hint="eastAsia" w:ascii="宋体" w:hAnsi="宋体" w:cs="宋体"/>
          <w:color w:val="auto"/>
          <w:sz w:val="21"/>
          <w:szCs w:val="21"/>
          <w:shd w:val="clear" w:color="auto" w:fill="FFFFFF"/>
        </w:rPr>
        <w:t>.获取招标文件后，投标人请到开封市公共资源交易信息网（http://www.kfsggzyjyw.cn）登录政采、工程业务系统，凭CA密钥登录会员系统，在“组件下载”中下载最新版本的投标文件制作工具安装包，并使用安装后的最新版本投标文件制作工具制作电子投标文件。</w:t>
      </w:r>
    </w:p>
    <w:p w14:paraId="51FD4D79">
      <w:pPr>
        <w:pStyle w:val="26"/>
        <w:keepNext w:val="0"/>
        <w:keepLines w:val="0"/>
        <w:pageBreakBefore w:val="0"/>
        <w:widowControl/>
        <w:kinsoku/>
        <w:wordWrap w:val="0"/>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cs="宋体"/>
          <w:color w:val="auto"/>
          <w:sz w:val="21"/>
          <w:szCs w:val="21"/>
          <w:shd w:val="clear" w:color="auto" w:fill="FFFFFF"/>
        </w:rPr>
      </w:pPr>
      <w:r>
        <w:rPr>
          <w:rFonts w:hint="eastAsia" w:ascii="宋体" w:hAnsi="宋体" w:cs="宋体"/>
          <w:color w:val="auto"/>
          <w:sz w:val="21"/>
          <w:szCs w:val="21"/>
          <w:shd w:val="clear" w:color="auto" w:fill="FFFFFF"/>
          <w:lang w:val="en-US" w:eastAsia="zh-CN"/>
        </w:rPr>
        <w:t>3.</w:t>
      </w:r>
      <w:r>
        <w:rPr>
          <w:rFonts w:hint="eastAsia" w:ascii="宋体" w:hAnsi="宋体" w:cs="宋体"/>
          <w:color w:val="auto"/>
          <w:sz w:val="21"/>
          <w:szCs w:val="21"/>
          <w:shd w:val="clear" w:color="auto" w:fill="FFFFFF"/>
        </w:rPr>
        <w:t>请投标人时刻关注开封市公共资源交易信息网和公司CA密钥推送消息。</w:t>
      </w:r>
    </w:p>
    <w:p w14:paraId="4C69C595">
      <w:pPr>
        <w:pStyle w:val="26"/>
        <w:keepNext w:val="0"/>
        <w:keepLines w:val="0"/>
        <w:pageBreakBefore w:val="0"/>
        <w:widowControl/>
        <w:kinsoku/>
        <w:wordWrap w:val="0"/>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cs="宋体"/>
          <w:color w:val="auto"/>
          <w:sz w:val="21"/>
          <w:szCs w:val="21"/>
          <w:shd w:val="clear" w:color="auto" w:fill="FFFFFF"/>
        </w:rPr>
      </w:pPr>
      <w:r>
        <w:rPr>
          <w:rFonts w:hint="eastAsia" w:ascii="宋体" w:hAnsi="宋体" w:cs="宋体"/>
          <w:color w:val="auto"/>
          <w:sz w:val="21"/>
          <w:szCs w:val="21"/>
          <w:shd w:val="clear" w:color="auto" w:fill="FFFFFF"/>
          <w:lang w:val="en-US" w:eastAsia="zh-CN"/>
        </w:rPr>
        <w:t>4.</w:t>
      </w:r>
      <w:r>
        <w:rPr>
          <w:rFonts w:hint="eastAsia" w:ascii="宋体" w:hAnsi="宋体" w:cs="宋体"/>
          <w:color w:val="auto"/>
          <w:sz w:val="21"/>
          <w:szCs w:val="21"/>
          <w:shd w:val="clear" w:color="auto" w:fill="FFFFFF"/>
        </w:rPr>
        <w:t>本项目采用“远程不见面”开标方式，投标人无需到现场提交原件资料、无需到尉氏县公共资源交易中心现场参加开标会议；投标人应当在开标时间前，登录远程开标大厅，在线准时参加开标活动并进行投标文件解密、答疑澄清等。（系统解密时长默认为40分钟，错过解密时长者视为自动放弃本次投标）。</w:t>
      </w:r>
    </w:p>
    <w:p w14:paraId="510A2B73">
      <w:pPr>
        <w:pStyle w:val="9"/>
        <w:keepNext w:val="0"/>
        <w:keepLines w:val="0"/>
        <w:pageBreakBefore w:val="0"/>
        <w:widowControl w:val="0"/>
        <w:kinsoku/>
        <w:wordWrap/>
        <w:overflowPunct/>
        <w:topLinePunct w:val="0"/>
        <w:autoSpaceDE/>
        <w:autoSpaceDN/>
        <w:bidi w:val="0"/>
        <w:adjustRightInd/>
        <w:snapToGrid/>
        <w:spacing w:after="0" w:line="360" w:lineRule="auto"/>
        <w:ind w:firstLine="437"/>
        <w:textAlignment w:val="auto"/>
        <w:rPr>
          <w:rFonts w:hint="eastAsia" w:ascii="宋体" w:hAnsi="宋体" w:eastAsia="宋体" w:cs="Times New Roman"/>
          <w:color w:val="auto"/>
          <w:kern w:val="2"/>
          <w:sz w:val="21"/>
          <w:szCs w:val="24"/>
          <w:highlight w:val="none"/>
          <w:lang w:val="en-US" w:eastAsia="zh-CN" w:bidi="ar-SA"/>
        </w:rPr>
      </w:pPr>
      <w:r>
        <w:rPr>
          <w:rFonts w:hint="eastAsia" w:ascii="宋体" w:hAnsi="宋体" w:eastAsia="宋体" w:cs="Times New Roman"/>
          <w:color w:val="auto"/>
          <w:kern w:val="2"/>
          <w:sz w:val="21"/>
          <w:szCs w:val="24"/>
          <w:highlight w:val="none"/>
          <w:lang w:val="en-US" w:eastAsia="zh-CN" w:bidi="ar-SA"/>
        </w:rPr>
        <w:t>5</w:t>
      </w:r>
      <w:r>
        <w:rPr>
          <w:rFonts w:hint="eastAsia" w:ascii="宋体" w:hAnsi="宋体" w:cs="Times New Roman"/>
          <w:color w:val="auto"/>
          <w:kern w:val="2"/>
          <w:sz w:val="21"/>
          <w:szCs w:val="24"/>
          <w:highlight w:val="none"/>
          <w:lang w:val="en-US" w:eastAsia="zh-CN" w:bidi="ar-SA"/>
        </w:rPr>
        <w:t>.</w:t>
      </w:r>
      <w:r>
        <w:rPr>
          <w:rFonts w:hint="eastAsia" w:ascii="宋体" w:hAnsi="宋体" w:eastAsia="宋体" w:cs="Times New Roman"/>
          <w:color w:val="auto"/>
          <w:kern w:val="2"/>
          <w:sz w:val="21"/>
          <w:szCs w:val="24"/>
          <w:highlight w:val="none"/>
          <w:lang w:val="en-US" w:eastAsia="zh-CN" w:bidi="ar-SA"/>
        </w:rPr>
        <w:t>递交质疑或投诉的方式及地址</w:t>
      </w:r>
    </w:p>
    <w:p w14:paraId="265E28BF">
      <w:pPr>
        <w:pStyle w:val="9"/>
        <w:keepNext w:val="0"/>
        <w:keepLines w:val="0"/>
        <w:pageBreakBefore w:val="0"/>
        <w:widowControl w:val="0"/>
        <w:kinsoku/>
        <w:wordWrap/>
        <w:overflowPunct/>
        <w:topLinePunct w:val="0"/>
        <w:autoSpaceDE/>
        <w:autoSpaceDN/>
        <w:bidi w:val="0"/>
        <w:adjustRightInd/>
        <w:snapToGrid/>
        <w:spacing w:after="0" w:line="360" w:lineRule="auto"/>
        <w:ind w:firstLine="437"/>
        <w:textAlignment w:val="auto"/>
        <w:rPr>
          <w:rFonts w:hint="eastAsia" w:ascii="宋体" w:hAnsi="宋体" w:eastAsia="宋体" w:cs="Times New Roman"/>
          <w:color w:val="auto"/>
          <w:kern w:val="2"/>
          <w:sz w:val="21"/>
          <w:szCs w:val="24"/>
          <w:highlight w:val="none"/>
          <w:lang w:val="en-US" w:eastAsia="zh-CN" w:bidi="ar-SA"/>
        </w:rPr>
      </w:pPr>
      <w:r>
        <w:rPr>
          <w:rFonts w:hint="eastAsia" w:ascii="宋体" w:hAnsi="宋体" w:eastAsia="宋体" w:cs="Times New Roman"/>
          <w:color w:val="auto"/>
          <w:kern w:val="2"/>
          <w:sz w:val="21"/>
          <w:szCs w:val="24"/>
          <w:highlight w:val="none"/>
          <w:lang w:val="en-US" w:eastAsia="zh-CN" w:bidi="ar-SA"/>
        </w:rPr>
        <w:t>（1）线上：</w:t>
      </w:r>
    </w:p>
    <w:p w14:paraId="519A928B">
      <w:pPr>
        <w:pStyle w:val="9"/>
        <w:keepNext w:val="0"/>
        <w:keepLines w:val="0"/>
        <w:pageBreakBefore w:val="0"/>
        <w:widowControl w:val="0"/>
        <w:kinsoku/>
        <w:wordWrap/>
        <w:overflowPunct/>
        <w:topLinePunct w:val="0"/>
        <w:autoSpaceDE/>
        <w:autoSpaceDN/>
        <w:bidi w:val="0"/>
        <w:adjustRightInd/>
        <w:snapToGrid/>
        <w:spacing w:after="0" w:line="360" w:lineRule="auto"/>
        <w:ind w:firstLine="437"/>
        <w:textAlignment w:val="auto"/>
        <w:rPr>
          <w:rFonts w:hint="eastAsia" w:ascii="宋体" w:hAnsi="宋体" w:eastAsia="宋体" w:cs="Times New Roman"/>
          <w:color w:val="auto"/>
          <w:kern w:val="2"/>
          <w:sz w:val="21"/>
          <w:szCs w:val="24"/>
          <w:highlight w:val="none"/>
          <w:lang w:val="en-US" w:eastAsia="zh-CN" w:bidi="ar-SA"/>
        </w:rPr>
      </w:pPr>
      <w:r>
        <w:rPr>
          <w:rFonts w:hint="eastAsia" w:ascii="宋体" w:hAnsi="宋体" w:eastAsia="宋体" w:cs="Times New Roman"/>
          <w:color w:val="auto"/>
          <w:kern w:val="2"/>
          <w:sz w:val="21"/>
          <w:szCs w:val="24"/>
          <w:highlight w:val="none"/>
          <w:lang w:val="en-US" w:eastAsia="zh-CN" w:bidi="ar-SA"/>
        </w:rPr>
        <w:t>根据汴公管办〔2020〕13号文件规定，投标人需在“开封市公共资源交易信息网”交易系统中提出质疑（异议）与投诉，招标人或招标代理机构在规定时间内进行回复，各投标人应时刻关注电子交易系统中的项目进度和状态。</w:t>
      </w:r>
    </w:p>
    <w:p w14:paraId="258307EA">
      <w:pPr>
        <w:pStyle w:val="9"/>
        <w:keepNext w:val="0"/>
        <w:keepLines w:val="0"/>
        <w:pageBreakBefore w:val="0"/>
        <w:widowControl w:val="0"/>
        <w:kinsoku/>
        <w:wordWrap/>
        <w:overflowPunct/>
        <w:topLinePunct w:val="0"/>
        <w:autoSpaceDE/>
        <w:autoSpaceDN/>
        <w:bidi w:val="0"/>
        <w:adjustRightInd/>
        <w:snapToGrid/>
        <w:spacing w:after="0" w:line="360" w:lineRule="auto"/>
        <w:ind w:firstLine="437"/>
        <w:textAlignment w:val="auto"/>
        <w:rPr>
          <w:rFonts w:hint="default" w:ascii="宋体" w:hAnsi="宋体" w:eastAsia="宋体" w:cs="Times New Roman"/>
          <w:color w:val="auto"/>
          <w:kern w:val="2"/>
          <w:sz w:val="21"/>
          <w:szCs w:val="24"/>
          <w:highlight w:val="none"/>
          <w:lang w:val="en-US" w:eastAsia="zh-CN" w:bidi="ar-SA"/>
        </w:rPr>
      </w:pPr>
      <w:r>
        <w:rPr>
          <w:rFonts w:hint="eastAsia" w:ascii="宋体" w:hAnsi="宋体" w:eastAsia="宋体" w:cs="Times New Roman"/>
          <w:color w:val="auto"/>
          <w:kern w:val="2"/>
          <w:sz w:val="21"/>
          <w:szCs w:val="24"/>
          <w:highlight w:val="none"/>
          <w:lang w:val="en-US" w:eastAsia="zh-CN" w:bidi="ar-SA"/>
        </w:rPr>
        <w:t>递交地址:《开封市公共资源交易信息网》会员投标系统中本项目“质询信息”位置线上直接提起。(如有疑问可拨打服务电话咨询0371-23859291)</w:t>
      </w:r>
      <w:r>
        <w:rPr>
          <w:rFonts w:hint="eastAsia" w:ascii="宋体" w:hAnsi="宋体" w:eastAsia="宋体" w:cs="Times New Roman"/>
          <w:color w:val="auto"/>
          <w:kern w:val="2"/>
          <w:sz w:val="21"/>
          <w:szCs w:val="24"/>
          <w:highlight w:val="none"/>
          <w:lang w:val="en-US" w:eastAsia="zh-CN" w:bidi="ar-SA"/>
        </w:rPr>
        <w:br w:type="textWrapping"/>
      </w:r>
      <w:r>
        <w:rPr>
          <w:rFonts w:hint="eastAsia" w:ascii="宋体" w:hAnsi="宋体" w:eastAsia="宋体" w:cs="Times New Roman"/>
          <w:color w:val="auto"/>
          <w:kern w:val="2"/>
          <w:sz w:val="21"/>
          <w:szCs w:val="24"/>
          <w:highlight w:val="none"/>
          <w:lang w:val="en-US" w:eastAsia="zh-CN" w:bidi="ar-SA"/>
        </w:rPr>
        <w:t xml:space="preserve">   （2）线下：</w:t>
      </w:r>
      <w:r>
        <w:rPr>
          <w:rFonts w:hint="eastAsia" w:ascii="宋体" w:hAnsi="宋体" w:eastAsia="宋体" w:cs="Times New Roman"/>
          <w:color w:val="auto"/>
          <w:kern w:val="2"/>
          <w:sz w:val="21"/>
          <w:szCs w:val="24"/>
          <w:highlight w:val="none"/>
          <w:lang w:val="en-US" w:eastAsia="zh-CN" w:bidi="ar-SA"/>
        </w:rPr>
        <w:br w:type="textWrapping"/>
      </w:r>
      <w:r>
        <w:rPr>
          <w:rFonts w:hint="eastAsia" w:ascii="宋体" w:hAnsi="宋体" w:eastAsia="宋体" w:cs="Times New Roman"/>
          <w:color w:val="auto"/>
          <w:kern w:val="2"/>
          <w:sz w:val="21"/>
          <w:szCs w:val="24"/>
          <w:highlight w:val="none"/>
          <w:lang w:val="en-US" w:eastAsia="zh-CN" w:bidi="ar-SA"/>
        </w:rPr>
        <w:t xml:space="preserve">    行政监督部门受理投诉的联系方式:</w:t>
      </w:r>
      <w:r>
        <w:rPr>
          <w:rFonts w:hint="eastAsia" w:ascii="宋体" w:hAnsi="宋体" w:eastAsia="宋体" w:cs="Times New Roman"/>
          <w:color w:val="auto"/>
          <w:kern w:val="2"/>
          <w:sz w:val="21"/>
          <w:szCs w:val="24"/>
          <w:highlight w:val="none"/>
          <w:lang w:val="en-US" w:eastAsia="zh-CN" w:bidi="ar-SA"/>
        </w:rPr>
        <w:br w:type="textWrapping"/>
      </w:r>
      <w:r>
        <w:rPr>
          <w:rFonts w:hint="eastAsia" w:ascii="宋体" w:hAnsi="宋体" w:eastAsia="宋体" w:cs="Times New Roman"/>
          <w:color w:val="auto"/>
          <w:kern w:val="2"/>
          <w:sz w:val="21"/>
          <w:szCs w:val="24"/>
          <w:highlight w:val="none"/>
          <w:lang w:val="en-US" w:eastAsia="zh-CN" w:bidi="ar-SA"/>
        </w:rPr>
        <w:t xml:space="preserve">    监督部门: 尉氏县财政局政府采购办公室</w:t>
      </w:r>
      <w:r>
        <w:rPr>
          <w:rFonts w:hint="eastAsia" w:ascii="宋体" w:hAnsi="宋体" w:eastAsia="宋体" w:cs="Times New Roman"/>
          <w:color w:val="auto"/>
          <w:kern w:val="2"/>
          <w:sz w:val="21"/>
          <w:szCs w:val="24"/>
          <w:highlight w:val="none"/>
          <w:lang w:val="en-US" w:eastAsia="zh-CN" w:bidi="ar-SA"/>
        </w:rPr>
        <w:br w:type="textWrapping"/>
      </w:r>
      <w:r>
        <w:rPr>
          <w:rFonts w:hint="eastAsia" w:ascii="宋体" w:hAnsi="宋体" w:eastAsia="宋体" w:cs="Times New Roman"/>
          <w:color w:val="auto"/>
          <w:kern w:val="2"/>
          <w:sz w:val="21"/>
          <w:szCs w:val="24"/>
          <w:highlight w:val="none"/>
          <w:lang w:val="en-US" w:eastAsia="zh-CN" w:bidi="ar-SA"/>
        </w:rPr>
        <w:t xml:space="preserve">    地址：尉州大道中段财政局413室</w:t>
      </w:r>
      <w:r>
        <w:rPr>
          <w:rFonts w:hint="eastAsia" w:ascii="宋体" w:hAnsi="宋体" w:eastAsia="宋体" w:cs="Times New Roman"/>
          <w:color w:val="auto"/>
          <w:kern w:val="2"/>
          <w:sz w:val="21"/>
          <w:szCs w:val="24"/>
          <w:highlight w:val="none"/>
          <w:lang w:val="en-US" w:eastAsia="zh-CN" w:bidi="ar-SA"/>
        </w:rPr>
        <w:br w:type="textWrapping"/>
      </w:r>
      <w:r>
        <w:rPr>
          <w:rFonts w:hint="eastAsia" w:ascii="宋体" w:hAnsi="宋体" w:eastAsia="宋体" w:cs="Times New Roman"/>
          <w:color w:val="auto"/>
          <w:kern w:val="2"/>
          <w:sz w:val="21"/>
          <w:szCs w:val="24"/>
          <w:highlight w:val="none"/>
          <w:lang w:val="en-US" w:eastAsia="zh-CN" w:bidi="ar-SA"/>
        </w:rPr>
        <w:t xml:space="preserve">    联系人:郭先生</w:t>
      </w:r>
      <w:r>
        <w:rPr>
          <w:rFonts w:hint="eastAsia" w:ascii="宋体" w:hAnsi="宋体" w:eastAsia="宋体" w:cs="Times New Roman"/>
          <w:color w:val="auto"/>
          <w:kern w:val="2"/>
          <w:sz w:val="21"/>
          <w:szCs w:val="24"/>
          <w:highlight w:val="none"/>
          <w:lang w:val="en-US" w:eastAsia="zh-CN" w:bidi="ar-SA"/>
        </w:rPr>
        <w:br w:type="textWrapping"/>
      </w:r>
      <w:r>
        <w:rPr>
          <w:rFonts w:hint="eastAsia" w:ascii="宋体" w:hAnsi="宋体" w:eastAsia="宋体" w:cs="Times New Roman"/>
          <w:color w:val="auto"/>
          <w:kern w:val="2"/>
          <w:sz w:val="21"/>
          <w:szCs w:val="24"/>
          <w:highlight w:val="none"/>
          <w:lang w:val="en-US" w:eastAsia="zh-CN" w:bidi="ar-SA"/>
        </w:rPr>
        <w:t xml:space="preserve">    联系方式:0371-27997349 </w:t>
      </w:r>
    </w:p>
    <w:p w14:paraId="06BE9406">
      <w:pPr>
        <w:keepNext w:val="0"/>
        <w:keepLines w:val="0"/>
        <w:pageBreakBefore w:val="0"/>
        <w:kinsoku/>
        <w:overflowPunct/>
        <w:topLinePunct w:val="0"/>
        <w:bidi w:val="0"/>
        <w:snapToGrid/>
        <w:spacing w:line="360" w:lineRule="auto"/>
        <w:rPr>
          <w:rFonts w:hint="eastAsia" w:ascii="宋体" w:hAnsi="宋体" w:cs="宋体"/>
          <w:b/>
          <w:bCs/>
          <w:color w:val="auto"/>
          <w:szCs w:val="21"/>
        </w:rPr>
      </w:pPr>
      <w:r>
        <w:rPr>
          <w:rFonts w:hint="eastAsia" w:ascii="宋体" w:hAnsi="宋体" w:cs="宋体"/>
          <w:b/>
          <w:bCs/>
          <w:color w:val="auto"/>
          <w:szCs w:val="21"/>
        </w:rPr>
        <w:t>八、凡对本次招标提出询问，请按照以下方式联系</w:t>
      </w:r>
    </w:p>
    <w:p w14:paraId="2EE39CF8">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1.采购人信息</w:t>
      </w:r>
    </w:p>
    <w:p w14:paraId="6B42FA83">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lang w:eastAsia="zh-CN"/>
        </w:rPr>
      </w:pPr>
      <w:r>
        <w:rPr>
          <w:rFonts w:hint="eastAsia" w:ascii="宋体" w:hAnsi="宋体" w:eastAsia="宋体" w:cs="宋体"/>
          <w:color w:val="auto"/>
        </w:rPr>
        <w:t>名称：</w:t>
      </w:r>
      <w:r>
        <w:rPr>
          <w:rFonts w:hint="eastAsia" w:ascii="宋体" w:hAnsi="宋体" w:cs="宋体"/>
          <w:color w:val="auto"/>
          <w:lang w:eastAsia="zh-CN"/>
        </w:rPr>
        <w:t>尉氏县中心医院（尉氏县第三医共体总医院）</w:t>
      </w:r>
    </w:p>
    <w:p w14:paraId="44DB146B">
      <w:pPr>
        <w:pStyle w:val="26"/>
        <w:keepNext w:val="0"/>
        <w:keepLines w:val="0"/>
        <w:pageBreakBefore w:val="0"/>
        <w:kinsoku/>
        <w:overflowPunct/>
        <w:topLinePunct w:val="0"/>
        <w:bidi w:val="0"/>
        <w:snapToGrid/>
        <w:spacing w:before="0" w:beforeAutospacing="0" w:after="0" w:afterAutospacing="0"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地址：尉氏县福星大道与光明路交叉口</w:t>
      </w:r>
    </w:p>
    <w:p w14:paraId="703A8345">
      <w:pPr>
        <w:pStyle w:val="26"/>
        <w:keepNext w:val="0"/>
        <w:keepLines w:val="0"/>
        <w:pageBreakBefore w:val="0"/>
        <w:kinsoku/>
        <w:overflowPunct/>
        <w:topLinePunct w:val="0"/>
        <w:bidi w:val="0"/>
        <w:snapToGrid/>
        <w:spacing w:before="0" w:beforeAutospacing="0" w:after="0" w:afterAutospacing="0" w:line="360" w:lineRule="auto"/>
        <w:ind w:firstLine="420" w:firstLineChars="200"/>
        <w:rPr>
          <w:rFonts w:hint="default" w:ascii="宋体" w:hAnsi="宋体" w:eastAsia="宋体" w:cs="宋体"/>
          <w:color w:val="auto"/>
          <w:sz w:val="21"/>
          <w:szCs w:val="21"/>
          <w:shd w:val="clear" w:color="auto" w:fill="FFFFFF"/>
          <w:lang w:val="en-US"/>
        </w:rPr>
      </w:pPr>
      <w:r>
        <w:rPr>
          <w:rFonts w:hint="eastAsia" w:ascii="宋体" w:hAnsi="宋体" w:eastAsia="宋体" w:cs="宋体"/>
          <w:color w:val="auto"/>
          <w:sz w:val="21"/>
          <w:szCs w:val="21"/>
          <w:shd w:val="clear" w:color="auto" w:fill="FFFFFF"/>
        </w:rPr>
        <w:t>联系人：</w:t>
      </w:r>
      <w:r>
        <w:rPr>
          <w:rFonts w:hint="eastAsia" w:ascii="宋体" w:hAnsi="宋体" w:eastAsia="宋体" w:cs="宋体"/>
          <w:color w:val="auto"/>
          <w:sz w:val="21"/>
          <w:szCs w:val="21"/>
          <w:shd w:val="clear" w:color="auto" w:fill="FFFFFF"/>
          <w:lang w:eastAsia="zh-CN"/>
        </w:rPr>
        <w:t>卢先生</w:t>
      </w:r>
    </w:p>
    <w:p w14:paraId="4D9D66A6">
      <w:pPr>
        <w:pStyle w:val="26"/>
        <w:keepNext w:val="0"/>
        <w:keepLines w:val="0"/>
        <w:pageBreakBefore w:val="0"/>
        <w:kinsoku/>
        <w:overflowPunct/>
        <w:topLinePunct w:val="0"/>
        <w:bidi w:val="0"/>
        <w:snapToGrid/>
        <w:spacing w:before="0" w:beforeAutospacing="0" w:after="0" w:afterAutospacing="0" w:line="360" w:lineRule="auto"/>
        <w:ind w:firstLine="420" w:firstLineChars="200"/>
        <w:rPr>
          <w:rFonts w:hint="default" w:ascii="宋体" w:hAnsi="宋体" w:eastAsia="宋体" w:cs="宋体"/>
          <w:color w:val="auto"/>
          <w:sz w:val="21"/>
          <w:szCs w:val="21"/>
          <w:shd w:val="clear" w:color="auto" w:fill="FFFFFF"/>
          <w:lang w:val="en-US"/>
        </w:rPr>
      </w:pPr>
      <w:r>
        <w:rPr>
          <w:rFonts w:hint="eastAsia" w:ascii="宋体" w:hAnsi="宋体" w:eastAsia="宋体" w:cs="宋体"/>
          <w:color w:val="auto"/>
          <w:sz w:val="21"/>
          <w:szCs w:val="21"/>
          <w:shd w:val="clear" w:color="auto" w:fill="FFFFFF"/>
        </w:rPr>
        <w:t>联系方式：</w:t>
      </w:r>
      <w:r>
        <w:rPr>
          <w:rFonts w:hint="eastAsia" w:ascii="宋体" w:hAnsi="宋体" w:eastAsia="宋体" w:cs="宋体"/>
          <w:color w:val="auto"/>
          <w:sz w:val="21"/>
          <w:szCs w:val="21"/>
          <w:shd w:val="clear" w:color="auto" w:fill="FFFFFF"/>
          <w:lang w:eastAsia="zh-CN"/>
        </w:rPr>
        <w:t>0371-22276908</w:t>
      </w:r>
    </w:p>
    <w:p w14:paraId="2CB39761">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2.采购代理机构信息</w:t>
      </w:r>
    </w:p>
    <w:p w14:paraId="777E8BF2">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名称：</w:t>
      </w:r>
      <w:r>
        <w:rPr>
          <w:rFonts w:hint="eastAsia" w:ascii="宋体" w:hAnsi="宋体" w:cs="宋体"/>
          <w:color w:val="auto"/>
          <w:szCs w:val="21"/>
          <w:lang w:eastAsia="zh-CN"/>
        </w:rPr>
        <w:t>河南恒展工程咨询有限公司</w:t>
      </w:r>
    </w:p>
    <w:p w14:paraId="00E57DA1">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地址：</w:t>
      </w:r>
      <w:r>
        <w:rPr>
          <w:rFonts w:hint="eastAsia" w:ascii="宋体" w:hAnsi="宋体" w:cs="宋体"/>
          <w:color w:val="auto"/>
          <w:szCs w:val="21"/>
          <w:lang w:eastAsia="zh-CN"/>
        </w:rPr>
        <w:t>河南自贸试验区郑州片区（郑东）龙湖中环北路北、龙津路东启迪科技城启创园一期2号楼</w:t>
      </w:r>
    </w:p>
    <w:p w14:paraId="3C83E895">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rPr>
        <w:t>联系人：</w:t>
      </w:r>
      <w:r>
        <w:rPr>
          <w:rFonts w:hint="eastAsia" w:ascii="宋体" w:hAnsi="宋体" w:cs="宋体"/>
          <w:color w:val="auto"/>
          <w:szCs w:val="21"/>
          <w:lang w:val="en-US" w:eastAsia="zh-CN"/>
        </w:rPr>
        <w:t>李逸飞</w:t>
      </w:r>
    </w:p>
    <w:p w14:paraId="6750844B">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联系方式：</w:t>
      </w:r>
      <w:r>
        <w:rPr>
          <w:rFonts w:hint="eastAsia" w:ascii="宋体" w:hAnsi="宋体" w:cs="宋体"/>
          <w:color w:val="auto"/>
          <w:szCs w:val="21"/>
          <w:lang w:val="en-US" w:eastAsia="zh-CN"/>
        </w:rPr>
        <w:t>18137826685</w:t>
      </w:r>
    </w:p>
    <w:p w14:paraId="491A343E">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3.项目联系方式</w:t>
      </w:r>
    </w:p>
    <w:p w14:paraId="2CD01FE9">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项目联系人：</w:t>
      </w:r>
      <w:r>
        <w:rPr>
          <w:rFonts w:hint="eastAsia" w:ascii="宋体" w:hAnsi="宋体" w:cs="宋体"/>
          <w:color w:val="auto"/>
          <w:szCs w:val="21"/>
          <w:lang w:val="en-US" w:eastAsia="zh-CN"/>
        </w:rPr>
        <w:t>李逸飞</w:t>
      </w:r>
    </w:p>
    <w:p w14:paraId="0E2C8652">
      <w:pPr>
        <w:keepNext w:val="0"/>
        <w:keepLines w:val="0"/>
        <w:pageBreakBefore w:val="0"/>
        <w:kinsoku/>
        <w:overflowPunct/>
        <w:topLinePunct w:val="0"/>
        <w:bidi w:val="0"/>
        <w:snapToGrid/>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联系方式：</w:t>
      </w:r>
      <w:r>
        <w:rPr>
          <w:rFonts w:hint="eastAsia" w:ascii="宋体" w:hAnsi="宋体" w:cs="宋体"/>
          <w:color w:val="auto"/>
          <w:szCs w:val="21"/>
          <w:lang w:val="en-US" w:eastAsia="zh-CN"/>
        </w:rPr>
        <w:t>18137826685</w:t>
      </w:r>
    </w:p>
    <w:p w14:paraId="52E8695C">
      <w:pPr>
        <w:rPr>
          <w:rFonts w:hint="eastAsia" w:ascii="宋体" w:hAnsi="宋体" w:cs="宋体"/>
          <w:color w:val="auto"/>
          <w:szCs w:val="21"/>
        </w:rPr>
      </w:pPr>
      <w:r>
        <w:rPr>
          <w:rFonts w:hint="eastAsia" w:ascii="宋体" w:hAnsi="宋体" w:cs="宋体"/>
          <w:color w:val="auto"/>
          <w:szCs w:val="21"/>
        </w:rPr>
        <w:br w:type="page"/>
      </w:r>
    </w:p>
    <w:bookmarkEnd w:id="2"/>
    <w:p w14:paraId="776596D3">
      <w:pPr>
        <w:numPr>
          <w:ilvl w:val="0"/>
          <w:numId w:val="1"/>
        </w:numPr>
        <w:spacing w:line="360" w:lineRule="auto"/>
        <w:jc w:val="center"/>
        <w:outlineLvl w:val="0"/>
        <w:rPr>
          <w:rStyle w:val="39"/>
          <w:rFonts w:hint="eastAsia"/>
          <w:color w:val="auto"/>
        </w:rPr>
      </w:pPr>
      <w:bookmarkStart w:id="4" w:name="_Toc25086"/>
      <w:r>
        <w:rPr>
          <w:rFonts w:hint="eastAsia"/>
          <w:color w:val="auto"/>
        </w:rPr>
        <w:t xml:space="preserve">  </w:t>
      </w:r>
      <w:bookmarkStart w:id="5" w:name="_Toc28590"/>
      <w:r>
        <w:rPr>
          <w:rStyle w:val="39"/>
          <w:rFonts w:hint="eastAsia"/>
          <w:color w:val="auto"/>
        </w:rPr>
        <w:t>投标人须知</w:t>
      </w:r>
      <w:bookmarkEnd w:id="4"/>
      <w:bookmarkEnd w:id="5"/>
    </w:p>
    <w:p w14:paraId="38580AED">
      <w:pPr>
        <w:pStyle w:val="3"/>
        <w:numPr>
          <w:ilvl w:val="0"/>
          <w:numId w:val="0"/>
        </w:numPr>
        <w:ind w:left="420"/>
        <w:jc w:val="center"/>
        <w:rPr>
          <w:rStyle w:val="39"/>
          <w:rFonts w:hint="eastAsia"/>
          <w:b/>
          <w:color w:val="auto"/>
          <w:sz w:val="24"/>
          <w:szCs w:val="24"/>
        </w:rPr>
      </w:pPr>
      <w:bookmarkStart w:id="6" w:name="_Toc6005"/>
      <w:bookmarkStart w:id="7" w:name="_Toc2805"/>
      <w:r>
        <w:rPr>
          <w:rStyle w:val="39"/>
          <w:rFonts w:hint="eastAsia"/>
          <w:b/>
          <w:color w:val="auto"/>
          <w:sz w:val="24"/>
          <w:szCs w:val="24"/>
        </w:rPr>
        <w:t>投标人须知前附表</w:t>
      </w:r>
      <w:bookmarkEnd w:id="6"/>
      <w:bookmarkEnd w:id="7"/>
    </w:p>
    <w:p w14:paraId="7102B6B6">
      <w:pPr>
        <w:spacing w:line="360" w:lineRule="auto"/>
        <w:ind w:firstLine="420" w:firstLineChars="200"/>
        <w:rPr>
          <w:rFonts w:hint="eastAsia"/>
          <w:color w:val="auto"/>
        </w:rPr>
      </w:pPr>
      <w:r>
        <w:rPr>
          <w:rFonts w:hint="eastAsia" w:ascii="宋体" w:hAnsi="宋体"/>
          <w:color w:val="auto"/>
          <w:szCs w:val="21"/>
        </w:rPr>
        <w:t>本表关于采购的货物及其伴随服务的具体资料是对投标人须知的补充，</w:t>
      </w:r>
      <w:r>
        <w:rPr>
          <w:rFonts w:hint="eastAsia"/>
          <w:color w:val="auto"/>
        </w:rPr>
        <w:t>如有矛盾，应以本表为准，此表中“※”为投标人必须满足的条件，如不满足，可能导致</w:t>
      </w:r>
      <w:r>
        <w:rPr>
          <w:rFonts w:hint="eastAsia"/>
          <w:b/>
          <w:bCs/>
          <w:color w:val="auto"/>
        </w:rPr>
        <w:t>投标无效</w:t>
      </w:r>
      <w:r>
        <w:rPr>
          <w:rFonts w:hint="eastAsia"/>
          <w:color w:val="auto"/>
        </w:rPr>
        <w:t>。</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1860"/>
        <w:gridCol w:w="6496"/>
      </w:tblGrid>
      <w:tr w14:paraId="3238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25E5CF9F">
            <w:pPr>
              <w:spacing w:line="400" w:lineRule="exact"/>
              <w:ind w:left="38" w:leftChars="18"/>
              <w:jc w:val="center"/>
              <w:rPr>
                <w:rFonts w:hint="eastAsia" w:ascii="宋体" w:hAnsi="宋体"/>
                <w:b/>
                <w:bCs/>
                <w:color w:val="auto"/>
                <w:szCs w:val="21"/>
              </w:rPr>
            </w:pPr>
            <w:r>
              <w:rPr>
                <w:rFonts w:ascii="宋体" w:hAnsi="宋体"/>
                <w:b/>
                <w:bCs/>
                <w:color w:val="auto"/>
                <w:szCs w:val="21"/>
              </w:rPr>
              <w:t>条款号</w:t>
            </w:r>
          </w:p>
        </w:tc>
        <w:tc>
          <w:tcPr>
            <w:tcW w:w="1860" w:type="dxa"/>
            <w:noWrap w:val="0"/>
            <w:vAlign w:val="center"/>
          </w:tcPr>
          <w:p w14:paraId="157E701B">
            <w:pPr>
              <w:spacing w:line="400" w:lineRule="exact"/>
              <w:ind w:left="38" w:leftChars="18"/>
              <w:jc w:val="center"/>
              <w:rPr>
                <w:rFonts w:hint="eastAsia" w:ascii="宋体" w:hAnsi="宋体"/>
                <w:b/>
                <w:bCs/>
                <w:color w:val="auto"/>
                <w:szCs w:val="21"/>
              </w:rPr>
            </w:pPr>
            <w:r>
              <w:rPr>
                <w:rFonts w:hint="eastAsia" w:ascii="宋体" w:hAnsi="宋体"/>
                <w:b/>
                <w:bCs/>
                <w:color w:val="auto"/>
                <w:szCs w:val="21"/>
              </w:rPr>
              <w:t>条款名称</w:t>
            </w:r>
          </w:p>
        </w:tc>
        <w:tc>
          <w:tcPr>
            <w:tcW w:w="6496" w:type="dxa"/>
            <w:noWrap w:val="0"/>
            <w:vAlign w:val="center"/>
          </w:tcPr>
          <w:p w14:paraId="056993C5">
            <w:pPr>
              <w:spacing w:line="400" w:lineRule="exact"/>
              <w:ind w:left="38" w:leftChars="18"/>
              <w:jc w:val="center"/>
              <w:rPr>
                <w:rFonts w:hint="eastAsia" w:ascii="宋体" w:hAnsi="宋体"/>
                <w:b/>
                <w:bCs/>
                <w:color w:val="auto"/>
                <w:szCs w:val="21"/>
              </w:rPr>
            </w:pPr>
            <w:r>
              <w:rPr>
                <w:rFonts w:hint="eastAsia" w:ascii="宋体" w:hAnsi="宋体"/>
                <w:b/>
                <w:bCs/>
                <w:color w:val="auto"/>
                <w:szCs w:val="21"/>
              </w:rPr>
              <w:t>编列内容</w:t>
            </w:r>
          </w:p>
        </w:tc>
      </w:tr>
      <w:tr w14:paraId="0C390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7959D87F">
            <w:pPr>
              <w:spacing w:line="400" w:lineRule="exact"/>
              <w:ind w:left="38" w:leftChars="18"/>
              <w:jc w:val="center"/>
              <w:rPr>
                <w:rFonts w:hint="eastAsia" w:ascii="宋体" w:hAnsi="宋体"/>
                <w:color w:val="auto"/>
                <w:szCs w:val="21"/>
              </w:rPr>
            </w:pPr>
            <w:r>
              <w:rPr>
                <w:rFonts w:hint="eastAsia" w:ascii="宋体" w:hAnsi="宋体"/>
                <w:color w:val="auto"/>
                <w:szCs w:val="21"/>
              </w:rPr>
              <w:t>1.2.1</w:t>
            </w:r>
          </w:p>
        </w:tc>
        <w:tc>
          <w:tcPr>
            <w:tcW w:w="1860" w:type="dxa"/>
            <w:noWrap w:val="0"/>
            <w:vAlign w:val="center"/>
          </w:tcPr>
          <w:p w14:paraId="6D5891DB">
            <w:pPr>
              <w:spacing w:line="400" w:lineRule="exact"/>
              <w:ind w:left="38" w:leftChars="18"/>
              <w:jc w:val="center"/>
              <w:rPr>
                <w:rFonts w:hint="eastAsia" w:ascii="宋体" w:hAnsi="宋体"/>
                <w:color w:val="auto"/>
                <w:szCs w:val="21"/>
              </w:rPr>
            </w:pPr>
            <w:r>
              <w:rPr>
                <w:rFonts w:hint="eastAsia" w:ascii="宋体" w:hAnsi="宋体"/>
                <w:color w:val="auto"/>
                <w:szCs w:val="21"/>
              </w:rPr>
              <w:t>采购人</w:t>
            </w:r>
          </w:p>
        </w:tc>
        <w:tc>
          <w:tcPr>
            <w:tcW w:w="6496" w:type="dxa"/>
            <w:noWrap w:val="0"/>
            <w:vAlign w:val="center"/>
          </w:tcPr>
          <w:p w14:paraId="0999473E">
            <w:pPr>
              <w:spacing w:line="400" w:lineRule="exact"/>
              <w:ind w:left="38" w:leftChars="18"/>
              <w:rPr>
                <w:rFonts w:hint="eastAsia" w:ascii="宋体" w:hAnsi="宋体"/>
                <w:color w:val="auto"/>
                <w:szCs w:val="21"/>
              </w:rPr>
            </w:pPr>
            <w:r>
              <w:rPr>
                <w:rFonts w:hint="eastAsia" w:ascii="宋体" w:hAnsi="宋体"/>
                <w:color w:val="auto"/>
                <w:szCs w:val="21"/>
              </w:rPr>
              <w:t>名称：</w:t>
            </w:r>
            <w:r>
              <w:rPr>
                <w:rFonts w:hint="eastAsia" w:ascii="宋体" w:hAnsi="宋体"/>
                <w:color w:val="auto"/>
                <w:szCs w:val="21"/>
                <w:lang w:eastAsia="zh-CN"/>
              </w:rPr>
              <w:t>尉氏县中心医院（尉氏县第三医共体总医院）</w:t>
            </w:r>
          </w:p>
          <w:p w14:paraId="7B17081D">
            <w:pPr>
              <w:spacing w:line="400" w:lineRule="exact"/>
              <w:ind w:left="38" w:leftChars="18"/>
              <w:rPr>
                <w:rFonts w:hint="eastAsia" w:ascii="宋体" w:hAnsi="宋体" w:eastAsia="宋体"/>
                <w:color w:val="auto"/>
                <w:szCs w:val="21"/>
                <w:lang w:eastAsia="zh-CN"/>
              </w:rPr>
            </w:pPr>
            <w:r>
              <w:rPr>
                <w:rFonts w:hint="eastAsia" w:ascii="宋体" w:hAnsi="宋体"/>
                <w:color w:val="auto"/>
                <w:szCs w:val="21"/>
              </w:rPr>
              <w:t>地址：</w:t>
            </w:r>
            <w:r>
              <w:rPr>
                <w:rFonts w:hint="eastAsia" w:ascii="宋体" w:hAnsi="宋体" w:eastAsia="宋体" w:cs="宋体"/>
                <w:color w:val="auto"/>
                <w:sz w:val="21"/>
                <w:szCs w:val="21"/>
              </w:rPr>
              <w:t>尉氏县福星大道与光明路交叉口</w:t>
            </w:r>
          </w:p>
          <w:p w14:paraId="02A842E6">
            <w:pPr>
              <w:spacing w:line="400" w:lineRule="exact"/>
              <w:ind w:left="38" w:leftChars="18"/>
              <w:rPr>
                <w:rFonts w:hint="eastAsia" w:ascii="宋体" w:hAnsi="宋体"/>
                <w:color w:val="auto"/>
                <w:szCs w:val="21"/>
              </w:rPr>
            </w:pPr>
            <w:r>
              <w:rPr>
                <w:rFonts w:hint="eastAsia" w:ascii="宋体" w:hAnsi="宋体"/>
                <w:color w:val="auto"/>
                <w:szCs w:val="21"/>
              </w:rPr>
              <w:t>联系人：</w:t>
            </w:r>
            <w:r>
              <w:rPr>
                <w:rFonts w:hint="eastAsia" w:ascii="宋体" w:hAnsi="宋体"/>
                <w:color w:val="auto"/>
                <w:szCs w:val="21"/>
                <w:lang w:eastAsia="zh-CN"/>
              </w:rPr>
              <w:t>卢先生</w:t>
            </w:r>
          </w:p>
          <w:p w14:paraId="12CBA1E4">
            <w:pPr>
              <w:spacing w:line="400" w:lineRule="exact"/>
              <w:ind w:left="38" w:leftChars="18"/>
              <w:rPr>
                <w:rFonts w:hint="eastAsia" w:ascii="宋体" w:hAnsi="宋体" w:eastAsia="宋体"/>
                <w:color w:val="auto"/>
                <w:szCs w:val="21"/>
                <w:lang w:eastAsia="zh-CN"/>
              </w:rPr>
            </w:pPr>
            <w:r>
              <w:rPr>
                <w:rFonts w:hint="eastAsia" w:ascii="宋体" w:hAnsi="宋体"/>
                <w:color w:val="auto"/>
                <w:szCs w:val="21"/>
              </w:rPr>
              <w:t>联系方式：</w:t>
            </w:r>
            <w:r>
              <w:rPr>
                <w:rFonts w:hint="eastAsia" w:ascii="宋体" w:hAnsi="宋体"/>
                <w:color w:val="auto"/>
                <w:szCs w:val="21"/>
                <w:lang w:eastAsia="zh-CN"/>
              </w:rPr>
              <w:t>0371-22276908</w:t>
            </w:r>
          </w:p>
        </w:tc>
      </w:tr>
      <w:tr w14:paraId="47E0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32D94800">
            <w:pPr>
              <w:spacing w:line="400" w:lineRule="exact"/>
              <w:ind w:left="38" w:leftChars="18"/>
              <w:jc w:val="center"/>
              <w:rPr>
                <w:rFonts w:hint="eastAsia" w:ascii="宋体" w:hAnsi="宋体"/>
                <w:color w:val="auto"/>
                <w:szCs w:val="21"/>
              </w:rPr>
            </w:pPr>
            <w:r>
              <w:rPr>
                <w:rFonts w:hint="eastAsia" w:ascii="宋体" w:hAnsi="宋体"/>
                <w:color w:val="auto"/>
                <w:szCs w:val="21"/>
              </w:rPr>
              <w:t>1.2.2</w:t>
            </w:r>
          </w:p>
        </w:tc>
        <w:tc>
          <w:tcPr>
            <w:tcW w:w="1860" w:type="dxa"/>
            <w:noWrap w:val="0"/>
            <w:vAlign w:val="center"/>
          </w:tcPr>
          <w:p w14:paraId="4A55145B">
            <w:pPr>
              <w:spacing w:line="400" w:lineRule="exact"/>
              <w:ind w:left="38" w:leftChars="18"/>
              <w:jc w:val="center"/>
              <w:rPr>
                <w:rFonts w:hint="eastAsia" w:ascii="宋体" w:hAnsi="宋体"/>
                <w:color w:val="auto"/>
                <w:szCs w:val="21"/>
              </w:rPr>
            </w:pPr>
            <w:r>
              <w:rPr>
                <w:rFonts w:hint="eastAsia" w:ascii="宋体" w:hAnsi="宋体"/>
                <w:color w:val="auto"/>
                <w:szCs w:val="21"/>
              </w:rPr>
              <w:t>采购代理机构</w:t>
            </w:r>
          </w:p>
        </w:tc>
        <w:tc>
          <w:tcPr>
            <w:tcW w:w="6496" w:type="dxa"/>
            <w:noWrap w:val="0"/>
            <w:vAlign w:val="center"/>
          </w:tcPr>
          <w:p w14:paraId="3D2D220A">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hint="eastAsia" w:ascii="宋体" w:hAnsi="宋体" w:eastAsia="宋体"/>
                <w:color w:val="auto"/>
                <w:szCs w:val="21"/>
                <w:lang w:eastAsia="zh-CN"/>
              </w:rPr>
            </w:pPr>
            <w:r>
              <w:rPr>
                <w:rFonts w:hint="eastAsia" w:ascii="宋体" w:hAnsi="宋体"/>
                <w:color w:val="auto"/>
                <w:szCs w:val="21"/>
              </w:rPr>
              <w:t>名称：</w:t>
            </w:r>
            <w:r>
              <w:rPr>
                <w:rFonts w:hint="eastAsia" w:ascii="宋体" w:hAnsi="宋体"/>
                <w:color w:val="auto"/>
                <w:szCs w:val="21"/>
                <w:lang w:eastAsia="zh-CN"/>
              </w:rPr>
              <w:t>河南恒展工程咨询有限公司</w:t>
            </w:r>
          </w:p>
          <w:p w14:paraId="147F14C4">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hint="eastAsia" w:ascii="宋体" w:hAnsi="宋体" w:eastAsia="宋体"/>
                <w:color w:val="auto"/>
                <w:szCs w:val="21"/>
                <w:lang w:eastAsia="zh-CN"/>
              </w:rPr>
            </w:pPr>
            <w:r>
              <w:rPr>
                <w:rFonts w:hint="eastAsia" w:ascii="宋体" w:hAnsi="宋体"/>
                <w:color w:val="auto"/>
                <w:szCs w:val="21"/>
              </w:rPr>
              <w:t>地址：</w:t>
            </w:r>
            <w:r>
              <w:rPr>
                <w:rFonts w:hint="eastAsia" w:ascii="宋体" w:hAnsi="宋体"/>
                <w:color w:val="auto"/>
                <w:szCs w:val="21"/>
                <w:lang w:eastAsia="zh-CN"/>
              </w:rPr>
              <w:t>河南自贸试验区郑州片区（郑东）龙湖中环北路北、龙津路东启迪科技城启创园一期2号楼</w:t>
            </w:r>
          </w:p>
          <w:p w14:paraId="20525A03">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hint="eastAsia" w:ascii="宋体" w:hAnsi="宋体" w:eastAsia="宋体" w:cs="宋体"/>
                <w:color w:val="auto"/>
                <w:szCs w:val="21"/>
                <w:lang w:val="en-US" w:eastAsia="zh-CN"/>
              </w:rPr>
            </w:pPr>
            <w:r>
              <w:rPr>
                <w:rFonts w:hint="eastAsia" w:ascii="宋体" w:hAnsi="宋体" w:cs="宋体"/>
                <w:color w:val="auto"/>
                <w:szCs w:val="21"/>
              </w:rPr>
              <w:t>联系人：</w:t>
            </w:r>
            <w:r>
              <w:rPr>
                <w:rFonts w:hint="eastAsia" w:ascii="宋体" w:hAnsi="宋体" w:cs="宋体"/>
                <w:color w:val="auto"/>
                <w:szCs w:val="21"/>
                <w:lang w:val="en-US" w:eastAsia="zh-CN"/>
              </w:rPr>
              <w:t>李逸飞</w:t>
            </w:r>
          </w:p>
          <w:p w14:paraId="57C2164E">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hint="eastAsia" w:ascii="宋体" w:hAnsi="宋体"/>
                <w:color w:val="auto"/>
                <w:szCs w:val="21"/>
              </w:rPr>
            </w:pPr>
            <w:r>
              <w:rPr>
                <w:rFonts w:hint="eastAsia" w:ascii="宋体" w:hAnsi="宋体" w:cs="宋体"/>
                <w:color w:val="auto"/>
                <w:szCs w:val="21"/>
              </w:rPr>
              <w:t>联系方式：</w:t>
            </w:r>
            <w:r>
              <w:rPr>
                <w:rFonts w:hint="eastAsia" w:ascii="宋体" w:hAnsi="宋体" w:cs="宋体"/>
                <w:color w:val="auto"/>
                <w:szCs w:val="21"/>
                <w:lang w:val="en-US" w:eastAsia="zh-CN"/>
              </w:rPr>
              <w:t>18137826685</w:t>
            </w:r>
          </w:p>
        </w:tc>
      </w:tr>
      <w:tr w14:paraId="25F8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932" w:type="dxa"/>
            <w:noWrap w:val="0"/>
            <w:vAlign w:val="center"/>
          </w:tcPr>
          <w:p w14:paraId="66BC3782">
            <w:pPr>
              <w:spacing w:line="400" w:lineRule="exact"/>
              <w:ind w:left="38" w:leftChars="18"/>
              <w:jc w:val="center"/>
              <w:rPr>
                <w:rFonts w:hint="eastAsia" w:ascii="宋体" w:hAnsi="宋体"/>
                <w:color w:val="auto"/>
                <w:szCs w:val="21"/>
              </w:rPr>
            </w:pPr>
            <w:r>
              <w:rPr>
                <w:rFonts w:hint="eastAsia" w:ascii="宋体" w:hAnsi="宋体"/>
                <w:color w:val="auto"/>
                <w:szCs w:val="21"/>
              </w:rPr>
              <w:t>1.2.3</w:t>
            </w:r>
          </w:p>
        </w:tc>
        <w:tc>
          <w:tcPr>
            <w:tcW w:w="1860" w:type="dxa"/>
            <w:noWrap w:val="0"/>
            <w:vAlign w:val="center"/>
          </w:tcPr>
          <w:p w14:paraId="17D1AA66">
            <w:pPr>
              <w:spacing w:line="400" w:lineRule="exact"/>
              <w:ind w:left="38" w:leftChars="18"/>
              <w:jc w:val="center"/>
              <w:rPr>
                <w:rFonts w:hint="eastAsia" w:ascii="宋体" w:hAnsi="宋体"/>
                <w:color w:val="auto"/>
                <w:szCs w:val="21"/>
              </w:rPr>
            </w:pPr>
            <w:r>
              <w:rPr>
                <w:rFonts w:hint="eastAsia" w:ascii="宋体" w:hAnsi="宋体"/>
                <w:color w:val="auto"/>
                <w:szCs w:val="21"/>
              </w:rPr>
              <w:t>项目名称及采购编号</w:t>
            </w:r>
          </w:p>
        </w:tc>
        <w:tc>
          <w:tcPr>
            <w:tcW w:w="6496" w:type="dxa"/>
            <w:noWrap w:val="0"/>
            <w:vAlign w:val="center"/>
          </w:tcPr>
          <w:p w14:paraId="52A52CC5">
            <w:pPr>
              <w:spacing w:line="400" w:lineRule="exact"/>
              <w:rPr>
                <w:rFonts w:hint="eastAsia" w:ascii="宋体" w:hAnsi="宋体" w:eastAsia="宋体"/>
                <w:color w:val="auto"/>
                <w:lang w:eastAsia="zh-CN"/>
              </w:rPr>
            </w:pPr>
            <w:r>
              <w:rPr>
                <w:rFonts w:hint="eastAsia" w:ascii="宋体" w:hAnsi="宋体"/>
                <w:color w:val="auto"/>
              </w:rPr>
              <w:t>项目名称：</w:t>
            </w:r>
            <w:r>
              <w:rPr>
                <w:rFonts w:hint="eastAsia" w:ascii="宋体" w:hAnsi="宋体"/>
                <w:color w:val="auto"/>
                <w:lang w:eastAsia="zh-CN"/>
              </w:rPr>
              <w:t>尉氏县中心医院（尉氏县第三医共体总医院）儿童康复设备一批采购项目</w:t>
            </w:r>
          </w:p>
          <w:p w14:paraId="4D8E5904">
            <w:pPr>
              <w:spacing w:line="400" w:lineRule="exact"/>
              <w:rPr>
                <w:rFonts w:hint="default" w:ascii="宋体" w:hAnsi="宋体" w:eastAsia="宋体"/>
                <w:color w:val="auto"/>
                <w:szCs w:val="21"/>
                <w:lang w:val="en-US" w:eastAsia="zh-CN"/>
              </w:rPr>
            </w:pPr>
            <w:r>
              <w:rPr>
                <w:rFonts w:hint="eastAsia" w:ascii="宋体" w:hAnsi="宋体"/>
                <w:color w:val="auto"/>
                <w:highlight w:val="none"/>
              </w:rPr>
              <w:t>采购编号：</w:t>
            </w:r>
            <w:r>
              <w:rPr>
                <w:rFonts w:hint="eastAsia" w:ascii="宋体" w:hAnsi="宋体"/>
                <w:color w:val="auto"/>
                <w:highlight w:val="none"/>
                <w:lang w:val="en-US" w:eastAsia="zh-CN"/>
              </w:rPr>
              <w:t>尉财公开采购2026-23</w:t>
            </w:r>
          </w:p>
        </w:tc>
      </w:tr>
      <w:tr w14:paraId="610A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78E2E337">
            <w:pPr>
              <w:spacing w:line="400" w:lineRule="exact"/>
              <w:ind w:left="38" w:leftChars="18"/>
              <w:jc w:val="center"/>
              <w:rPr>
                <w:rFonts w:hint="eastAsia" w:ascii="宋体" w:hAnsi="宋体"/>
                <w:color w:val="auto"/>
                <w:szCs w:val="21"/>
              </w:rPr>
            </w:pPr>
            <w:r>
              <w:rPr>
                <w:rFonts w:hint="eastAsia" w:ascii="宋体" w:hAnsi="宋体"/>
                <w:color w:val="auto"/>
                <w:szCs w:val="21"/>
              </w:rPr>
              <w:t>1.2.4</w:t>
            </w:r>
          </w:p>
        </w:tc>
        <w:tc>
          <w:tcPr>
            <w:tcW w:w="1860" w:type="dxa"/>
            <w:noWrap w:val="0"/>
            <w:vAlign w:val="center"/>
          </w:tcPr>
          <w:p w14:paraId="445DC488">
            <w:pPr>
              <w:spacing w:line="400" w:lineRule="exact"/>
              <w:ind w:left="38" w:leftChars="18"/>
              <w:jc w:val="center"/>
              <w:rPr>
                <w:rFonts w:hint="eastAsia" w:ascii="宋体" w:hAnsi="宋体"/>
                <w:color w:val="auto"/>
              </w:rPr>
            </w:pPr>
            <w:r>
              <w:rPr>
                <w:rFonts w:hint="eastAsia" w:ascii="宋体" w:hAnsi="宋体"/>
                <w:color w:val="auto"/>
              </w:rPr>
              <w:t>采购范围</w:t>
            </w:r>
          </w:p>
        </w:tc>
        <w:tc>
          <w:tcPr>
            <w:tcW w:w="6496" w:type="dxa"/>
            <w:noWrap w:val="0"/>
            <w:vAlign w:val="center"/>
          </w:tcPr>
          <w:p w14:paraId="4C886E0B">
            <w:pPr>
              <w:spacing w:line="400" w:lineRule="exact"/>
              <w:ind w:left="38" w:leftChars="18"/>
              <w:jc w:val="left"/>
              <w:rPr>
                <w:rFonts w:hint="eastAsia" w:ascii="宋体" w:hAnsi="宋体" w:eastAsia="宋体"/>
                <w:color w:val="auto"/>
                <w:lang w:eastAsia="zh-CN"/>
              </w:rPr>
            </w:pPr>
            <w:r>
              <w:rPr>
                <w:rFonts w:hint="eastAsia" w:ascii="宋体" w:hAnsi="宋体" w:eastAsia="宋体"/>
                <w:color w:val="auto"/>
                <w:lang w:eastAsia="zh-CN"/>
              </w:rPr>
              <w:t>尉氏县中心医院（尉氏县第三医共体总医院）采购儿童康复设备一批，用于提升我院儿童康复诊疗质量与服务能力，</w:t>
            </w:r>
            <w:r>
              <w:rPr>
                <w:rFonts w:hint="eastAsia" w:ascii="宋体" w:hAnsi="宋体" w:eastAsia="宋体"/>
                <w:color w:val="auto"/>
                <w:lang w:val="en-US" w:eastAsia="zh-CN"/>
              </w:rPr>
              <w:t>具体详见政府采购附件</w:t>
            </w:r>
            <w:r>
              <w:rPr>
                <w:rFonts w:hint="eastAsia" w:ascii="宋体" w:hAnsi="宋体" w:eastAsia="宋体"/>
                <w:color w:val="auto"/>
                <w:lang w:eastAsia="zh-CN"/>
              </w:rPr>
              <w:t>。</w:t>
            </w:r>
          </w:p>
        </w:tc>
      </w:tr>
      <w:tr w14:paraId="48F0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706F2C12">
            <w:pPr>
              <w:spacing w:line="400" w:lineRule="exact"/>
              <w:ind w:left="38" w:leftChars="18"/>
              <w:jc w:val="center"/>
              <w:rPr>
                <w:rFonts w:hint="eastAsia" w:ascii="宋体" w:hAnsi="宋体"/>
                <w:color w:val="auto"/>
                <w:szCs w:val="21"/>
              </w:rPr>
            </w:pPr>
            <w:r>
              <w:rPr>
                <w:rFonts w:hint="eastAsia" w:ascii="宋体" w:hAnsi="宋体"/>
                <w:color w:val="auto"/>
                <w:szCs w:val="21"/>
              </w:rPr>
              <w:t>1.2.5</w:t>
            </w:r>
          </w:p>
        </w:tc>
        <w:tc>
          <w:tcPr>
            <w:tcW w:w="1860" w:type="dxa"/>
            <w:noWrap w:val="0"/>
            <w:vAlign w:val="center"/>
          </w:tcPr>
          <w:p w14:paraId="1289232D">
            <w:pPr>
              <w:spacing w:line="400" w:lineRule="exact"/>
              <w:ind w:left="38" w:leftChars="18"/>
              <w:jc w:val="center"/>
              <w:rPr>
                <w:rFonts w:hint="eastAsia" w:ascii="宋体" w:hAnsi="宋体"/>
                <w:color w:val="auto"/>
                <w:szCs w:val="21"/>
              </w:rPr>
            </w:pPr>
            <w:r>
              <w:rPr>
                <w:rFonts w:hint="eastAsia" w:ascii="宋体" w:hAnsi="宋体"/>
                <w:color w:val="auto"/>
              </w:rPr>
              <w:t>资金来源及预算金额</w:t>
            </w:r>
          </w:p>
        </w:tc>
        <w:tc>
          <w:tcPr>
            <w:tcW w:w="6496" w:type="dxa"/>
            <w:noWrap w:val="0"/>
            <w:vAlign w:val="center"/>
          </w:tcPr>
          <w:p w14:paraId="23F026ED">
            <w:pPr>
              <w:spacing w:line="400" w:lineRule="exact"/>
              <w:jc w:val="left"/>
              <w:rPr>
                <w:rFonts w:ascii="宋体" w:hAnsi="宋体"/>
                <w:color w:val="auto"/>
              </w:rPr>
            </w:pPr>
            <w:r>
              <w:rPr>
                <w:rFonts w:hint="eastAsia" w:ascii="宋体" w:hAnsi="宋体"/>
                <w:color w:val="auto"/>
              </w:rPr>
              <w:t>资金来源：财政资金</w:t>
            </w:r>
          </w:p>
          <w:p w14:paraId="5F1D43E1">
            <w:pPr>
              <w:spacing w:line="400" w:lineRule="exact"/>
              <w:jc w:val="left"/>
              <w:rPr>
                <w:rFonts w:hint="eastAsia" w:ascii="宋体" w:hAnsi="宋体" w:cs="宋体"/>
                <w:color w:val="auto"/>
                <w:szCs w:val="21"/>
              </w:rPr>
            </w:pPr>
            <w:r>
              <w:rPr>
                <w:rFonts w:hint="eastAsia" w:ascii="宋体" w:hAnsi="宋体"/>
                <w:color w:val="auto"/>
              </w:rPr>
              <w:t>预算金额：</w:t>
            </w:r>
            <w:r>
              <w:rPr>
                <w:rFonts w:hint="eastAsia" w:ascii="宋体" w:hAnsi="宋体" w:cs="宋体"/>
                <w:color w:val="auto"/>
                <w:szCs w:val="21"/>
                <w:lang w:val="en-US" w:eastAsia="zh-CN"/>
              </w:rPr>
              <w:t>1700000.00</w:t>
            </w:r>
            <w:r>
              <w:rPr>
                <w:rFonts w:hint="eastAsia" w:ascii="宋体" w:hAnsi="宋体" w:cs="宋体"/>
                <w:color w:val="auto"/>
                <w:szCs w:val="21"/>
              </w:rPr>
              <w:t>元</w:t>
            </w:r>
          </w:p>
          <w:p w14:paraId="6A331589">
            <w:pPr>
              <w:spacing w:line="400" w:lineRule="exact"/>
              <w:jc w:val="left"/>
              <w:rPr>
                <w:rFonts w:hint="default" w:ascii="宋体" w:hAnsi="宋体" w:eastAsia="宋体" w:cs="宋体"/>
                <w:color w:val="auto"/>
                <w:szCs w:val="21"/>
                <w:lang w:val="en-US" w:eastAsia="zh-CN"/>
              </w:rPr>
            </w:pPr>
            <w:r>
              <w:rPr>
                <w:rFonts w:hint="eastAsia" w:ascii="宋体" w:hAnsi="宋体" w:cs="宋体"/>
                <w:color w:val="auto"/>
                <w:szCs w:val="21"/>
                <w:lang w:val="en-US" w:eastAsia="zh-CN"/>
              </w:rPr>
              <w:t>最高限价：1700000.00元</w:t>
            </w:r>
          </w:p>
        </w:tc>
      </w:tr>
      <w:tr w14:paraId="4502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2" w:type="dxa"/>
            <w:noWrap w:val="0"/>
            <w:vAlign w:val="center"/>
          </w:tcPr>
          <w:p w14:paraId="1341DB85">
            <w:pPr>
              <w:spacing w:line="400" w:lineRule="exact"/>
              <w:ind w:left="38" w:leftChars="18"/>
              <w:jc w:val="center"/>
              <w:rPr>
                <w:rFonts w:hint="eastAsia" w:ascii="宋体" w:hAnsi="宋体"/>
                <w:color w:val="auto"/>
                <w:szCs w:val="21"/>
              </w:rPr>
            </w:pPr>
            <w:r>
              <w:rPr>
                <w:rFonts w:hint="eastAsia" w:ascii="宋体" w:hAnsi="宋体"/>
                <w:color w:val="auto"/>
                <w:szCs w:val="21"/>
              </w:rPr>
              <w:t>1.2.6</w:t>
            </w:r>
          </w:p>
        </w:tc>
        <w:tc>
          <w:tcPr>
            <w:tcW w:w="1860" w:type="dxa"/>
            <w:shd w:val="clear" w:color="auto" w:fill="auto"/>
            <w:noWrap w:val="0"/>
            <w:vAlign w:val="center"/>
          </w:tcPr>
          <w:p w14:paraId="1B39620D">
            <w:pPr>
              <w:spacing w:line="400" w:lineRule="exact"/>
              <w:ind w:left="38" w:leftChars="18"/>
              <w:jc w:val="center"/>
              <w:rPr>
                <w:rFonts w:hint="eastAsia" w:ascii="宋体" w:hAnsi="宋体"/>
                <w:color w:val="auto"/>
                <w:szCs w:val="21"/>
                <w:highlight w:val="none"/>
              </w:rPr>
            </w:pPr>
            <w:r>
              <w:rPr>
                <w:rFonts w:hint="eastAsia" w:ascii="宋体" w:hAnsi="宋体"/>
                <w:color w:val="auto"/>
                <w:szCs w:val="21"/>
                <w:highlight w:val="none"/>
              </w:rPr>
              <w:t>交货期</w:t>
            </w:r>
          </w:p>
        </w:tc>
        <w:tc>
          <w:tcPr>
            <w:tcW w:w="6496" w:type="dxa"/>
            <w:shd w:val="clear" w:color="auto" w:fill="auto"/>
            <w:noWrap w:val="0"/>
            <w:vAlign w:val="center"/>
          </w:tcPr>
          <w:p w14:paraId="65F225FB">
            <w:pPr>
              <w:spacing w:line="400" w:lineRule="exact"/>
              <w:jc w:val="left"/>
              <w:rPr>
                <w:rFonts w:hint="eastAsia" w:ascii="宋体" w:hAnsi="宋体"/>
                <w:color w:val="auto"/>
                <w:szCs w:val="21"/>
                <w:highlight w:val="none"/>
              </w:rPr>
            </w:pPr>
            <w:r>
              <w:rPr>
                <w:rFonts w:hint="eastAsia" w:ascii="宋体" w:hAnsi="宋体"/>
                <w:b/>
                <w:color w:val="auto"/>
                <w:szCs w:val="21"/>
                <w:highlight w:val="none"/>
              </w:rPr>
              <w:t>※</w:t>
            </w:r>
            <w:r>
              <w:rPr>
                <w:rFonts w:hint="eastAsia" w:ascii="宋体" w:hAnsi="宋体" w:cs="宋体"/>
                <w:color w:val="auto"/>
                <w:szCs w:val="21"/>
                <w:highlight w:val="none"/>
              </w:rPr>
              <w:t>接采购人通知之日起</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个日历天内完成交货及安装调试</w:t>
            </w:r>
            <w:r>
              <w:rPr>
                <w:rFonts w:hint="eastAsia" w:ascii="宋体" w:hAnsi="宋体" w:cs="宋体"/>
                <w:color w:val="auto"/>
                <w:szCs w:val="21"/>
                <w:highlight w:val="none"/>
                <w:lang w:eastAsia="zh-CN"/>
              </w:rPr>
              <w:t>。</w:t>
            </w:r>
          </w:p>
        </w:tc>
      </w:tr>
      <w:tr w14:paraId="3BE6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25872B27">
            <w:pPr>
              <w:spacing w:line="400" w:lineRule="exact"/>
              <w:ind w:left="38" w:leftChars="18"/>
              <w:jc w:val="center"/>
              <w:rPr>
                <w:rFonts w:hint="eastAsia" w:ascii="宋体" w:hAnsi="宋体"/>
                <w:color w:val="auto"/>
                <w:szCs w:val="21"/>
              </w:rPr>
            </w:pPr>
            <w:r>
              <w:rPr>
                <w:rFonts w:hint="eastAsia" w:ascii="宋体" w:hAnsi="宋体"/>
                <w:color w:val="auto"/>
                <w:szCs w:val="21"/>
              </w:rPr>
              <w:t>1.2.7</w:t>
            </w:r>
          </w:p>
        </w:tc>
        <w:tc>
          <w:tcPr>
            <w:tcW w:w="1860" w:type="dxa"/>
            <w:shd w:val="clear" w:color="auto" w:fill="auto"/>
            <w:noWrap w:val="0"/>
            <w:vAlign w:val="center"/>
          </w:tcPr>
          <w:p w14:paraId="17AAEDE4">
            <w:pPr>
              <w:spacing w:line="400" w:lineRule="exact"/>
              <w:ind w:left="38" w:leftChars="18"/>
              <w:jc w:val="center"/>
              <w:rPr>
                <w:rFonts w:hint="eastAsia" w:ascii="宋体" w:hAnsi="宋体"/>
                <w:color w:val="auto"/>
                <w:szCs w:val="21"/>
                <w:highlight w:val="none"/>
              </w:rPr>
            </w:pPr>
            <w:r>
              <w:rPr>
                <w:rFonts w:hint="eastAsia" w:ascii="宋体" w:hAnsi="宋体"/>
                <w:color w:val="auto"/>
                <w:szCs w:val="21"/>
                <w:highlight w:val="none"/>
              </w:rPr>
              <w:t>交货地点</w:t>
            </w:r>
          </w:p>
        </w:tc>
        <w:tc>
          <w:tcPr>
            <w:tcW w:w="6496" w:type="dxa"/>
            <w:shd w:val="clear" w:color="auto" w:fill="auto"/>
            <w:noWrap w:val="0"/>
            <w:vAlign w:val="center"/>
          </w:tcPr>
          <w:p w14:paraId="01A42BB0">
            <w:pPr>
              <w:spacing w:line="400" w:lineRule="exact"/>
              <w:jc w:val="left"/>
              <w:rPr>
                <w:rFonts w:hint="eastAsia" w:ascii="宋体" w:hAnsi="宋体"/>
                <w:color w:val="auto"/>
                <w:szCs w:val="21"/>
                <w:highlight w:val="none"/>
              </w:rPr>
            </w:pPr>
            <w:r>
              <w:rPr>
                <w:rFonts w:hint="eastAsia" w:ascii="宋体" w:hAnsi="宋体"/>
                <w:b/>
                <w:color w:val="auto"/>
                <w:szCs w:val="21"/>
                <w:highlight w:val="none"/>
              </w:rPr>
              <w:t>※</w:t>
            </w:r>
            <w:r>
              <w:rPr>
                <w:rFonts w:hint="eastAsia" w:ascii="宋体" w:hAnsi="宋体"/>
                <w:b w:val="0"/>
                <w:bCs/>
                <w:color w:val="auto"/>
                <w:szCs w:val="21"/>
                <w:highlight w:val="none"/>
              </w:rPr>
              <w:t>河南省尉氏县光明路与福星大道交叉口尉氏县中心医院7号楼二楼儿童康复科</w:t>
            </w:r>
          </w:p>
        </w:tc>
      </w:tr>
      <w:tr w14:paraId="55C4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3C6AFBEA">
            <w:pPr>
              <w:spacing w:line="400" w:lineRule="exact"/>
              <w:ind w:left="38" w:leftChars="18"/>
              <w:jc w:val="center"/>
              <w:rPr>
                <w:rFonts w:hint="eastAsia" w:ascii="宋体" w:hAnsi="宋体"/>
                <w:color w:val="auto"/>
                <w:szCs w:val="21"/>
              </w:rPr>
            </w:pPr>
            <w:r>
              <w:rPr>
                <w:rFonts w:hint="eastAsia" w:ascii="宋体" w:hAnsi="宋体"/>
                <w:color w:val="auto"/>
                <w:szCs w:val="21"/>
              </w:rPr>
              <w:t>1.2.8</w:t>
            </w:r>
          </w:p>
        </w:tc>
        <w:tc>
          <w:tcPr>
            <w:tcW w:w="1860" w:type="dxa"/>
            <w:shd w:val="clear" w:color="auto" w:fill="auto"/>
            <w:noWrap w:val="0"/>
            <w:vAlign w:val="center"/>
          </w:tcPr>
          <w:p w14:paraId="4DC1014A">
            <w:pPr>
              <w:spacing w:line="400" w:lineRule="exact"/>
              <w:ind w:left="38" w:leftChars="18"/>
              <w:jc w:val="center"/>
              <w:rPr>
                <w:rFonts w:hint="eastAsia" w:ascii="宋体" w:hAnsi="宋体"/>
                <w:color w:val="auto"/>
                <w:szCs w:val="21"/>
                <w:highlight w:val="none"/>
              </w:rPr>
            </w:pPr>
            <w:r>
              <w:rPr>
                <w:rFonts w:hint="eastAsia" w:ascii="宋体" w:hAnsi="宋体"/>
                <w:color w:val="auto"/>
                <w:szCs w:val="21"/>
                <w:highlight w:val="none"/>
              </w:rPr>
              <w:t>质保期</w:t>
            </w:r>
          </w:p>
        </w:tc>
        <w:tc>
          <w:tcPr>
            <w:tcW w:w="6496" w:type="dxa"/>
            <w:shd w:val="clear" w:color="auto" w:fill="auto"/>
            <w:noWrap w:val="0"/>
            <w:vAlign w:val="center"/>
          </w:tcPr>
          <w:p w14:paraId="728E1B02">
            <w:pPr>
              <w:keepNext w:val="0"/>
              <w:keepLines w:val="0"/>
              <w:pageBreakBefore w:val="0"/>
              <w:kinsoku/>
              <w:overflowPunct/>
              <w:topLinePunct w:val="0"/>
              <w:bidi w:val="0"/>
              <w:snapToGrid/>
              <w:spacing w:line="240" w:lineRule="auto"/>
              <w:rPr>
                <w:rFonts w:ascii="宋体" w:hAnsi="宋体"/>
                <w:color w:val="auto"/>
                <w:szCs w:val="21"/>
                <w:highlight w:val="none"/>
              </w:rPr>
            </w:pPr>
            <w:r>
              <w:rPr>
                <w:rFonts w:hint="eastAsia"/>
                <w:color w:val="auto"/>
                <w:highlight w:val="none"/>
              </w:rPr>
              <w:t>※</w:t>
            </w:r>
            <w:r>
              <w:rPr>
                <w:rFonts w:hint="eastAsia" w:ascii="宋体" w:hAnsi="宋体" w:cs="宋体"/>
                <w:color w:val="auto"/>
                <w:szCs w:val="21"/>
                <w:highlight w:val="none"/>
                <w:lang w:val="en-US" w:eastAsia="zh-CN"/>
              </w:rPr>
              <w:t>1年</w:t>
            </w:r>
            <w:r>
              <w:rPr>
                <w:rFonts w:hint="eastAsia" w:ascii="宋体" w:hAnsi="宋体" w:cs="宋体"/>
                <w:color w:val="auto"/>
                <w:szCs w:val="21"/>
                <w:highlight w:val="none"/>
                <w:lang w:eastAsia="zh-CN"/>
              </w:rPr>
              <w:t>。</w:t>
            </w:r>
          </w:p>
        </w:tc>
      </w:tr>
      <w:tr w14:paraId="6F04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5888B16E">
            <w:pPr>
              <w:spacing w:line="400" w:lineRule="exact"/>
              <w:ind w:left="38" w:leftChars="18"/>
              <w:jc w:val="center"/>
              <w:rPr>
                <w:rFonts w:hint="eastAsia" w:ascii="宋体" w:hAnsi="宋体"/>
                <w:color w:val="auto"/>
                <w:szCs w:val="21"/>
              </w:rPr>
            </w:pPr>
            <w:r>
              <w:rPr>
                <w:rFonts w:hint="eastAsia" w:ascii="宋体" w:hAnsi="宋体"/>
                <w:color w:val="auto"/>
                <w:szCs w:val="21"/>
              </w:rPr>
              <w:t>1.2.9</w:t>
            </w:r>
          </w:p>
        </w:tc>
        <w:tc>
          <w:tcPr>
            <w:tcW w:w="1860" w:type="dxa"/>
            <w:noWrap w:val="0"/>
            <w:vAlign w:val="center"/>
          </w:tcPr>
          <w:p w14:paraId="31D10E60">
            <w:pPr>
              <w:spacing w:line="400" w:lineRule="exact"/>
              <w:ind w:left="38" w:leftChars="18"/>
              <w:jc w:val="center"/>
              <w:rPr>
                <w:rFonts w:hint="eastAsia" w:ascii="宋体" w:hAnsi="宋体"/>
                <w:color w:val="auto"/>
                <w:szCs w:val="21"/>
              </w:rPr>
            </w:pPr>
            <w:r>
              <w:rPr>
                <w:rFonts w:hint="eastAsia" w:ascii="宋体" w:hAnsi="宋体"/>
                <w:color w:val="auto"/>
                <w:szCs w:val="21"/>
              </w:rPr>
              <w:t>质量标准</w:t>
            </w:r>
          </w:p>
        </w:tc>
        <w:tc>
          <w:tcPr>
            <w:tcW w:w="6496" w:type="dxa"/>
            <w:noWrap w:val="0"/>
            <w:vAlign w:val="center"/>
          </w:tcPr>
          <w:p w14:paraId="2B5BD226">
            <w:pPr>
              <w:spacing w:line="400" w:lineRule="exact"/>
              <w:jc w:val="left"/>
              <w:rPr>
                <w:rFonts w:hint="eastAsia" w:ascii="宋体" w:hAnsi="宋体"/>
                <w:color w:val="auto"/>
                <w:szCs w:val="21"/>
              </w:rPr>
            </w:pPr>
            <w:r>
              <w:rPr>
                <w:rFonts w:hint="eastAsia" w:ascii="宋体" w:hAnsi="宋体"/>
                <w:b/>
                <w:color w:val="auto"/>
                <w:szCs w:val="21"/>
              </w:rPr>
              <w:t>※</w:t>
            </w:r>
            <w:r>
              <w:rPr>
                <w:rFonts w:hint="eastAsia"/>
                <w:color w:val="auto"/>
                <w:szCs w:val="21"/>
                <w:lang w:val="zh-CN"/>
              </w:rPr>
              <w:t>符合相关的国家标准、行业标准和专业标准</w:t>
            </w:r>
          </w:p>
        </w:tc>
      </w:tr>
      <w:tr w14:paraId="4036A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4508B3DA">
            <w:pPr>
              <w:spacing w:line="400" w:lineRule="exact"/>
              <w:ind w:left="38" w:leftChars="18"/>
              <w:jc w:val="center"/>
              <w:rPr>
                <w:rFonts w:hint="eastAsia" w:ascii="宋体" w:hAnsi="宋体"/>
                <w:color w:val="auto"/>
                <w:szCs w:val="21"/>
              </w:rPr>
            </w:pPr>
            <w:r>
              <w:rPr>
                <w:rFonts w:hint="eastAsia" w:ascii="宋体" w:hAnsi="宋体"/>
                <w:color w:val="auto"/>
                <w:szCs w:val="21"/>
              </w:rPr>
              <w:t>1.2.10</w:t>
            </w:r>
          </w:p>
        </w:tc>
        <w:tc>
          <w:tcPr>
            <w:tcW w:w="1860" w:type="dxa"/>
            <w:noWrap w:val="0"/>
            <w:vAlign w:val="center"/>
          </w:tcPr>
          <w:p w14:paraId="47C2422F">
            <w:pPr>
              <w:spacing w:line="400" w:lineRule="exact"/>
              <w:ind w:left="38" w:leftChars="18"/>
              <w:jc w:val="center"/>
              <w:rPr>
                <w:rFonts w:hint="eastAsia" w:ascii="宋体" w:hAnsi="宋体"/>
                <w:color w:val="auto"/>
                <w:szCs w:val="21"/>
              </w:rPr>
            </w:pPr>
            <w:r>
              <w:rPr>
                <w:rFonts w:hint="eastAsia" w:ascii="宋体" w:hAnsi="宋体"/>
                <w:color w:val="auto"/>
                <w:szCs w:val="21"/>
              </w:rPr>
              <w:t>投标人资格要求</w:t>
            </w:r>
          </w:p>
        </w:tc>
        <w:tc>
          <w:tcPr>
            <w:tcW w:w="6496" w:type="dxa"/>
            <w:noWrap w:val="0"/>
            <w:vAlign w:val="center"/>
          </w:tcPr>
          <w:p w14:paraId="6FAE8029">
            <w:pPr>
              <w:spacing w:line="288" w:lineRule="auto"/>
              <w:jc w:val="left"/>
              <w:rPr>
                <w:rFonts w:hint="eastAsia" w:ascii="宋体" w:hAnsi="宋体" w:eastAsia="宋体" w:cs="宋体"/>
                <w:color w:val="auto"/>
              </w:rPr>
            </w:pPr>
            <w:r>
              <w:rPr>
                <w:rFonts w:hint="eastAsia" w:ascii="宋体" w:hAnsi="宋体" w:eastAsia="宋体" w:cs="宋体"/>
                <w:color w:val="auto"/>
              </w:rPr>
              <w:t>※1.满足《中华人民共和国政府采购法》第二十二条规定(投标人参加投标时，1.2-1.5项内容按照规定提供相关声明函，详见投标文件格式 ）</w:t>
            </w:r>
          </w:p>
          <w:p w14:paraId="100B8C34">
            <w:pPr>
              <w:spacing w:line="360" w:lineRule="auto"/>
              <w:rPr>
                <w:rFonts w:hint="eastAsia" w:ascii="宋体" w:hAnsi="宋体" w:eastAsia="宋体" w:cs="宋体"/>
                <w:color w:val="auto"/>
              </w:rPr>
            </w:pPr>
            <w:r>
              <w:rPr>
                <w:rFonts w:hint="eastAsia" w:ascii="宋体" w:hAnsi="宋体" w:eastAsia="宋体" w:cs="宋体"/>
                <w:color w:val="auto"/>
              </w:rPr>
              <w:t>1.1 具有独立承担民事责任的能力。</w:t>
            </w:r>
          </w:p>
          <w:p w14:paraId="12CB54B8">
            <w:pPr>
              <w:spacing w:line="360" w:lineRule="auto"/>
              <w:rPr>
                <w:rFonts w:hint="eastAsia" w:ascii="宋体" w:hAnsi="宋体" w:eastAsia="宋体" w:cs="宋体"/>
                <w:color w:val="auto"/>
              </w:rPr>
            </w:pPr>
            <w:r>
              <w:rPr>
                <w:rFonts w:hint="eastAsia" w:ascii="宋体" w:hAnsi="宋体" w:eastAsia="宋体" w:cs="宋体"/>
                <w:color w:val="auto"/>
              </w:rPr>
              <w:t>1.2 具有良好的商业信誉和健全的财务会计制度。</w:t>
            </w:r>
          </w:p>
          <w:p w14:paraId="46FC350C">
            <w:pPr>
              <w:spacing w:line="360" w:lineRule="auto"/>
              <w:rPr>
                <w:rFonts w:hint="eastAsia" w:ascii="宋体" w:hAnsi="宋体" w:eastAsia="宋体" w:cs="宋体"/>
                <w:color w:val="auto"/>
              </w:rPr>
            </w:pPr>
            <w:r>
              <w:rPr>
                <w:rFonts w:hint="eastAsia" w:ascii="宋体" w:hAnsi="宋体" w:eastAsia="宋体" w:cs="宋体"/>
                <w:color w:val="auto"/>
              </w:rPr>
              <w:t>1.3 具有履行合同所必需的设备和专业技术能力。</w:t>
            </w:r>
          </w:p>
          <w:p w14:paraId="35A9159B">
            <w:pPr>
              <w:spacing w:line="360" w:lineRule="auto"/>
              <w:rPr>
                <w:rFonts w:hint="eastAsia" w:ascii="宋体" w:hAnsi="宋体" w:eastAsia="宋体" w:cs="宋体"/>
                <w:color w:val="auto"/>
              </w:rPr>
            </w:pPr>
            <w:r>
              <w:rPr>
                <w:rFonts w:hint="eastAsia" w:ascii="宋体" w:hAnsi="宋体" w:eastAsia="宋体" w:cs="宋体"/>
                <w:color w:val="auto"/>
              </w:rPr>
              <w:t>1.4 有依法缴纳税收和社会保障资金的良好记录。</w:t>
            </w:r>
          </w:p>
          <w:p w14:paraId="6B5E5C17">
            <w:pPr>
              <w:spacing w:line="360" w:lineRule="auto"/>
              <w:rPr>
                <w:rFonts w:hint="eastAsia" w:ascii="宋体" w:hAnsi="宋体" w:eastAsia="宋体" w:cs="宋体"/>
                <w:color w:val="auto"/>
              </w:rPr>
            </w:pPr>
            <w:r>
              <w:rPr>
                <w:rFonts w:hint="eastAsia" w:ascii="宋体" w:hAnsi="宋体" w:eastAsia="宋体" w:cs="宋体"/>
                <w:color w:val="auto"/>
              </w:rPr>
              <w:t xml:space="preserve">1.5 参加政府采购活动前三年内，在经营活动中没有重大违法记录。 </w:t>
            </w:r>
          </w:p>
          <w:p w14:paraId="595D22FB">
            <w:pPr>
              <w:pStyle w:val="26"/>
              <w:widowControl/>
              <w:spacing w:before="0" w:beforeAutospacing="0" w:after="0" w:afterAutospacing="0" w:line="360" w:lineRule="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※2.落实政府采购政策满足的资格要求：无</w:t>
            </w:r>
          </w:p>
          <w:p w14:paraId="16A527DD">
            <w:pPr>
              <w:spacing w:line="360" w:lineRule="auto"/>
              <w:rPr>
                <w:rFonts w:hint="eastAsia" w:ascii="宋体" w:hAnsi="宋体" w:eastAsia="宋体" w:cs="宋体"/>
                <w:color w:val="auto"/>
              </w:rPr>
            </w:pPr>
            <w:r>
              <w:rPr>
                <w:rFonts w:hint="eastAsia" w:ascii="宋体" w:hAnsi="宋体" w:eastAsia="宋体" w:cs="宋体"/>
                <w:color w:val="auto"/>
                <w:szCs w:val="21"/>
              </w:rPr>
              <w:t>※</w:t>
            </w:r>
            <w:r>
              <w:rPr>
                <w:rFonts w:hint="eastAsia" w:ascii="宋体" w:hAnsi="宋体" w:eastAsia="宋体" w:cs="宋体"/>
                <w:color w:val="auto"/>
              </w:rPr>
              <w:t>3.根据《中华人民共和国政府采购法》第二十二条第二款和项目特点规定的其他资质条件：</w:t>
            </w:r>
          </w:p>
          <w:p w14:paraId="411D6754">
            <w:pPr>
              <w:keepNext w:val="0"/>
              <w:keepLines w:val="0"/>
              <w:pageBreakBefore w:val="0"/>
              <w:kinsoku/>
              <w:overflowPunct/>
              <w:topLinePunct w:val="0"/>
              <w:bidi w:val="0"/>
              <w:snapToGrid/>
              <w:spacing w:line="360" w:lineRule="auto"/>
              <w:ind w:firstLine="420"/>
              <w:rPr>
                <w:rFonts w:hint="eastAsia"/>
              </w:rPr>
            </w:pPr>
            <w:r>
              <w:rPr>
                <w:rFonts w:hint="eastAsia" w:ascii="宋体" w:hAnsi="宋体" w:cs="宋体"/>
                <w:color w:val="auto"/>
                <w:sz w:val="21"/>
                <w:szCs w:val="21"/>
              </w:rPr>
              <w:t>3.1资格要求：投标产品具有《医疗器械监督管理条例》（国务院令第739号)</w:t>
            </w:r>
            <w:r>
              <w:rPr>
                <w:rFonts w:hint="eastAsia" w:ascii="宋体" w:hAnsi="宋体" w:cs="宋体"/>
                <w:color w:val="auto"/>
                <w:sz w:val="21"/>
                <w:szCs w:val="21"/>
                <w:lang w:eastAsia="zh-CN"/>
              </w:rPr>
              <w:t>规定的有效</w:t>
            </w:r>
            <w:r>
              <w:rPr>
                <w:rFonts w:hint="eastAsia" w:ascii="宋体" w:hAnsi="宋体" w:cs="宋体"/>
                <w:color w:val="auto"/>
                <w:sz w:val="21"/>
                <w:szCs w:val="21"/>
              </w:rPr>
              <w:t>的医疗器械注册证</w:t>
            </w:r>
            <w:r>
              <w:rPr>
                <w:rFonts w:hint="eastAsia" w:ascii="宋体" w:hAnsi="宋体" w:cs="宋体"/>
                <w:color w:val="auto"/>
                <w:sz w:val="21"/>
                <w:szCs w:val="21"/>
                <w:lang w:eastAsia="zh-CN"/>
              </w:rPr>
              <w:t>或备案凭证（</w:t>
            </w:r>
            <w:r>
              <w:rPr>
                <w:rFonts w:hint="eastAsia" w:ascii="宋体" w:hAnsi="宋体" w:cs="宋体"/>
                <w:color w:val="auto"/>
                <w:sz w:val="21"/>
                <w:szCs w:val="21"/>
                <w:lang w:val="en-US" w:eastAsia="zh-CN"/>
              </w:rPr>
              <w:t>注：非医疗器械产品可不提供</w:t>
            </w:r>
            <w:r>
              <w:rPr>
                <w:rFonts w:hint="eastAsia" w:ascii="宋体" w:hAnsi="宋体" w:cs="宋体"/>
                <w:color w:val="auto"/>
                <w:sz w:val="21"/>
                <w:szCs w:val="21"/>
                <w:lang w:eastAsia="zh-CN"/>
              </w:rPr>
              <w:t>）</w:t>
            </w:r>
            <w:r>
              <w:rPr>
                <w:rFonts w:hint="eastAsia" w:ascii="宋体" w:hAnsi="宋体" w:cs="宋体"/>
                <w:bCs/>
                <w:color w:val="auto"/>
                <w:sz w:val="21"/>
                <w:szCs w:val="21"/>
                <w:shd w:val="clear" w:color="auto" w:fill="FFFFFF"/>
              </w:rPr>
              <w:t>。</w:t>
            </w:r>
            <w:r>
              <w:rPr>
                <w:rFonts w:hint="eastAsia" w:ascii="宋体" w:hAnsi="宋体" w:cs="宋体"/>
                <w:bCs/>
                <w:color w:val="auto"/>
                <w:sz w:val="21"/>
                <w:szCs w:val="21"/>
                <w:shd w:val="clear" w:color="auto" w:fill="FFFFFF"/>
                <w:lang w:val="en-US" w:eastAsia="zh-CN"/>
              </w:rPr>
              <w:t>投标人</w:t>
            </w:r>
            <w:r>
              <w:rPr>
                <w:rFonts w:hint="eastAsia" w:ascii="宋体" w:hAnsi="宋体" w:cs="宋体"/>
                <w:bCs/>
                <w:color w:val="auto"/>
                <w:sz w:val="21"/>
                <w:szCs w:val="21"/>
                <w:shd w:val="clear" w:color="auto" w:fill="FFFFFF"/>
              </w:rPr>
              <w:t>为境内生产企业时须具有医疗器械生产许可证（从事第一类医疗器械生产的须具有备案凭证）；</w:t>
            </w:r>
            <w:r>
              <w:rPr>
                <w:rFonts w:hint="eastAsia" w:ascii="宋体" w:hAnsi="宋体" w:cs="宋体"/>
                <w:bCs/>
                <w:color w:val="auto"/>
                <w:sz w:val="21"/>
                <w:szCs w:val="21"/>
                <w:shd w:val="clear" w:color="auto" w:fill="FFFFFF"/>
                <w:lang w:val="en-US" w:eastAsia="zh-CN"/>
              </w:rPr>
              <w:t>投标人</w:t>
            </w:r>
            <w:r>
              <w:rPr>
                <w:rFonts w:hint="eastAsia" w:ascii="宋体" w:hAnsi="宋体" w:cs="宋体"/>
                <w:bCs/>
                <w:color w:val="auto"/>
                <w:sz w:val="21"/>
                <w:szCs w:val="21"/>
                <w:shd w:val="clear" w:color="auto" w:fill="FFFFFF"/>
              </w:rPr>
              <w:t>为代理商时须具有医疗器械经营许可证或医疗器械经营备案凭证（从事第一类医疗器械经营活动的除外）</w:t>
            </w:r>
            <w:r>
              <w:rPr>
                <w:rFonts w:hint="eastAsia" w:ascii="宋体" w:hAnsi="宋体" w:cs="宋体"/>
                <w:bCs/>
                <w:color w:val="auto"/>
                <w:sz w:val="21"/>
                <w:szCs w:val="21"/>
                <w:shd w:val="clear" w:color="auto" w:fill="FFFFFF"/>
                <w:lang w:eastAsia="zh-CN"/>
              </w:rPr>
              <w:t>。</w:t>
            </w:r>
          </w:p>
          <w:p w14:paraId="3BEAF324">
            <w:pPr>
              <w:keepNext w:val="0"/>
              <w:keepLines w:val="0"/>
              <w:pageBreakBefore w:val="0"/>
              <w:kinsoku/>
              <w:overflowPunct/>
              <w:topLinePunct w:val="0"/>
              <w:bidi w:val="0"/>
              <w:snapToGrid/>
              <w:spacing w:line="360" w:lineRule="auto"/>
              <w:ind w:firstLine="420" w:firstLineChars="200"/>
              <w:rPr>
                <w:rFonts w:hint="eastAsia" w:ascii="宋体" w:hAnsi="宋体" w:cs="宋体"/>
                <w:color w:val="auto"/>
                <w:szCs w:val="21"/>
              </w:rPr>
            </w:pPr>
            <w:r>
              <w:rPr>
                <w:rFonts w:hint="eastAsia" w:ascii="宋体" w:hAnsi="宋体" w:cs="宋体"/>
                <w:color w:val="auto"/>
                <w:szCs w:val="21"/>
              </w:rPr>
              <w:t>3.2</w:t>
            </w:r>
            <w:r>
              <w:rPr>
                <w:rFonts w:hint="eastAsia" w:ascii="宋体" w:hAnsi="宋体" w:cs="宋体"/>
                <w:color w:val="auto"/>
                <w:szCs w:val="21"/>
                <w:lang w:eastAsia="zh-CN"/>
              </w:rPr>
              <w:t>信用记录</w:t>
            </w:r>
            <w:r>
              <w:rPr>
                <w:rFonts w:hint="eastAsia" w:ascii="宋体" w:hAnsi="宋体" w:cs="宋体"/>
                <w:color w:val="auto"/>
                <w:szCs w:val="21"/>
              </w:rPr>
              <w:t>：</w:t>
            </w:r>
            <w:r>
              <w:rPr>
                <w:rFonts w:hint="eastAsia" w:ascii="宋体" w:hAnsi="宋体" w:cs="宋体"/>
                <w:b w:val="0"/>
                <w:bCs w:val="0"/>
                <w:sz w:val="21"/>
                <w:szCs w:val="21"/>
                <w:highlight w:val="none"/>
              </w:rPr>
              <w:t>根据《关于在政府采购活动中查询及使用信用记录有关问题的通知》(财库[2016]125号)的规定，采购人或采购代理机构将通过“信用中国”网站（www.creditchina.gov.cn）、中国执行信息公开网（http://zxgk.court.gov.cn）、中国政府采购网（www.ccgp.gov.cn）、国家企业信用信息公示系统（http://www.gsxt.gov.cn）等渠道查询供应商信用记录，被列入失信被执行人、重大税收违法失信主体、政府采购严重违法失信行为记录名单、严重违法失信名单的供应商将被拒绝参与本项目政府采购活动（截止时点：投标截止时间）。在规定的查询时间之后，网站信息发生的任何变更均不再作为评审依据。供应商自行提供的与网站信息不一致的其他证明材料亦不作为资格审查的依据。信用信息查询记录和证据将同采购文件等资料一同归档保存。</w:t>
            </w:r>
          </w:p>
          <w:p w14:paraId="48ED3168">
            <w:pPr>
              <w:keepNext w:val="0"/>
              <w:keepLines w:val="0"/>
              <w:pageBreakBefore w:val="0"/>
              <w:kinsoku/>
              <w:wordWrap w:val="0"/>
              <w:overflowPunct/>
              <w:topLinePunct w:val="0"/>
              <w:bidi w:val="0"/>
              <w:snapToGrid/>
              <w:spacing w:line="360" w:lineRule="auto"/>
              <w:ind w:firstLine="420" w:firstLineChars="200"/>
              <w:rPr>
                <w:rFonts w:eastAsia="楷体_GB2312"/>
                <w:color w:val="auto"/>
              </w:rPr>
            </w:pPr>
            <w:r>
              <w:rPr>
                <w:rFonts w:hint="eastAsia" w:ascii="宋体" w:hAnsi="宋体" w:cs="宋体"/>
                <w:color w:val="auto"/>
                <w:szCs w:val="21"/>
              </w:rPr>
              <w:t>3.3其他要求：单位负责人为同一人或者存在直接控股、管理关系的不同投标人，不得参加同一合同项下的政府采购活动。</w:t>
            </w:r>
          </w:p>
        </w:tc>
      </w:tr>
      <w:tr w14:paraId="2705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0AACFD7A">
            <w:pPr>
              <w:spacing w:line="400" w:lineRule="exact"/>
              <w:ind w:left="38" w:leftChars="18"/>
              <w:jc w:val="center"/>
              <w:rPr>
                <w:rFonts w:hint="eastAsia" w:ascii="宋体" w:hAnsi="宋体"/>
                <w:color w:val="auto"/>
                <w:szCs w:val="21"/>
              </w:rPr>
            </w:pPr>
            <w:r>
              <w:rPr>
                <w:rFonts w:hint="eastAsia" w:ascii="宋体" w:hAnsi="宋体"/>
                <w:color w:val="auto"/>
                <w:szCs w:val="21"/>
              </w:rPr>
              <w:t>1.2.11</w:t>
            </w:r>
          </w:p>
        </w:tc>
        <w:tc>
          <w:tcPr>
            <w:tcW w:w="1860" w:type="dxa"/>
            <w:noWrap w:val="0"/>
            <w:vAlign w:val="center"/>
          </w:tcPr>
          <w:p w14:paraId="4CFA40BD">
            <w:pPr>
              <w:spacing w:line="400" w:lineRule="exact"/>
              <w:ind w:left="38" w:leftChars="18"/>
              <w:jc w:val="center"/>
              <w:rPr>
                <w:rFonts w:hint="eastAsia" w:ascii="宋体" w:hAnsi="宋体"/>
                <w:color w:val="auto"/>
                <w:szCs w:val="21"/>
              </w:rPr>
            </w:pPr>
            <w:r>
              <w:rPr>
                <w:rFonts w:hint="eastAsia" w:ascii="宋体" w:hAnsi="宋体"/>
                <w:color w:val="auto"/>
                <w:szCs w:val="21"/>
              </w:rPr>
              <w:t>是否接受联合体</w:t>
            </w:r>
          </w:p>
        </w:tc>
        <w:tc>
          <w:tcPr>
            <w:tcW w:w="6496" w:type="dxa"/>
            <w:noWrap w:val="0"/>
            <w:vAlign w:val="center"/>
          </w:tcPr>
          <w:p w14:paraId="7C2E182E">
            <w:pPr>
              <w:tabs>
                <w:tab w:val="left" w:pos="630"/>
              </w:tabs>
              <w:spacing w:line="400" w:lineRule="exact"/>
              <w:ind w:left="38" w:leftChars="18"/>
              <w:rPr>
                <w:rFonts w:hint="eastAsia" w:ascii="宋体" w:hAnsi="宋体"/>
                <w:color w:val="auto"/>
              </w:rPr>
            </w:pPr>
            <w:r>
              <w:rPr>
                <w:rFonts w:hint="eastAsia" w:ascii="宋体" w:hAnsi="宋体"/>
                <w:color w:val="auto"/>
                <w:szCs w:val="21"/>
              </w:rPr>
              <w:t>不接受</w:t>
            </w:r>
          </w:p>
        </w:tc>
      </w:tr>
      <w:tr w14:paraId="4F66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3350C3D3">
            <w:pPr>
              <w:spacing w:line="400" w:lineRule="exact"/>
              <w:ind w:left="38" w:leftChars="18"/>
              <w:jc w:val="center"/>
              <w:rPr>
                <w:rFonts w:hint="eastAsia" w:ascii="宋体" w:hAnsi="宋体"/>
                <w:color w:val="auto"/>
                <w:szCs w:val="21"/>
              </w:rPr>
            </w:pPr>
            <w:r>
              <w:rPr>
                <w:rFonts w:hint="eastAsia" w:ascii="宋体" w:hAnsi="宋体"/>
                <w:color w:val="auto"/>
                <w:szCs w:val="21"/>
              </w:rPr>
              <w:t>1.4.1</w:t>
            </w:r>
          </w:p>
        </w:tc>
        <w:tc>
          <w:tcPr>
            <w:tcW w:w="1860" w:type="dxa"/>
            <w:noWrap w:val="0"/>
            <w:vAlign w:val="center"/>
          </w:tcPr>
          <w:p w14:paraId="1720618D">
            <w:pPr>
              <w:spacing w:line="400" w:lineRule="exact"/>
              <w:ind w:left="38" w:leftChars="18"/>
              <w:jc w:val="center"/>
              <w:rPr>
                <w:rFonts w:hint="eastAsia" w:ascii="宋体" w:hAnsi="宋体"/>
                <w:color w:val="auto"/>
                <w:szCs w:val="21"/>
              </w:rPr>
            </w:pPr>
            <w:r>
              <w:rPr>
                <w:rFonts w:hint="eastAsia" w:ascii="宋体" w:hAnsi="宋体"/>
                <w:color w:val="auto"/>
                <w:szCs w:val="21"/>
              </w:rPr>
              <w:t>现场考察</w:t>
            </w:r>
          </w:p>
        </w:tc>
        <w:tc>
          <w:tcPr>
            <w:tcW w:w="6496" w:type="dxa"/>
            <w:noWrap w:val="0"/>
            <w:vAlign w:val="center"/>
          </w:tcPr>
          <w:p w14:paraId="27CB9B0F">
            <w:pPr>
              <w:tabs>
                <w:tab w:val="left" w:pos="720"/>
                <w:tab w:val="left" w:pos="1904"/>
              </w:tabs>
              <w:spacing w:line="400" w:lineRule="exact"/>
              <w:rPr>
                <w:rFonts w:hint="eastAsia" w:ascii="宋体" w:hAnsi="宋体"/>
                <w:color w:val="auto"/>
                <w:szCs w:val="21"/>
              </w:rPr>
            </w:pPr>
            <w:r>
              <w:rPr>
                <w:rFonts w:hint="eastAsia" w:ascii="宋体" w:hAnsi="宋体"/>
                <w:color w:val="auto"/>
                <w:szCs w:val="21"/>
              </w:rPr>
              <w:t>不组织</w:t>
            </w:r>
          </w:p>
        </w:tc>
      </w:tr>
      <w:tr w14:paraId="572D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428DAEE9">
            <w:pPr>
              <w:spacing w:line="400" w:lineRule="exact"/>
              <w:ind w:left="38" w:leftChars="18"/>
              <w:jc w:val="center"/>
              <w:rPr>
                <w:rFonts w:hint="eastAsia" w:ascii="宋体" w:hAnsi="宋体"/>
                <w:color w:val="auto"/>
                <w:szCs w:val="21"/>
              </w:rPr>
            </w:pPr>
            <w:r>
              <w:rPr>
                <w:rFonts w:hint="eastAsia" w:ascii="宋体" w:hAnsi="宋体"/>
                <w:color w:val="auto"/>
                <w:szCs w:val="21"/>
              </w:rPr>
              <w:t>1.4.5</w:t>
            </w:r>
          </w:p>
        </w:tc>
        <w:tc>
          <w:tcPr>
            <w:tcW w:w="1860" w:type="dxa"/>
            <w:noWrap w:val="0"/>
            <w:vAlign w:val="center"/>
          </w:tcPr>
          <w:p w14:paraId="2B8A5633">
            <w:pPr>
              <w:spacing w:line="400" w:lineRule="exact"/>
              <w:ind w:left="38" w:leftChars="18"/>
              <w:jc w:val="center"/>
              <w:rPr>
                <w:rFonts w:hint="eastAsia" w:ascii="宋体" w:hAnsi="宋体"/>
                <w:color w:val="auto"/>
                <w:szCs w:val="21"/>
              </w:rPr>
            </w:pPr>
            <w:r>
              <w:rPr>
                <w:rFonts w:hint="eastAsia" w:ascii="宋体" w:hAnsi="宋体"/>
                <w:color w:val="auto"/>
                <w:szCs w:val="21"/>
              </w:rPr>
              <w:t>答 疑 会</w:t>
            </w:r>
          </w:p>
        </w:tc>
        <w:tc>
          <w:tcPr>
            <w:tcW w:w="6496" w:type="dxa"/>
            <w:noWrap w:val="0"/>
            <w:vAlign w:val="center"/>
          </w:tcPr>
          <w:p w14:paraId="5D706C2F">
            <w:pPr>
              <w:tabs>
                <w:tab w:val="left" w:pos="720"/>
                <w:tab w:val="left" w:pos="1904"/>
              </w:tabs>
              <w:spacing w:line="400" w:lineRule="exact"/>
              <w:rPr>
                <w:rFonts w:hint="eastAsia" w:ascii="宋体" w:hAnsi="宋体"/>
                <w:color w:val="auto"/>
                <w:szCs w:val="21"/>
              </w:rPr>
            </w:pPr>
            <w:r>
              <w:rPr>
                <w:rFonts w:hint="eastAsia" w:ascii="宋体" w:hAnsi="宋体"/>
                <w:color w:val="auto"/>
                <w:szCs w:val="21"/>
              </w:rPr>
              <w:t>不召开</w:t>
            </w:r>
          </w:p>
        </w:tc>
      </w:tr>
      <w:tr w14:paraId="107C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7C35CC1A">
            <w:pPr>
              <w:spacing w:line="400" w:lineRule="exact"/>
              <w:ind w:left="38" w:leftChars="18"/>
              <w:jc w:val="center"/>
              <w:rPr>
                <w:rFonts w:hint="eastAsia" w:ascii="宋体" w:hAnsi="宋体"/>
                <w:color w:val="auto"/>
                <w:szCs w:val="21"/>
              </w:rPr>
            </w:pPr>
            <w:r>
              <w:rPr>
                <w:rFonts w:hint="eastAsia" w:ascii="宋体" w:hAnsi="宋体"/>
                <w:color w:val="auto"/>
                <w:szCs w:val="21"/>
              </w:rPr>
              <w:t>1.5.1</w:t>
            </w:r>
          </w:p>
        </w:tc>
        <w:tc>
          <w:tcPr>
            <w:tcW w:w="1860" w:type="dxa"/>
            <w:noWrap w:val="0"/>
            <w:vAlign w:val="center"/>
          </w:tcPr>
          <w:p w14:paraId="17E833F4">
            <w:pPr>
              <w:spacing w:line="400" w:lineRule="exact"/>
              <w:ind w:left="38" w:leftChars="18"/>
              <w:jc w:val="center"/>
              <w:rPr>
                <w:rFonts w:hint="eastAsia" w:ascii="宋体" w:hAnsi="宋体"/>
                <w:color w:val="auto"/>
                <w:szCs w:val="21"/>
              </w:rPr>
            </w:pPr>
            <w:r>
              <w:rPr>
                <w:rFonts w:hint="eastAsia" w:ascii="宋体" w:hAnsi="宋体"/>
                <w:color w:val="auto"/>
                <w:szCs w:val="21"/>
              </w:rPr>
              <w:t>分包</w:t>
            </w:r>
          </w:p>
        </w:tc>
        <w:tc>
          <w:tcPr>
            <w:tcW w:w="6496" w:type="dxa"/>
            <w:noWrap w:val="0"/>
            <w:vAlign w:val="center"/>
          </w:tcPr>
          <w:p w14:paraId="0CFB8B4B">
            <w:pPr>
              <w:tabs>
                <w:tab w:val="left" w:pos="720"/>
                <w:tab w:val="left" w:pos="1904"/>
              </w:tabs>
              <w:spacing w:line="400" w:lineRule="exact"/>
              <w:rPr>
                <w:rFonts w:hint="eastAsia" w:ascii="宋体" w:hAnsi="宋体"/>
                <w:color w:val="auto"/>
                <w:szCs w:val="21"/>
              </w:rPr>
            </w:pPr>
            <w:r>
              <w:rPr>
                <w:rFonts w:hint="eastAsia" w:ascii="宋体" w:hAnsi="宋体"/>
                <w:color w:val="auto"/>
                <w:szCs w:val="21"/>
              </w:rPr>
              <w:t>不允许</w:t>
            </w:r>
          </w:p>
        </w:tc>
      </w:tr>
      <w:tr w14:paraId="64F8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0D952E18">
            <w:pPr>
              <w:spacing w:line="400" w:lineRule="exact"/>
              <w:ind w:left="38" w:leftChars="18"/>
              <w:jc w:val="center"/>
              <w:rPr>
                <w:rFonts w:hint="eastAsia" w:ascii="宋体" w:hAnsi="宋体"/>
                <w:color w:val="auto"/>
                <w:szCs w:val="21"/>
              </w:rPr>
            </w:pPr>
            <w:r>
              <w:rPr>
                <w:rFonts w:hint="eastAsia" w:ascii="宋体" w:hAnsi="宋体"/>
                <w:color w:val="auto"/>
                <w:szCs w:val="21"/>
              </w:rPr>
              <w:t>1.6</w:t>
            </w:r>
          </w:p>
        </w:tc>
        <w:tc>
          <w:tcPr>
            <w:tcW w:w="1860" w:type="dxa"/>
            <w:noWrap w:val="0"/>
            <w:vAlign w:val="center"/>
          </w:tcPr>
          <w:p w14:paraId="5FA9163A">
            <w:pPr>
              <w:spacing w:line="400" w:lineRule="exact"/>
              <w:ind w:left="38" w:leftChars="18"/>
              <w:jc w:val="center"/>
              <w:rPr>
                <w:rFonts w:hint="eastAsia" w:ascii="宋体" w:hAnsi="宋体" w:cs="宋体"/>
                <w:color w:val="auto"/>
                <w:kern w:val="0"/>
                <w:szCs w:val="21"/>
              </w:rPr>
            </w:pPr>
            <w:r>
              <w:rPr>
                <w:rFonts w:hint="eastAsia" w:ascii="宋体" w:hAnsi="宋体" w:cs="宋体"/>
                <w:color w:val="auto"/>
                <w:kern w:val="0"/>
                <w:szCs w:val="21"/>
              </w:rPr>
              <w:t>样品</w:t>
            </w:r>
          </w:p>
        </w:tc>
        <w:tc>
          <w:tcPr>
            <w:tcW w:w="6496" w:type="dxa"/>
            <w:noWrap w:val="0"/>
            <w:vAlign w:val="center"/>
          </w:tcPr>
          <w:p w14:paraId="60E10E4F">
            <w:pPr>
              <w:spacing w:line="400" w:lineRule="exact"/>
              <w:rPr>
                <w:rFonts w:hint="eastAsia" w:ascii="宋体" w:hAnsi="宋体"/>
                <w:color w:val="auto"/>
                <w:szCs w:val="21"/>
              </w:rPr>
            </w:pPr>
            <w:r>
              <w:rPr>
                <w:rFonts w:hint="eastAsia" w:ascii="宋体" w:hAnsi="宋体"/>
                <w:color w:val="auto"/>
              </w:rPr>
              <w:t>否</w:t>
            </w:r>
          </w:p>
        </w:tc>
      </w:tr>
      <w:tr w14:paraId="4511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3A9CFDE3">
            <w:pPr>
              <w:spacing w:line="400" w:lineRule="exact"/>
              <w:ind w:left="38" w:leftChars="18"/>
              <w:jc w:val="center"/>
              <w:rPr>
                <w:rFonts w:hint="eastAsia" w:ascii="宋体" w:hAnsi="宋体"/>
                <w:color w:val="auto"/>
                <w:szCs w:val="21"/>
              </w:rPr>
            </w:pPr>
            <w:r>
              <w:rPr>
                <w:rFonts w:hint="eastAsia" w:ascii="宋体" w:hAnsi="宋体"/>
                <w:color w:val="auto"/>
                <w:szCs w:val="21"/>
              </w:rPr>
              <w:t>1.11.1</w:t>
            </w:r>
          </w:p>
        </w:tc>
        <w:tc>
          <w:tcPr>
            <w:tcW w:w="1860" w:type="dxa"/>
            <w:noWrap w:val="0"/>
            <w:vAlign w:val="center"/>
          </w:tcPr>
          <w:p w14:paraId="298A1588">
            <w:pPr>
              <w:spacing w:line="400" w:lineRule="exact"/>
              <w:ind w:left="38" w:leftChars="18"/>
              <w:jc w:val="center"/>
              <w:rPr>
                <w:rFonts w:hint="eastAsia" w:ascii="宋体" w:hAnsi="宋体"/>
                <w:color w:val="auto"/>
                <w:szCs w:val="21"/>
                <w:highlight w:val="none"/>
              </w:rPr>
            </w:pPr>
            <w:r>
              <w:rPr>
                <w:rFonts w:hint="eastAsia" w:ascii="宋体" w:hAnsi="宋体" w:cs="宋体"/>
                <w:color w:val="auto"/>
                <w:kern w:val="0"/>
                <w:szCs w:val="21"/>
                <w:highlight w:val="none"/>
              </w:rPr>
              <w:t>实质性偏差</w:t>
            </w:r>
          </w:p>
        </w:tc>
        <w:tc>
          <w:tcPr>
            <w:tcW w:w="6496" w:type="dxa"/>
            <w:noWrap w:val="0"/>
            <w:vAlign w:val="center"/>
          </w:tcPr>
          <w:p w14:paraId="1761E9C8">
            <w:pPr>
              <w:spacing w:line="400" w:lineRule="exact"/>
              <w:ind w:left="38" w:leftChars="18"/>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不允许实质性偏差</w:t>
            </w:r>
            <w:r>
              <w:rPr>
                <w:rFonts w:hint="eastAsia" w:ascii="宋体" w:hAnsi="宋体"/>
                <w:color w:val="auto"/>
                <w:szCs w:val="21"/>
                <w:highlight w:val="none"/>
                <w:lang w:val="en-US" w:eastAsia="zh-CN"/>
              </w:rPr>
              <w:t>，</w:t>
            </w:r>
            <w:r>
              <w:rPr>
                <w:rFonts w:hint="default" w:ascii="宋体" w:hAnsi="宋体" w:eastAsia="宋体"/>
                <w:color w:val="auto"/>
                <w:szCs w:val="21"/>
                <w:highlight w:val="none"/>
                <w:lang w:val="en-US" w:eastAsia="zh-CN"/>
              </w:rPr>
              <w:t>技术参数偏差详见评标办法</w:t>
            </w:r>
          </w:p>
        </w:tc>
      </w:tr>
      <w:tr w14:paraId="6077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vMerge w:val="restart"/>
            <w:noWrap w:val="0"/>
            <w:vAlign w:val="center"/>
          </w:tcPr>
          <w:p w14:paraId="494A750B">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2.2.1</w:t>
            </w:r>
          </w:p>
        </w:tc>
        <w:tc>
          <w:tcPr>
            <w:tcW w:w="1860" w:type="dxa"/>
            <w:vMerge w:val="restart"/>
            <w:noWrap w:val="0"/>
            <w:vAlign w:val="center"/>
          </w:tcPr>
          <w:p w14:paraId="2EB8B5D4">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投标人要求澄清招标文件</w:t>
            </w:r>
          </w:p>
        </w:tc>
        <w:tc>
          <w:tcPr>
            <w:tcW w:w="6496" w:type="dxa"/>
            <w:noWrap w:val="0"/>
            <w:vAlign w:val="center"/>
          </w:tcPr>
          <w:p w14:paraId="1BE5FCA1">
            <w:pPr>
              <w:spacing w:line="400" w:lineRule="exact"/>
              <w:ind w:left="38" w:leftChars="18"/>
              <w:rPr>
                <w:rFonts w:hint="eastAsia" w:ascii="宋体" w:hAnsi="宋体"/>
                <w:color w:val="auto"/>
                <w:szCs w:val="21"/>
              </w:rPr>
            </w:pPr>
            <w:r>
              <w:rPr>
                <w:rFonts w:hint="eastAsia" w:ascii="宋体" w:hAnsi="宋体" w:cs="宋体"/>
                <w:color w:val="auto"/>
                <w:kern w:val="0"/>
                <w:szCs w:val="21"/>
              </w:rPr>
              <w:t>时间：投标截止时间前</w:t>
            </w:r>
            <w:r>
              <w:rPr>
                <w:rFonts w:hint="eastAsia" w:ascii="宋体" w:hAnsi="宋体" w:cs="宋体"/>
                <w:color w:val="auto"/>
                <w:kern w:val="0"/>
                <w:szCs w:val="21"/>
                <w:u w:val="single"/>
              </w:rPr>
              <w:t xml:space="preserve"> 1</w:t>
            </w:r>
            <w:r>
              <w:rPr>
                <w:rFonts w:hint="eastAsia" w:ascii="宋体" w:hAnsi="宋体" w:cs="宋体"/>
                <w:color w:val="auto"/>
                <w:kern w:val="0"/>
                <w:szCs w:val="21"/>
                <w:u w:val="single"/>
                <w:lang w:val="en-US" w:eastAsia="zh-CN"/>
              </w:rPr>
              <w:t>5</w:t>
            </w:r>
            <w:r>
              <w:rPr>
                <w:rFonts w:hint="eastAsia" w:ascii="宋体" w:hAnsi="宋体" w:cs="宋体"/>
                <w:color w:val="auto"/>
                <w:kern w:val="0"/>
                <w:szCs w:val="21"/>
                <w:u w:val="single"/>
              </w:rPr>
              <w:t xml:space="preserve"> </w:t>
            </w:r>
            <w:r>
              <w:rPr>
                <w:rFonts w:hint="eastAsia" w:ascii="宋体" w:hAnsi="宋体" w:cs="宋体"/>
                <w:color w:val="auto"/>
                <w:kern w:val="0"/>
                <w:szCs w:val="21"/>
              </w:rPr>
              <w:t>日</w:t>
            </w:r>
          </w:p>
        </w:tc>
      </w:tr>
      <w:tr w14:paraId="310A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vMerge w:val="continue"/>
            <w:noWrap w:val="0"/>
            <w:vAlign w:val="center"/>
          </w:tcPr>
          <w:p w14:paraId="342F97BE">
            <w:pPr>
              <w:spacing w:line="400" w:lineRule="exact"/>
              <w:ind w:left="38" w:leftChars="18"/>
              <w:jc w:val="center"/>
              <w:rPr>
                <w:rFonts w:hint="eastAsia" w:ascii="宋体" w:hAnsi="宋体"/>
                <w:color w:val="auto"/>
                <w:szCs w:val="21"/>
              </w:rPr>
            </w:pPr>
          </w:p>
        </w:tc>
        <w:tc>
          <w:tcPr>
            <w:tcW w:w="1860" w:type="dxa"/>
            <w:vMerge w:val="continue"/>
            <w:noWrap w:val="0"/>
            <w:vAlign w:val="center"/>
          </w:tcPr>
          <w:p w14:paraId="63DAED24">
            <w:pPr>
              <w:spacing w:line="400" w:lineRule="exact"/>
              <w:ind w:left="38" w:leftChars="18"/>
              <w:jc w:val="center"/>
              <w:rPr>
                <w:rFonts w:hint="eastAsia" w:ascii="宋体" w:hAnsi="宋体"/>
                <w:color w:val="auto"/>
                <w:szCs w:val="21"/>
              </w:rPr>
            </w:pPr>
          </w:p>
        </w:tc>
        <w:tc>
          <w:tcPr>
            <w:tcW w:w="6496" w:type="dxa"/>
            <w:noWrap w:val="0"/>
            <w:vAlign w:val="center"/>
          </w:tcPr>
          <w:p w14:paraId="4A977BAD">
            <w:pPr>
              <w:spacing w:line="400" w:lineRule="exact"/>
              <w:ind w:left="38" w:leftChars="18"/>
              <w:rPr>
                <w:rFonts w:hint="eastAsia" w:ascii="宋体" w:hAnsi="宋体"/>
                <w:color w:val="auto"/>
                <w:szCs w:val="21"/>
              </w:rPr>
            </w:pPr>
            <w:r>
              <w:rPr>
                <w:rFonts w:hint="eastAsia" w:ascii="宋体" w:hAnsi="宋体"/>
                <w:color w:val="auto"/>
                <w:szCs w:val="21"/>
              </w:rPr>
              <w:t>形式：</w:t>
            </w:r>
            <w:r>
              <w:rPr>
                <w:rFonts w:hint="eastAsia"/>
                <w:color w:val="auto"/>
              </w:rPr>
              <w:t>在</w:t>
            </w:r>
            <w:r>
              <w:rPr>
                <w:rFonts w:hint="eastAsia"/>
                <w:color w:val="auto"/>
                <w:lang w:val="en-US" w:eastAsia="zh-CN"/>
              </w:rPr>
              <w:t>开封市</w:t>
            </w:r>
            <w:r>
              <w:rPr>
                <w:rFonts w:hint="eastAsia"/>
                <w:color w:val="auto"/>
              </w:rPr>
              <w:t>公共资源交易中心交易平台系统提出</w:t>
            </w:r>
          </w:p>
        </w:tc>
      </w:tr>
      <w:tr w14:paraId="5858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7BBE7035">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2.2.2</w:t>
            </w:r>
          </w:p>
        </w:tc>
        <w:tc>
          <w:tcPr>
            <w:tcW w:w="1860" w:type="dxa"/>
            <w:noWrap w:val="0"/>
            <w:vAlign w:val="center"/>
          </w:tcPr>
          <w:p w14:paraId="6E423741">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招标文件澄清发出的形式</w:t>
            </w:r>
          </w:p>
        </w:tc>
        <w:tc>
          <w:tcPr>
            <w:tcW w:w="6496" w:type="dxa"/>
            <w:noWrap w:val="0"/>
            <w:vAlign w:val="center"/>
          </w:tcPr>
          <w:p w14:paraId="7282E7C7">
            <w:pPr>
              <w:spacing w:line="400" w:lineRule="exact"/>
              <w:ind w:left="38" w:leftChars="18"/>
              <w:rPr>
                <w:rFonts w:hint="eastAsia" w:ascii="宋体" w:hAnsi="宋体"/>
                <w:color w:val="auto"/>
                <w:szCs w:val="21"/>
              </w:rPr>
            </w:pPr>
            <w:r>
              <w:rPr>
                <w:rFonts w:hint="eastAsia" w:ascii="宋体" w:hAnsi="宋体"/>
                <w:color w:val="auto"/>
                <w:szCs w:val="21"/>
              </w:rPr>
              <w:t>通过</w:t>
            </w:r>
            <w:r>
              <w:rPr>
                <w:rFonts w:hint="eastAsia" w:ascii="宋体" w:hAnsi="宋体"/>
                <w:color w:val="auto"/>
                <w:szCs w:val="21"/>
                <w:lang w:eastAsia="zh-CN"/>
              </w:rPr>
              <w:t>开封市公共资源交易中心</w:t>
            </w:r>
            <w:r>
              <w:rPr>
                <w:rFonts w:hint="eastAsia" w:ascii="宋体" w:hAnsi="宋体"/>
                <w:color w:val="auto"/>
                <w:szCs w:val="21"/>
              </w:rPr>
              <w:t>平台发布，请登录“</w:t>
            </w:r>
            <w:r>
              <w:rPr>
                <w:rFonts w:hint="eastAsia" w:ascii="宋体" w:hAnsi="宋体"/>
                <w:color w:val="auto"/>
                <w:szCs w:val="21"/>
                <w:lang w:val="en-US" w:eastAsia="zh-CN"/>
              </w:rPr>
              <w:t>开封市</w:t>
            </w:r>
            <w:r>
              <w:rPr>
                <w:rFonts w:hint="eastAsia" w:ascii="宋体" w:hAnsi="宋体"/>
                <w:color w:val="auto"/>
                <w:szCs w:val="21"/>
              </w:rPr>
              <w:t>公共资源交易中心平台网站”，凭企业CA锁下载招标文件澄清。</w:t>
            </w:r>
          </w:p>
          <w:p w14:paraId="05F32A95">
            <w:pPr>
              <w:spacing w:line="400" w:lineRule="exact"/>
              <w:ind w:left="38" w:leftChars="18"/>
              <w:rPr>
                <w:rFonts w:hint="eastAsia" w:ascii="宋体" w:hAnsi="宋体"/>
                <w:color w:val="auto"/>
                <w:szCs w:val="21"/>
              </w:rPr>
            </w:pPr>
            <w:r>
              <w:rPr>
                <w:rFonts w:hint="eastAsia" w:ascii="宋体" w:hAnsi="宋体"/>
                <w:color w:val="auto"/>
                <w:szCs w:val="21"/>
              </w:rPr>
              <w:t>（提醒：各投标人应在下载招标文件后，应及时关注</w:t>
            </w:r>
            <w:r>
              <w:rPr>
                <w:rFonts w:hint="eastAsia" w:ascii="宋体" w:hAnsi="宋体"/>
                <w:color w:val="auto"/>
                <w:szCs w:val="21"/>
                <w:lang w:val="en-US" w:eastAsia="zh-CN"/>
              </w:rPr>
              <w:t>开封市</w:t>
            </w:r>
            <w:r>
              <w:rPr>
                <w:rFonts w:hint="eastAsia" w:ascii="宋体" w:hAnsi="宋体"/>
                <w:color w:val="auto"/>
                <w:szCs w:val="21"/>
              </w:rPr>
              <w:t>公共资源交易中心平台交易平台系统中是否发布本项目招标文件补充文件等资料，并自行下载，如由于投标人未看到未及时下载文件资料而带来的风险，采购人不承担任何责任。）</w:t>
            </w:r>
          </w:p>
        </w:tc>
      </w:tr>
      <w:tr w14:paraId="2A4F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932" w:type="dxa"/>
            <w:noWrap w:val="0"/>
            <w:vAlign w:val="center"/>
          </w:tcPr>
          <w:p w14:paraId="054CFD4F">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2.2.3</w:t>
            </w:r>
          </w:p>
        </w:tc>
        <w:tc>
          <w:tcPr>
            <w:tcW w:w="1860" w:type="dxa"/>
            <w:noWrap w:val="0"/>
            <w:vAlign w:val="center"/>
          </w:tcPr>
          <w:p w14:paraId="24AB80D5">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投标人确认收到招标文件澄清</w:t>
            </w:r>
          </w:p>
        </w:tc>
        <w:tc>
          <w:tcPr>
            <w:tcW w:w="6496" w:type="dxa"/>
            <w:noWrap w:val="0"/>
            <w:vAlign w:val="center"/>
          </w:tcPr>
          <w:p w14:paraId="25A94F65">
            <w:pPr>
              <w:spacing w:line="400" w:lineRule="exact"/>
              <w:ind w:left="38" w:leftChars="18"/>
              <w:rPr>
                <w:rFonts w:hint="eastAsia" w:ascii="宋体" w:hAnsi="宋体"/>
                <w:color w:val="auto"/>
              </w:rPr>
            </w:pPr>
            <w:r>
              <w:rPr>
                <w:rFonts w:hint="eastAsia"/>
                <w:color w:val="auto"/>
              </w:rPr>
              <w:t>在</w:t>
            </w:r>
            <w:r>
              <w:rPr>
                <w:rFonts w:hint="eastAsia" w:ascii="宋体" w:hAnsi="宋体"/>
                <w:color w:val="auto"/>
                <w:szCs w:val="21"/>
                <w:lang w:val="en-US" w:eastAsia="zh-CN"/>
              </w:rPr>
              <w:t>开封市</w:t>
            </w:r>
            <w:r>
              <w:rPr>
                <w:rFonts w:hint="eastAsia"/>
                <w:color w:val="auto"/>
              </w:rPr>
              <w:t>公共资源交易中心平台交易平台通知并默认收到</w:t>
            </w:r>
          </w:p>
        </w:tc>
      </w:tr>
      <w:tr w14:paraId="77F0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73ECEEE0">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2.3.2</w:t>
            </w:r>
          </w:p>
        </w:tc>
        <w:tc>
          <w:tcPr>
            <w:tcW w:w="1860" w:type="dxa"/>
            <w:noWrap w:val="0"/>
            <w:vAlign w:val="center"/>
          </w:tcPr>
          <w:p w14:paraId="65192497">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招标文件修改发出的形式</w:t>
            </w:r>
          </w:p>
        </w:tc>
        <w:tc>
          <w:tcPr>
            <w:tcW w:w="6496" w:type="dxa"/>
            <w:noWrap w:val="0"/>
            <w:vAlign w:val="center"/>
          </w:tcPr>
          <w:p w14:paraId="5BC05C02">
            <w:pPr>
              <w:spacing w:line="400" w:lineRule="exact"/>
              <w:ind w:left="38" w:leftChars="18"/>
              <w:rPr>
                <w:rFonts w:hint="eastAsia" w:ascii="宋体" w:hAnsi="宋体"/>
                <w:color w:val="auto"/>
                <w:szCs w:val="21"/>
              </w:rPr>
            </w:pPr>
            <w:r>
              <w:rPr>
                <w:rFonts w:hint="eastAsia" w:ascii="宋体" w:hAnsi="宋体"/>
                <w:color w:val="auto"/>
                <w:szCs w:val="21"/>
              </w:rPr>
              <w:t>通过</w:t>
            </w:r>
            <w:r>
              <w:rPr>
                <w:rFonts w:hint="eastAsia" w:ascii="宋体" w:hAnsi="宋体"/>
                <w:color w:val="auto"/>
                <w:szCs w:val="21"/>
                <w:lang w:eastAsia="zh-CN"/>
              </w:rPr>
              <w:t>开封市公共资源交易中心</w:t>
            </w:r>
            <w:r>
              <w:rPr>
                <w:rFonts w:hint="eastAsia" w:ascii="宋体" w:hAnsi="宋体"/>
                <w:color w:val="auto"/>
                <w:szCs w:val="21"/>
              </w:rPr>
              <w:t>平台发布，请登录“</w:t>
            </w:r>
            <w:r>
              <w:rPr>
                <w:rFonts w:hint="eastAsia" w:ascii="宋体" w:hAnsi="宋体"/>
                <w:color w:val="auto"/>
                <w:szCs w:val="21"/>
                <w:lang w:eastAsia="zh-CN"/>
              </w:rPr>
              <w:t>开封市公共资源交易中心</w:t>
            </w:r>
            <w:r>
              <w:rPr>
                <w:rFonts w:hint="eastAsia" w:ascii="宋体" w:hAnsi="宋体"/>
                <w:color w:val="auto"/>
                <w:szCs w:val="21"/>
              </w:rPr>
              <w:t>平台网站”，凭企业CA锁下载招标文件修改。</w:t>
            </w:r>
          </w:p>
          <w:p w14:paraId="3A2C5321">
            <w:pPr>
              <w:spacing w:line="400" w:lineRule="exact"/>
              <w:ind w:left="38" w:leftChars="18"/>
              <w:rPr>
                <w:rFonts w:hint="eastAsia" w:ascii="宋体" w:hAnsi="宋体"/>
                <w:color w:val="auto"/>
              </w:rPr>
            </w:pPr>
            <w:r>
              <w:rPr>
                <w:rFonts w:hint="eastAsia" w:ascii="宋体" w:hAnsi="宋体"/>
                <w:color w:val="auto"/>
                <w:szCs w:val="21"/>
              </w:rPr>
              <w:t>（提醒：各投标人应在下载招标文件后，应及时关注</w:t>
            </w:r>
            <w:r>
              <w:rPr>
                <w:rFonts w:hint="eastAsia" w:ascii="宋体" w:hAnsi="宋体"/>
                <w:color w:val="auto"/>
                <w:szCs w:val="21"/>
                <w:lang w:eastAsia="zh-CN"/>
              </w:rPr>
              <w:t>开封市公共资源交易中心</w:t>
            </w:r>
            <w:r>
              <w:rPr>
                <w:rFonts w:hint="eastAsia" w:ascii="宋体" w:hAnsi="宋体"/>
                <w:color w:val="auto"/>
                <w:szCs w:val="21"/>
              </w:rPr>
              <w:t>平台交易平台系统中是否发布本项目招标文件补充文件等资料，并自行下载，如由于投标人未看到未及时下载文件资料而带来的风险，采购人不承担任何责任。）</w:t>
            </w:r>
          </w:p>
        </w:tc>
      </w:tr>
      <w:tr w14:paraId="2FCA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932" w:type="dxa"/>
            <w:noWrap w:val="0"/>
            <w:vAlign w:val="center"/>
          </w:tcPr>
          <w:p w14:paraId="12901BA2">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2.3.3</w:t>
            </w:r>
          </w:p>
        </w:tc>
        <w:tc>
          <w:tcPr>
            <w:tcW w:w="1860" w:type="dxa"/>
            <w:noWrap w:val="0"/>
            <w:vAlign w:val="center"/>
          </w:tcPr>
          <w:p w14:paraId="3450C7FC">
            <w:pPr>
              <w:spacing w:line="400" w:lineRule="exact"/>
              <w:ind w:left="38" w:leftChars="18"/>
              <w:jc w:val="center"/>
              <w:rPr>
                <w:rFonts w:hint="eastAsia" w:ascii="宋体" w:hAnsi="宋体"/>
                <w:color w:val="auto"/>
                <w:szCs w:val="21"/>
              </w:rPr>
            </w:pPr>
            <w:r>
              <w:rPr>
                <w:rFonts w:hint="eastAsia" w:ascii="宋体" w:hAnsi="宋体" w:cs="宋体"/>
                <w:color w:val="auto"/>
                <w:kern w:val="0"/>
                <w:szCs w:val="21"/>
              </w:rPr>
              <w:t>投标人确认收到招标文件修改</w:t>
            </w:r>
          </w:p>
        </w:tc>
        <w:tc>
          <w:tcPr>
            <w:tcW w:w="6496" w:type="dxa"/>
            <w:noWrap w:val="0"/>
            <w:vAlign w:val="center"/>
          </w:tcPr>
          <w:p w14:paraId="4EBD382C">
            <w:pPr>
              <w:spacing w:line="400" w:lineRule="exact"/>
              <w:ind w:left="38" w:leftChars="18"/>
              <w:rPr>
                <w:rFonts w:hint="eastAsia" w:ascii="宋体" w:hAnsi="宋体"/>
                <w:b/>
                <w:color w:val="auto"/>
              </w:rPr>
            </w:pPr>
            <w:r>
              <w:rPr>
                <w:rFonts w:hint="eastAsia"/>
                <w:color w:val="auto"/>
              </w:rPr>
              <w:t>在</w:t>
            </w:r>
            <w:r>
              <w:rPr>
                <w:rFonts w:hint="eastAsia"/>
                <w:color w:val="auto"/>
                <w:lang w:eastAsia="zh-CN"/>
              </w:rPr>
              <w:t>开封市公共资源交易中心</w:t>
            </w:r>
            <w:r>
              <w:rPr>
                <w:rFonts w:hint="eastAsia"/>
                <w:color w:val="auto"/>
              </w:rPr>
              <w:t>平台交易平台通知并默认收到</w:t>
            </w:r>
          </w:p>
        </w:tc>
      </w:tr>
      <w:tr w14:paraId="7D38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1CB03303">
            <w:pPr>
              <w:spacing w:line="400" w:lineRule="exact"/>
              <w:ind w:left="38" w:leftChars="18"/>
              <w:jc w:val="center"/>
              <w:rPr>
                <w:rFonts w:hint="eastAsia" w:ascii="宋体" w:hAnsi="宋体"/>
                <w:color w:val="auto"/>
                <w:szCs w:val="21"/>
              </w:rPr>
            </w:pPr>
            <w:r>
              <w:rPr>
                <w:rFonts w:hint="eastAsia" w:ascii="宋体" w:hAnsi="宋体"/>
                <w:color w:val="auto"/>
                <w:szCs w:val="21"/>
              </w:rPr>
              <w:t>3.5.1</w:t>
            </w:r>
          </w:p>
        </w:tc>
        <w:tc>
          <w:tcPr>
            <w:tcW w:w="1860" w:type="dxa"/>
            <w:noWrap w:val="0"/>
            <w:vAlign w:val="center"/>
          </w:tcPr>
          <w:p w14:paraId="1532A2E9">
            <w:pPr>
              <w:spacing w:line="400" w:lineRule="exact"/>
              <w:ind w:left="38" w:leftChars="18"/>
              <w:jc w:val="center"/>
              <w:rPr>
                <w:rFonts w:hint="eastAsia" w:ascii="宋体" w:hAnsi="宋体"/>
                <w:color w:val="auto"/>
                <w:szCs w:val="21"/>
              </w:rPr>
            </w:pPr>
            <w:r>
              <w:rPr>
                <w:rFonts w:hint="eastAsia" w:ascii="宋体" w:hAnsi="宋体"/>
                <w:color w:val="auto"/>
                <w:szCs w:val="21"/>
              </w:rPr>
              <w:t>投标保证金</w:t>
            </w:r>
          </w:p>
        </w:tc>
        <w:tc>
          <w:tcPr>
            <w:tcW w:w="6496" w:type="dxa"/>
            <w:noWrap w:val="0"/>
            <w:vAlign w:val="center"/>
          </w:tcPr>
          <w:p w14:paraId="5D624F7A">
            <w:pPr>
              <w:spacing w:line="400" w:lineRule="exact"/>
              <w:rPr>
                <w:rFonts w:hint="eastAsia" w:ascii="宋体" w:hAnsi="宋体" w:cs="宋体"/>
                <w:color w:val="auto"/>
                <w:kern w:val="0"/>
                <w:szCs w:val="21"/>
              </w:rPr>
            </w:pPr>
            <w:r>
              <w:rPr>
                <w:rFonts w:hint="eastAsia" w:ascii="宋体" w:hAnsi="宋体"/>
                <w:color w:val="auto"/>
                <w:szCs w:val="21"/>
              </w:rPr>
              <w:sym w:font="Wingdings 2" w:char="0052"/>
            </w:r>
            <w:r>
              <w:rPr>
                <w:rFonts w:hint="eastAsia" w:ascii="宋体" w:hAnsi="宋体" w:cs="宋体"/>
                <w:color w:val="auto"/>
                <w:kern w:val="0"/>
                <w:szCs w:val="21"/>
              </w:rPr>
              <w:t>不要求，根据豫财购[2019]4号文件的相关规定，</w:t>
            </w:r>
            <w:r>
              <w:rPr>
                <w:rFonts w:hint="eastAsia"/>
                <w:color w:val="auto"/>
              </w:rPr>
              <w:t>本次招标</w:t>
            </w:r>
            <w:r>
              <w:rPr>
                <w:rFonts w:hint="eastAsia" w:ascii="宋体" w:hAnsi="宋体" w:cs="宋体"/>
                <w:color w:val="auto"/>
                <w:kern w:val="0"/>
                <w:szCs w:val="21"/>
              </w:rPr>
              <w:t>不收取投标保证金，需提供投标承诺函。</w:t>
            </w:r>
          </w:p>
        </w:tc>
      </w:tr>
      <w:tr w14:paraId="367EC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5ED9757C">
            <w:pPr>
              <w:spacing w:line="400" w:lineRule="exact"/>
              <w:ind w:left="38" w:leftChars="18"/>
              <w:jc w:val="center"/>
              <w:rPr>
                <w:rFonts w:hint="eastAsia" w:ascii="宋体" w:hAnsi="宋体"/>
                <w:color w:val="auto"/>
                <w:szCs w:val="21"/>
              </w:rPr>
            </w:pPr>
            <w:r>
              <w:rPr>
                <w:rFonts w:hint="eastAsia" w:ascii="宋体" w:hAnsi="宋体"/>
                <w:color w:val="auto"/>
                <w:szCs w:val="21"/>
              </w:rPr>
              <w:t>3.6.1</w:t>
            </w:r>
          </w:p>
        </w:tc>
        <w:tc>
          <w:tcPr>
            <w:tcW w:w="1860" w:type="dxa"/>
            <w:noWrap w:val="0"/>
            <w:vAlign w:val="center"/>
          </w:tcPr>
          <w:p w14:paraId="5DFC8F1C">
            <w:pPr>
              <w:spacing w:line="400" w:lineRule="exact"/>
              <w:ind w:left="38" w:leftChars="18"/>
              <w:jc w:val="center"/>
              <w:rPr>
                <w:rFonts w:hint="eastAsia" w:ascii="宋体" w:hAnsi="宋体"/>
                <w:color w:val="auto"/>
                <w:szCs w:val="21"/>
              </w:rPr>
            </w:pPr>
            <w:r>
              <w:rPr>
                <w:rFonts w:hint="eastAsia" w:ascii="宋体" w:hAnsi="宋体"/>
                <w:color w:val="auto"/>
                <w:szCs w:val="21"/>
              </w:rPr>
              <w:t>投标有效期</w:t>
            </w:r>
          </w:p>
        </w:tc>
        <w:tc>
          <w:tcPr>
            <w:tcW w:w="6496" w:type="dxa"/>
            <w:noWrap w:val="0"/>
            <w:vAlign w:val="center"/>
          </w:tcPr>
          <w:p w14:paraId="691C994B">
            <w:pPr>
              <w:spacing w:line="400" w:lineRule="exact"/>
              <w:ind w:left="38" w:leftChars="18"/>
              <w:rPr>
                <w:rFonts w:hint="eastAsia" w:ascii="宋体" w:hAnsi="宋体" w:cs="宋体"/>
                <w:color w:val="auto"/>
                <w:kern w:val="0"/>
                <w:szCs w:val="21"/>
              </w:rPr>
            </w:pPr>
            <w:r>
              <w:rPr>
                <w:rFonts w:hint="eastAsia" w:ascii="宋体" w:hAnsi="宋体"/>
                <w:b/>
                <w:color w:val="auto"/>
                <w:szCs w:val="21"/>
              </w:rPr>
              <w:t>※</w:t>
            </w:r>
            <w:r>
              <w:rPr>
                <w:rFonts w:hint="eastAsia" w:ascii="宋体" w:hAnsi="宋体"/>
                <w:color w:val="auto"/>
                <w:szCs w:val="21"/>
              </w:rPr>
              <w:t>递交投标文件的截止之日起90</w:t>
            </w:r>
            <w:r>
              <w:rPr>
                <w:rFonts w:hint="eastAsia"/>
                <w:color w:val="auto"/>
              </w:rPr>
              <w:t>日历天</w:t>
            </w:r>
          </w:p>
        </w:tc>
      </w:tr>
      <w:tr w14:paraId="36AC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0DAC5309">
            <w:pPr>
              <w:jc w:val="left"/>
              <w:rPr>
                <w:rFonts w:hint="eastAsia"/>
                <w:b/>
                <w:bCs/>
                <w:color w:val="auto"/>
              </w:rPr>
            </w:pPr>
            <w:r>
              <w:rPr>
                <w:rFonts w:hint="eastAsia" w:ascii="宋体" w:hAnsi="宋体"/>
                <w:color w:val="auto"/>
                <w:szCs w:val="21"/>
              </w:rPr>
              <w:t>4.1.1</w:t>
            </w:r>
          </w:p>
        </w:tc>
        <w:tc>
          <w:tcPr>
            <w:tcW w:w="1860" w:type="dxa"/>
            <w:noWrap w:val="0"/>
            <w:vAlign w:val="center"/>
          </w:tcPr>
          <w:p w14:paraId="0EB98658">
            <w:pPr>
              <w:spacing w:line="400" w:lineRule="exact"/>
              <w:rPr>
                <w:rFonts w:hint="eastAsia"/>
                <w:b/>
                <w:bCs/>
                <w:color w:val="auto"/>
              </w:rPr>
            </w:pPr>
            <w:r>
              <w:rPr>
                <w:rFonts w:hint="eastAsia" w:ascii="宋体" w:hAnsi="宋体" w:cs="宋体"/>
                <w:color w:val="auto"/>
                <w:kern w:val="0"/>
                <w:szCs w:val="21"/>
              </w:rPr>
              <w:t>投标文件的密封、签署及电子投标文件加密要求</w:t>
            </w:r>
          </w:p>
        </w:tc>
        <w:tc>
          <w:tcPr>
            <w:tcW w:w="6496" w:type="dxa"/>
            <w:noWrap w:val="0"/>
            <w:vAlign w:val="center"/>
          </w:tcPr>
          <w:p w14:paraId="3B268207">
            <w:pPr>
              <w:spacing w:line="400" w:lineRule="exact"/>
              <w:rPr>
                <w:rFonts w:hint="eastAsia" w:ascii="宋体" w:hAnsi="宋体" w:cs="宋体"/>
                <w:color w:val="auto"/>
                <w:kern w:val="0"/>
                <w:szCs w:val="21"/>
              </w:rPr>
            </w:pPr>
            <w:r>
              <w:rPr>
                <w:rFonts w:hint="eastAsia" w:ascii="宋体" w:hAnsi="宋体" w:cs="宋体"/>
                <w:color w:val="auto"/>
                <w:kern w:val="0"/>
                <w:szCs w:val="21"/>
              </w:rPr>
              <w:t>电子投标文件（投标文件）签章要求：</w:t>
            </w:r>
          </w:p>
          <w:p w14:paraId="149179B1">
            <w:pPr>
              <w:spacing w:line="400" w:lineRule="exact"/>
              <w:ind w:firstLine="420" w:firstLineChars="200"/>
              <w:rPr>
                <w:rFonts w:hint="eastAsia" w:ascii="宋体" w:hAnsi="宋体" w:cs="宋体"/>
                <w:color w:val="auto"/>
                <w:kern w:val="0"/>
                <w:szCs w:val="21"/>
              </w:rPr>
            </w:pPr>
            <w:r>
              <w:rPr>
                <w:rFonts w:hint="eastAsia" w:ascii="宋体" w:hAnsi="宋体" w:cs="宋体"/>
                <w:szCs w:val="21"/>
              </w:rPr>
              <w:t>按照招标文件中要求投标文件采用单位和个人数字证书，在相应位置加盖电子签章；（法定代表人身份证明书或授权委托书，以及投标文件签署、签字、签章及内容均应符合格式要求，否则投标文件无效。）</w:t>
            </w:r>
          </w:p>
        </w:tc>
      </w:tr>
      <w:tr w14:paraId="205E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64E7DB58">
            <w:pPr>
              <w:spacing w:line="400" w:lineRule="exact"/>
              <w:ind w:left="38" w:leftChars="18"/>
              <w:jc w:val="center"/>
              <w:rPr>
                <w:rFonts w:hint="eastAsia" w:ascii="宋体" w:hAnsi="宋体"/>
                <w:color w:val="auto"/>
                <w:szCs w:val="21"/>
              </w:rPr>
            </w:pPr>
            <w:r>
              <w:rPr>
                <w:rFonts w:hint="eastAsia" w:ascii="宋体" w:hAnsi="宋体"/>
                <w:color w:val="auto"/>
                <w:szCs w:val="21"/>
              </w:rPr>
              <w:t>4.2.1</w:t>
            </w:r>
          </w:p>
        </w:tc>
        <w:tc>
          <w:tcPr>
            <w:tcW w:w="1860" w:type="dxa"/>
            <w:noWrap w:val="0"/>
            <w:vAlign w:val="center"/>
          </w:tcPr>
          <w:p w14:paraId="7680D19F">
            <w:pPr>
              <w:tabs>
                <w:tab w:val="left" w:pos="720"/>
              </w:tabs>
              <w:spacing w:line="400" w:lineRule="exact"/>
              <w:jc w:val="center"/>
              <w:rPr>
                <w:rFonts w:hint="eastAsia" w:ascii="宋体" w:hAnsi="宋体"/>
                <w:color w:val="auto"/>
                <w:szCs w:val="21"/>
              </w:rPr>
            </w:pPr>
            <w:r>
              <w:rPr>
                <w:rFonts w:hint="eastAsia" w:ascii="宋体" w:hAnsi="宋体" w:cs="微软雅黑"/>
                <w:color w:val="auto"/>
                <w:kern w:val="0"/>
                <w:szCs w:val="21"/>
              </w:rPr>
              <w:t>投标</w:t>
            </w:r>
            <w:r>
              <w:rPr>
                <w:rFonts w:hint="eastAsia" w:ascii="宋体" w:hAnsi="宋体" w:cs="微软雅黑"/>
                <w:color w:val="auto"/>
                <w:spacing w:val="-2"/>
                <w:kern w:val="0"/>
                <w:szCs w:val="21"/>
              </w:rPr>
              <w:t>截</w:t>
            </w:r>
            <w:r>
              <w:rPr>
                <w:rFonts w:hint="eastAsia" w:ascii="宋体" w:hAnsi="宋体" w:cs="微软雅黑"/>
                <w:color w:val="auto"/>
                <w:kern w:val="0"/>
                <w:szCs w:val="21"/>
              </w:rPr>
              <w:t>止</w:t>
            </w:r>
            <w:r>
              <w:rPr>
                <w:rFonts w:hint="eastAsia" w:ascii="宋体" w:hAnsi="宋体" w:cs="微软雅黑"/>
                <w:color w:val="auto"/>
                <w:spacing w:val="-2"/>
                <w:kern w:val="0"/>
                <w:szCs w:val="21"/>
              </w:rPr>
              <w:t>时</w:t>
            </w:r>
            <w:r>
              <w:rPr>
                <w:rFonts w:hint="eastAsia" w:ascii="宋体" w:hAnsi="宋体" w:cs="微软雅黑"/>
                <w:color w:val="auto"/>
                <w:kern w:val="0"/>
                <w:szCs w:val="21"/>
              </w:rPr>
              <w:t>间</w:t>
            </w:r>
          </w:p>
        </w:tc>
        <w:tc>
          <w:tcPr>
            <w:tcW w:w="6496" w:type="dxa"/>
            <w:noWrap w:val="0"/>
            <w:vAlign w:val="center"/>
          </w:tcPr>
          <w:p w14:paraId="7B6E1BA3">
            <w:pPr>
              <w:spacing w:line="400" w:lineRule="exact"/>
              <w:rPr>
                <w:rFonts w:hint="eastAsia" w:ascii="宋体" w:hAnsi="宋体"/>
                <w:color w:val="auto"/>
                <w:szCs w:val="21"/>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14</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分（北京时间）</w:t>
            </w:r>
          </w:p>
        </w:tc>
      </w:tr>
      <w:tr w14:paraId="3BD8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15C268A7">
            <w:pPr>
              <w:spacing w:line="400" w:lineRule="exact"/>
              <w:ind w:left="38" w:leftChars="18"/>
              <w:jc w:val="center"/>
              <w:rPr>
                <w:rFonts w:hint="eastAsia" w:ascii="宋体" w:hAnsi="宋体"/>
                <w:color w:val="auto"/>
                <w:szCs w:val="21"/>
              </w:rPr>
            </w:pPr>
            <w:r>
              <w:rPr>
                <w:rFonts w:hint="eastAsia" w:ascii="宋体" w:hAnsi="宋体"/>
                <w:color w:val="auto"/>
                <w:szCs w:val="21"/>
              </w:rPr>
              <w:t>4.2.2</w:t>
            </w:r>
          </w:p>
        </w:tc>
        <w:tc>
          <w:tcPr>
            <w:tcW w:w="1860" w:type="dxa"/>
            <w:noWrap w:val="0"/>
            <w:vAlign w:val="center"/>
          </w:tcPr>
          <w:p w14:paraId="64A41AFC">
            <w:pPr>
              <w:tabs>
                <w:tab w:val="left" w:pos="720"/>
              </w:tabs>
              <w:spacing w:line="400" w:lineRule="exact"/>
              <w:jc w:val="center"/>
              <w:rPr>
                <w:rFonts w:hint="eastAsia" w:ascii="宋体" w:hAnsi="宋体" w:cs="微软雅黑"/>
                <w:color w:val="auto"/>
                <w:kern w:val="0"/>
                <w:szCs w:val="21"/>
              </w:rPr>
            </w:pPr>
            <w:r>
              <w:rPr>
                <w:rFonts w:hint="eastAsia" w:ascii="宋体" w:hAnsi="宋体" w:cs="微软雅黑"/>
                <w:color w:val="auto"/>
                <w:kern w:val="0"/>
                <w:szCs w:val="21"/>
              </w:rPr>
              <w:t>递交投标文件地点及方式</w:t>
            </w:r>
          </w:p>
        </w:tc>
        <w:tc>
          <w:tcPr>
            <w:tcW w:w="6496" w:type="dxa"/>
            <w:noWrap w:val="0"/>
            <w:vAlign w:val="center"/>
          </w:tcPr>
          <w:p w14:paraId="267F045E">
            <w:pPr>
              <w:pStyle w:val="8"/>
              <w:wordWrap w:val="0"/>
              <w:spacing w:line="400" w:lineRule="exact"/>
              <w:rPr>
                <w:rFonts w:hint="eastAsia" w:ascii="宋体" w:hAnsi="宋体" w:cs="宋体"/>
                <w:color w:val="auto"/>
              </w:rPr>
            </w:pPr>
            <w:r>
              <w:rPr>
                <w:rFonts w:hint="eastAsia"/>
                <w:color w:val="auto"/>
              </w:rPr>
              <w:t>递交投标文件地点：</w:t>
            </w:r>
            <w:r>
              <w:rPr>
                <w:rFonts w:hint="eastAsia" w:cs="宋体"/>
                <w:color w:val="auto"/>
                <w:szCs w:val="21"/>
                <w:lang w:eastAsia="zh-CN"/>
              </w:rPr>
              <w:t>开封市公共资源交易中心</w:t>
            </w:r>
            <w:r>
              <w:rPr>
                <w:rFonts w:hint="eastAsia" w:ascii="宋体" w:hAnsi="宋体" w:cs="宋体"/>
                <w:color w:val="auto"/>
              </w:rPr>
              <w:t>（http://www.kfsggzyjyw.cn）网站。</w:t>
            </w:r>
          </w:p>
          <w:p w14:paraId="25310BE2">
            <w:pPr>
              <w:pStyle w:val="8"/>
              <w:wordWrap w:val="0"/>
              <w:spacing w:line="400" w:lineRule="exact"/>
              <w:rPr>
                <w:rFonts w:hint="eastAsia" w:ascii="宋体" w:hAnsi="宋体" w:cs="宋体"/>
                <w:color w:val="auto"/>
              </w:rPr>
            </w:pPr>
            <w:r>
              <w:rPr>
                <w:rFonts w:hint="eastAsia" w:ascii="宋体" w:hAnsi="宋体" w:cs="宋体"/>
                <w:color w:val="auto"/>
              </w:rPr>
              <w:t>递交投标文件方式：电子投标文</w:t>
            </w:r>
            <w:bookmarkStart w:id="544" w:name="_GoBack"/>
            <w:bookmarkEnd w:id="544"/>
            <w:r>
              <w:rPr>
                <w:rFonts w:hint="eastAsia" w:ascii="宋体" w:hAnsi="宋体" w:cs="宋体"/>
                <w:color w:val="auto"/>
              </w:rPr>
              <w:t>件上传。</w:t>
            </w:r>
          </w:p>
          <w:p w14:paraId="72BF212E">
            <w:pPr>
              <w:pStyle w:val="8"/>
              <w:wordWrap w:val="0"/>
              <w:spacing w:line="400" w:lineRule="exact"/>
              <w:rPr>
                <w:rFonts w:hint="eastAsia" w:ascii="宋体" w:hAnsi="宋体"/>
                <w:color w:val="auto"/>
                <w:szCs w:val="21"/>
              </w:rPr>
            </w:pPr>
            <w:r>
              <w:rPr>
                <w:rFonts w:hint="eastAsia" w:ascii="宋体" w:hAnsi="宋体" w:cs="宋体"/>
                <w:color w:val="auto"/>
              </w:rPr>
              <w:t>上传电子文件的要求：投标人（供应商）须使用电子交易系统提供的投标文件制作工具进行电子投标文件的制作，并按要求上传经CA锁签章和加密的电子投标文件（*.hntf 格式）。</w:t>
            </w:r>
          </w:p>
        </w:tc>
      </w:tr>
      <w:tr w14:paraId="1335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35683E48">
            <w:pPr>
              <w:spacing w:line="400" w:lineRule="exact"/>
              <w:ind w:left="38" w:leftChars="18"/>
              <w:jc w:val="center"/>
              <w:rPr>
                <w:rFonts w:hint="eastAsia" w:ascii="宋体" w:hAnsi="宋体"/>
                <w:color w:val="auto"/>
                <w:szCs w:val="21"/>
              </w:rPr>
            </w:pPr>
            <w:r>
              <w:rPr>
                <w:rFonts w:hint="eastAsia" w:ascii="宋体" w:hAnsi="宋体"/>
                <w:color w:val="auto"/>
                <w:szCs w:val="21"/>
              </w:rPr>
              <w:t>5.1.1</w:t>
            </w:r>
          </w:p>
        </w:tc>
        <w:tc>
          <w:tcPr>
            <w:tcW w:w="1860" w:type="dxa"/>
            <w:noWrap w:val="0"/>
            <w:vAlign w:val="center"/>
          </w:tcPr>
          <w:p w14:paraId="010C9B45">
            <w:pPr>
              <w:spacing w:line="400" w:lineRule="exact"/>
              <w:ind w:left="38" w:leftChars="18"/>
              <w:jc w:val="center"/>
              <w:rPr>
                <w:rFonts w:hint="eastAsia" w:ascii="宋体" w:hAnsi="宋体"/>
                <w:color w:val="auto"/>
                <w:szCs w:val="21"/>
              </w:rPr>
            </w:pPr>
            <w:r>
              <w:rPr>
                <w:rFonts w:hint="eastAsia" w:ascii="宋体" w:hAnsi="宋体"/>
                <w:color w:val="auto"/>
                <w:szCs w:val="21"/>
              </w:rPr>
              <w:t>开标时间和开标地点</w:t>
            </w:r>
          </w:p>
        </w:tc>
        <w:tc>
          <w:tcPr>
            <w:tcW w:w="6496" w:type="dxa"/>
            <w:noWrap w:val="0"/>
            <w:vAlign w:val="center"/>
          </w:tcPr>
          <w:p w14:paraId="39C89B1B">
            <w:pPr>
              <w:spacing w:line="400" w:lineRule="exact"/>
              <w:rPr>
                <w:rFonts w:hint="eastAsia" w:ascii="宋体" w:hAnsi="宋体"/>
                <w:color w:val="auto"/>
                <w:szCs w:val="21"/>
              </w:rPr>
            </w:pPr>
            <w:r>
              <w:rPr>
                <w:rFonts w:hint="eastAsia" w:ascii="宋体" w:hAnsi="宋体"/>
                <w:color w:val="auto"/>
                <w:szCs w:val="21"/>
              </w:rPr>
              <w:t>开标时间：同投标截止时间</w:t>
            </w:r>
          </w:p>
          <w:p w14:paraId="6C31C2BE">
            <w:pPr>
              <w:spacing w:line="400" w:lineRule="exact"/>
              <w:rPr>
                <w:rFonts w:hint="eastAsia" w:ascii="宋体" w:hAnsi="宋体"/>
                <w:color w:val="auto"/>
              </w:rPr>
            </w:pPr>
            <w:r>
              <w:rPr>
                <w:rFonts w:hint="eastAsia" w:ascii="宋体" w:hAnsi="宋体"/>
                <w:color w:val="auto"/>
              </w:rPr>
              <w:t>开标地点：开封市尉氏县公共资源交易中心开标室（远程开标）</w:t>
            </w:r>
          </w:p>
        </w:tc>
      </w:tr>
      <w:tr w14:paraId="3E39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1CA414EE">
            <w:pPr>
              <w:spacing w:line="400" w:lineRule="exact"/>
              <w:ind w:left="38" w:leftChars="18"/>
              <w:jc w:val="center"/>
              <w:rPr>
                <w:rFonts w:hint="eastAsia" w:ascii="宋体" w:hAnsi="宋体"/>
                <w:color w:val="auto"/>
                <w:szCs w:val="21"/>
              </w:rPr>
            </w:pPr>
            <w:r>
              <w:rPr>
                <w:rFonts w:hint="eastAsia" w:ascii="宋体" w:hAnsi="宋体"/>
                <w:color w:val="auto"/>
                <w:szCs w:val="21"/>
              </w:rPr>
              <w:t>5.2.1</w:t>
            </w:r>
          </w:p>
        </w:tc>
        <w:tc>
          <w:tcPr>
            <w:tcW w:w="1860" w:type="dxa"/>
            <w:noWrap w:val="0"/>
            <w:vAlign w:val="center"/>
          </w:tcPr>
          <w:p w14:paraId="51566C8E">
            <w:pPr>
              <w:spacing w:line="400" w:lineRule="exact"/>
              <w:ind w:left="38" w:leftChars="18"/>
              <w:jc w:val="center"/>
              <w:rPr>
                <w:rFonts w:hint="eastAsia" w:ascii="宋体" w:hAnsi="宋体"/>
                <w:color w:val="auto"/>
                <w:szCs w:val="21"/>
              </w:rPr>
            </w:pPr>
            <w:r>
              <w:rPr>
                <w:rFonts w:hint="eastAsia" w:ascii="宋体" w:hAnsi="宋体"/>
                <w:color w:val="auto"/>
                <w:szCs w:val="21"/>
              </w:rPr>
              <w:t>资格审查</w:t>
            </w:r>
          </w:p>
        </w:tc>
        <w:tc>
          <w:tcPr>
            <w:tcW w:w="6496" w:type="dxa"/>
            <w:noWrap w:val="0"/>
            <w:vAlign w:val="center"/>
          </w:tcPr>
          <w:p w14:paraId="17F13349">
            <w:pPr>
              <w:spacing w:line="400" w:lineRule="exact"/>
              <w:ind w:left="38" w:leftChars="18"/>
              <w:jc w:val="left"/>
              <w:rPr>
                <w:rFonts w:hint="eastAsia" w:ascii="宋体" w:hAnsi="宋体" w:eastAsia="宋体"/>
                <w:color w:val="auto"/>
                <w:lang w:eastAsia="zh-CN"/>
              </w:rPr>
            </w:pPr>
            <w:r>
              <w:rPr>
                <w:rFonts w:hint="eastAsia" w:ascii="宋体" w:hAnsi="宋体"/>
                <w:color w:val="auto"/>
                <w:szCs w:val="21"/>
              </w:rPr>
              <w:t>由采购人或采购代理机构对投标人的资格进行审查，资格审查人员由采购人或采购代理机人员共</w:t>
            </w:r>
            <w:r>
              <w:rPr>
                <w:rFonts w:hint="eastAsia" w:ascii="宋体" w:hAnsi="宋体"/>
                <w:color w:val="auto"/>
                <w:szCs w:val="21"/>
                <w:u w:val="single"/>
              </w:rPr>
              <w:t>1</w:t>
            </w:r>
            <w:r>
              <w:rPr>
                <w:rFonts w:hint="eastAsia" w:ascii="宋体" w:hAnsi="宋体"/>
                <w:color w:val="auto"/>
                <w:szCs w:val="21"/>
              </w:rPr>
              <w:t>人（含）以上单数组成</w:t>
            </w:r>
            <w:r>
              <w:rPr>
                <w:rFonts w:hint="eastAsia" w:ascii="宋体" w:hAnsi="宋体"/>
                <w:color w:val="auto"/>
                <w:szCs w:val="21"/>
                <w:lang w:eastAsia="zh-CN"/>
              </w:rPr>
              <w:t>。</w:t>
            </w:r>
          </w:p>
        </w:tc>
      </w:tr>
      <w:tr w14:paraId="5338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45F4CE3B">
            <w:pPr>
              <w:spacing w:line="400" w:lineRule="exact"/>
              <w:ind w:left="38" w:leftChars="18"/>
              <w:jc w:val="center"/>
              <w:rPr>
                <w:rFonts w:hint="eastAsia" w:ascii="宋体" w:hAnsi="宋体"/>
                <w:color w:val="auto"/>
                <w:szCs w:val="21"/>
              </w:rPr>
            </w:pPr>
            <w:r>
              <w:rPr>
                <w:rFonts w:hint="eastAsia" w:ascii="宋体" w:hAnsi="宋体"/>
                <w:color w:val="auto"/>
                <w:szCs w:val="21"/>
              </w:rPr>
              <w:t>5.3.1</w:t>
            </w:r>
          </w:p>
        </w:tc>
        <w:tc>
          <w:tcPr>
            <w:tcW w:w="1860" w:type="dxa"/>
            <w:noWrap w:val="0"/>
            <w:vAlign w:val="center"/>
          </w:tcPr>
          <w:p w14:paraId="43292961">
            <w:pPr>
              <w:spacing w:line="400" w:lineRule="exact"/>
              <w:ind w:left="38" w:leftChars="18"/>
              <w:jc w:val="center"/>
              <w:rPr>
                <w:rFonts w:hint="eastAsia" w:ascii="宋体" w:hAnsi="宋体"/>
                <w:color w:val="auto"/>
                <w:szCs w:val="21"/>
              </w:rPr>
            </w:pPr>
            <w:r>
              <w:rPr>
                <w:rFonts w:hint="eastAsia" w:ascii="宋体" w:hAnsi="宋体"/>
                <w:color w:val="auto"/>
                <w:szCs w:val="21"/>
              </w:rPr>
              <w:t>评标委员会组成</w:t>
            </w:r>
          </w:p>
        </w:tc>
        <w:tc>
          <w:tcPr>
            <w:tcW w:w="6496" w:type="dxa"/>
            <w:noWrap w:val="0"/>
            <w:vAlign w:val="center"/>
          </w:tcPr>
          <w:p w14:paraId="1B768A3D">
            <w:pPr>
              <w:spacing w:line="400" w:lineRule="exact"/>
              <w:rPr>
                <w:rFonts w:hint="eastAsia" w:ascii="宋体" w:hAnsi="宋体"/>
                <w:color w:val="auto"/>
                <w:szCs w:val="21"/>
              </w:rPr>
            </w:pPr>
            <w:r>
              <w:rPr>
                <w:rFonts w:hint="eastAsia" w:ascii="宋体" w:hAnsi="宋体"/>
                <w:color w:val="auto"/>
                <w:szCs w:val="21"/>
              </w:rPr>
              <w:t>评标委员会由采购人代表和评审专家组成，成员人数应</w:t>
            </w:r>
            <w:r>
              <w:rPr>
                <w:rFonts w:hint="eastAsia" w:ascii="宋体" w:hAnsi="宋体"/>
                <w:color w:val="auto"/>
                <w:szCs w:val="21"/>
                <w:highlight w:val="none"/>
              </w:rPr>
              <w:t>当为</w:t>
            </w:r>
            <w:r>
              <w:rPr>
                <w:rFonts w:hint="eastAsia" w:ascii="宋体" w:hAnsi="宋体"/>
                <w:color w:val="auto"/>
                <w:szCs w:val="21"/>
                <w:highlight w:val="none"/>
                <w:u w:val="single"/>
                <w:lang w:val="en-US" w:eastAsia="zh-CN"/>
              </w:rPr>
              <w:t>5</w:t>
            </w:r>
            <w:r>
              <w:rPr>
                <w:rFonts w:hint="eastAsia" w:ascii="宋体" w:hAnsi="宋体"/>
                <w:color w:val="auto"/>
                <w:szCs w:val="21"/>
                <w:highlight w:val="none"/>
              </w:rPr>
              <w:t>人以上单数，其中评审专家不得少于成员总数的三分之二，</w:t>
            </w:r>
            <w:r>
              <w:rPr>
                <w:rFonts w:hint="eastAsia" w:ascii="宋体" w:hAnsi="宋体" w:cs="宋体"/>
                <w:color w:val="auto"/>
                <w:szCs w:val="21"/>
                <w:highlight w:val="none"/>
              </w:rPr>
              <w:t>从省级以上财政部门设立的政府采购评审专家库中，通过随机方式抽取</w:t>
            </w:r>
          </w:p>
        </w:tc>
      </w:tr>
      <w:tr w14:paraId="6FBC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2E5E4BD6">
            <w:pPr>
              <w:spacing w:line="400" w:lineRule="exact"/>
              <w:ind w:left="38" w:leftChars="18"/>
              <w:jc w:val="center"/>
              <w:rPr>
                <w:rFonts w:hint="eastAsia" w:ascii="宋体" w:hAnsi="宋体"/>
                <w:color w:val="auto"/>
                <w:szCs w:val="21"/>
              </w:rPr>
            </w:pPr>
            <w:r>
              <w:rPr>
                <w:rFonts w:hint="eastAsia" w:ascii="宋体" w:hAnsi="宋体"/>
                <w:color w:val="auto"/>
                <w:szCs w:val="21"/>
              </w:rPr>
              <w:t>5.3.4</w:t>
            </w:r>
          </w:p>
        </w:tc>
        <w:tc>
          <w:tcPr>
            <w:tcW w:w="1860" w:type="dxa"/>
            <w:noWrap w:val="0"/>
            <w:vAlign w:val="center"/>
          </w:tcPr>
          <w:p w14:paraId="55D98749">
            <w:pPr>
              <w:spacing w:line="400" w:lineRule="exact"/>
              <w:ind w:left="38" w:leftChars="18"/>
              <w:jc w:val="center"/>
              <w:rPr>
                <w:rFonts w:hint="eastAsia" w:ascii="宋体" w:hAnsi="宋体"/>
                <w:color w:val="auto"/>
                <w:szCs w:val="21"/>
              </w:rPr>
            </w:pPr>
            <w:r>
              <w:rPr>
                <w:rFonts w:hint="eastAsia" w:ascii="宋体" w:hAnsi="宋体" w:cs="微软雅黑"/>
                <w:color w:val="auto"/>
                <w:kern w:val="0"/>
                <w:szCs w:val="21"/>
              </w:rPr>
              <w:t>评标</w:t>
            </w:r>
            <w:r>
              <w:rPr>
                <w:rFonts w:hint="eastAsia" w:ascii="宋体" w:hAnsi="宋体" w:cs="微软雅黑"/>
                <w:color w:val="auto"/>
                <w:spacing w:val="-2"/>
                <w:kern w:val="0"/>
                <w:szCs w:val="21"/>
              </w:rPr>
              <w:t>委</w:t>
            </w:r>
            <w:r>
              <w:rPr>
                <w:rFonts w:hint="eastAsia" w:ascii="宋体" w:hAnsi="宋体" w:cs="微软雅黑"/>
                <w:color w:val="auto"/>
                <w:kern w:val="0"/>
                <w:szCs w:val="21"/>
              </w:rPr>
              <w:t>员</w:t>
            </w:r>
            <w:r>
              <w:rPr>
                <w:rFonts w:hint="eastAsia" w:ascii="宋体" w:hAnsi="宋体" w:cs="微软雅黑"/>
                <w:color w:val="auto"/>
                <w:spacing w:val="-2"/>
                <w:kern w:val="0"/>
                <w:szCs w:val="21"/>
              </w:rPr>
              <w:t>会</w:t>
            </w:r>
            <w:r>
              <w:rPr>
                <w:rFonts w:hint="eastAsia" w:ascii="宋体" w:hAnsi="宋体" w:cs="微软雅黑"/>
                <w:color w:val="auto"/>
                <w:kern w:val="0"/>
                <w:szCs w:val="21"/>
              </w:rPr>
              <w:t>推</w:t>
            </w:r>
            <w:r>
              <w:rPr>
                <w:rFonts w:hint="eastAsia" w:ascii="宋体" w:hAnsi="宋体" w:cs="微软雅黑"/>
                <w:color w:val="auto"/>
                <w:spacing w:val="-2"/>
                <w:kern w:val="0"/>
                <w:szCs w:val="21"/>
              </w:rPr>
              <w:t>荐</w:t>
            </w:r>
            <w:r>
              <w:rPr>
                <w:rFonts w:hint="eastAsia" w:ascii="宋体" w:hAnsi="宋体" w:cs="微软雅黑"/>
                <w:color w:val="auto"/>
                <w:kern w:val="0"/>
                <w:szCs w:val="21"/>
              </w:rPr>
              <w:t>中</w:t>
            </w:r>
            <w:r>
              <w:rPr>
                <w:rFonts w:hint="eastAsia" w:ascii="宋体" w:hAnsi="宋体" w:cs="微软雅黑"/>
                <w:color w:val="auto"/>
                <w:spacing w:val="-2"/>
                <w:kern w:val="0"/>
                <w:szCs w:val="21"/>
              </w:rPr>
              <w:t>标</w:t>
            </w:r>
            <w:r>
              <w:rPr>
                <w:rFonts w:hint="eastAsia" w:ascii="宋体" w:hAnsi="宋体" w:cs="微软雅黑"/>
                <w:color w:val="auto"/>
                <w:kern w:val="0"/>
                <w:szCs w:val="21"/>
              </w:rPr>
              <w:t>候</w:t>
            </w:r>
            <w:r>
              <w:rPr>
                <w:rFonts w:hint="eastAsia" w:ascii="宋体" w:hAnsi="宋体" w:cs="微软雅黑"/>
                <w:color w:val="auto"/>
                <w:spacing w:val="-2"/>
                <w:kern w:val="0"/>
                <w:szCs w:val="21"/>
              </w:rPr>
              <w:t>选</w:t>
            </w:r>
            <w:r>
              <w:rPr>
                <w:rFonts w:hint="eastAsia" w:ascii="宋体" w:hAnsi="宋体" w:cs="微软雅黑"/>
                <w:color w:val="auto"/>
                <w:kern w:val="0"/>
                <w:szCs w:val="21"/>
              </w:rPr>
              <w:t>人的</w:t>
            </w:r>
            <w:r>
              <w:rPr>
                <w:rFonts w:hint="eastAsia" w:ascii="宋体" w:hAnsi="宋体" w:cs="微软雅黑"/>
                <w:color w:val="auto"/>
                <w:spacing w:val="-2"/>
                <w:kern w:val="0"/>
                <w:szCs w:val="21"/>
              </w:rPr>
              <w:t>人</w:t>
            </w:r>
            <w:r>
              <w:rPr>
                <w:rFonts w:hint="eastAsia" w:ascii="宋体" w:hAnsi="宋体" w:cs="微软雅黑"/>
                <w:color w:val="auto"/>
                <w:kern w:val="0"/>
                <w:szCs w:val="21"/>
              </w:rPr>
              <w:t>数</w:t>
            </w:r>
          </w:p>
        </w:tc>
        <w:tc>
          <w:tcPr>
            <w:tcW w:w="6496" w:type="dxa"/>
            <w:noWrap w:val="0"/>
            <w:vAlign w:val="center"/>
          </w:tcPr>
          <w:p w14:paraId="722BEF3B">
            <w:pPr>
              <w:spacing w:line="400" w:lineRule="exact"/>
              <w:rPr>
                <w:rFonts w:hint="eastAsia" w:ascii="宋体" w:hAnsi="宋体"/>
                <w:color w:val="auto"/>
                <w:szCs w:val="21"/>
              </w:rPr>
            </w:pPr>
            <w:r>
              <w:rPr>
                <w:rFonts w:hint="eastAsia" w:ascii="宋体" w:hAnsi="宋体"/>
                <w:color w:val="auto"/>
                <w:szCs w:val="21"/>
              </w:rPr>
              <w:t>评标委员会推荐中标候选人的人数：按综合评分由高到低的顺序推荐3名</w:t>
            </w:r>
          </w:p>
        </w:tc>
      </w:tr>
      <w:tr w14:paraId="571B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2" w:type="dxa"/>
            <w:noWrap w:val="0"/>
            <w:vAlign w:val="center"/>
          </w:tcPr>
          <w:p w14:paraId="2F69E799">
            <w:pPr>
              <w:spacing w:line="400" w:lineRule="exact"/>
              <w:ind w:left="38" w:leftChars="18"/>
              <w:jc w:val="center"/>
              <w:rPr>
                <w:rFonts w:hint="eastAsia" w:ascii="宋体" w:hAnsi="宋体"/>
                <w:color w:val="auto"/>
                <w:szCs w:val="21"/>
              </w:rPr>
            </w:pPr>
            <w:r>
              <w:rPr>
                <w:rFonts w:hint="eastAsia" w:ascii="宋体" w:hAnsi="宋体"/>
                <w:color w:val="auto"/>
                <w:szCs w:val="21"/>
              </w:rPr>
              <w:t>6.4.1</w:t>
            </w:r>
          </w:p>
        </w:tc>
        <w:tc>
          <w:tcPr>
            <w:tcW w:w="1860" w:type="dxa"/>
            <w:noWrap w:val="0"/>
            <w:vAlign w:val="center"/>
          </w:tcPr>
          <w:p w14:paraId="4A3B32D2">
            <w:pPr>
              <w:spacing w:line="400" w:lineRule="exact"/>
              <w:ind w:left="38" w:leftChars="18"/>
              <w:jc w:val="center"/>
              <w:rPr>
                <w:rFonts w:hint="eastAsia" w:ascii="宋体" w:hAnsi="宋体"/>
                <w:color w:val="auto"/>
                <w:szCs w:val="21"/>
                <w:highlight w:val="none"/>
              </w:rPr>
            </w:pPr>
            <w:r>
              <w:rPr>
                <w:rFonts w:hint="eastAsia" w:ascii="宋体" w:hAnsi="宋体"/>
                <w:color w:val="auto"/>
                <w:szCs w:val="21"/>
                <w:highlight w:val="none"/>
              </w:rPr>
              <w:t>履约保证金</w:t>
            </w:r>
          </w:p>
        </w:tc>
        <w:tc>
          <w:tcPr>
            <w:tcW w:w="6496" w:type="dxa"/>
            <w:noWrap w:val="0"/>
            <w:vAlign w:val="center"/>
          </w:tcPr>
          <w:p w14:paraId="394F5961">
            <w:pPr>
              <w:spacing w:line="240" w:lineRule="auto"/>
              <w:jc w:val="left"/>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不要求</w:t>
            </w:r>
          </w:p>
        </w:tc>
      </w:tr>
      <w:tr w14:paraId="2419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2700774B">
            <w:pPr>
              <w:spacing w:line="400" w:lineRule="exact"/>
              <w:ind w:left="38" w:leftChars="18"/>
              <w:jc w:val="center"/>
              <w:rPr>
                <w:rFonts w:hint="eastAsia" w:ascii="宋体" w:hAnsi="宋体"/>
                <w:color w:val="auto"/>
                <w:szCs w:val="21"/>
              </w:rPr>
            </w:pPr>
            <w:r>
              <w:rPr>
                <w:rFonts w:hint="eastAsia" w:ascii="宋体" w:hAnsi="宋体"/>
                <w:color w:val="auto"/>
                <w:szCs w:val="21"/>
              </w:rPr>
              <w:t>9.1</w:t>
            </w:r>
          </w:p>
        </w:tc>
        <w:tc>
          <w:tcPr>
            <w:tcW w:w="1860" w:type="dxa"/>
            <w:noWrap w:val="0"/>
            <w:vAlign w:val="center"/>
          </w:tcPr>
          <w:p w14:paraId="4FD87AEE">
            <w:pPr>
              <w:spacing w:line="400" w:lineRule="exact"/>
              <w:ind w:left="38" w:leftChars="18"/>
              <w:jc w:val="center"/>
              <w:rPr>
                <w:rFonts w:hint="eastAsia" w:ascii="宋体" w:hAnsi="宋体"/>
                <w:color w:val="auto"/>
                <w:szCs w:val="21"/>
              </w:rPr>
            </w:pPr>
            <w:r>
              <w:rPr>
                <w:rFonts w:hint="eastAsia" w:ascii="宋体" w:hAnsi="宋体"/>
                <w:color w:val="auto"/>
                <w:szCs w:val="21"/>
              </w:rPr>
              <w:t>是否采用电子招标投标</w:t>
            </w:r>
          </w:p>
        </w:tc>
        <w:tc>
          <w:tcPr>
            <w:tcW w:w="6496" w:type="dxa"/>
            <w:noWrap w:val="0"/>
            <w:vAlign w:val="center"/>
          </w:tcPr>
          <w:p w14:paraId="7201F470">
            <w:pPr>
              <w:spacing w:line="360" w:lineRule="auto"/>
              <w:ind w:left="38" w:leftChars="18"/>
              <w:rPr>
                <w:rFonts w:hint="eastAsia" w:ascii="宋体" w:hAnsi="宋体"/>
                <w:color w:val="auto"/>
              </w:rPr>
            </w:pPr>
            <w:r>
              <w:rPr>
                <w:rFonts w:hint="eastAsia" w:ascii="宋体" w:hAnsi="宋体"/>
                <w:color w:val="auto"/>
                <w:szCs w:val="21"/>
              </w:rPr>
              <w:t>是</w:t>
            </w:r>
          </w:p>
        </w:tc>
      </w:tr>
      <w:tr w14:paraId="1AB1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center"/>
          </w:tcPr>
          <w:p w14:paraId="5884E4E6">
            <w:pPr>
              <w:spacing w:line="400" w:lineRule="exact"/>
              <w:ind w:left="38" w:leftChars="18"/>
              <w:jc w:val="center"/>
              <w:rPr>
                <w:rFonts w:hint="eastAsia" w:ascii="宋体" w:hAnsi="宋体"/>
                <w:color w:val="auto"/>
                <w:szCs w:val="21"/>
              </w:rPr>
            </w:pPr>
            <w:r>
              <w:rPr>
                <w:rFonts w:hint="eastAsia" w:ascii="宋体" w:hAnsi="宋体"/>
                <w:color w:val="auto"/>
                <w:szCs w:val="21"/>
              </w:rPr>
              <w:t>9.2</w:t>
            </w:r>
          </w:p>
        </w:tc>
        <w:tc>
          <w:tcPr>
            <w:tcW w:w="1860" w:type="dxa"/>
            <w:noWrap w:val="0"/>
            <w:vAlign w:val="center"/>
          </w:tcPr>
          <w:p w14:paraId="0F1375A2">
            <w:pPr>
              <w:spacing w:line="400" w:lineRule="exact"/>
              <w:ind w:left="38" w:leftChars="18"/>
              <w:jc w:val="center"/>
              <w:rPr>
                <w:rFonts w:hint="eastAsia" w:ascii="宋体" w:hAnsi="宋体"/>
                <w:color w:val="auto"/>
                <w:szCs w:val="21"/>
                <w:highlight w:val="none"/>
              </w:rPr>
            </w:pPr>
            <w:r>
              <w:rPr>
                <w:rFonts w:hint="eastAsia" w:ascii="宋体" w:hAnsi="宋体"/>
                <w:color w:val="auto"/>
                <w:szCs w:val="21"/>
                <w:highlight w:val="none"/>
              </w:rPr>
              <w:t>其他</w:t>
            </w:r>
          </w:p>
        </w:tc>
        <w:tc>
          <w:tcPr>
            <w:tcW w:w="6496" w:type="dxa"/>
            <w:noWrap w:val="0"/>
            <w:vAlign w:val="center"/>
          </w:tcPr>
          <w:p w14:paraId="2DE27DBD">
            <w:pPr>
              <w:numPr>
                <w:ilvl w:val="0"/>
                <w:numId w:val="2"/>
              </w:numPr>
              <w:spacing w:line="360" w:lineRule="auto"/>
              <w:ind w:left="38" w:leftChars="18"/>
              <w:rPr>
                <w:rFonts w:hint="eastAsia" w:ascii="宋体" w:hAnsi="宋体" w:cs="宋体"/>
                <w:color w:val="auto"/>
                <w:highlight w:val="none"/>
                <w:lang w:eastAsia="zh-CN"/>
              </w:rPr>
            </w:pPr>
            <w:r>
              <w:rPr>
                <w:rFonts w:hint="eastAsia" w:ascii="宋体" w:hAnsi="宋体" w:cs="宋体"/>
                <w:color w:val="auto"/>
                <w:highlight w:val="none"/>
              </w:rPr>
              <w:t>代理费用收取方式及标准：参照豫招协[2023]002号河南省招标投标协会关于印发《河南省招标代理服务收费指导意见》的通知，以</w:t>
            </w:r>
            <w:r>
              <w:rPr>
                <w:rFonts w:hint="eastAsia" w:ascii="宋体" w:hAnsi="宋体" w:cs="宋体"/>
                <w:color w:val="auto"/>
                <w:highlight w:val="none"/>
                <w:lang w:val="en-US" w:eastAsia="zh-CN"/>
              </w:rPr>
              <w:t>预算金额</w:t>
            </w:r>
            <w:r>
              <w:rPr>
                <w:rFonts w:hint="eastAsia" w:ascii="宋体" w:hAnsi="宋体" w:cs="宋体"/>
                <w:color w:val="auto"/>
                <w:highlight w:val="none"/>
              </w:rPr>
              <w:t>为计算基数，采购代理服务费由</w:t>
            </w:r>
            <w:r>
              <w:rPr>
                <w:rFonts w:hint="eastAsia" w:ascii="宋体" w:hAnsi="宋体" w:cs="宋体"/>
                <w:color w:val="auto"/>
                <w:highlight w:val="none"/>
                <w:lang w:val="en-US" w:eastAsia="zh-CN"/>
              </w:rPr>
              <w:t>中标</w:t>
            </w:r>
            <w:r>
              <w:rPr>
                <w:rFonts w:hint="eastAsia" w:ascii="宋体" w:hAnsi="宋体" w:cs="宋体"/>
                <w:color w:val="auto"/>
                <w:highlight w:val="none"/>
              </w:rPr>
              <w:t>人支付</w:t>
            </w:r>
            <w:r>
              <w:rPr>
                <w:rFonts w:hint="eastAsia" w:ascii="宋体" w:hAnsi="宋体" w:cs="宋体"/>
                <w:color w:val="auto"/>
                <w:highlight w:val="none"/>
                <w:lang w:eastAsia="zh-CN"/>
              </w:rPr>
              <w:t>。</w:t>
            </w:r>
          </w:p>
          <w:p w14:paraId="5231A78C">
            <w:pPr>
              <w:numPr>
                <w:ilvl w:val="0"/>
                <w:numId w:val="0"/>
              </w:numPr>
              <w:spacing w:line="360" w:lineRule="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代理服务费金额：25400元</w:t>
            </w:r>
          </w:p>
          <w:p w14:paraId="56435E9C">
            <w:pPr>
              <w:pStyle w:val="40"/>
              <w:spacing w:line="360" w:lineRule="auto"/>
              <w:ind w:firstLine="0" w:firstLineChars="0"/>
              <w:rPr>
                <w:rFonts w:hint="eastAsia" w:ascii="宋体" w:hAnsi="宋体" w:cs="宋体"/>
                <w:color w:val="auto"/>
                <w:highlight w:val="none"/>
              </w:rPr>
            </w:pPr>
            <w:r>
              <w:rPr>
                <w:rFonts w:hint="eastAsia" w:ascii="宋体" w:hAnsi="宋体" w:cs="宋体"/>
                <w:color w:val="auto"/>
                <w:highlight w:val="none"/>
              </w:rPr>
              <w:t>招标代理费转账账户：</w:t>
            </w:r>
          </w:p>
          <w:p w14:paraId="3C46E49F">
            <w:pPr>
              <w:spacing w:line="360" w:lineRule="auto"/>
              <w:ind w:left="38" w:leftChars="18"/>
              <w:rPr>
                <w:rFonts w:hint="eastAsia" w:ascii="宋体" w:hAnsi="宋体" w:cs="宋体"/>
                <w:color w:val="auto"/>
              </w:rPr>
            </w:pPr>
            <w:r>
              <w:rPr>
                <w:rFonts w:hint="eastAsia" w:ascii="宋体" w:hAnsi="宋体" w:cs="宋体"/>
                <w:color w:val="auto"/>
              </w:rPr>
              <w:t>开户名称：河南恒展工程咨询有限公司</w:t>
            </w:r>
          </w:p>
          <w:p w14:paraId="57B53AE5">
            <w:pPr>
              <w:spacing w:line="360" w:lineRule="auto"/>
              <w:ind w:left="38" w:leftChars="18"/>
              <w:rPr>
                <w:rFonts w:hint="eastAsia" w:ascii="宋体" w:hAnsi="宋体" w:cs="宋体"/>
                <w:color w:val="auto"/>
              </w:rPr>
            </w:pPr>
            <w:r>
              <w:rPr>
                <w:rFonts w:hint="eastAsia" w:ascii="宋体" w:hAnsi="宋体" w:cs="宋体"/>
                <w:color w:val="auto"/>
              </w:rPr>
              <w:t>开户银行：中国民生银行股份有限公司郑州花园路支行</w:t>
            </w:r>
          </w:p>
          <w:p w14:paraId="082507C4">
            <w:pPr>
              <w:spacing w:line="360" w:lineRule="auto"/>
              <w:ind w:left="38" w:leftChars="18"/>
              <w:rPr>
                <w:rFonts w:hint="eastAsia" w:ascii="宋体" w:hAnsi="宋体" w:cs="宋体"/>
                <w:color w:val="auto"/>
              </w:rPr>
            </w:pPr>
            <w:r>
              <w:rPr>
                <w:rFonts w:hint="eastAsia" w:ascii="宋体" w:hAnsi="宋体" w:cs="宋体"/>
                <w:color w:val="auto"/>
              </w:rPr>
              <w:t xml:space="preserve">账号:156527695 </w:t>
            </w:r>
          </w:p>
          <w:p w14:paraId="46441B25">
            <w:pPr>
              <w:spacing w:line="360" w:lineRule="auto"/>
              <w:rPr>
                <w:rFonts w:hint="eastAsia" w:ascii="宋体" w:hAnsi="宋体" w:eastAsia="宋体" w:cs="宋体"/>
                <w:color w:val="auto"/>
                <w:highlight w:val="none"/>
                <w:lang w:eastAsia="zh-CN"/>
              </w:rPr>
            </w:pPr>
            <w:r>
              <w:rPr>
                <w:rFonts w:hint="eastAsia" w:ascii="宋体" w:hAnsi="宋体" w:cs="宋体"/>
                <w:color w:val="auto"/>
                <w:highlight w:val="none"/>
              </w:rPr>
              <w:t>转账备注</w:t>
            </w:r>
            <w:r>
              <w:rPr>
                <w:rFonts w:hint="eastAsia" w:ascii="宋体" w:hAnsi="宋体" w:cs="宋体"/>
                <w:color w:val="auto"/>
                <w:highlight w:val="none"/>
                <w:lang w:eastAsia="zh-CN"/>
              </w:rPr>
              <w:t>：</w:t>
            </w:r>
            <w:r>
              <w:rPr>
                <w:rFonts w:hint="eastAsia" w:ascii="宋体" w:hAnsi="宋体" w:cs="宋体"/>
                <w:color w:val="auto"/>
                <w:szCs w:val="21"/>
                <w:highlight w:val="none"/>
                <w:lang w:eastAsia="zh-CN"/>
              </w:rPr>
              <w:t>项目名称</w:t>
            </w:r>
            <w:r>
              <w:rPr>
                <w:rFonts w:hint="eastAsia" w:ascii="宋体" w:hAnsi="宋体" w:cs="宋体"/>
                <w:color w:val="auto"/>
                <w:szCs w:val="21"/>
                <w:highlight w:val="none"/>
                <w:lang w:val="en-US" w:eastAsia="zh-CN"/>
              </w:rPr>
              <w:t>+</w:t>
            </w:r>
            <w:r>
              <w:rPr>
                <w:rFonts w:hint="eastAsia" w:ascii="宋体" w:hAnsi="宋体" w:cs="宋体"/>
                <w:color w:val="auto"/>
                <w:highlight w:val="none"/>
              </w:rPr>
              <w:t>招标代理服务费</w:t>
            </w:r>
            <w:r>
              <w:rPr>
                <w:rFonts w:hint="eastAsia" w:ascii="宋体" w:hAnsi="宋体" w:cs="宋体"/>
                <w:color w:val="auto"/>
                <w:highlight w:val="none"/>
                <w:lang w:eastAsia="zh-CN"/>
              </w:rPr>
              <w:t>（可简写）</w:t>
            </w:r>
          </w:p>
          <w:p w14:paraId="493C403C">
            <w:pPr>
              <w:numPr>
                <w:ilvl w:val="0"/>
                <w:numId w:val="0"/>
              </w:numPr>
              <w:spacing w:line="360" w:lineRule="auto"/>
              <w:rPr>
                <w:rFonts w:hint="eastAsia" w:ascii="宋体" w:hAnsi="宋体" w:eastAsia="宋体" w:cs="宋体"/>
                <w:color w:val="0000FF"/>
                <w:highlight w:val="none"/>
                <w:lang w:val="en-US" w:eastAsia="zh-CN"/>
              </w:rPr>
            </w:pPr>
            <w:r>
              <w:rPr>
                <w:rFonts w:hint="eastAsia" w:ascii="宋体" w:hAnsi="宋体" w:cs="宋体"/>
                <w:color w:val="auto"/>
                <w:highlight w:val="none"/>
                <w:lang w:val="en-US" w:eastAsia="zh-CN"/>
              </w:rPr>
              <w:t>2.</w:t>
            </w:r>
            <w:r>
              <w:rPr>
                <w:rFonts w:hint="eastAsia" w:ascii="宋体" w:hAnsi="宋体" w:cs="宋体"/>
                <w:color w:val="auto"/>
                <w:highlight w:val="none"/>
              </w:rPr>
              <w:t>采购资金的支付方式、时间（付款方式）：</w:t>
            </w:r>
            <w:r>
              <w:rPr>
                <w:rFonts w:hint="eastAsia" w:ascii="宋体" w:hAnsi="宋体" w:cs="宋体"/>
                <w:color w:val="auto"/>
                <w:highlight w:val="none"/>
                <w:lang w:eastAsia="zh-CN"/>
              </w:rPr>
              <w:t>乙方安装调试完毕且经甲方正式验收合格并正常使用后，支付合同总价款的30%；安装调试验收合格半年之后使用过程中无质量问题，支付合同总价款的60%，两年后支付合同总价款的10%。</w:t>
            </w:r>
          </w:p>
          <w:p w14:paraId="3EBB0B19">
            <w:pPr>
              <w:numPr>
                <w:ilvl w:val="0"/>
                <w:numId w:val="0"/>
              </w:numPr>
              <w:spacing w:line="360" w:lineRule="auto"/>
              <w:rPr>
                <w:rFonts w:hint="eastAsia" w:ascii="宋体" w:hAnsi="宋体" w:cs="宋体"/>
                <w:color w:val="auto"/>
                <w:highlight w:val="none"/>
              </w:rPr>
            </w:pPr>
            <w:r>
              <w:rPr>
                <w:rFonts w:hint="eastAsia" w:ascii="宋体" w:hAnsi="宋体" w:cs="宋体"/>
                <w:color w:val="auto"/>
                <w:highlight w:val="none"/>
              </w:rPr>
              <w:t>3.履约验收要求：符合招标文件</w:t>
            </w:r>
            <w:r>
              <w:rPr>
                <w:rFonts w:hint="eastAsia" w:ascii="宋体" w:hAnsi="宋体" w:cs="宋体"/>
                <w:color w:val="auto"/>
                <w:highlight w:val="none"/>
                <w:lang w:eastAsia="zh-CN"/>
              </w:rPr>
              <w:t>和投标文件</w:t>
            </w:r>
            <w:r>
              <w:rPr>
                <w:rFonts w:hint="eastAsia" w:ascii="宋体" w:hAnsi="宋体" w:cs="宋体"/>
                <w:color w:val="auto"/>
                <w:highlight w:val="none"/>
              </w:rPr>
              <w:t>的要求。</w:t>
            </w:r>
          </w:p>
          <w:p w14:paraId="649538C9">
            <w:pPr>
              <w:spacing w:line="360" w:lineRule="auto"/>
              <w:ind w:left="38" w:leftChars="18"/>
              <w:rPr>
                <w:rFonts w:hint="eastAsia" w:ascii="宋体" w:hAnsi="宋体" w:cs="宋体"/>
                <w:color w:val="auto"/>
                <w:highlight w:val="none"/>
              </w:rPr>
            </w:pPr>
            <w:r>
              <w:rPr>
                <w:rFonts w:hint="eastAsia" w:ascii="宋体" w:hAnsi="宋体" w:cs="宋体"/>
                <w:color w:val="auto"/>
                <w:highlight w:val="none"/>
              </w:rPr>
              <w:t>4.投标人认为采购文件、采购过程和中标结果使自己的权益受到损害的, 可以在知道或者应知其权益受到损害之日起七个工作日内，按照</w:t>
            </w:r>
            <w:r>
              <w:rPr>
                <w:rFonts w:hint="eastAsia"/>
                <w:color w:val="auto"/>
                <w:szCs w:val="21"/>
                <w:highlight w:val="none"/>
              </w:rPr>
              <w:t>《</w:t>
            </w:r>
            <w:r>
              <w:rPr>
                <w:rFonts w:hint="eastAsia" w:ascii="宋体" w:hAnsi="宋体"/>
                <w:color w:val="auto"/>
                <w:szCs w:val="21"/>
                <w:highlight w:val="none"/>
              </w:rPr>
              <w:t>政府采购质疑和投诉办法</w:t>
            </w:r>
            <w:r>
              <w:rPr>
                <w:rFonts w:hint="eastAsia"/>
                <w:color w:val="auto"/>
                <w:szCs w:val="21"/>
                <w:highlight w:val="none"/>
              </w:rPr>
              <w:t>》</w:t>
            </w:r>
            <w:r>
              <w:rPr>
                <w:rFonts w:hint="eastAsia" w:ascii="宋体" w:hAnsi="宋体" w:cs="宋体"/>
                <w:color w:val="auto"/>
                <w:highlight w:val="none"/>
              </w:rPr>
              <w:t>（中华人民共和国财政部令94号）以书面形式向采购人或采购代理机构提出质疑（邮寄件、传真件不予受理），逾期不再接收。</w:t>
            </w:r>
            <w:r>
              <w:rPr>
                <w:rFonts w:hint="eastAsia" w:ascii="宋体" w:hAnsi="宋体" w:cs="宋体"/>
                <w:color w:val="auto"/>
                <w:szCs w:val="21"/>
                <w:highlight w:val="none"/>
              </w:rPr>
              <w:t>接收质疑函联系部门：</w:t>
            </w:r>
            <w:r>
              <w:rPr>
                <w:rFonts w:hint="eastAsia" w:ascii="宋体" w:hAnsi="宋体" w:cs="宋体"/>
                <w:color w:val="auto"/>
                <w:szCs w:val="21"/>
                <w:highlight w:val="none"/>
                <w:lang w:eastAsia="zh-CN"/>
              </w:rPr>
              <w:t>河南恒展工程咨询有限公司</w:t>
            </w:r>
            <w:r>
              <w:rPr>
                <w:rFonts w:hint="eastAsia" w:ascii="宋体" w:hAnsi="宋体" w:cs="宋体"/>
                <w:color w:val="auto"/>
                <w:szCs w:val="21"/>
                <w:highlight w:val="none"/>
              </w:rPr>
              <w:t>；联系电话：</w:t>
            </w:r>
            <w:r>
              <w:rPr>
                <w:rFonts w:hint="eastAsia" w:ascii="宋体" w:hAnsi="宋体" w:cs="宋体"/>
                <w:color w:val="auto"/>
                <w:szCs w:val="21"/>
                <w:highlight w:val="none"/>
                <w:lang w:val="en-US" w:eastAsia="zh-CN"/>
              </w:rPr>
              <w:t>18137826685</w:t>
            </w:r>
            <w:r>
              <w:rPr>
                <w:rFonts w:hint="eastAsia" w:ascii="宋体" w:hAnsi="宋体" w:cs="宋体"/>
                <w:color w:val="auto"/>
                <w:szCs w:val="21"/>
                <w:highlight w:val="none"/>
              </w:rPr>
              <w:t>；通讯地址：</w:t>
            </w:r>
            <w:r>
              <w:rPr>
                <w:rFonts w:hint="eastAsia" w:ascii="宋体" w:hAnsi="宋体" w:cs="宋体"/>
                <w:color w:val="auto"/>
                <w:szCs w:val="21"/>
                <w:highlight w:val="none"/>
                <w:lang w:val="en-US" w:eastAsia="zh-CN"/>
              </w:rPr>
              <w:t>郑州市中原区伏牛路金帝大厦23楼</w:t>
            </w:r>
            <w:r>
              <w:rPr>
                <w:rFonts w:hint="eastAsia" w:ascii="宋体" w:hAnsi="宋体" w:cs="宋体"/>
                <w:color w:val="auto"/>
                <w:szCs w:val="21"/>
                <w:highlight w:val="none"/>
              </w:rPr>
              <w:t>。在法定质疑期内投标人针对同一采购程序环节的质疑应当一次性提出。</w:t>
            </w:r>
          </w:p>
          <w:p w14:paraId="41B34BE8">
            <w:pPr>
              <w:spacing w:line="360" w:lineRule="auto"/>
              <w:ind w:left="38" w:leftChars="18"/>
              <w:rPr>
                <w:rFonts w:hint="eastAsia" w:ascii="宋体" w:hAnsi="宋体" w:cs="宋体"/>
                <w:color w:val="auto"/>
                <w:highlight w:val="none"/>
              </w:rPr>
            </w:pPr>
            <w:r>
              <w:rPr>
                <w:rFonts w:hint="eastAsia" w:ascii="宋体" w:hAnsi="宋体" w:cs="宋体"/>
                <w:color w:val="auto"/>
                <w:highlight w:val="none"/>
              </w:rPr>
              <w:t>5.本项目中标公告将同时在《河南省政府采购网》、《开封市公共资源交易信息网</w:t>
            </w:r>
            <w:r>
              <w:rPr>
                <w:rFonts w:hint="eastAsia" w:ascii="宋体" w:hAnsi="宋体" w:cs="宋体"/>
                <w:color w:val="auto"/>
                <w:highlight w:val="none"/>
                <w:lang w:eastAsia="zh-CN"/>
              </w:rPr>
              <w:t>》</w:t>
            </w:r>
            <w:r>
              <w:rPr>
                <w:rFonts w:hint="eastAsia" w:ascii="宋体" w:hAnsi="宋体" w:cs="宋体"/>
                <w:color w:val="auto"/>
                <w:highlight w:val="none"/>
              </w:rPr>
              <w:t>上发布。</w:t>
            </w:r>
          </w:p>
          <w:p w14:paraId="3567DAF8">
            <w:pPr>
              <w:spacing w:line="360" w:lineRule="auto"/>
              <w:ind w:left="38" w:leftChars="18"/>
              <w:rPr>
                <w:rFonts w:hint="eastAsia" w:ascii="宋体" w:hAnsi="宋体" w:cs="宋体"/>
                <w:color w:val="auto"/>
                <w:highlight w:val="none"/>
              </w:rPr>
            </w:pPr>
            <w:r>
              <w:rPr>
                <w:rFonts w:hint="eastAsia" w:ascii="宋体" w:hAnsi="宋体" w:cs="宋体"/>
                <w:color w:val="auto"/>
                <w:highlight w:val="none"/>
              </w:rPr>
              <w:t>6.中标人与采购人签订合同后，将合同副本原件报采购代理机构备案。</w:t>
            </w:r>
          </w:p>
          <w:p w14:paraId="15252544">
            <w:pPr>
              <w:spacing w:line="360" w:lineRule="auto"/>
              <w:ind w:left="38" w:leftChars="18"/>
              <w:rPr>
                <w:rFonts w:hint="eastAsia" w:ascii="宋体" w:hAnsi="宋体" w:cs="宋体"/>
                <w:color w:val="auto"/>
                <w:highlight w:val="none"/>
              </w:rPr>
            </w:pPr>
            <w:r>
              <w:rPr>
                <w:rFonts w:hint="eastAsia" w:ascii="宋体" w:hAnsi="宋体" w:cs="宋体"/>
                <w:color w:val="auto"/>
                <w:highlight w:val="none"/>
              </w:rPr>
              <w:t>7.采购人或采购代理机构应当自政府采购合同签订之日起2个工作日内，将政府采购合同在省级以上人民政府财政部门指定的媒体上公告，但政府采购合同中涉及国家秘密、商业秘密的内容除外。</w:t>
            </w:r>
          </w:p>
          <w:p w14:paraId="57114045">
            <w:pPr>
              <w:spacing w:line="360" w:lineRule="auto"/>
              <w:ind w:left="38" w:leftChars="18"/>
              <w:rPr>
                <w:rFonts w:hint="eastAsia" w:ascii="宋体" w:hAnsi="宋体" w:cs="宋体"/>
                <w:color w:val="auto"/>
                <w:highlight w:val="none"/>
              </w:rPr>
            </w:pPr>
            <w:r>
              <w:rPr>
                <w:rFonts w:hint="eastAsia" w:ascii="宋体" w:hAnsi="宋体" w:cs="宋体"/>
                <w:color w:val="auto"/>
                <w:highlight w:val="none"/>
              </w:rPr>
              <w:t>8.为落实河南省财政厅关于印发深入推进政府采购合同融资工作实施方案的通知（豫财办﹝2020﹞33号），中标人可以持政府采购合同向融资机构申请贷款，具体详见附件。</w:t>
            </w:r>
          </w:p>
          <w:p w14:paraId="5DD31570">
            <w:pPr>
              <w:spacing w:line="360" w:lineRule="auto"/>
              <w:ind w:left="38" w:leftChars="18"/>
              <w:rPr>
                <w:rFonts w:hint="eastAsia" w:ascii="宋体" w:hAnsi="宋体" w:cs="宋体"/>
                <w:color w:val="auto"/>
                <w:highlight w:val="none"/>
              </w:rPr>
            </w:pPr>
            <w:r>
              <w:rPr>
                <w:rFonts w:hint="eastAsia" w:ascii="宋体" w:hAnsi="宋体" w:cs="宋体"/>
                <w:color w:val="auto"/>
                <w:highlight w:val="none"/>
              </w:rPr>
              <w:t>9.商品包装和快递包装应符合《商品包装政府采购需求标准（试行）》和《快递包装政府采购需求标准（试行）》规定。</w:t>
            </w:r>
          </w:p>
          <w:p w14:paraId="2EBDAA6C">
            <w:pPr>
              <w:spacing w:line="360" w:lineRule="auto"/>
              <w:ind w:left="38" w:leftChars="18"/>
              <w:rPr>
                <w:rFonts w:hint="eastAsia" w:ascii="宋体" w:hAnsi="宋体" w:cs="宋体"/>
                <w:color w:val="auto"/>
                <w:highlight w:val="none"/>
              </w:rPr>
            </w:pPr>
            <w:r>
              <w:rPr>
                <w:rFonts w:hint="eastAsia" w:ascii="宋体" w:hAnsi="宋体" w:cs="宋体"/>
                <w:color w:val="auto"/>
                <w:highlight w:val="none"/>
              </w:rPr>
              <w:t>10.本项目采购标的属于工业行业。</w:t>
            </w:r>
          </w:p>
          <w:p w14:paraId="0C8FCA40">
            <w:pPr>
              <w:spacing w:line="360" w:lineRule="auto"/>
              <w:ind w:left="38" w:leftChars="18"/>
              <w:rPr>
                <w:rFonts w:hint="eastAsia" w:ascii="宋体" w:hAnsi="宋体" w:cs="宋体"/>
                <w:color w:val="auto"/>
                <w:highlight w:val="none"/>
                <w:lang w:val="en-US" w:eastAsia="zh-CN"/>
              </w:rPr>
            </w:pPr>
            <w:r>
              <w:rPr>
                <w:rFonts w:hint="eastAsia" w:ascii="宋体" w:hAnsi="宋体" w:cs="宋体"/>
                <w:color w:val="auto"/>
                <w:highlight w:val="none"/>
                <w:lang w:val="en-US" w:eastAsia="zh-CN"/>
              </w:rPr>
              <w:t>11.招标控制价（含税）:</w:t>
            </w:r>
          </w:p>
          <w:p w14:paraId="58E30C8C">
            <w:pPr>
              <w:spacing w:line="360" w:lineRule="auto"/>
              <w:ind w:left="38" w:leftChars="18"/>
              <w:rPr>
                <w:rFonts w:hint="default" w:ascii="宋体" w:hAnsi="宋体" w:eastAsia="宋体" w:cs="宋体"/>
                <w:color w:val="auto"/>
                <w:highlight w:val="none"/>
                <w:lang w:val="en-US" w:eastAsia="zh-CN"/>
              </w:rPr>
            </w:pPr>
            <w:r>
              <w:rPr>
                <w:rFonts w:hint="eastAsia" w:ascii="宋体" w:hAnsi="宋体" w:cs="宋体"/>
                <w:color w:val="auto"/>
                <w:highlight w:val="none"/>
              </w:rPr>
              <w:t>大写：人民币</w:t>
            </w:r>
            <w:r>
              <w:rPr>
                <w:rFonts w:hint="eastAsia" w:ascii="宋体" w:hAnsi="宋体" w:cs="宋体"/>
                <w:color w:val="auto"/>
                <w:highlight w:val="none"/>
                <w:lang w:val="en-US" w:eastAsia="zh-CN"/>
              </w:rPr>
              <w:t>壹佰柒拾万元整</w:t>
            </w:r>
          </w:p>
          <w:p w14:paraId="5AC507D9">
            <w:pPr>
              <w:spacing w:line="360" w:lineRule="auto"/>
              <w:ind w:left="38" w:leftChars="18"/>
              <w:rPr>
                <w:rFonts w:hint="eastAsia" w:ascii="宋体" w:hAnsi="宋体" w:cs="宋体"/>
                <w:color w:val="auto"/>
                <w:highlight w:val="none"/>
              </w:rPr>
            </w:pPr>
            <w:r>
              <w:rPr>
                <w:rFonts w:hint="eastAsia" w:ascii="宋体" w:hAnsi="宋体" w:cs="宋体"/>
                <w:color w:val="auto"/>
                <w:highlight w:val="none"/>
              </w:rPr>
              <w:t>小写：</w:t>
            </w:r>
            <w:r>
              <w:rPr>
                <w:rFonts w:hint="eastAsia" w:ascii="宋体" w:hAnsi="宋体" w:cs="宋体"/>
                <w:color w:val="auto"/>
                <w:highlight w:val="none"/>
                <w:lang w:eastAsia="zh-CN"/>
              </w:rPr>
              <w:t>1700000.0</w:t>
            </w:r>
            <w:r>
              <w:rPr>
                <w:rFonts w:hint="eastAsia" w:ascii="宋体" w:hAnsi="宋体" w:cs="宋体"/>
                <w:color w:val="auto"/>
                <w:highlight w:val="none"/>
              </w:rPr>
              <w:t>元</w:t>
            </w:r>
          </w:p>
          <w:p w14:paraId="2DE78A6A">
            <w:pPr>
              <w:spacing w:line="360" w:lineRule="auto"/>
              <w:ind w:left="38" w:leftChars="18"/>
              <w:rPr>
                <w:rFonts w:hint="eastAsia" w:ascii="宋体" w:hAnsi="宋体" w:cs="宋体"/>
                <w:color w:val="auto"/>
                <w:highlight w:val="none"/>
              </w:rPr>
            </w:pPr>
            <w:r>
              <w:rPr>
                <w:rFonts w:hint="eastAsia" w:ascii="宋体" w:hAnsi="宋体" w:cs="宋体"/>
                <w:color w:val="auto"/>
                <w:highlight w:val="none"/>
              </w:rPr>
              <w:t>报价高于招标控制价的视为无效报价，其投标予以拒绝。</w:t>
            </w:r>
          </w:p>
          <w:p w14:paraId="1063E35D">
            <w:pPr>
              <w:spacing w:line="360" w:lineRule="auto"/>
              <w:ind w:left="38" w:leftChars="18"/>
              <w:rPr>
                <w:rFonts w:hint="eastAsia" w:ascii="宋体" w:hAnsi="宋体" w:cs="宋体"/>
                <w:color w:val="auto"/>
                <w:highlight w:val="none"/>
                <w:lang w:val="en-US" w:eastAsia="zh-CN"/>
              </w:rPr>
            </w:pPr>
            <w:r>
              <w:rPr>
                <w:rFonts w:hint="eastAsia" w:ascii="宋体" w:hAnsi="宋体" w:cs="宋体"/>
                <w:color w:val="auto"/>
                <w:highlight w:val="none"/>
                <w:lang w:val="en-US" w:eastAsia="zh-CN"/>
              </w:rPr>
              <w:t>12.“硬件特征码一致”所造成的后果</w:t>
            </w:r>
          </w:p>
          <w:p w14:paraId="61198125">
            <w:pPr>
              <w:spacing w:line="360" w:lineRule="auto"/>
              <w:ind w:left="38" w:leftChars="18"/>
              <w:rPr>
                <w:rFonts w:hint="eastAsia" w:ascii="宋体" w:hAnsi="宋体" w:cs="宋体"/>
                <w:color w:val="auto"/>
                <w:highlight w:val="none"/>
                <w:lang w:val="en-US" w:eastAsia="zh-CN"/>
              </w:rPr>
            </w:pPr>
            <w:r>
              <w:rPr>
                <w:rFonts w:hint="eastAsia" w:ascii="宋体" w:hAnsi="宋体" w:cs="宋体"/>
                <w:color w:val="auto"/>
                <w:highlight w:val="none"/>
                <w:lang w:val="en-US" w:eastAsia="zh-CN"/>
              </w:rPr>
              <w:t>12.1投标人必须在投标文件中作出如下承诺：“我公司独立制作、修改和上传投标文件，并承担因‘硬件特征码一致’所造成的不良后果”。</w:t>
            </w:r>
          </w:p>
          <w:p w14:paraId="61148D5E">
            <w:pPr>
              <w:spacing w:line="360" w:lineRule="auto"/>
              <w:ind w:left="38" w:leftChars="18"/>
              <w:rPr>
                <w:rFonts w:hint="eastAsia" w:ascii="宋体" w:hAnsi="宋体" w:cs="宋体"/>
                <w:color w:val="auto"/>
                <w:highlight w:val="none"/>
                <w:lang w:val="en-US" w:eastAsia="zh-CN"/>
              </w:rPr>
            </w:pPr>
            <w:r>
              <w:rPr>
                <w:rFonts w:hint="eastAsia" w:ascii="宋体" w:hAnsi="宋体" w:cs="宋体"/>
                <w:color w:val="auto"/>
                <w:highlight w:val="none"/>
                <w:lang w:val="en-US" w:eastAsia="zh-CN"/>
              </w:rPr>
              <w:t>12.2对于被认定为“硬件特征码一致”的投标人，禁止其一年内在开封行政区域内参与招投标活动并在网上予以通报。</w:t>
            </w:r>
          </w:p>
          <w:p w14:paraId="7B3F4A5A">
            <w:pPr>
              <w:spacing w:line="360" w:lineRule="auto"/>
              <w:ind w:left="38" w:leftChars="18"/>
              <w:rPr>
                <w:rFonts w:hint="eastAsia" w:ascii="宋体" w:hAnsi="宋体" w:cs="宋体"/>
                <w:color w:val="auto"/>
                <w:highlight w:val="none"/>
                <w:lang w:val="en-US" w:eastAsia="zh-CN"/>
              </w:rPr>
            </w:pPr>
            <w:r>
              <w:rPr>
                <w:rFonts w:hint="eastAsia" w:ascii="宋体" w:hAnsi="宋体" w:cs="宋体"/>
                <w:color w:val="auto"/>
                <w:highlight w:val="none"/>
                <w:lang w:val="en-US" w:eastAsia="zh-CN"/>
              </w:rPr>
              <w:t>13.根据开封市公共资源交易管理委员会办公室文件（汴公管办【2020】13号）的规定：供应商(投标人)向采购人（招标人） 、采购代理机构（招标代理机构） 提出质疑(异议) 的方式为线上提起，并在规定时间内对供应商(投标人)的质疑进行回复。</w:t>
            </w:r>
          </w:p>
          <w:p w14:paraId="29E8F85F">
            <w:pPr>
              <w:spacing w:line="360" w:lineRule="auto"/>
              <w:ind w:left="38" w:leftChars="18"/>
              <w:rPr>
                <w:rFonts w:hint="default" w:ascii="宋体" w:hAnsi="宋体" w:cs="宋体"/>
                <w:color w:val="auto"/>
                <w:highlight w:val="none"/>
                <w:lang w:val="en-US" w:eastAsia="zh-CN"/>
              </w:rPr>
            </w:pPr>
            <w:r>
              <w:rPr>
                <w:rFonts w:hint="eastAsia" w:ascii="宋体" w:hAnsi="宋体" w:cs="宋体"/>
                <w:color w:val="auto"/>
                <w:highlight w:val="none"/>
                <w:lang w:val="en-US" w:eastAsia="zh-CN"/>
              </w:rPr>
              <w:t>14.各投标（响应）人从参与项目交易开始至项目交易活动结束止，应时刻关注电子交易系统中的项目进度和状态，特别是项目评审期间。由于自身原因错过变更通知、文件澄清、报价响应（自系统发起30分钟内做出）等重要信息的，后果由投标（响应）人自行承担。</w:t>
            </w:r>
          </w:p>
        </w:tc>
      </w:tr>
    </w:tbl>
    <w:p w14:paraId="6F9F7438">
      <w:pPr>
        <w:rPr>
          <w:rFonts w:hint="eastAsia"/>
          <w:color w:val="auto"/>
        </w:rPr>
      </w:pPr>
    </w:p>
    <w:p w14:paraId="37DEECBA">
      <w:pPr>
        <w:spacing w:line="360" w:lineRule="auto"/>
        <w:ind w:firstLine="420" w:firstLineChars="200"/>
        <w:rPr>
          <w:rFonts w:hint="eastAsia"/>
          <w:color w:val="auto"/>
        </w:rPr>
      </w:pPr>
    </w:p>
    <w:p w14:paraId="1628B6A3">
      <w:pPr>
        <w:pStyle w:val="3"/>
        <w:bidi w:val="0"/>
        <w:rPr>
          <w:rFonts w:hint="eastAsia" w:ascii="宋体" w:hAnsi="宋体"/>
          <w:color w:val="auto"/>
          <w:szCs w:val="24"/>
        </w:rPr>
      </w:pPr>
      <w:bookmarkStart w:id="8" w:name="_Toc312133543"/>
      <w:bookmarkStart w:id="9" w:name="_Toc12329"/>
      <w:r>
        <w:rPr>
          <w:rFonts w:hint="eastAsia" w:ascii="宋体" w:hAnsi="宋体"/>
          <w:color w:val="auto"/>
          <w:szCs w:val="24"/>
        </w:rPr>
        <w:br w:type="page"/>
      </w:r>
      <w:r>
        <w:rPr>
          <w:rFonts w:hint="eastAsia" w:ascii="宋体" w:hAnsi="宋体"/>
          <w:color w:val="auto"/>
          <w:szCs w:val="24"/>
        </w:rPr>
        <w:t xml:space="preserve"> </w:t>
      </w:r>
      <w:bookmarkStart w:id="10" w:name="_Toc10747"/>
      <w:r>
        <w:rPr>
          <w:rFonts w:hint="eastAsia" w:ascii="宋体" w:hAnsi="宋体"/>
          <w:color w:val="auto"/>
          <w:szCs w:val="24"/>
          <w:lang w:val="en-US" w:eastAsia="zh-CN"/>
        </w:rPr>
        <w:t>1.</w:t>
      </w:r>
      <w:r>
        <w:rPr>
          <w:rFonts w:hint="eastAsia" w:ascii="宋体" w:hAnsi="宋体"/>
          <w:color w:val="auto"/>
          <w:szCs w:val="24"/>
        </w:rPr>
        <w:t>总则</w:t>
      </w:r>
      <w:bookmarkEnd w:id="8"/>
      <w:bookmarkEnd w:id="9"/>
      <w:bookmarkEnd w:id="10"/>
    </w:p>
    <w:p w14:paraId="1383C6E3">
      <w:pPr>
        <w:pStyle w:val="4"/>
        <w:numPr>
          <w:ilvl w:val="1"/>
          <w:numId w:val="3"/>
        </w:numPr>
        <w:rPr>
          <w:rFonts w:hint="eastAsia"/>
          <w:color w:val="auto"/>
        </w:rPr>
      </w:pPr>
      <w:bookmarkStart w:id="11" w:name="_Toc5358"/>
      <w:bookmarkStart w:id="12" w:name="_Toc15062"/>
      <w:bookmarkStart w:id="13" w:name="_Toc4828"/>
      <w:bookmarkStart w:id="14" w:name="_Toc28377"/>
      <w:bookmarkStart w:id="15" w:name="_Toc2427"/>
      <w:bookmarkStart w:id="16" w:name="_Toc20743"/>
      <w:bookmarkStart w:id="17" w:name="_Toc30432"/>
      <w:bookmarkStart w:id="18" w:name="_Toc14496"/>
      <w:bookmarkStart w:id="19" w:name="_Toc30513"/>
      <w:bookmarkStart w:id="20" w:name="_Toc27597"/>
      <w:bookmarkStart w:id="21" w:name="_Toc28200"/>
      <w:bookmarkStart w:id="22" w:name="_Toc2081"/>
      <w:r>
        <w:rPr>
          <w:rFonts w:hint="eastAsia"/>
          <w:color w:val="auto"/>
        </w:rPr>
        <w:t>适用范围</w:t>
      </w:r>
      <w:bookmarkEnd w:id="11"/>
      <w:bookmarkEnd w:id="12"/>
      <w:bookmarkEnd w:id="13"/>
      <w:bookmarkEnd w:id="14"/>
      <w:bookmarkEnd w:id="15"/>
      <w:bookmarkEnd w:id="16"/>
      <w:bookmarkEnd w:id="17"/>
      <w:bookmarkEnd w:id="18"/>
      <w:bookmarkEnd w:id="19"/>
      <w:bookmarkEnd w:id="20"/>
      <w:bookmarkEnd w:id="21"/>
      <w:bookmarkEnd w:id="22"/>
    </w:p>
    <w:p w14:paraId="14ACD488">
      <w:pPr>
        <w:numPr>
          <w:ilvl w:val="2"/>
          <w:numId w:val="3"/>
        </w:numPr>
        <w:spacing w:line="360" w:lineRule="auto"/>
        <w:ind w:firstLine="420" w:firstLineChars="200"/>
        <w:rPr>
          <w:rFonts w:hint="eastAsia" w:ascii="宋体" w:hAnsi="宋体"/>
          <w:color w:val="auto"/>
          <w:szCs w:val="21"/>
        </w:rPr>
      </w:pPr>
      <w:r>
        <w:rPr>
          <w:rFonts w:hint="eastAsia" w:ascii="宋体" w:hAnsi="宋体" w:cs="微软雅黑"/>
          <w:color w:val="auto"/>
          <w:kern w:val="0"/>
          <w:szCs w:val="21"/>
        </w:rPr>
        <w:t xml:space="preserve"> 根据《中华人民共和国政府采购法》、《中华人民共和国政府采购法实施条例》等有关法律、法规和规章的规定，本项目已具备招标条件，现对本项目进行公开招标，</w:t>
      </w:r>
      <w:r>
        <w:rPr>
          <w:rFonts w:hint="eastAsia" w:ascii="宋体" w:hAnsi="宋体"/>
          <w:color w:val="auto"/>
          <w:szCs w:val="21"/>
        </w:rPr>
        <w:t>本招标文件仅适用于本次招标文件中所述的货物及其伴随的服务。</w:t>
      </w:r>
    </w:p>
    <w:p w14:paraId="70A60A2F">
      <w:pPr>
        <w:numPr>
          <w:ilvl w:val="2"/>
          <w:numId w:val="3"/>
        </w:numPr>
        <w:spacing w:line="360" w:lineRule="auto"/>
        <w:ind w:firstLine="420" w:firstLineChars="200"/>
        <w:rPr>
          <w:rFonts w:ascii="宋体" w:hAnsi="宋体"/>
          <w:color w:val="auto"/>
          <w:szCs w:val="21"/>
        </w:rPr>
      </w:pPr>
      <w:r>
        <w:rPr>
          <w:rFonts w:hint="eastAsia" w:ascii="宋体" w:hAnsi="宋体"/>
          <w:color w:val="auto"/>
          <w:szCs w:val="21"/>
        </w:rPr>
        <w:t>本招标文件的解释权归采购人所有。</w:t>
      </w:r>
    </w:p>
    <w:p w14:paraId="776BB002">
      <w:pPr>
        <w:pStyle w:val="4"/>
        <w:numPr>
          <w:ilvl w:val="1"/>
          <w:numId w:val="3"/>
        </w:numPr>
        <w:rPr>
          <w:rFonts w:hint="eastAsia"/>
          <w:color w:val="auto"/>
        </w:rPr>
      </w:pPr>
      <w:bookmarkStart w:id="23" w:name="_Toc19192"/>
      <w:bookmarkStart w:id="24" w:name="_Toc18955"/>
      <w:bookmarkStart w:id="25" w:name="_Toc13654"/>
      <w:bookmarkStart w:id="26" w:name="_Toc16716"/>
      <w:bookmarkStart w:id="27" w:name="_Toc29424"/>
      <w:r>
        <w:rPr>
          <w:rFonts w:hint="eastAsia"/>
          <w:color w:val="auto"/>
        </w:rPr>
        <w:t>招标项目概况</w:t>
      </w:r>
      <w:bookmarkEnd w:id="23"/>
      <w:bookmarkEnd w:id="24"/>
      <w:bookmarkEnd w:id="25"/>
      <w:bookmarkEnd w:id="26"/>
      <w:bookmarkEnd w:id="27"/>
    </w:p>
    <w:p w14:paraId="77EF79F1">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采购人：投标人须知前附表中所述的、依法进行政府采购的国家机关、事业单位、团体组织。</w:t>
      </w:r>
    </w:p>
    <w:p w14:paraId="75C5A9FD">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采购代理机构：受采购人委托组织招标活动，在招标过程中负有相应责任的社会中介组织。</w:t>
      </w:r>
    </w:p>
    <w:p w14:paraId="47A9227F">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项目名称及采购编号：见投标人须知前附表。</w:t>
      </w:r>
    </w:p>
    <w:p w14:paraId="3ACF0E26">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本次采购范围：见投标人须知前附表。</w:t>
      </w:r>
    </w:p>
    <w:p w14:paraId="59A5C93C">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资金来源及预算金额：见投标人须知前附表。</w:t>
      </w:r>
    </w:p>
    <w:p w14:paraId="0AFC72C6">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交货期：见投标人须知前附表。</w:t>
      </w:r>
    </w:p>
    <w:p w14:paraId="21C2B40F">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交货地点：见投标人须知前附表。</w:t>
      </w:r>
    </w:p>
    <w:p w14:paraId="58988731">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质保期：见投标人须知前附表。</w:t>
      </w:r>
    </w:p>
    <w:p w14:paraId="442C0C0C">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质量标准：见投标人须知前附表。</w:t>
      </w:r>
    </w:p>
    <w:p w14:paraId="66F1897E">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合格投标人</w:t>
      </w:r>
    </w:p>
    <w:p w14:paraId="68FD6035">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具有独立承担民事责任能力的法人、其他组织或者自然人；</w:t>
      </w:r>
    </w:p>
    <w:p w14:paraId="31E9A0EC">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具有良好的商业信誉和健全的财务会计制度；</w:t>
      </w:r>
    </w:p>
    <w:p w14:paraId="74AC4337">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具有履行合同所必需的设备和专业技术能力；</w:t>
      </w:r>
    </w:p>
    <w:p w14:paraId="75B2D745">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有依法缴纳税收和社会保障资金的良好记录；</w:t>
      </w:r>
    </w:p>
    <w:p w14:paraId="442CA2A4">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参加政府采购活动前三年内，在经营活动中没有重大违法记录；</w:t>
      </w:r>
    </w:p>
    <w:p w14:paraId="1058F028">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具有完善的售后服务体系，并能承担招标项目的供货和相关服务的企业；</w:t>
      </w:r>
    </w:p>
    <w:p w14:paraId="67FBAB58">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已通过正规渠道获得本项目的招标文件；</w:t>
      </w:r>
    </w:p>
    <w:p w14:paraId="39235F23">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未被依法暂停或者取消投标资格；</w:t>
      </w:r>
    </w:p>
    <w:p w14:paraId="432DB439">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未被责令停产停业、暂扣或者吊销许可证、暂扣或者吊销执照；</w:t>
      </w:r>
    </w:p>
    <w:p w14:paraId="4DD403E3">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法律、行政法规规定的其他条件。</w:t>
      </w:r>
    </w:p>
    <w:p w14:paraId="197F2C3C">
      <w:pPr>
        <w:numPr>
          <w:ilvl w:val="0"/>
          <w:numId w:val="4"/>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投标人须知前附表规定的其他条件。</w:t>
      </w:r>
    </w:p>
    <w:p w14:paraId="7606CF27">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投标人须知前附表规定接受联合体投标的，联合体除应符合本章第1.2.10项和投标人 须知前附表的要求外，还应遵守以下规定：</w:t>
      </w:r>
    </w:p>
    <w:p w14:paraId="7B695731">
      <w:pPr>
        <w:numPr>
          <w:ilvl w:val="0"/>
          <w:numId w:val="5"/>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联合体各方均应符合《中华人民共和国政府采购法》第二十二条规定的条件。</w:t>
      </w:r>
    </w:p>
    <w:p w14:paraId="40FF8AB2">
      <w:pPr>
        <w:numPr>
          <w:ilvl w:val="0"/>
          <w:numId w:val="5"/>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采购人根据采购项目对投标人的特殊要求，联合体中至少应当有一方符合相关规定。</w:t>
      </w:r>
    </w:p>
    <w:p w14:paraId="00AC9178">
      <w:pPr>
        <w:numPr>
          <w:ilvl w:val="0"/>
          <w:numId w:val="5"/>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联合体各方应签订联合体协议书，明确约定联合体各方承担的工作和相应的责任，并将联合体协议书作为投标文件的一部分内容提交。</w:t>
      </w:r>
    </w:p>
    <w:p w14:paraId="18603BCD">
      <w:pPr>
        <w:numPr>
          <w:ilvl w:val="0"/>
          <w:numId w:val="5"/>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大中型企业、其他自然人、法人或者非法人组织与小型、微型企业组成联合体共同参加投标的，联合体协议书中应明确小型、微型企业在联合体投标中所占合同总金额的比例。</w:t>
      </w:r>
    </w:p>
    <w:p w14:paraId="5135A497">
      <w:pPr>
        <w:numPr>
          <w:ilvl w:val="0"/>
          <w:numId w:val="5"/>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联合体中有同类资质的投标人按照联合体分工承担相同工作的，按照较低的资质等级确定联合体的资质等级。</w:t>
      </w:r>
    </w:p>
    <w:p w14:paraId="43ADB1C1">
      <w:pPr>
        <w:numPr>
          <w:ilvl w:val="0"/>
          <w:numId w:val="5"/>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以联合体形式参加政府采购活动的，联合体各方不得再单独参加或者与其他投标人另外组成联合体参加本项目投标，否则相关投标将被认定为</w:t>
      </w:r>
      <w:r>
        <w:rPr>
          <w:rFonts w:hint="eastAsia" w:ascii="宋体" w:hAnsi="宋体" w:cs="微软雅黑"/>
          <w:b/>
          <w:bCs/>
          <w:color w:val="auto"/>
          <w:kern w:val="0"/>
          <w:szCs w:val="21"/>
        </w:rPr>
        <w:t>投标无效</w:t>
      </w:r>
      <w:r>
        <w:rPr>
          <w:rFonts w:hint="eastAsia" w:ascii="宋体" w:hAnsi="宋体" w:cs="微软雅黑"/>
          <w:color w:val="auto"/>
          <w:kern w:val="0"/>
          <w:szCs w:val="21"/>
        </w:rPr>
        <w:t>。</w:t>
      </w:r>
    </w:p>
    <w:p w14:paraId="682F8979">
      <w:pPr>
        <w:numPr>
          <w:ilvl w:val="0"/>
          <w:numId w:val="5"/>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组成联合体或者接受分包的小微企业与联合体内其他企业、分包企业之间存在直接控股、管理关系的，不享受价格扣除优惠政策。</w:t>
      </w:r>
    </w:p>
    <w:p w14:paraId="664FC1BA">
      <w:pPr>
        <w:numPr>
          <w:ilvl w:val="0"/>
          <w:numId w:val="5"/>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若联合体各方均为中小企业的，联合体视同中小企业。若联合体各方均为小微企业的，联合体视同小微企业。</w:t>
      </w:r>
      <w:r>
        <w:rPr>
          <w:rFonts w:hint="eastAsia" w:ascii="宋体" w:hAnsi="宋体" w:cs="微软雅黑"/>
          <w:b/>
          <w:bCs/>
          <w:color w:val="auto"/>
          <w:kern w:val="0"/>
          <w:szCs w:val="21"/>
        </w:rPr>
        <w:t xml:space="preserve"> </w:t>
      </w:r>
    </w:p>
    <w:p w14:paraId="4FCF24CD">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投标人不得存在下列情形之一：</w:t>
      </w:r>
    </w:p>
    <w:p w14:paraId="39CDC53F">
      <w:pPr>
        <w:numPr>
          <w:ilvl w:val="0"/>
          <w:numId w:val="6"/>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与采购人存在利害关系且可能影响招标公正性；</w:t>
      </w:r>
    </w:p>
    <w:p w14:paraId="704672F5">
      <w:pPr>
        <w:numPr>
          <w:ilvl w:val="0"/>
          <w:numId w:val="6"/>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与本招标项目的其他投标人为同一个单位负责人；</w:t>
      </w:r>
    </w:p>
    <w:p w14:paraId="4E5043DF">
      <w:pPr>
        <w:numPr>
          <w:ilvl w:val="0"/>
          <w:numId w:val="6"/>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与本招标项目的其他投标人存在控股、管理关系；</w:t>
      </w:r>
    </w:p>
    <w:p w14:paraId="1D6CB832">
      <w:pPr>
        <w:numPr>
          <w:ilvl w:val="0"/>
          <w:numId w:val="6"/>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为本招标项目提供过整体设计、规范编制或者项目管理、监理、检测等服务；</w:t>
      </w:r>
    </w:p>
    <w:p w14:paraId="0477961B">
      <w:pPr>
        <w:numPr>
          <w:ilvl w:val="0"/>
          <w:numId w:val="6"/>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为本招标项目的招标代理机构；</w:t>
      </w:r>
    </w:p>
    <w:p w14:paraId="5B2A8032">
      <w:pPr>
        <w:numPr>
          <w:ilvl w:val="0"/>
          <w:numId w:val="6"/>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投标人以他人名义投标、串通投标、以行贿手段牟取中标，或在投标中弄虚作假的；</w:t>
      </w:r>
    </w:p>
    <w:p w14:paraId="255D8FD8">
      <w:pPr>
        <w:numPr>
          <w:ilvl w:val="0"/>
          <w:numId w:val="6"/>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法律法规规定的其他情形。</w:t>
      </w:r>
    </w:p>
    <w:p w14:paraId="78F33EA5">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中标人：接到并接受中标通知，最终被授予合同的投标人。</w:t>
      </w:r>
    </w:p>
    <w:p w14:paraId="289A1945">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投标文件：指投标人根据招标文件提交的所有文件。</w:t>
      </w:r>
    </w:p>
    <w:p w14:paraId="63AD5FC7">
      <w:pPr>
        <w:pStyle w:val="4"/>
        <w:numPr>
          <w:ilvl w:val="1"/>
          <w:numId w:val="3"/>
        </w:numPr>
        <w:rPr>
          <w:rFonts w:hint="eastAsia"/>
          <w:color w:val="auto"/>
        </w:rPr>
      </w:pPr>
      <w:bookmarkStart w:id="28" w:name="_Toc4927"/>
      <w:bookmarkStart w:id="29" w:name="_Toc25850"/>
      <w:bookmarkStart w:id="30" w:name="_Toc9501"/>
      <w:bookmarkStart w:id="31" w:name="_Toc31273"/>
      <w:bookmarkStart w:id="32" w:name="_Toc8166"/>
      <w:r>
        <w:rPr>
          <w:rFonts w:hint="eastAsia"/>
          <w:color w:val="auto"/>
        </w:rPr>
        <w:t>投标费用</w:t>
      </w:r>
      <w:bookmarkEnd w:id="28"/>
      <w:bookmarkEnd w:id="29"/>
      <w:bookmarkEnd w:id="30"/>
      <w:bookmarkEnd w:id="31"/>
      <w:bookmarkEnd w:id="32"/>
    </w:p>
    <w:p w14:paraId="24CCA12B">
      <w:pPr>
        <w:numPr>
          <w:ilvl w:val="2"/>
          <w:numId w:val="3"/>
        </w:numPr>
        <w:spacing w:line="360" w:lineRule="auto"/>
        <w:ind w:firstLine="420" w:firstLineChars="200"/>
        <w:rPr>
          <w:rFonts w:hint="eastAsia" w:ascii="宋体" w:hAnsi="宋体"/>
          <w:color w:val="auto"/>
          <w:szCs w:val="21"/>
        </w:rPr>
      </w:pPr>
      <w:bookmarkStart w:id="33" w:name="_Toc22953398"/>
      <w:bookmarkEnd w:id="33"/>
      <w:bookmarkStart w:id="34" w:name="_Toc312133544"/>
      <w:r>
        <w:rPr>
          <w:rFonts w:hint="eastAsia" w:ascii="宋体" w:hAnsi="宋体"/>
          <w:color w:val="auto"/>
          <w:szCs w:val="21"/>
        </w:rPr>
        <w:t>投标人准备和参加投标活动发生的费用自理。</w:t>
      </w:r>
    </w:p>
    <w:p w14:paraId="3FA9B2D0">
      <w:pPr>
        <w:pStyle w:val="4"/>
        <w:numPr>
          <w:ilvl w:val="1"/>
          <w:numId w:val="3"/>
        </w:numPr>
        <w:rPr>
          <w:rFonts w:hint="eastAsia"/>
          <w:color w:val="auto"/>
        </w:rPr>
      </w:pPr>
      <w:bookmarkStart w:id="35" w:name="_Toc1130"/>
      <w:bookmarkStart w:id="36" w:name="_Toc28829"/>
      <w:bookmarkStart w:id="37" w:name="_Toc13660"/>
      <w:bookmarkStart w:id="38" w:name="_Toc18613"/>
      <w:bookmarkStart w:id="39" w:name="_Toc23865"/>
      <w:bookmarkStart w:id="40" w:name="_Toc28577"/>
      <w:bookmarkStart w:id="41" w:name="_Toc7192"/>
      <w:bookmarkStart w:id="42" w:name="_Toc30990"/>
      <w:bookmarkStart w:id="43" w:name="_Toc13179"/>
      <w:bookmarkStart w:id="44" w:name="_Toc12301"/>
      <w:bookmarkStart w:id="45" w:name="_Toc27047"/>
      <w:bookmarkStart w:id="46" w:name="_Toc31440"/>
      <w:r>
        <w:rPr>
          <w:rFonts w:hint="eastAsia"/>
          <w:color w:val="auto"/>
        </w:rPr>
        <w:t>现场考察或答疑会</w:t>
      </w:r>
      <w:bookmarkEnd w:id="35"/>
      <w:bookmarkEnd w:id="36"/>
      <w:bookmarkEnd w:id="37"/>
      <w:bookmarkEnd w:id="38"/>
      <w:bookmarkEnd w:id="39"/>
      <w:bookmarkEnd w:id="40"/>
      <w:bookmarkEnd w:id="41"/>
      <w:bookmarkEnd w:id="42"/>
      <w:bookmarkEnd w:id="43"/>
      <w:bookmarkEnd w:id="44"/>
      <w:bookmarkEnd w:id="45"/>
      <w:bookmarkEnd w:id="46"/>
    </w:p>
    <w:p w14:paraId="519AE533">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现场考察：投标人须知前附表规定组织现场考察的，采购人按投标人须知前附表规定的时间、地点组织投标人考察项目现场。部分投标人未按时参加现场考察的，不影响现场考察的正常进行。</w:t>
      </w:r>
    </w:p>
    <w:p w14:paraId="126CC514">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投标人现场考察发生的费用自理。</w:t>
      </w:r>
    </w:p>
    <w:p w14:paraId="74248EB2">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除采购人的原因外，投标人自行负责在现场考察中所发生的人员伤亡和财产损失。</w:t>
      </w:r>
    </w:p>
    <w:p w14:paraId="052C1497">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采购人在现场考察中介绍的项目场地和相关的周边环境情况，供投标人在编制投标文件时参考，采购人不对投标人据此作出的判断和决策负责。</w:t>
      </w:r>
    </w:p>
    <w:p w14:paraId="13AD5E08">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答疑会：见投标人须知前附表。</w:t>
      </w:r>
    </w:p>
    <w:p w14:paraId="24B8A5D9">
      <w:pPr>
        <w:pStyle w:val="4"/>
        <w:numPr>
          <w:ilvl w:val="1"/>
          <w:numId w:val="3"/>
        </w:numPr>
        <w:rPr>
          <w:rFonts w:hint="eastAsia"/>
          <w:color w:val="auto"/>
        </w:rPr>
      </w:pPr>
      <w:bookmarkStart w:id="47" w:name="_Toc10737"/>
      <w:bookmarkStart w:id="48" w:name="_Toc7448"/>
      <w:bookmarkStart w:id="49" w:name="_Toc9561"/>
      <w:bookmarkStart w:id="50" w:name="_Toc28493"/>
      <w:bookmarkStart w:id="51" w:name="_Toc27635"/>
      <w:bookmarkStart w:id="52" w:name="_Toc8265"/>
      <w:bookmarkStart w:id="53" w:name="_Toc11040"/>
      <w:bookmarkStart w:id="54" w:name="_Toc26711"/>
      <w:bookmarkStart w:id="55" w:name="_Toc9110"/>
      <w:bookmarkStart w:id="56" w:name="_Toc6051"/>
      <w:bookmarkStart w:id="57" w:name="_Toc9989"/>
      <w:bookmarkStart w:id="58" w:name="_Toc20467"/>
      <w:r>
        <w:rPr>
          <w:rFonts w:hint="eastAsia"/>
          <w:color w:val="auto"/>
        </w:rPr>
        <w:t>分包</w:t>
      </w:r>
      <w:bookmarkEnd w:id="47"/>
      <w:bookmarkEnd w:id="48"/>
      <w:bookmarkEnd w:id="49"/>
      <w:bookmarkEnd w:id="50"/>
      <w:bookmarkEnd w:id="51"/>
      <w:bookmarkEnd w:id="52"/>
      <w:bookmarkEnd w:id="53"/>
      <w:bookmarkEnd w:id="54"/>
      <w:bookmarkEnd w:id="55"/>
      <w:bookmarkEnd w:id="56"/>
      <w:bookmarkEnd w:id="57"/>
      <w:bookmarkEnd w:id="58"/>
    </w:p>
    <w:p w14:paraId="7426C26B">
      <w:pPr>
        <w:numPr>
          <w:ilvl w:val="2"/>
          <w:numId w:val="3"/>
        </w:numPr>
        <w:spacing w:line="360" w:lineRule="auto"/>
        <w:ind w:firstLine="420" w:firstLineChars="200"/>
        <w:rPr>
          <w:rFonts w:hint="eastAsia" w:ascii="宋体" w:hAnsi="宋体"/>
          <w:color w:val="auto"/>
          <w:szCs w:val="21"/>
        </w:rPr>
      </w:pPr>
      <w:bookmarkStart w:id="59" w:name="_Toc20874"/>
      <w:bookmarkStart w:id="60" w:name="_Toc28651"/>
      <w:r>
        <w:rPr>
          <w:rFonts w:hint="eastAsia" w:ascii="宋体" w:hAnsi="宋体"/>
          <w:color w:val="auto"/>
          <w:szCs w:val="21"/>
        </w:rPr>
        <w:t>投标人拟在中标后将中标项目的非主体、非关键性工作进行分包的，应符合投标人须知前附表规定的分包内容、分包金额和资质要求等限制性条件，除投标人须知前附表规定的非主体、非关键性工作外，其他工作不得分包。</w:t>
      </w:r>
    </w:p>
    <w:p w14:paraId="252E935B">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 xml:space="preserve">中标人不得向他人转让中标项目，接受分包的人不得再次分包。中标人应当就分包项目向采购人负责，接受分包的人就分包项目承担连带责任。 </w:t>
      </w:r>
    </w:p>
    <w:p w14:paraId="78264B8F">
      <w:pPr>
        <w:pStyle w:val="34"/>
        <w:numPr>
          <w:ilvl w:val="2"/>
          <w:numId w:val="3"/>
        </w:numPr>
        <w:spacing w:line="360" w:lineRule="auto"/>
        <w:ind w:firstLine="420" w:firstLineChars="200"/>
        <w:rPr>
          <w:rFonts w:hint="eastAsia" w:cs="微软雅黑"/>
          <w:color w:val="auto"/>
          <w:sz w:val="21"/>
          <w:szCs w:val="21"/>
        </w:rPr>
      </w:pPr>
      <w:r>
        <w:rPr>
          <w:rFonts w:hint="eastAsia" w:cs="微软雅黑"/>
          <w:color w:val="auto"/>
          <w:sz w:val="21"/>
          <w:szCs w:val="21"/>
        </w:rPr>
        <w:t>接受分包的小微企业与分包企业之间存在直接控股、管理关系的，不享受价格扣除优惠政策</w:t>
      </w:r>
      <w:r>
        <w:rPr>
          <w:rFonts w:hint="eastAsia" w:cs="微软雅黑"/>
          <w:b/>
          <w:bCs/>
          <w:color w:val="auto"/>
          <w:sz w:val="21"/>
          <w:szCs w:val="21"/>
        </w:rPr>
        <w:t>。</w:t>
      </w:r>
    </w:p>
    <w:p w14:paraId="620D299B">
      <w:pPr>
        <w:pStyle w:val="34"/>
        <w:numPr>
          <w:ilvl w:val="2"/>
          <w:numId w:val="3"/>
        </w:numPr>
        <w:spacing w:line="360" w:lineRule="auto"/>
        <w:ind w:firstLine="420" w:firstLineChars="200"/>
        <w:rPr>
          <w:rFonts w:hint="eastAsia" w:cs="微软雅黑"/>
          <w:color w:val="auto"/>
          <w:sz w:val="21"/>
          <w:szCs w:val="21"/>
        </w:rPr>
      </w:pPr>
      <w:r>
        <w:rPr>
          <w:rFonts w:hint="eastAsia" w:cs="微软雅黑"/>
          <w:color w:val="auto"/>
          <w:sz w:val="21"/>
          <w:szCs w:val="21"/>
        </w:rPr>
        <w:t>依据《政府采购促进中小企业发展管理办法》规定享受扶持政策获得政府采购合同的小微企业不得将合同分包给大中型企业，中型企业不得将合同分包给大型企业。</w:t>
      </w:r>
    </w:p>
    <w:bookmarkEnd w:id="59"/>
    <w:bookmarkEnd w:id="60"/>
    <w:p w14:paraId="24692DBB">
      <w:pPr>
        <w:pStyle w:val="4"/>
        <w:numPr>
          <w:ilvl w:val="1"/>
          <w:numId w:val="3"/>
        </w:numPr>
        <w:rPr>
          <w:rFonts w:hint="eastAsia"/>
          <w:color w:val="auto"/>
        </w:rPr>
      </w:pPr>
      <w:bookmarkStart w:id="61" w:name="_Toc10772"/>
      <w:bookmarkStart w:id="62" w:name="_Toc20927"/>
      <w:bookmarkStart w:id="63" w:name="_Toc21622"/>
      <w:bookmarkStart w:id="64" w:name="_Toc1044"/>
      <w:bookmarkStart w:id="65" w:name="_Toc11842"/>
      <w:r>
        <w:rPr>
          <w:rFonts w:hint="eastAsia"/>
          <w:color w:val="auto"/>
        </w:rPr>
        <w:t>样品</w:t>
      </w:r>
      <w:bookmarkEnd w:id="61"/>
      <w:bookmarkEnd w:id="62"/>
      <w:bookmarkEnd w:id="63"/>
      <w:bookmarkEnd w:id="64"/>
      <w:bookmarkEnd w:id="65"/>
    </w:p>
    <w:p w14:paraId="13F0B907">
      <w:pPr>
        <w:spacing w:line="360" w:lineRule="auto"/>
        <w:ind w:firstLine="420" w:firstLineChars="200"/>
        <w:rPr>
          <w:rFonts w:hint="eastAsia" w:ascii="宋体" w:hAnsi="宋体"/>
          <w:color w:val="auto"/>
          <w:szCs w:val="21"/>
        </w:rPr>
      </w:pPr>
      <w:r>
        <w:rPr>
          <w:rFonts w:hint="eastAsia" w:ascii="宋体" w:hAnsi="宋体"/>
          <w:color w:val="auto"/>
          <w:szCs w:val="21"/>
        </w:rPr>
        <w:t>投标人须知前附表规定要求投标人提供样品的，</w:t>
      </w:r>
      <w:r>
        <w:rPr>
          <w:rFonts w:hint="eastAsia" w:ascii="宋体" w:hAnsi="宋体" w:cs="宋体"/>
          <w:color w:val="auto"/>
          <w:szCs w:val="21"/>
        </w:rPr>
        <w:t>样品制作的标准和要求、是否需要随样品提交相关检测报告、检测机构的要求、检测内容及样品的保管、封存等见投标人须知前附表。样品的评审方法和评审标准以评标办法为准。</w:t>
      </w:r>
    </w:p>
    <w:p w14:paraId="3220E343">
      <w:pPr>
        <w:pStyle w:val="4"/>
        <w:numPr>
          <w:ilvl w:val="1"/>
          <w:numId w:val="3"/>
        </w:numPr>
        <w:rPr>
          <w:rFonts w:hint="eastAsia"/>
          <w:color w:val="auto"/>
        </w:rPr>
      </w:pPr>
      <w:bookmarkStart w:id="66" w:name="_Toc29202"/>
      <w:bookmarkStart w:id="67" w:name="_Toc9147"/>
      <w:bookmarkStart w:id="68" w:name="_Toc5477"/>
      <w:bookmarkStart w:id="69" w:name="_Toc12963"/>
      <w:bookmarkStart w:id="70" w:name="_Toc9588"/>
      <w:bookmarkStart w:id="71" w:name="_Toc14740"/>
      <w:bookmarkStart w:id="72" w:name="_Toc29163"/>
      <w:bookmarkStart w:id="73" w:name="_Toc11845"/>
      <w:bookmarkStart w:id="74" w:name="_Toc25924"/>
      <w:bookmarkStart w:id="75" w:name="_Toc15630"/>
      <w:bookmarkStart w:id="76" w:name="_Toc16595"/>
      <w:bookmarkStart w:id="77" w:name="_Toc29855"/>
      <w:r>
        <w:rPr>
          <w:rFonts w:hint="eastAsia"/>
          <w:color w:val="auto"/>
        </w:rPr>
        <w:t>投标语言</w:t>
      </w:r>
      <w:bookmarkEnd w:id="66"/>
      <w:bookmarkEnd w:id="67"/>
      <w:bookmarkEnd w:id="68"/>
      <w:bookmarkEnd w:id="69"/>
      <w:bookmarkEnd w:id="70"/>
      <w:bookmarkEnd w:id="71"/>
      <w:bookmarkEnd w:id="72"/>
      <w:bookmarkEnd w:id="73"/>
      <w:bookmarkEnd w:id="74"/>
      <w:bookmarkEnd w:id="75"/>
      <w:bookmarkEnd w:id="76"/>
      <w:bookmarkEnd w:id="77"/>
    </w:p>
    <w:p w14:paraId="399384CB">
      <w:pPr>
        <w:spacing w:line="360" w:lineRule="auto"/>
        <w:ind w:firstLine="420" w:firstLineChars="200"/>
        <w:rPr>
          <w:rFonts w:hint="eastAsia" w:ascii="宋体" w:hAnsi="宋体"/>
          <w:color w:val="auto"/>
          <w:szCs w:val="21"/>
        </w:rPr>
      </w:pPr>
      <w:r>
        <w:rPr>
          <w:rFonts w:hint="eastAsia" w:ascii="宋体" w:hAnsi="宋体" w:cs="宋体"/>
          <w:color w:val="auto"/>
          <w:kern w:val="0"/>
          <w:szCs w:val="21"/>
        </w:rPr>
        <w:t>招标</w:t>
      </w:r>
      <w:r>
        <w:rPr>
          <w:rFonts w:hint="eastAsia" w:ascii="宋体" w:hAnsi="宋体" w:cs="宋体"/>
          <w:color w:val="auto"/>
          <w:spacing w:val="-2"/>
          <w:kern w:val="0"/>
          <w:szCs w:val="21"/>
        </w:rPr>
        <w:t>投</w:t>
      </w:r>
      <w:r>
        <w:rPr>
          <w:rFonts w:hint="eastAsia" w:ascii="宋体" w:hAnsi="宋体" w:cs="宋体"/>
          <w:color w:val="auto"/>
          <w:kern w:val="0"/>
          <w:szCs w:val="21"/>
        </w:rPr>
        <w:t>标</w:t>
      </w:r>
      <w:r>
        <w:rPr>
          <w:rFonts w:hint="eastAsia" w:ascii="宋体" w:hAnsi="宋体" w:cs="宋体"/>
          <w:color w:val="auto"/>
          <w:spacing w:val="-2"/>
          <w:kern w:val="0"/>
          <w:szCs w:val="21"/>
        </w:rPr>
        <w:t>文</w:t>
      </w:r>
      <w:r>
        <w:rPr>
          <w:rFonts w:hint="eastAsia" w:ascii="宋体" w:hAnsi="宋体" w:cs="宋体"/>
          <w:color w:val="auto"/>
          <w:kern w:val="0"/>
          <w:szCs w:val="21"/>
        </w:rPr>
        <w:t>件</w:t>
      </w:r>
      <w:r>
        <w:rPr>
          <w:rFonts w:hint="eastAsia" w:ascii="宋体" w:hAnsi="宋体" w:cs="宋体"/>
          <w:color w:val="auto"/>
          <w:spacing w:val="-2"/>
          <w:kern w:val="0"/>
          <w:szCs w:val="21"/>
        </w:rPr>
        <w:t>使</w:t>
      </w:r>
      <w:r>
        <w:rPr>
          <w:rFonts w:hint="eastAsia" w:ascii="宋体" w:hAnsi="宋体" w:cs="宋体"/>
          <w:color w:val="auto"/>
          <w:kern w:val="0"/>
          <w:szCs w:val="21"/>
        </w:rPr>
        <w:t>用</w:t>
      </w:r>
      <w:r>
        <w:rPr>
          <w:rFonts w:hint="eastAsia" w:ascii="宋体" w:hAnsi="宋体" w:cs="宋体"/>
          <w:color w:val="auto"/>
          <w:spacing w:val="-2"/>
          <w:kern w:val="0"/>
          <w:szCs w:val="21"/>
        </w:rPr>
        <w:t>的</w:t>
      </w:r>
      <w:r>
        <w:rPr>
          <w:rFonts w:hint="eastAsia" w:ascii="宋体" w:hAnsi="宋体" w:cs="宋体"/>
          <w:color w:val="auto"/>
          <w:kern w:val="0"/>
          <w:szCs w:val="21"/>
        </w:rPr>
        <w:t>语</w:t>
      </w:r>
      <w:r>
        <w:rPr>
          <w:rFonts w:hint="eastAsia" w:ascii="宋体" w:hAnsi="宋体" w:cs="宋体"/>
          <w:color w:val="auto"/>
          <w:spacing w:val="-2"/>
          <w:kern w:val="0"/>
          <w:szCs w:val="21"/>
        </w:rPr>
        <w:t>言</w:t>
      </w:r>
      <w:r>
        <w:rPr>
          <w:rFonts w:hint="eastAsia" w:ascii="宋体" w:hAnsi="宋体" w:cs="宋体"/>
          <w:color w:val="auto"/>
          <w:kern w:val="0"/>
          <w:szCs w:val="21"/>
        </w:rPr>
        <w:t>文字</w:t>
      </w:r>
      <w:r>
        <w:rPr>
          <w:rFonts w:hint="eastAsia" w:ascii="宋体" w:hAnsi="宋体" w:cs="宋体"/>
          <w:color w:val="auto"/>
          <w:spacing w:val="-2"/>
          <w:kern w:val="0"/>
          <w:szCs w:val="21"/>
        </w:rPr>
        <w:t>为</w:t>
      </w:r>
      <w:r>
        <w:rPr>
          <w:rFonts w:hint="eastAsia" w:ascii="宋体" w:hAnsi="宋体" w:cs="宋体"/>
          <w:color w:val="auto"/>
          <w:kern w:val="0"/>
          <w:szCs w:val="21"/>
        </w:rPr>
        <w:t>中</w:t>
      </w:r>
      <w:r>
        <w:rPr>
          <w:rFonts w:hint="eastAsia" w:ascii="宋体" w:hAnsi="宋体" w:cs="宋体"/>
          <w:color w:val="auto"/>
          <w:spacing w:val="-2"/>
          <w:kern w:val="0"/>
          <w:szCs w:val="21"/>
        </w:rPr>
        <w:t>文</w:t>
      </w:r>
      <w:r>
        <w:rPr>
          <w:rFonts w:hint="eastAsia" w:ascii="宋体" w:hAnsi="宋体" w:cs="宋体"/>
          <w:color w:val="auto"/>
          <w:kern w:val="0"/>
          <w:szCs w:val="21"/>
        </w:rPr>
        <w:t>。</w:t>
      </w:r>
      <w:r>
        <w:rPr>
          <w:rFonts w:hint="eastAsia" w:ascii="宋体" w:hAnsi="宋体" w:cs="宋体"/>
          <w:color w:val="auto"/>
          <w:spacing w:val="-2"/>
          <w:kern w:val="0"/>
          <w:szCs w:val="21"/>
        </w:rPr>
        <w:t>专</w:t>
      </w:r>
      <w:r>
        <w:rPr>
          <w:rFonts w:hint="eastAsia" w:ascii="宋体" w:hAnsi="宋体" w:cs="宋体"/>
          <w:color w:val="auto"/>
          <w:kern w:val="0"/>
          <w:szCs w:val="21"/>
        </w:rPr>
        <w:t>用</w:t>
      </w:r>
      <w:r>
        <w:rPr>
          <w:rFonts w:hint="eastAsia" w:ascii="宋体" w:hAnsi="宋体" w:cs="宋体"/>
          <w:color w:val="auto"/>
          <w:spacing w:val="-2"/>
          <w:kern w:val="0"/>
          <w:szCs w:val="21"/>
        </w:rPr>
        <w:t>术</w:t>
      </w:r>
      <w:r>
        <w:rPr>
          <w:rFonts w:hint="eastAsia" w:ascii="宋体" w:hAnsi="宋体" w:cs="宋体"/>
          <w:color w:val="auto"/>
          <w:kern w:val="0"/>
          <w:szCs w:val="21"/>
        </w:rPr>
        <w:t>语</w:t>
      </w:r>
      <w:r>
        <w:rPr>
          <w:rFonts w:hint="eastAsia" w:ascii="宋体" w:hAnsi="宋体" w:cs="宋体"/>
          <w:color w:val="auto"/>
          <w:spacing w:val="-2"/>
          <w:kern w:val="0"/>
          <w:szCs w:val="21"/>
        </w:rPr>
        <w:t>使</w:t>
      </w:r>
      <w:r>
        <w:rPr>
          <w:rFonts w:hint="eastAsia" w:ascii="宋体" w:hAnsi="宋体" w:cs="宋体"/>
          <w:color w:val="auto"/>
          <w:kern w:val="0"/>
          <w:szCs w:val="21"/>
        </w:rPr>
        <w:t>用外</w:t>
      </w:r>
      <w:r>
        <w:rPr>
          <w:rFonts w:hint="eastAsia" w:ascii="宋体" w:hAnsi="宋体" w:cs="宋体"/>
          <w:color w:val="auto"/>
          <w:spacing w:val="-2"/>
          <w:kern w:val="0"/>
          <w:szCs w:val="21"/>
        </w:rPr>
        <w:t>文</w:t>
      </w:r>
      <w:r>
        <w:rPr>
          <w:rFonts w:hint="eastAsia" w:ascii="宋体" w:hAnsi="宋体" w:cs="宋体"/>
          <w:color w:val="auto"/>
          <w:kern w:val="0"/>
          <w:szCs w:val="21"/>
        </w:rPr>
        <w:t>的</w:t>
      </w:r>
      <w:r>
        <w:rPr>
          <w:rFonts w:hint="eastAsia" w:ascii="宋体" w:hAnsi="宋体" w:cs="宋体"/>
          <w:color w:val="auto"/>
          <w:spacing w:val="-2"/>
          <w:kern w:val="0"/>
          <w:szCs w:val="21"/>
        </w:rPr>
        <w:t>，</w:t>
      </w:r>
      <w:r>
        <w:rPr>
          <w:rFonts w:hint="eastAsia" w:ascii="宋体" w:hAnsi="宋体" w:cs="宋体"/>
          <w:color w:val="auto"/>
          <w:kern w:val="0"/>
          <w:szCs w:val="21"/>
        </w:rPr>
        <w:t>应</w:t>
      </w:r>
      <w:r>
        <w:rPr>
          <w:rFonts w:hint="eastAsia" w:ascii="宋体" w:hAnsi="宋体" w:cs="宋体"/>
          <w:color w:val="auto"/>
          <w:spacing w:val="-2"/>
          <w:kern w:val="0"/>
          <w:szCs w:val="21"/>
        </w:rPr>
        <w:t>附</w:t>
      </w:r>
      <w:r>
        <w:rPr>
          <w:rFonts w:hint="eastAsia" w:ascii="宋体" w:hAnsi="宋体" w:cs="宋体"/>
          <w:color w:val="auto"/>
          <w:kern w:val="0"/>
          <w:szCs w:val="21"/>
        </w:rPr>
        <w:t>有</w:t>
      </w:r>
      <w:r>
        <w:rPr>
          <w:rFonts w:hint="eastAsia" w:ascii="宋体" w:hAnsi="宋体" w:cs="宋体"/>
          <w:color w:val="auto"/>
          <w:spacing w:val="-2"/>
          <w:kern w:val="0"/>
          <w:szCs w:val="21"/>
        </w:rPr>
        <w:t>中</w:t>
      </w:r>
      <w:r>
        <w:rPr>
          <w:rFonts w:hint="eastAsia" w:ascii="宋体" w:hAnsi="宋体" w:cs="宋体"/>
          <w:color w:val="auto"/>
          <w:kern w:val="0"/>
          <w:szCs w:val="21"/>
        </w:rPr>
        <w:t>文</w:t>
      </w:r>
      <w:r>
        <w:rPr>
          <w:rFonts w:hint="eastAsia" w:ascii="宋体" w:hAnsi="宋体" w:cs="宋体"/>
          <w:color w:val="auto"/>
          <w:spacing w:val="-2"/>
          <w:kern w:val="0"/>
          <w:szCs w:val="21"/>
        </w:rPr>
        <w:t>注</w:t>
      </w:r>
      <w:r>
        <w:rPr>
          <w:rFonts w:hint="eastAsia" w:ascii="宋体" w:hAnsi="宋体" w:cs="宋体"/>
          <w:color w:val="auto"/>
          <w:kern w:val="0"/>
          <w:szCs w:val="21"/>
        </w:rPr>
        <w:t>释</w:t>
      </w:r>
      <w:r>
        <w:rPr>
          <w:rFonts w:hint="eastAsia" w:ascii="宋体" w:hAnsi="宋体"/>
          <w:color w:val="auto"/>
          <w:szCs w:val="21"/>
        </w:rPr>
        <w:t>。</w:t>
      </w:r>
    </w:p>
    <w:p w14:paraId="6E7246D6">
      <w:pPr>
        <w:pStyle w:val="4"/>
        <w:numPr>
          <w:ilvl w:val="1"/>
          <w:numId w:val="3"/>
        </w:numPr>
        <w:rPr>
          <w:rFonts w:hint="eastAsia"/>
          <w:color w:val="auto"/>
        </w:rPr>
      </w:pPr>
      <w:bookmarkStart w:id="78" w:name="_Toc14186"/>
      <w:bookmarkStart w:id="79" w:name="_Toc20418"/>
      <w:bookmarkStart w:id="80" w:name="_Toc5019"/>
      <w:bookmarkStart w:id="81" w:name="_Toc22466"/>
      <w:bookmarkStart w:id="82" w:name="_Toc9167"/>
      <w:bookmarkStart w:id="83" w:name="_Toc26242"/>
      <w:bookmarkStart w:id="84" w:name="_Toc22605"/>
      <w:bookmarkStart w:id="85" w:name="_Toc7785"/>
      <w:bookmarkStart w:id="86" w:name="_Toc19599"/>
      <w:bookmarkStart w:id="87" w:name="_Toc30395"/>
      <w:bookmarkStart w:id="88" w:name="_Toc14812"/>
      <w:bookmarkStart w:id="89" w:name="_Toc21374"/>
      <w:r>
        <w:rPr>
          <w:rFonts w:hint="eastAsia"/>
          <w:color w:val="auto"/>
        </w:rPr>
        <w:t>投标文件计量单位</w:t>
      </w:r>
      <w:bookmarkEnd w:id="78"/>
      <w:bookmarkEnd w:id="79"/>
      <w:bookmarkEnd w:id="80"/>
      <w:bookmarkEnd w:id="81"/>
      <w:bookmarkEnd w:id="82"/>
      <w:bookmarkEnd w:id="83"/>
      <w:bookmarkEnd w:id="84"/>
      <w:bookmarkEnd w:id="85"/>
      <w:bookmarkEnd w:id="86"/>
      <w:bookmarkEnd w:id="87"/>
      <w:bookmarkEnd w:id="88"/>
      <w:bookmarkEnd w:id="89"/>
    </w:p>
    <w:p w14:paraId="7F307C03">
      <w:pPr>
        <w:spacing w:line="360" w:lineRule="auto"/>
        <w:ind w:left="420" w:leftChars="200"/>
        <w:rPr>
          <w:rFonts w:hint="eastAsia" w:ascii="宋体" w:hAnsi="宋体"/>
          <w:color w:val="auto"/>
          <w:szCs w:val="21"/>
        </w:rPr>
      </w:pPr>
      <w:r>
        <w:rPr>
          <w:rFonts w:hint="eastAsia" w:ascii="宋体" w:hAnsi="宋体"/>
          <w:color w:val="auto"/>
          <w:szCs w:val="21"/>
        </w:rPr>
        <w:t>除在招标文件的技术文件中另有规定外，计量单位均使用中华人民共和国法定计量标准单位。</w:t>
      </w:r>
    </w:p>
    <w:p w14:paraId="67255D14">
      <w:pPr>
        <w:pStyle w:val="4"/>
        <w:numPr>
          <w:ilvl w:val="1"/>
          <w:numId w:val="3"/>
        </w:numPr>
        <w:rPr>
          <w:rFonts w:hint="eastAsia"/>
          <w:color w:val="auto"/>
        </w:rPr>
      </w:pPr>
      <w:bookmarkStart w:id="90" w:name="_Toc4326"/>
      <w:bookmarkStart w:id="91" w:name="_Toc16602"/>
      <w:bookmarkStart w:id="92" w:name="_Toc10045"/>
      <w:bookmarkStart w:id="93" w:name="_Toc9975"/>
      <w:bookmarkStart w:id="94" w:name="_Toc23880"/>
      <w:bookmarkStart w:id="95" w:name="_Toc12071"/>
      <w:bookmarkStart w:id="96" w:name="_Toc15754"/>
      <w:bookmarkStart w:id="97" w:name="_Toc2806"/>
      <w:bookmarkStart w:id="98" w:name="_Toc24747"/>
      <w:bookmarkStart w:id="99" w:name="_Toc23957"/>
      <w:bookmarkStart w:id="100" w:name="_Toc19923"/>
      <w:bookmarkStart w:id="101" w:name="_Toc26769"/>
      <w:r>
        <w:rPr>
          <w:rFonts w:hint="eastAsia"/>
          <w:color w:val="auto"/>
        </w:rPr>
        <w:t>投标货币</w:t>
      </w:r>
      <w:bookmarkEnd w:id="90"/>
      <w:bookmarkEnd w:id="91"/>
      <w:bookmarkEnd w:id="92"/>
      <w:bookmarkEnd w:id="93"/>
      <w:bookmarkEnd w:id="94"/>
      <w:bookmarkEnd w:id="95"/>
      <w:bookmarkEnd w:id="96"/>
      <w:bookmarkEnd w:id="97"/>
      <w:bookmarkEnd w:id="98"/>
      <w:bookmarkEnd w:id="99"/>
      <w:bookmarkEnd w:id="100"/>
      <w:bookmarkEnd w:id="101"/>
    </w:p>
    <w:p w14:paraId="64F8FFD7">
      <w:pPr>
        <w:spacing w:line="360" w:lineRule="auto"/>
        <w:ind w:left="420" w:leftChars="200"/>
        <w:rPr>
          <w:rFonts w:hint="eastAsia" w:ascii="宋体" w:hAnsi="宋体"/>
          <w:color w:val="auto"/>
          <w:szCs w:val="21"/>
        </w:rPr>
      </w:pPr>
      <w:r>
        <w:rPr>
          <w:rFonts w:hint="eastAsia" w:ascii="宋体" w:hAnsi="宋体"/>
          <w:color w:val="auto"/>
          <w:szCs w:val="21"/>
        </w:rPr>
        <w:t>除非另有规定，投标人提供的所有服务用人民币报价。</w:t>
      </w:r>
    </w:p>
    <w:p w14:paraId="705F0CA1">
      <w:pPr>
        <w:pStyle w:val="4"/>
        <w:numPr>
          <w:ilvl w:val="1"/>
          <w:numId w:val="3"/>
        </w:numPr>
        <w:rPr>
          <w:rFonts w:hint="eastAsia"/>
          <w:color w:val="auto"/>
        </w:rPr>
      </w:pPr>
      <w:bookmarkStart w:id="102" w:name="_Toc19335"/>
      <w:bookmarkStart w:id="103" w:name="_Toc24561"/>
      <w:bookmarkStart w:id="104" w:name="_Toc32032"/>
      <w:bookmarkStart w:id="105" w:name="_Toc28184"/>
      <w:bookmarkStart w:id="106" w:name="_Toc16853"/>
      <w:bookmarkStart w:id="107" w:name="_Toc11598"/>
      <w:bookmarkStart w:id="108" w:name="_Toc12030"/>
      <w:bookmarkStart w:id="109" w:name="_Toc31058"/>
      <w:bookmarkStart w:id="110" w:name="_Toc13340"/>
      <w:bookmarkStart w:id="111" w:name="_Toc141"/>
      <w:bookmarkStart w:id="112" w:name="_Toc29095"/>
      <w:bookmarkStart w:id="113" w:name="_Toc4030"/>
      <w:bookmarkStart w:id="114" w:name="_Toc14764"/>
      <w:bookmarkStart w:id="115" w:name="_Toc26021"/>
      <w:r>
        <w:rPr>
          <w:rFonts w:hint="eastAsia"/>
          <w:color w:val="auto"/>
        </w:rPr>
        <w:t>保密</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22C1F258">
      <w:pPr>
        <w:spacing w:line="360" w:lineRule="auto"/>
        <w:ind w:firstLine="420" w:firstLineChars="200"/>
        <w:rPr>
          <w:rFonts w:hint="eastAsia" w:ascii="宋体" w:hAnsi="宋体"/>
          <w:color w:val="auto"/>
          <w:szCs w:val="21"/>
        </w:rPr>
      </w:pPr>
      <w:r>
        <w:rPr>
          <w:rFonts w:hint="eastAsia" w:ascii="宋体" w:hAnsi="宋体"/>
          <w:color w:val="auto"/>
          <w:szCs w:val="21"/>
        </w:rPr>
        <w:t>参与招标投标活动的各方应对招标文件和投标文件中的商业和技术等秘密保密，否则应承担相应的法律责任。</w:t>
      </w:r>
    </w:p>
    <w:p w14:paraId="0F0586DE">
      <w:pPr>
        <w:pStyle w:val="4"/>
        <w:numPr>
          <w:ilvl w:val="1"/>
          <w:numId w:val="3"/>
        </w:numPr>
        <w:rPr>
          <w:rFonts w:hint="eastAsia"/>
          <w:color w:val="auto"/>
        </w:rPr>
      </w:pPr>
      <w:bookmarkStart w:id="116" w:name="_Toc31207"/>
      <w:bookmarkStart w:id="117" w:name="_Toc26753"/>
      <w:bookmarkStart w:id="118" w:name="_Toc21582"/>
      <w:bookmarkStart w:id="119" w:name="_Toc11954"/>
      <w:bookmarkStart w:id="120" w:name="_Toc25995"/>
      <w:bookmarkStart w:id="121" w:name="_Toc9963"/>
      <w:bookmarkStart w:id="122" w:name="_Toc26863"/>
      <w:bookmarkStart w:id="123" w:name="_Toc6725"/>
      <w:bookmarkStart w:id="124" w:name="_Toc2167"/>
      <w:bookmarkStart w:id="125" w:name="_Toc18743"/>
      <w:bookmarkStart w:id="126" w:name="_Toc10914"/>
      <w:bookmarkStart w:id="127" w:name="_Toc6977"/>
      <w:r>
        <w:rPr>
          <w:rFonts w:hint="eastAsia"/>
          <w:color w:val="auto"/>
        </w:rPr>
        <w:t>响应和偏差</w:t>
      </w:r>
      <w:bookmarkEnd w:id="116"/>
      <w:bookmarkEnd w:id="117"/>
      <w:bookmarkEnd w:id="118"/>
      <w:bookmarkEnd w:id="119"/>
      <w:bookmarkEnd w:id="120"/>
      <w:bookmarkEnd w:id="121"/>
      <w:bookmarkEnd w:id="122"/>
      <w:bookmarkEnd w:id="123"/>
      <w:bookmarkEnd w:id="124"/>
      <w:bookmarkEnd w:id="125"/>
      <w:bookmarkEnd w:id="126"/>
      <w:bookmarkEnd w:id="127"/>
    </w:p>
    <w:p w14:paraId="4DC1876B">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投标文件应当对招标文件的实质性要求和条件作出满足性或更有利于采购人的响应，否则，投标人的投标将被否决。实质性要求和条件见投标人须知前附表。</w:t>
      </w:r>
    </w:p>
    <w:p w14:paraId="2E985D20">
      <w:pPr>
        <w:numPr>
          <w:ilvl w:val="2"/>
          <w:numId w:val="3"/>
        </w:numPr>
        <w:spacing w:line="360" w:lineRule="auto"/>
        <w:ind w:firstLine="420" w:firstLineChars="200"/>
        <w:rPr>
          <w:rFonts w:hint="eastAsia" w:ascii="宋体" w:hAnsi="宋体"/>
          <w:color w:val="auto"/>
          <w:szCs w:val="21"/>
        </w:rPr>
      </w:pPr>
      <w:r>
        <w:rPr>
          <w:rFonts w:hint="eastAsia" w:ascii="宋体" w:hAnsi="宋体"/>
          <w:color w:val="auto"/>
          <w:szCs w:val="21"/>
        </w:rPr>
        <w:t>允许投标文件偏离招标文件某些要求的，偏差应当符合招标文件规定的偏差范围和幅度。</w:t>
      </w:r>
    </w:p>
    <w:p w14:paraId="0732CE76">
      <w:pPr>
        <w:numPr>
          <w:ilvl w:val="2"/>
          <w:numId w:val="3"/>
        </w:numPr>
        <w:spacing w:line="360" w:lineRule="auto"/>
        <w:ind w:firstLine="420" w:firstLineChars="200"/>
        <w:rPr>
          <w:rFonts w:hint="eastAsia" w:ascii="宋体" w:hAnsi="宋体"/>
          <w:color w:val="auto"/>
          <w:szCs w:val="21"/>
        </w:rPr>
      </w:pPr>
      <w:r>
        <w:rPr>
          <w:rFonts w:hint="eastAsia" w:ascii="宋体" w:hAnsi="宋体" w:cs="宋体"/>
          <w:color w:val="auto"/>
          <w:kern w:val="0"/>
          <w:szCs w:val="21"/>
        </w:rPr>
        <w:t>投标</w:t>
      </w:r>
      <w:r>
        <w:rPr>
          <w:rFonts w:hint="eastAsia" w:ascii="宋体" w:hAnsi="宋体" w:cs="宋体"/>
          <w:color w:val="auto"/>
          <w:spacing w:val="-2"/>
          <w:kern w:val="0"/>
          <w:szCs w:val="21"/>
        </w:rPr>
        <w:t>文</w:t>
      </w:r>
      <w:r>
        <w:rPr>
          <w:rFonts w:hint="eastAsia" w:ascii="宋体" w:hAnsi="宋体" w:cs="宋体"/>
          <w:color w:val="auto"/>
          <w:kern w:val="0"/>
          <w:szCs w:val="21"/>
        </w:rPr>
        <w:t>件对招标</w:t>
      </w:r>
      <w:r>
        <w:rPr>
          <w:rFonts w:hint="eastAsia" w:ascii="宋体" w:hAnsi="宋体" w:cs="宋体"/>
          <w:color w:val="auto"/>
          <w:spacing w:val="-2"/>
          <w:kern w:val="0"/>
          <w:szCs w:val="21"/>
        </w:rPr>
        <w:t>文</w:t>
      </w:r>
      <w:r>
        <w:rPr>
          <w:rFonts w:hint="eastAsia" w:ascii="宋体" w:hAnsi="宋体" w:cs="宋体"/>
          <w:color w:val="auto"/>
          <w:kern w:val="0"/>
          <w:szCs w:val="21"/>
        </w:rPr>
        <w:t>件的全部偏差，均应在</w:t>
      </w:r>
      <w:r>
        <w:rPr>
          <w:rFonts w:hint="eastAsia" w:ascii="宋体" w:hAnsi="宋体" w:cs="宋体"/>
          <w:color w:val="auto"/>
          <w:spacing w:val="-2"/>
          <w:kern w:val="0"/>
          <w:szCs w:val="21"/>
        </w:rPr>
        <w:t>投</w:t>
      </w:r>
      <w:r>
        <w:rPr>
          <w:rFonts w:hint="eastAsia" w:ascii="宋体" w:hAnsi="宋体" w:cs="宋体"/>
          <w:color w:val="auto"/>
          <w:kern w:val="0"/>
          <w:szCs w:val="21"/>
        </w:rPr>
        <w:t>标文件</w:t>
      </w:r>
      <w:r>
        <w:rPr>
          <w:rFonts w:hint="eastAsia" w:ascii="宋体" w:hAnsi="宋体" w:cs="宋体"/>
          <w:color w:val="auto"/>
          <w:spacing w:val="1"/>
          <w:kern w:val="0"/>
          <w:szCs w:val="21"/>
        </w:rPr>
        <w:t>的</w:t>
      </w:r>
      <w:r>
        <w:rPr>
          <w:rFonts w:hint="eastAsia" w:ascii="宋体" w:hAnsi="宋体" w:cs="宋体"/>
          <w:color w:val="auto"/>
          <w:kern w:val="0"/>
          <w:szCs w:val="21"/>
        </w:rPr>
        <w:t>商务和技术偏</w:t>
      </w:r>
      <w:r>
        <w:rPr>
          <w:rFonts w:hint="eastAsia" w:ascii="宋体" w:hAnsi="宋体" w:cs="宋体"/>
          <w:color w:val="auto"/>
          <w:spacing w:val="-2"/>
          <w:kern w:val="0"/>
          <w:szCs w:val="21"/>
        </w:rPr>
        <w:t>差</w:t>
      </w:r>
      <w:r>
        <w:rPr>
          <w:rFonts w:hint="eastAsia" w:ascii="宋体" w:hAnsi="宋体" w:cs="宋体"/>
          <w:color w:val="auto"/>
          <w:kern w:val="0"/>
          <w:szCs w:val="21"/>
        </w:rPr>
        <w:t>表中列明，除列明</w:t>
      </w:r>
      <w:r>
        <w:rPr>
          <w:rFonts w:hint="eastAsia" w:ascii="宋体" w:hAnsi="宋体" w:cs="宋体"/>
          <w:color w:val="auto"/>
          <w:spacing w:val="-2"/>
          <w:kern w:val="0"/>
          <w:szCs w:val="21"/>
        </w:rPr>
        <w:t>的</w:t>
      </w:r>
      <w:r>
        <w:rPr>
          <w:rFonts w:hint="eastAsia" w:ascii="宋体" w:hAnsi="宋体" w:cs="宋体"/>
          <w:color w:val="auto"/>
          <w:kern w:val="0"/>
          <w:szCs w:val="21"/>
        </w:rPr>
        <w:t>内</w:t>
      </w:r>
      <w:r>
        <w:rPr>
          <w:rFonts w:hint="eastAsia" w:ascii="宋体" w:hAnsi="宋体" w:cs="宋体"/>
          <w:color w:val="auto"/>
          <w:spacing w:val="-2"/>
          <w:kern w:val="0"/>
          <w:szCs w:val="21"/>
        </w:rPr>
        <w:t>容</w:t>
      </w:r>
      <w:r>
        <w:rPr>
          <w:rFonts w:hint="eastAsia" w:ascii="宋体" w:hAnsi="宋体" w:cs="宋体"/>
          <w:color w:val="auto"/>
          <w:kern w:val="0"/>
          <w:szCs w:val="21"/>
        </w:rPr>
        <w:t>外</w:t>
      </w:r>
      <w:r>
        <w:rPr>
          <w:rFonts w:hint="eastAsia" w:ascii="宋体" w:hAnsi="宋体" w:cs="宋体"/>
          <w:color w:val="auto"/>
          <w:spacing w:val="-2"/>
          <w:kern w:val="0"/>
          <w:szCs w:val="21"/>
        </w:rPr>
        <w:t>，</w:t>
      </w:r>
      <w:r>
        <w:rPr>
          <w:rFonts w:hint="eastAsia" w:ascii="宋体" w:hAnsi="宋体" w:cs="宋体"/>
          <w:color w:val="auto"/>
          <w:kern w:val="0"/>
          <w:szCs w:val="21"/>
        </w:rPr>
        <w:t>视</w:t>
      </w:r>
      <w:r>
        <w:rPr>
          <w:rFonts w:hint="eastAsia" w:ascii="宋体" w:hAnsi="宋体" w:cs="宋体"/>
          <w:color w:val="auto"/>
          <w:spacing w:val="-2"/>
          <w:kern w:val="0"/>
          <w:szCs w:val="21"/>
        </w:rPr>
        <w:t>为</w:t>
      </w:r>
      <w:r>
        <w:rPr>
          <w:rFonts w:hint="eastAsia" w:ascii="宋体" w:hAnsi="宋体" w:cs="宋体"/>
          <w:color w:val="auto"/>
          <w:kern w:val="0"/>
          <w:szCs w:val="21"/>
        </w:rPr>
        <w:t>投</w:t>
      </w:r>
      <w:r>
        <w:rPr>
          <w:rFonts w:hint="eastAsia" w:ascii="宋体" w:hAnsi="宋体" w:cs="宋体"/>
          <w:color w:val="auto"/>
          <w:spacing w:val="-2"/>
          <w:kern w:val="0"/>
          <w:szCs w:val="21"/>
        </w:rPr>
        <w:t>标</w:t>
      </w:r>
      <w:r>
        <w:rPr>
          <w:rFonts w:hint="eastAsia" w:ascii="宋体" w:hAnsi="宋体" w:cs="宋体"/>
          <w:color w:val="auto"/>
          <w:kern w:val="0"/>
          <w:szCs w:val="21"/>
        </w:rPr>
        <w:t>人响</w:t>
      </w:r>
      <w:r>
        <w:rPr>
          <w:rFonts w:hint="eastAsia" w:ascii="宋体" w:hAnsi="宋体" w:cs="宋体"/>
          <w:color w:val="auto"/>
          <w:spacing w:val="-2"/>
          <w:kern w:val="0"/>
          <w:szCs w:val="21"/>
        </w:rPr>
        <w:t>应</w:t>
      </w:r>
      <w:r>
        <w:rPr>
          <w:rFonts w:hint="eastAsia" w:ascii="宋体" w:hAnsi="宋体" w:cs="宋体"/>
          <w:color w:val="auto"/>
          <w:kern w:val="0"/>
          <w:szCs w:val="21"/>
        </w:rPr>
        <w:t>招</w:t>
      </w:r>
      <w:r>
        <w:rPr>
          <w:rFonts w:hint="eastAsia" w:ascii="宋体" w:hAnsi="宋体" w:cs="宋体"/>
          <w:color w:val="auto"/>
          <w:spacing w:val="-2"/>
          <w:kern w:val="0"/>
          <w:szCs w:val="21"/>
        </w:rPr>
        <w:t>标</w:t>
      </w:r>
      <w:r>
        <w:rPr>
          <w:rFonts w:hint="eastAsia" w:ascii="宋体" w:hAnsi="宋体" w:cs="宋体"/>
          <w:color w:val="auto"/>
          <w:kern w:val="0"/>
          <w:szCs w:val="21"/>
        </w:rPr>
        <w:t>文</w:t>
      </w:r>
      <w:r>
        <w:rPr>
          <w:rFonts w:hint="eastAsia" w:ascii="宋体" w:hAnsi="宋体" w:cs="宋体"/>
          <w:color w:val="auto"/>
          <w:spacing w:val="-2"/>
          <w:kern w:val="0"/>
          <w:szCs w:val="21"/>
        </w:rPr>
        <w:t>件</w:t>
      </w:r>
      <w:r>
        <w:rPr>
          <w:rFonts w:hint="eastAsia" w:ascii="宋体" w:hAnsi="宋体" w:cs="宋体"/>
          <w:color w:val="auto"/>
          <w:kern w:val="0"/>
          <w:szCs w:val="21"/>
        </w:rPr>
        <w:t>的</w:t>
      </w:r>
      <w:r>
        <w:rPr>
          <w:rFonts w:hint="eastAsia" w:ascii="宋体" w:hAnsi="宋体" w:cs="宋体"/>
          <w:color w:val="auto"/>
          <w:spacing w:val="-2"/>
          <w:kern w:val="0"/>
          <w:szCs w:val="21"/>
        </w:rPr>
        <w:t>全</w:t>
      </w:r>
      <w:r>
        <w:rPr>
          <w:rFonts w:hint="eastAsia" w:ascii="宋体" w:hAnsi="宋体" w:cs="宋体"/>
          <w:color w:val="auto"/>
          <w:kern w:val="0"/>
          <w:szCs w:val="21"/>
        </w:rPr>
        <w:t>部</w:t>
      </w:r>
      <w:r>
        <w:rPr>
          <w:rFonts w:hint="eastAsia" w:ascii="宋体" w:hAnsi="宋体" w:cs="宋体"/>
          <w:color w:val="auto"/>
          <w:spacing w:val="-2"/>
          <w:kern w:val="0"/>
          <w:szCs w:val="21"/>
        </w:rPr>
        <w:t>要</w:t>
      </w:r>
      <w:r>
        <w:rPr>
          <w:rFonts w:hint="eastAsia" w:ascii="宋体" w:hAnsi="宋体" w:cs="宋体"/>
          <w:color w:val="auto"/>
          <w:kern w:val="0"/>
          <w:szCs w:val="21"/>
        </w:rPr>
        <w:t>求。</w:t>
      </w:r>
    </w:p>
    <w:p w14:paraId="18DD6ED5">
      <w:pPr>
        <w:pStyle w:val="3"/>
        <w:numPr>
          <w:ilvl w:val="0"/>
          <w:numId w:val="0"/>
        </w:numPr>
        <w:tabs>
          <w:tab w:val="left" w:pos="721"/>
          <w:tab w:val="left" w:pos="840"/>
          <w:tab w:val="left" w:pos="2880"/>
          <w:tab w:val="left" w:pos="3780"/>
        </w:tabs>
        <w:ind w:left="0" w:leftChars="0" w:firstLine="0" w:firstLineChars="0"/>
        <w:jc w:val="both"/>
        <w:rPr>
          <w:rFonts w:hint="eastAsia" w:ascii="宋体" w:hAnsi="宋体"/>
          <w:color w:val="auto"/>
          <w:szCs w:val="24"/>
        </w:rPr>
      </w:pPr>
      <w:bookmarkStart w:id="128" w:name="_Toc14681"/>
      <w:r>
        <w:rPr>
          <w:rFonts w:hint="eastAsia" w:ascii="宋体" w:hAnsi="宋体" w:eastAsia="宋体" w:cs="Times New Roman"/>
          <w:b/>
          <w:color w:val="auto"/>
          <w:kern w:val="2"/>
          <w:sz w:val="24"/>
          <w:szCs w:val="24"/>
          <w:lang w:val="en-US" w:eastAsia="zh-CN" w:bidi="ar-SA"/>
        </w:rPr>
        <w:t>2.</w:t>
      </w:r>
      <w:r>
        <w:rPr>
          <w:rFonts w:hint="eastAsia" w:ascii="宋体" w:hAnsi="宋体"/>
          <w:color w:val="auto"/>
          <w:szCs w:val="24"/>
        </w:rPr>
        <w:t>招标文件</w:t>
      </w:r>
      <w:bookmarkEnd w:id="34"/>
      <w:bookmarkEnd w:id="128"/>
    </w:p>
    <w:p w14:paraId="445BC69B">
      <w:pPr>
        <w:pStyle w:val="4"/>
        <w:numPr>
          <w:ilvl w:val="1"/>
          <w:numId w:val="0"/>
        </w:numPr>
        <w:spacing w:before="140" w:after="140" w:line="240" w:lineRule="auto"/>
        <w:ind w:left="0" w:leftChars="0" w:firstLine="0" w:firstLineChars="0"/>
        <w:rPr>
          <w:rFonts w:hint="eastAsia"/>
          <w:color w:val="auto"/>
        </w:rPr>
      </w:pPr>
      <w:bookmarkStart w:id="129" w:name="_Toc20524"/>
      <w:bookmarkStart w:id="130" w:name="_Toc8008"/>
      <w:bookmarkStart w:id="131" w:name="_Toc14801"/>
      <w:bookmarkStart w:id="132" w:name="_Toc3764"/>
      <w:bookmarkStart w:id="133" w:name="_Toc28051"/>
      <w:r>
        <w:rPr>
          <w:rFonts w:hint="default" w:ascii="宋体" w:hAnsi="宋体" w:eastAsia="宋体" w:cs="宋体"/>
          <w:b/>
          <w:bCs/>
          <w:color w:val="auto"/>
          <w:kern w:val="2"/>
          <w:sz w:val="21"/>
          <w:szCs w:val="21"/>
          <w:lang w:val="en-US" w:eastAsia="zh-CN" w:bidi="ar-SA"/>
        </w:rPr>
        <w:t>2.1</w:t>
      </w:r>
      <w:r>
        <w:rPr>
          <w:rFonts w:hint="eastAsia"/>
          <w:color w:val="auto"/>
        </w:rPr>
        <w:t>招标文件的构成</w:t>
      </w:r>
      <w:bookmarkEnd w:id="129"/>
      <w:bookmarkEnd w:id="130"/>
      <w:bookmarkEnd w:id="131"/>
      <w:bookmarkEnd w:id="132"/>
      <w:bookmarkEnd w:id="133"/>
    </w:p>
    <w:p w14:paraId="345853B3">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2.1.1</w:t>
      </w:r>
      <w:r>
        <w:rPr>
          <w:rFonts w:hint="eastAsia" w:ascii="宋体" w:hAnsi="宋体"/>
          <w:color w:val="auto"/>
          <w:szCs w:val="21"/>
        </w:rPr>
        <w:t>招标文件用以阐明本次招标的货物及其伴随的服务要求、招标投标程序和合同条件。</w:t>
      </w:r>
    </w:p>
    <w:p w14:paraId="2D75F325">
      <w:pPr>
        <w:pStyle w:val="24"/>
        <w:tabs>
          <w:tab w:val="left" w:pos="720"/>
          <w:tab w:val="left" w:pos="1080"/>
        </w:tabs>
        <w:spacing w:line="360" w:lineRule="auto"/>
        <w:ind w:left="720" w:firstLine="0"/>
        <w:rPr>
          <w:rFonts w:hint="eastAsia" w:ascii="宋体" w:hAnsi="宋体" w:eastAsia="宋体"/>
          <w:color w:val="auto"/>
          <w:sz w:val="21"/>
          <w:szCs w:val="21"/>
        </w:rPr>
      </w:pPr>
      <w:r>
        <w:rPr>
          <w:rFonts w:hint="eastAsia" w:ascii="宋体" w:hAnsi="宋体" w:eastAsia="宋体"/>
          <w:color w:val="auto"/>
          <w:sz w:val="21"/>
          <w:szCs w:val="21"/>
        </w:rPr>
        <w:t xml:space="preserve">招标文件由下述部分组成： </w:t>
      </w:r>
    </w:p>
    <w:p w14:paraId="5351BCAB">
      <w:pPr>
        <w:pStyle w:val="18"/>
        <w:numPr>
          <w:ilvl w:val="0"/>
          <w:numId w:val="7"/>
        </w:numPr>
        <w:tabs>
          <w:tab w:val="left" w:pos="1080"/>
        </w:tabs>
        <w:spacing w:line="360" w:lineRule="auto"/>
        <w:rPr>
          <w:rFonts w:hint="eastAsia" w:ascii="宋体" w:hAnsi="宋体"/>
          <w:color w:val="auto"/>
          <w:sz w:val="21"/>
          <w:szCs w:val="21"/>
        </w:rPr>
      </w:pPr>
      <w:r>
        <w:rPr>
          <w:rFonts w:hint="eastAsia" w:ascii="宋体" w:hAnsi="宋体"/>
          <w:color w:val="auto"/>
          <w:sz w:val="21"/>
          <w:szCs w:val="21"/>
        </w:rPr>
        <w:t>投标邀请</w:t>
      </w:r>
    </w:p>
    <w:p w14:paraId="2280DE3F">
      <w:pPr>
        <w:pStyle w:val="18"/>
        <w:numPr>
          <w:ilvl w:val="0"/>
          <w:numId w:val="7"/>
        </w:numPr>
        <w:tabs>
          <w:tab w:val="left" w:pos="1080"/>
        </w:tabs>
        <w:spacing w:line="360" w:lineRule="auto"/>
        <w:rPr>
          <w:rFonts w:hint="eastAsia" w:ascii="宋体" w:hAnsi="宋体"/>
          <w:color w:val="auto"/>
          <w:sz w:val="21"/>
          <w:szCs w:val="21"/>
        </w:rPr>
      </w:pPr>
      <w:r>
        <w:rPr>
          <w:rFonts w:hint="eastAsia" w:ascii="宋体" w:hAnsi="宋体"/>
          <w:color w:val="auto"/>
          <w:sz w:val="21"/>
          <w:szCs w:val="21"/>
        </w:rPr>
        <w:t>投标人须知</w:t>
      </w:r>
    </w:p>
    <w:p w14:paraId="40B01449">
      <w:pPr>
        <w:pStyle w:val="18"/>
        <w:numPr>
          <w:ilvl w:val="0"/>
          <w:numId w:val="7"/>
        </w:numPr>
        <w:tabs>
          <w:tab w:val="left" w:pos="1080"/>
        </w:tabs>
        <w:spacing w:line="360" w:lineRule="auto"/>
        <w:rPr>
          <w:rFonts w:hint="eastAsia" w:ascii="宋体" w:hAnsi="宋体"/>
          <w:color w:val="auto"/>
          <w:sz w:val="21"/>
          <w:szCs w:val="21"/>
        </w:rPr>
      </w:pPr>
      <w:r>
        <w:rPr>
          <w:rFonts w:hint="eastAsia" w:ascii="宋体" w:hAnsi="宋体"/>
          <w:color w:val="auto"/>
          <w:sz w:val="21"/>
          <w:szCs w:val="21"/>
        </w:rPr>
        <w:t>资格审查</w:t>
      </w:r>
    </w:p>
    <w:p w14:paraId="3A88224C">
      <w:pPr>
        <w:pStyle w:val="18"/>
        <w:numPr>
          <w:ilvl w:val="0"/>
          <w:numId w:val="7"/>
        </w:numPr>
        <w:tabs>
          <w:tab w:val="left" w:pos="1080"/>
        </w:tabs>
        <w:spacing w:line="360" w:lineRule="auto"/>
        <w:rPr>
          <w:rFonts w:hint="eastAsia" w:ascii="宋体" w:hAnsi="宋体"/>
          <w:color w:val="auto"/>
          <w:sz w:val="21"/>
          <w:szCs w:val="21"/>
        </w:rPr>
      </w:pPr>
      <w:r>
        <w:rPr>
          <w:rFonts w:hint="eastAsia" w:ascii="宋体" w:hAnsi="宋体"/>
          <w:color w:val="auto"/>
          <w:sz w:val="21"/>
          <w:szCs w:val="21"/>
        </w:rPr>
        <w:t>评标办法</w:t>
      </w:r>
    </w:p>
    <w:p w14:paraId="4AE27F76">
      <w:pPr>
        <w:pStyle w:val="18"/>
        <w:numPr>
          <w:ilvl w:val="0"/>
          <w:numId w:val="7"/>
        </w:numPr>
        <w:tabs>
          <w:tab w:val="left" w:pos="1080"/>
        </w:tabs>
        <w:spacing w:line="360" w:lineRule="auto"/>
        <w:rPr>
          <w:rFonts w:hint="eastAsia" w:ascii="宋体" w:hAnsi="宋体"/>
          <w:color w:val="auto"/>
          <w:sz w:val="21"/>
          <w:szCs w:val="21"/>
        </w:rPr>
      </w:pPr>
      <w:r>
        <w:rPr>
          <w:rFonts w:hint="eastAsia" w:ascii="宋体" w:hAnsi="宋体"/>
          <w:color w:val="auto"/>
          <w:sz w:val="21"/>
          <w:szCs w:val="21"/>
        </w:rPr>
        <w:fldChar w:fldCharType="begin"/>
      </w:r>
      <w:r>
        <w:rPr>
          <w:rFonts w:hint="eastAsia" w:ascii="宋体" w:hAnsi="宋体"/>
          <w:color w:val="auto"/>
          <w:sz w:val="21"/>
          <w:szCs w:val="21"/>
        </w:rPr>
        <w:instrText xml:space="preserve"> HYPERLINK  \l "_合同条款" </w:instrText>
      </w:r>
      <w:r>
        <w:rPr>
          <w:rFonts w:hint="eastAsia" w:ascii="宋体" w:hAnsi="宋体"/>
          <w:color w:val="auto"/>
          <w:sz w:val="21"/>
          <w:szCs w:val="21"/>
        </w:rPr>
        <w:fldChar w:fldCharType="separate"/>
      </w:r>
      <w:r>
        <w:rPr>
          <w:rFonts w:hint="eastAsia" w:ascii="宋体" w:hAnsi="宋体"/>
          <w:color w:val="auto"/>
          <w:sz w:val="21"/>
          <w:szCs w:val="21"/>
        </w:rPr>
        <w:t>合同</w:t>
      </w:r>
      <w:r>
        <w:rPr>
          <w:rFonts w:hint="eastAsia" w:ascii="宋体" w:hAnsi="宋体"/>
          <w:color w:val="auto"/>
          <w:sz w:val="21"/>
          <w:szCs w:val="21"/>
        </w:rPr>
        <w:fldChar w:fldCharType="end"/>
      </w:r>
    </w:p>
    <w:p w14:paraId="4540E793">
      <w:pPr>
        <w:pStyle w:val="18"/>
        <w:numPr>
          <w:ilvl w:val="0"/>
          <w:numId w:val="7"/>
        </w:numPr>
        <w:tabs>
          <w:tab w:val="left" w:pos="1080"/>
        </w:tabs>
        <w:spacing w:line="360" w:lineRule="auto"/>
        <w:rPr>
          <w:rFonts w:hint="eastAsia" w:ascii="宋体" w:hAnsi="宋体"/>
          <w:color w:val="auto"/>
          <w:sz w:val="21"/>
          <w:szCs w:val="21"/>
        </w:rPr>
      </w:pPr>
      <w:r>
        <w:rPr>
          <w:rFonts w:hint="eastAsia" w:ascii="宋体" w:hAnsi="宋体"/>
          <w:color w:val="auto"/>
          <w:sz w:val="21"/>
          <w:szCs w:val="21"/>
        </w:rPr>
        <w:t>招标项目需求及技术要求</w:t>
      </w:r>
    </w:p>
    <w:p w14:paraId="50F1D84F">
      <w:pPr>
        <w:pStyle w:val="18"/>
        <w:numPr>
          <w:ilvl w:val="0"/>
          <w:numId w:val="7"/>
        </w:numPr>
        <w:tabs>
          <w:tab w:val="left" w:pos="1080"/>
        </w:tabs>
        <w:spacing w:line="360" w:lineRule="auto"/>
        <w:rPr>
          <w:rFonts w:hint="eastAsia" w:ascii="宋体" w:hAnsi="宋体"/>
          <w:color w:val="auto"/>
          <w:sz w:val="21"/>
          <w:szCs w:val="21"/>
        </w:rPr>
      </w:pPr>
      <w:r>
        <w:rPr>
          <w:rFonts w:hint="eastAsia" w:ascii="宋体" w:hAnsi="宋体"/>
          <w:color w:val="auto"/>
          <w:sz w:val="21"/>
          <w:szCs w:val="21"/>
        </w:rPr>
        <w:t>投标文件资格审查文件册通用格式</w:t>
      </w:r>
    </w:p>
    <w:p w14:paraId="0E43FA13">
      <w:pPr>
        <w:pStyle w:val="18"/>
        <w:numPr>
          <w:ilvl w:val="0"/>
          <w:numId w:val="7"/>
        </w:numPr>
        <w:tabs>
          <w:tab w:val="left" w:pos="1080"/>
        </w:tabs>
        <w:spacing w:line="360" w:lineRule="auto"/>
        <w:rPr>
          <w:rFonts w:hint="eastAsia" w:ascii="宋体" w:hAnsi="宋体"/>
          <w:color w:val="auto"/>
          <w:sz w:val="21"/>
          <w:szCs w:val="21"/>
        </w:rPr>
      </w:pPr>
      <w:r>
        <w:rPr>
          <w:rFonts w:hint="eastAsia" w:ascii="宋体" w:hAnsi="宋体"/>
          <w:color w:val="auto"/>
          <w:sz w:val="21"/>
          <w:szCs w:val="21"/>
        </w:rPr>
        <w:t>投标文件通用格式</w:t>
      </w:r>
    </w:p>
    <w:p w14:paraId="2A0EC78E">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2.1.2</w:t>
      </w:r>
      <w:r>
        <w:rPr>
          <w:rFonts w:hint="eastAsia" w:ascii="宋体" w:hAnsi="宋体"/>
          <w:color w:val="auto"/>
          <w:szCs w:val="21"/>
        </w:rPr>
        <w:t>投标人应仔细阅读招标文件中投标人须知、合同条款的所有事项、格式要求和技术规范，按招标文件的要求提供投标文件，并保证所提供的全部资料的真实性，以使其投标对招标文件做出实质性响应，否则，将承担其</w:t>
      </w:r>
      <w:r>
        <w:rPr>
          <w:rFonts w:hint="eastAsia" w:ascii="宋体" w:hAnsi="宋体"/>
          <w:b/>
          <w:bCs/>
          <w:color w:val="auto"/>
          <w:szCs w:val="21"/>
        </w:rPr>
        <w:t>投标被拒绝或认定为投标无效的风险</w:t>
      </w:r>
      <w:r>
        <w:rPr>
          <w:rFonts w:hint="eastAsia" w:ascii="宋体" w:hAnsi="宋体"/>
          <w:color w:val="auto"/>
          <w:szCs w:val="21"/>
        </w:rPr>
        <w:t>。</w:t>
      </w:r>
    </w:p>
    <w:p w14:paraId="1021BD67">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2.1.3</w:t>
      </w:r>
      <w:r>
        <w:rPr>
          <w:rFonts w:hint="eastAsia" w:ascii="宋体" w:hAnsi="宋体"/>
          <w:color w:val="auto"/>
          <w:szCs w:val="21"/>
        </w:rPr>
        <w:t>投标人制作投标文件时应充分完整理解招标文件的整体要求。</w:t>
      </w:r>
    </w:p>
    <w:p w14:paraId="1680AF2F">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2.1.4</w:t>
      </w:r>
      <w:r>
        <w:rPr>
          <w:rFonts w:hint="eastAsia" w:ascii="宋体" w:hAnsi="宋体"/>
          <w:color w:val="auto"/>
          <w:szCs w:val="21"/>
        </w:rPr>
        <w:t>根据本章第1.4款、第2.2款和第2.3款对招标文件所做的澄清和修改，构成招标文件的组成部分。</w:t>
      </w:r>
    </w:p>
    <w:p w14:paraId="5C33B378">
      <w:pPr>
        <w:pStyle w:val="4"/>
        <w:numPr>
          <w:ilvl w:val="1"/>
          <w:numId w:val="0"/>
        </w:numPr>
        <w:spacing w:before="140" w:after="140" w:line="240" w:lineRule="auto"/>
        <w:ind w:left="0" w:leftChars="0" w:firstLine="0" w:firstLineChars="0"/>
        <w:rPr>
          <w:rFonts w:hint="eastAsia"/>
          <w:color w:val="auto"/>
        </w:rPr>
      </w:pPr>
      <w:bookmarkStart w:id="134" w:name="_Toc7923"/>
      <w:bookmarkStart w:id="135" w:name="_Toc23431"/>
      <w:bookmarkStart w:id="136" w:name="_Toc18984"/>
      <w:bookmarkStart w:id="137" w:name="_Toc6978"/>
      <w:bookmarkStart w:id="138" w:name="_Toc3408"/>
      <w:r>
        <w:rPr>
          <w:rFonts w:hint="default" w:ascii="宋体" w:hAnsi="宋体" w:eastAsia="宋体" w:cs="宋体"/>
          <w:b/>
          <w:bCs/>
          <w:color w:val="auto"/>
          <w:kern w:val="2"/>
          <w:sz w:val="21"/>
          <w:szCs w:val="21"/>
          <w:lang w:val="en-US" w:eastAsia="zh-CN" w:bidi="ar-SA"/>
        </w:rPr>
        <w:t>2.2</w:t>
      </w:r>
      <w:r>
        <w:rPr>
          <w:rFonts w:hint="eastAsia"/>
          <w:color w:val="auto"/>
        </w:rPr>
        <w:t>招标文件的澄清</w:t>
      </w:r>
      <w:bookmarkEnd w:id="134"/>
      <w:bookmarkEnd w:id="135"/>
      <w:bookmarkEnd w:id="136"/>
      <w:bookmarkEnd w:id="137"/>
      <w:bookmarkEnd w:id="138"/>
    </w:p>
    <w:p w14:paraId="592CC450">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2.2.1</w:t>
      </w:r>
      <w:r>
        <w:rPr>
          <w:rFonts w:hint="eastAsia" w:ascii="宋体" w:hAnsi="宋体"/>
          <w:color w:val="auto"/>
          <w:szCs w:val="21"/>
        </w:rPr>
        <w:t>投标人应仔细阅读和检查招标文件的全部内容。如发现缺页或附件不全，应及时向采购人提出，以便补齐。如有疑问，应按投标人须知前附表规定的时间和形式将提出的问题送达采购人，要求采购人对招标文件予以澄清。</w:t>
      </w:r>
    </w:p>
    <w:p w14:paraId="6815A890">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2.2.2</w:t>
      </w:r>
      <w:r>
        <w:rPr>
          <w:rFonts w:hint="eastAsia" w:ascii="宋体" w:hAnsi="宋体"/>
          <w:color w:val="auto"/>
          <w:szCs w:val="21"/>
        </w:rPr>
        <w:t>招标文件的澄清以投标人须知前附表规定的形式发给所有购买招标文件的投标人，同时在原公告媒体发布澄清公告，但不指明澄清问题的来源。澄清发出的时间距本章第4.2.1项规定的投标截止时间不足15日的，并且澄清内容可能影响投标文件编制的，将相应延长投标截止时间。</w:t>
      </w:r>
    </w:p>
    <w:p w14:paraId="5D12D3F4">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2.2.3</w:t>
      </w:r>
      <w:r>
        <w:rPr>
          <w:rFonts w:hint="eastAsia" w:ascii="宋体" w:hAnsi="宋体"/>
          <w:color w:val="auto"/>
          <w:szCs w:val="21"/>
        </w:rPr>
        <w:t>投标人在收到澄清后，应按投标人须知前附表规定的时间和形式通知采购人，确认已收到该澄清。</w:t>
      </w:r>
    </w:p>
    <w:p w14:paraId="20F53894">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2.2.4</w:t>
      </w:r>
      <w:r>
        <w:rPr>
          <w:rFonts w:hint="eastAsia" w:ascii="宋体" w:hAnsi="宋体"/>
          <w:color w:val="auto"/>
          <w:szCs w:val="21"/>
        </w:rPr>
        <w:t>除非采购人认为确有必要答复，否则，采购人有权拒绝回复投标人在本章第2.2.1项规定的时间后的任何澄清要求。在规定的时间内未提出疑问的，将被视为对招标文件完全认可。</w:t>
      </w:r>
    </w:p>
    <w:p w14:paraId="09461CB8">
      <w:pPr>
        <w:pStyle w:val="4"/>
        <w:numPr>
          <w:ilvl w:val="1"/>
          <w:numId w:val="0"/>
        </w:numPr>
        <w:spacing w:before="140" w:after="140" w:line="240" w:lineRule="auto"/>
        <w:ind w:left="0" w:leftChars="0" w:firstLine="0" w:firstLineChars="0"/>
        <w:rPr>
          <w:rFonts w:hint="eastAsia"/>
          <w:color w:val="auto"/>
        </w:rPr>
      </w:pPr>
      <w:bookmarkStart w:id="139" w:name="_Toc32510"/>
      <w:bookmarkStart w:id="140" w:name="_Toc28742"/>
      <w:bookmarkStart w:id="141" w:name="_Toc12162"/>
      <w:bookmarkStart w:id="142" w:name="_Toc28686"/>
      <w:bookmarkStart w:id="143" w:name="_Toc25801"/>
      <w:r>
        <w:rPr>
          <w:rFonts w:hint="default" w:ascii="宋体" w:hAnsi="宋体" w:eastAsia="宋体" w:cs="宋体"/>
          <w:b/>
          <w:bCs/>
          <w:color w:val="auto"/>
          <w:kern w:val="2"/>
          <w:sz w:val="21"/>
          <w:szCs w:val="21"/>
          <w:lang w:val="en-US" w:eastAsia="zh-CN" w:bidi="ar-SA"/>
        </w:rPr>
        <w:t>2.3</w:t>
      </w:r>
      <w:r>
        <w:rPr>
          <w:rFonts w:hint="eastAsia"/>
          <w:color w:val="auto"/>
        </w:rPr>
        <w:t>招标文件的修改</w:t>
      </w:r>
      <w:bookmarkEnd w:id="139"/>
      <w:bookmarkEnd w:id="140"/>
      <w:bookmarkEnd w:id="141"/>
      <w:bookmarkEnd w:id="142"/>
      <w:bookmarkEnd w:id="143"/>
    </w:p>
    <w:p w14:paraId="7E437643">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2.3.1</w:t>
      </w:r>
      <w:r>
        <w:rPr>
          <w:rFonts w:hint="eastAsia" w:ascii="宋体" w:hAnsi="宋体"/>
          <w:color w:val="auto"/>
          <w:szCs w:val="21"/>
        </w:rPr>
        <w:t>采购人或者采购代理机构可以对已发出的招标文件进行必要的修改，但不得改变采购标的和资格条件，修改的内容为招标文件的组成部分。</w:t>
      </w:r>
    </w:p>
    <w:p w14:paraId="353C0712">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2.3.2</w:t>
      </w:r>
      <w:r>
        <w:rPr>
          <w:rFonts w:hint="eastAsia" w:ascii="宋体" w:hAnsi="宋体"/>
          <w:color w:val="auto"/>
          <w:szCs w:val="21"/>
        </w:rPr>
        <w:t>采购人或采购代理机构以投标人须知前附表规定的形式修改招标文件，并通知所有已购买招标文件的投标人，同时在原公告媒体发布变更公告。修改招标文件的时间距本章第4.2.1项规定的投标截止时间不足15日的，并且修改内容可能影响投标文件编制的，将相应延长投标截止时间。</w:t>
      </w:r>
    </w:p>
    <w:p w14:paraId="58FF6B84">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2.3.3</w:t>
      </w:r>
      <w:r>
        <w:rPr>
          <w:rFonts w:hint="eastAsia" w:ascii="宋体" w:hAnsi="宋体"/>
          <w:color w:val="auto"/>
          <w:szCs w:val="21"/>
        </w:rPr>
        <w:t>投标人收到修改内容后，应按投标人须知前附表规定的时间和形式通知采购人 ，确认已收到该修改。</w:t>
      </w:r>
    </w:p>
    <w:p w14:paraId="128BBE60">
      <w:pPr>
        <w:pStyle w:val="3"/>
        <w:numPr>
          <w:ilvl w:val="0"/>
          <w:numId w:val="0"/>
        </w:numPr>
        <w:tabs>
          <w:tab w:val="left" w:pos="721"/>
          <w:tab w:val="left" w:pos="840"/>
          <w:tab w:val="left" w:pos="2880"/>
          <w:tab w:val="left" w:pos="3780"/>
        </w:tabs>
        <w:ind w:left="0" w:leftChars="0" w:firstLine="0" w:firstLineChars="0"/>
        <w:jc w:val="both"/>
        <w:rPr>
          <w:rFonts w:hint="eastAsia" w:ascii="宋体" w:hAnsi="宋体"/>
          <w:color w:val="auto"/>
          <w:szCs w:val="24"/>
        </w:rPr>
      </w:pPr>
      <w:bookmarkStart w:id="144" w:name="_Toc5400"/>
      <w:bookmarkStart w:id="145" w:name="_Toc312133545"/>
      <w:r>
        <w:rPr>
          <w:rFonts w:hint="eastAsia" w:ascii="宋体" w:hAnsi="宋体" w:eastAsia="宋体" w:cs="Times New Roman"/>
          <w:b/>
          <w:color w:val="auto"/>
          <w:kern w:val="2"/>
          <w:sz w:val="24"/>
          <w:szCs w:val="24"/>
          <w:lang w:val="en-US" w:eastAsia="zh-CN" w:bidi="ar-SA"/>
        </w:rPr>
        <w:t>3.</w:t>
      </w:r>
      <w:r>
        <w:rPr>
          <w:rFonts w:hint="eastAsia" w:ascii="宋体" w:hAnsi="宋体"/>
          <w:color w:val="auto"/>
          <w:szCs w:val="24"/>
        </w:rPr>
        <w:t>投标文件的编写</w:t>
      </w:r>
      <w:bookmarkEnd w:id="144"/>
      <w:bookmarkEnd w:id="145"/>
    </w:p>
    <w:p w14:paraId="6CF569FF">
      <w:pPr>
        <w:pStyle w:val="4"/>
        <w:numPr>
          <w:ilvl w:val="1"/>
          <w:numId w:val="0"/>
        </w:numPr>
        <w:spacing w:before="140" w:after="140" w:line="240" w:lineRule="auto"/>
        <w:ind w:left="0" w:leftChars="0" w:firstLine="0" w:firstLineChars="0"/>
        <w:rPr>
          <w:rFonts w:hint="eastAsia"/>
          <w:color w:val="auto"/>
        </w:rPr>
      </w:pPr>
      <w:bookmarkStart w:id="146" w:name="_Toc21879"/>
      <w:bookmarkStart w:id="147" w:name="_Toc9605"/>
      <w:bookmarkStart w:id="148" w:name="_Toc17591"/>
      <w:bookmarkStart w:id="149" w:name="_Toc27498"/>
      <w:bookmarkStart w:id="150" w:name="_Toc17436"/>
      <w:r>
        <w:rPr>
          <w:rFonts w:hint="default" w:ascii="宋体" w:hAnsi="宋体" w:eastAsia="宋体" w:cs="宋体"/>
          <w:b/>
          <w:bCs/>
          <w:color w:val="auto"/>
          <w:kern w:val="2"/>
          <w:sz w:val="21"/>
          <w:szCs w:val="21"/>
          <w:lang w:val="en-US" w:eastAsia="zh-CN" w:bidi="ar-SA"/>
        </w:rPr>
        <w:t>3.1</w:t>
      </w:r>
      <w:r>
        <w:rPr>
          <w:rFonts w:hint="eastAsia"/>
          <w:color w:val="auto"/>
        </w:rPr>
        <w:t>投标文件的组成</w:t>
      </w:r>
      <w:bookmarkEnd w:id="146"/>
      <w:bookmarkEnd w:id="147"/>
      <w:bookmarkEnd w:id="148"/>
      <w:bookmarkEnd w:id="149"/>
      <w:bookmarkEnd w:id="150"/>
    </w:p>
    <w:p w14:paraId="40B6F4B4">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3.1.1</w:t>
      </w:r>
      <w:r>
        <w:rPr>
          <w:rFonts w:hint="eastAsia" w:ascii="宋体" w:hAnsi="宋体"/>
          <w:color w:val="auto"/>
          <w:szCs w:val="21"/>
        </w:rPr>
        <w:t>投标文件包括下列部分：</w:t>
      </w:r>
    </w:p>
    <w:p w14:paraId="67A5FABC">
      <w:pPr>
        <w:tabs>
          <w:tab w:val="left" w:pos="720"/>
        </w:tabs>
        <w:spacing w:line="360" w:lineRule="auto"/>
        <w:ind w:firstLine="420" w:firstLineChars="200"/>
        <w:rPr>
          <w:rFonts w:hint="eastAsia" w:ascii="宋体" w:hAnsi="宋体"/>
          <w:color w:val="auto"/>
          <w:szCs w:val="21"/>
        </w:rPr>
      </w:pPr>
      <w:r>
        <w:rPr>
          <w:rFonts w:hint="eastAsia" w:ascii="宋体" w:hAnsi="宋体"/>
          <w:color w:val="auto"/>
          <w:szCs w:val="21"/>
        </w:rPr>
        <w:t>投标文件资格审查文件册组成</w:t>
      </w:r>
    </w:p>
    <w:p w14:paraId="671A9B78">
      <w:pPr>
        <w:numPr>
          <w:ilvl w:val="0"/>
          <w:numId w:val="8"/>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投标人资格声明函</w:t>
      </w:r>
    </w:p>
    <w:p w14:paraId="6CCDD364">
      <w:pPr>
        <w:numPr>
          <w:ilvl w:val="0"/>
          <w:numId w:val="8"/>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投标人基本情况</w:t>
      </w:r>
    </w:p>
    <w:p w14:paraId="1CD57C15">
      <w:pPr>
        <w:numPr>
          <w:ilvl w:val="0"/>
          <w:numId w:val="8"/>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投标人资格证明文件</w:t>
      </w:r>
    </w:p>
    <w:p w14:paraId="4C150FB9">
      <w:pPr>
        <w:tabs>
          <w:tab w:val="left" w:pos="720"/>
        </w:tabs>
        <w:spacing w:line="360" w:lineRule="auto"/>
        <w:ind w:left="420" w:leftChars="200"/>
        <w:rPr>
          <w:rFonts w:hint="eastAsia" w:ascii="宋体" w:hAnsi="宋体"/>
          <w:color w:val="auto"/>
          <w:szCs w:val="21"/>
        </w:rPr>
      </w:pPr>
      <w:r>
        <w:rPr>
          <w:rFonts w:hint="eastAsia" w:ascii="宋体" w:hAnsi="宋体"/>
          <w:color w:val="auto"/>
          <w:szCs w:val="21"/>
        </w:rPr>
        <w:t>投标文件组成</w:t>
      </w:r>
    </w:p>
    <w:p w14:paraId="7C7E834B">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法定代表人身份证明或授权委托书</w:t>
      </w:r>
    </w:p>
    <w:p w14:paraId="24807835">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投标书</w:t>
      </w:r>
    </w:p>
    <w:p w14:paraId="4A4FFD7D">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投标承诺函</w:t>
      </w:r>
    </w:p>
    <w:p w14:paraId="1622D433">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投标报价表格</w:t>
      </w:r>
    </w:p>
    <w:p w14:paraId="1EB9B2FB">
      <w:pPr>
        <w:tabs>
          <w:tab w:val="left" w:pos="1080"/>
        </w:tabs>
        <w:spacing w:line="360" w:lineRule="auto"/>
        <w:ind w:left="420" w:leftChars="200" w:firstLine="420" w:firstLineChars="200"/>
        <w:rPr>
          <w:rFonts w:hint="eastAsia" w:ascii="宋体" w:hAnsi="宋体"/>
          <w:color w:val="auto"/>
          <w:szCs w:val="21"/>
        </w:rPr>
      </w:pPr>
      <w:r>
        <w:rPr>
          <w:rFonts w:hint="eastAsia" w:ascii="宋体" w:hAnsi="宋体"/>
          <w:color w:val="auto"/>
          <w:szCs w:val="21"/>
        </w:rPr>
        <w:t>1）开标一览表</w:t>
      </w:r>
    </w:p>
    <w:p w14:paraId="27935352">
      <w:pPr>
        <w:tabs>
          <w:tab w:val="left" w:pos="1080"/>
        </w:tabs>
        <w:spacing w:line="360" w:lineRule="auto"/>
        <w:ind w:left="420" w:leftChars="200" w:firstLine="420" w:firstLineChars="200"/>
        <w:rPr>
          <w:rFonts w:hint="eastAsia" w:ascii="宋体" w:hAnsi="宋体"/>
          <w:color w:val="auto"/>
          <w:szCs w:val="21"/>
        </w:rPr>
      </w:pPr>
      <w:r>
        <w:rPr>
          <w:rFonts w:hint="eastAsia" w:ascii="宋体" w:hAnsi="宋体"/>
          <w:color w:val="auto"/>
          <w:szCs w:val="21"/>
        </w:rPr>
        <w:t>2）投标报价一览表</w:t>
      </w:r>
    </w:p>
    <w:p w14:paraId="5F7C5431">
      <w:pPr>
        <w:tabs>
          <w:tab w:val="left" w:pos="1080"/>
        </w:tabs>
        <w:spacing w:line="360" w:lineRule="auto"/>
        <w:ind w:left="420" w:leftChars="200" w:firstLine="420" w:firstLineChars="200"/>
        <w:rPr>
          <w:rFonts w:hint="eastAsia" w:ascii="宋体" w:hAnsi="宋体"/>
          <w:color w:val="auto"/>
          <w:szCs w:val="21"/>
        </w:rPr>
      </w:pPr>
      <w:r>
        <w:rPr>
          <w:rFonts w:hint="eastAsia" w:ascii="宋体" w:hAnsi="宋体"/>
          <w:color w:val="auto"/>
          <w:szCs w:val="21"/>
        </w:rPr>
        <w:t>3）备件、专用工具和消耗品价格表</w:t>
      </w:r>
    </w:p>
    <w:p w14:paraId="010869F6">
      <w:pPr>
        <w:tabs>
          <w:tab w:val="left" w:pos="1080"/>
        </w:tabs>
        <w:spacing w:line="360" w:lineRule="auto"/>
        <w:ind w:left="420" w:leftChars="200" w:firstLine="420" w:firstLineChars="200"/>
        <w:rPr>
          <w:rFonts w:hint="eastAsia" w:ascii="宋体" w:hAnsi="宋体"/>
          <w:color w:val="auto"/>
          <w:szCs w:val="21"/>
        </w:rPr>
      </w:pPr>
      <w:r>
        <w:rPr>
          <w:rFonts w:hint="eastAsia" w:ascii="宋体" w:hAnsi="宋体"/>
          <w:color w:val="auto"/>
          <w:szCs w:val="21"/>
        </w:rPr>
        <w:t>4）货物分项报价一览表</w:t>
      </w:r>
    </w:p>
    <w:p w14:paraId="401FB336">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商务和技术偏差表</w:t>
      </w:r>
    </w:p>
    <w:p w14:paraId="14E0B501">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售后服务计划</w:t>
      </w:r>
    </w:p>
    <w:p w14:paraId="56C0BFDE">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投标人及投标产品简介</w:t>
      </w:r>
    </w:p>
    <w:p w14:paraId="46EFC976">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投标人提供的其他优惠条件</w:t>
      </w:r>
    </w:p>
    <w:p w14:paraId="526D993E">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反商业贿赂承诺书</w:t>
      </w:r>
    </w:p>
    <w:p w14:paraId="3D683362">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中小企业声明函</w:t>
      </w:r>
      <w:r>
        <w:rPr>
          <w:rFonts w:hint="eastAsia" w:ascii="宋体" w:hAnsi="宋体" w:cs="微软雅黑"/>
          <w:color w:val="auto"/>
          <w:kern w:val="0"/>
          <w:szCs w:val="21"/>
          <w:lang w:eastAsia="zh-CN"/>
        </w:rPr>
        <w:t>（</w:t>
      </w:r>
      <w:r>
        <w:rPr>
          <w:rFonts w:hint="eastAsia" w:ascii="宋体" w:hAnsi="宋体" w:cs="微软雅黑"/>
          <w:color w:val="auto"/>
          <w:kern w:val="0"/>
          <w:szCs w:val="21"/>
          <w:lang w:val="en-US" w:eastAsia="zh-CN"/>
        </w:rPr>
        <w:t>如有</w:t>
      </w:r>
      <w:r>
        <w:rPr>
          <w:rFonts w:hint="eastAsia" w:ascii="宋体" w:hAnsi="宋体" w:cs="微软雅黑"/>
          <w:color w:val="auto"/>
          <w:kern w:val="0"/>
          <w:szCs w:val="21"/>
          <w:lang w:eastAsia="zh-CN"/>
        </w:rPr>
        <w:t>）</w:t>
      </w:r>
    </w:p>
    <w:p w14:paraId="6205B33F">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残疾人福利性单位声明函（如有）</w:t>
      </w:r>
    </w:p>
    <w:p w14:paraId="57D724B8">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监狱企业证明材料（如有）</w:t>
      </w:r>
    </w:p>
    <w:p w14:paraId="2FBC45FE">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lang w:val="en-GB"/>
        </w:rPr>
      </w:pPr>
      <w:r>
        <w:rPr>
          <w:rFonts w:hint="eastAsia" w:ascii="宋体" w:hAnsi="宋体" w:cs="微软雅黑"/>
          <w:color w:val="auto"/>
          <w:kern w:val="0"/>
          <w:szCs w:val="21"/>
          <w:lang w:val="en-GB"/>
        </w:rPr>
        <w:t>节能产品、环境标志产品明细表</w:t>
      </w:r>
      <w:r>
        <w:rPr>
          <w:rFonts w:hint="eastAsia" w:ascii="宋体" w:hAnsi="宋体" w:cs="微软雅黑"/>
          <w:color w:val="auto"/>
          <w:kern w:val="0"/>
          <w:szCs w:val="21"/>
        </w:rPr>
        <w:t>（如有）</w:t>
      </w:r>
    </w:p>
    <w:p w14:paraId="74431C44">
      <w:pPr>
        <w:numPr>
          <w:ilvl w:val="0"/>
          <w:numId w:val="9"/>
        </w:numPr>
        <w:autoSpaceDE w:val="0"/>
        <w:autoSpaceDN w:val="0"/>
        <w:adjustRightInd w:val="0"/>
        <w:spacing w:line="360" w:lineRule="auto"/>
        <w:ind w:left="987" w:leftChars="200" w:right="40" w:hanging="567"/>
        <w:jc w:val="left"/>
        <w:rPr>
          <w:rFonts w:hint="eastAsia" w:ascii="宋体" w:hAnsi="宋体" w:cs="微软雅黑"/>
          <w:color w:val="auto"/>
          <w:kern w:val="0"/>
          <w:szCs w:val="21"/>
        </w:rPr>
      </w:pPr>
      <w:r>
        <w:rPr>
          <w:rFonts w:hint="eastAsia" w:ascii="宋体" w:hAnsi="宋体" w:cs="微软雅黑"/>
          <w:color w:val="auto"/>
          <w:kern w:val="0"/>
          <w:szCs w:val="21"/>
        </w:rPr>
        <w:t>其他资料</w:t>
      </w:r>
    </w:p>
    <w:p w14:paraId="7E7517E3">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3.1.2</w:t>
      </w:r>
      <w:r>
        <w:rPr>
          <w:rFonts w:hint="eastAsia" w:ascii="宋体" w:hAnsi="宋体"/>
          <w:color w:val="auto"/>
          <w:szCs w:val="21"/>
        </w:rPr>
        <w:t>投标文件应与招标文件的投标文件格式次序一一对应。</w:t>
      </w:r>
    </w:p>
    <w:p w14:paraId="75B6F8A5">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3.1.3</w:t>
      </w:r>
      <w:r>
        <w:rPr>
          <w:rFonts w:hint="eastAsia" w:ascii="宋体" w:hAnsi="宋体"/>
          <w:color w:val="auto"/>
          <w:szCs w:val="21"/>
        </w:rPr>
        <w:t>招标文件中的每个分包，是项目招标不可拆分的最小投标单元，投标人必须按此分包编制投标文件，提交相应的文件资料，拆包投标将视为漏项或非实质性响应予以认定为</w:t>
      </w:r>
      <w:r>
        <w:rPr>
          <w:rFonts w:hint="eastAsia" w:ascii="宋体" w:hAnsi="宋体"/>
          <w:b/>
          <w:bCs/>
          <w:color w:val="auto"/>
          <w:szCs w:val="21"/>
        </w:rPr>
        <w:t>投标无效</w:t>
      </w:r>
      <w:r>
        <w:rPr>
          <w:rFonts w:hint="eastAsia" w:ascii="宋体" w:hAnsi="宋体"/>
          <w:color w:val="auto"/>
          <w:szCs w:val="21"/>
        </w:rPr>
        <w:t>。</w:t>
      </w:r>
    </w:p>
    <w:p w14:paraId="282B3BFE">
      <w:pPr>
        <w:pStyle w:val="4"/>
        <w:numPr>
          <w:ilvl w:val="1"/>
          <w:numId w:val="0"/>
        </w:numPr>
        <w:spacing w:before="140" w:after="140" w:line="240" w:lineRule="auto"/>
        <w:ind w:left="0" w:leftChars="0" w:firstLine="0" w:firstLineChars="0"/>
        <w:rPr>
          <w:rFonts w:hint="eastAsia"/>
          <w:color w:val="auto"/>
        </w:rPr>
      </w:pPr>
      <w:bookmarkStart w:id="151" w:name="_Toc4941"/>
      <w:bookmarkStart w:id="152" w:name="_Toc2826"/>
      <w:bookmarkStart w:id="153" w:name="_Toc1833"/>
      <w:bookmarkStart w:id="154" w:name="_Toc28885"/>
      <w:bookmarkStart w:id="155" w:name="_Toc32754"/>
      <w:r>
        <w:rPr>
          <w:rFonts w:hint="default" w:ascii="宋体" w:hAnsi="宋体" w:eastAsia="宋体" w:cs="宋体"/>
          <w:b/>
          <w:bCs/>
          <w:color w:val="auto"/>
          <w:kern w:val="2"/>
          <w:sz w:val="21"/>
          <w:szCs w:val="21"/>
          <w:lang w:val="en-US" w:eastAsia="zh-CN" w:bidi="ar-SA"/>
        </w:rPr>
        <w:t>3.2</w:t>
      </w:r>
      <w:r>
        <w:rPr>
          <w:rFonts w:hint="eastAsia"/>
          <w:color w:val="auto"/>
        </w:rPr>
        <w:t>投标报价</w:t>
      </w:r>
      <w:bookmarkEnd w:id="151"/>
      <w:bookmarkEnd w:id="152"/>
      <w:bookmarkEnd w:id="153"/>
      <w:bookmarkEnd w:id="154"/>
      <w:bookmarkEnd w:id="155"/>
    </w:p>
    <w:p w14:paraId="4AA84ED6">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3.2.1</w:t>
      </w:r>
      <w:r>
        <w:rPr>
          <w:rFonts w:hint="eastAsia" w:ascii="宋体" w:hAnsi="宋体"/>
          <w:color w:val="auto"/>
        </w:rPr>
        <w:t>投标报价为目的地交货价（含货物运输、安装调试培训、售后服务费用等所有费用）。</w:t>
      </w:r>
      <w:r>
        <w:rPr>
          <w:rFonts w:hint="eastAsia" w:ascii="宋体" w:hAnsi="宋体"/>
          <w:color w:val="auto"/>
          <w:szCs w:val="21"/>
        </w:rPr>
        <w:t>投标人应按照招标文件提供的投标报价表格式填写提供各项货物及服务的单价、分项总价和总投标价。</w:t>
      </w:r>
    </w:p>
    <w:p w14:paraId="2560CB92">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3.2.2</w:t>
      </w:r>
      <w:r>
        <w:rPr>
          <w:rFonts w:hint="eastAsia" w:ascii="宋体" w:hAnsi="宋体"/>
          <w:color w:val="auto"/>
          <w:szCs w:val="21"/>
        </w:rPr>
        <w:t>投标总报价应是采购人指定地点交货的，包括基于交货或提供服务前发生的各种税费、运费及保险费、运杂费、安装费、检验费以及伴随的消耗材料、备品备件和其它服务费总报价。投标报价一览表是将总报价进行分解，各项报价应准确填入投标报价一览表相应栏内。未填入报价项目评标委员会可以认定为已包含在总报价，也可能做出对投标人不利的判断，后果由投标人自行承担。</w:t>
      </w:r>
    </w:p>
    <w:p w14:paraId="1E51759D">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3.2.3</w:t>
      </w:r>
      <w:r>
        <w:rPr>
          <w:rFonts w:hint="eastAsia" w:ascii="宋体" w:hAnsi="宋体"/>
          <w:color w:val="auto"/>
          <w:szCs w:val="21"/>
        </w:rPr>
        <w:t>投标人根据上述规定所作分项报价的目的只是为了评标时对投标文件进行比较的方便，但并不限制采购人订立合同的权力。</w:t>
      </w:r>
    </w:p>
    <w:p w14:paraId="1D9852F1">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3.2.4</w:t>
      </w:r>
      <w:r>
        <w:rPr>
          <w:rFonts w:hint="eastAsia" w:ascii="宋体" w:hAnsi="宋体"/>
          <w:color w:val="auto"/>
          <w:szCs w:val="21"/>
        </w:rPr>
        <w:t>投标报价应完全包括招标文件规定的全部货物及其伴随的服务范围，不得任意分割或合并所规定的货物及其伴随的服务分项。</w:t>
      </w:r>
    </w:p>
    <w:p w14:paraId="46F4F827">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3.2.5</w:t>
      </w:r>
      <w:r>
        <w:rPr>
          <w:rFonts w:hint="eastAsia" w:ascii="宋体" w:hAnsi="宋体"/>
          <w:color w:val="auto"/>
          <w:szCs w:val="21"/>
        </w:rPr>
        <w:t>投标人对每种货物只允许有一个报价，采购人和采购代理机构不接受有任何选择报价的投标。</w:t>
      </w:r>
    </w:p>
    <w:p w14:paraId="6C1F47FF">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3.2.6</w:t>
      </w:r>
      <w:r>
        <w:rPr>
          <w:rFonts w:hint="eastAsia" w:ascii="宋体" w:hAnsi="宋体"/>
          <w:color w:val="auto"/>
          <w:szCs w:val="21"/>
        </w:rPr>
        <w:t>投标人不得以任何理由在开标后对投标报价予以修改，报价在投标有效期内是固定的，不因任何原因而改变。任何包含价格调整要求和条件的投标，将被视为非实质性响应投标而予以拒绝。最低投标报价并不意味着一定中标。</w:t>
      </w:r>
    </w:p>
    <w:p w14:paraId="2644D68C">
      <w:pPr>
        <w:pStyle w:val="4"/>
        <w:numPr>
          <w:ilvl w:val="1"/>
          <w:numId w:val="0"/>
        </w:numPr>
        <w:spacing w:before="140" w:after="140" w:line="240" w:lineRule="auto"/>
        <w:ind w:left="0" w:leftChars="0" w:firstLine="0" w:firstLineChars="0"/>
        <w:rPr>
          <w:rFonts w:hint="eastAsia"/>
          <w:color w:val="auto"/>
        </w:rPr>
      </w:pPr>
      <w:bookmarkStart w:id="156" w:name="_Toc31023"/>
      <w:bookmarkStart w:id="157" w:name="_Toc25999"/>
      <w:bookmarkStart w:id="158" w:name="_Toc13817"/>
      <w:bookmarkStart w:id="159" w:name="_Toc26916"/>
      <w:bookmarkStart w:id="160" w:name="_Toc28543"/>
      <w:r>
        <w:rPr>
          <w:rFonts w:hint="default" w:ascii="宋体" w:hAnsi="宋体" w:eastAsia="宋体" w:cs="宋体"/>
          <w:b/>
          <w:bCs/>
          <w:color w:val="auto"/>
          <w:kern w:val="2"/>
          <w:sz w:val="21"/>
          <w:szCs w:val="21"/>
          <w:lang w:val="en-US" w:eastAsia="zh-CN" w:bidi="ar-SA"/>
        </w:rPr>
        <w:t>3.3</w:t>
      </w:r>
      <w:r>
        <w:rPr>
          <w:rFonts w:hint="eastAsia"/>
          <w:color w:val="auto"/>
        </w:rPr>
        <w:t>投标人资格的证明文件</w:t>
      </w:r>
      <w:bookmarkEnd w:id="156"/>
      <w:bookmarkEnd w:id="157"/>
      <w:bookmarkEnd w:id="158"/>
      <w:bookmarkEnd w:id="159"/>
      <w:bookmarkEnd w:id="160"/>
    </w:p>
    <w:p w14:paraId="596C027B">
      <w:pPr>
        <w:spacing w:line="360" w:lineRule="auto"/>
        <w:ind w:firstLine="420" w:firstLineChars="200"/>
        <w:rPr>
          <w:rFonts w:hint="eastAsia" w:ascii="宋体" w:hAnsi="宋体"/>
          <w:color w:val="auto"/>
          <w:szCs w:val="21"/>
        </w:rPr>
      </w:pPr>
      <w:bookmarkStart w:id="161" w:name="_Toc28461"/>
      <w:bookmarkStart w:id="162" w:name="_Toc30002"/>
      <w:r>
        <w:rPr>
          <w:rFonts w:hint="eastAsia" w:ascii="宋体" w:hAnsi="宋体"/>
          <w:color w:val="auto"/>
          <w:szCs w:val="21"/>
        </w:rPr>
        <w:t>依据投标人须知前附表中的要求提交相应的资格证明文件，作为投标文件资格审查册的一部分，以证明其有资格进行投标和有能力履行合同。</w:t>
      </w:r>
    </w:p>
    <w:p w14:paraId="0C4AD16B">
      <w:pPr>
        <w:pStyle w:val="4"/>
        <w:numPr>
          <w:ilvl w:val="1"/>
          <w:numId w:val="0"/>
        </w:numPr>
        <w:spacing w:before="140" w:after="140" w:line="240" w:lineRule="auto"/>
        <w:ind w:left="0" w:leftChars="0" w:firstLine="0" w:firstLineChars="0"/>
        <w:rPr>
          <w:rFonts w:hint="eastAsia"/>
          <w:color w:val="auto"/>
        </w:rPr>
      </w:pPr>
      <w:bookmarkStart w:id="163" w:name="_Toc13866"/>
      <w:bookmarkStart w:id="164" w:name="_Toc7564"/>
      <w:bookmarkStart w:id="165" w:name="_Toc23240"/>
      <w:r>
        <w:rPr>
          <w:rFonts w:hint="default" w:ascii="宋体" w:hAnsi="宋体" w:eastAsia="宋体" w:cs="宋体"/>
          <w:b/>
          <w:bCs/>
          <w:color w:val="auto"/>
          <w:kern w:val="2"/>
          <w:sz w:val="21"/>
          <w:szCs w:val="21"/>
          <w:lang w:val="en-US" w:eastAsia="zh-CN" w:bidi="ar-SA"/>
        </w:rPr>
        <w:t>3.4</w:t>
      </w:r>
      <w:r>
        <w:rPr>
          <w:rFonts w:hint="eastAsia"/>
          <w:color w:val="auto"/>
        </w:rPr>
        <w:t>投标人技术证明文件</w:t>
      </w:r>
      <w:bookmarkEnd w:id="161"/>
      <w:bookmarkEnd w:id="162"/>
      <w:bookmarkEnd w:id="163"/>
      <w:bookmarkEnd w:id="164"/>
      <w:bookmarkEnd w:id="165"/>
    </w:p>
    <w:p w14:paraId="5B0BCF8D">
      <w:pPr>
        <w:numPr>
          <w:ilvl w:val="2"/>
          <w:numId w:val="0"/>
        </w:numPr>
        <w:spacing w:line="360" w:lineRule="auto"/>
        <w:ind w:left="0" w:leftChars="0" w:firstLine="420" w:firstLineChars="200"/>
        <w:rPr>
          <w:rFonts w:hint="eastAsia" w:ascii="宋体" w:hAnsi="宋体"/>
          <w:color w:val="auto"/>
          <w:szCs w:val="21"/>
        </w:rPr>
      </w:pPr>
      <w:bookmarkStart w:id="166" w:name="_Toc14418"/>
      <w:bookmarkStart w:id="167" w:name="_Toc26473"/>
      <w:bookmarkStart w:id="168" w:name="_Toc26009"/>
      <w:r>
        <w:rPr>
          <w:rFonts w:hint="default" w:ascii="宋体" w:hAnsi="宋体" w:eastAsia="宋体" w:cs="Times New Roman"/>
          <w:color w:val="auto"/>
          <w:kern w:val="2"/>
          <w:sz w:val="21"/>
          <w:szCs w:val="21"/>
          <w:lang w:val="en-US" w:eastAsia="zh-CN" w:bidi="ar-SA"/>
        </w:rPr>
        <w:t>3.4.1</w:t>
      </w:r>
      <w:r>
        <w:rPr>
          <w:rFonts w:hint="eastAsia" w:ascii="宋体" w:hAnsi="宋体"/>
          <w:color w:val="auto"/>
          <w:szCs w:val="21"/>
        </w:rPr>
        <w:t>投标人应提交证明其拟供货物及伴随服务符合招标文件规定的技术证明文件，作为投标文件的一部分。</w:t>
      </w:r>
    </w:p>
    <w:p w14:paraId="57A1306A">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3.4.2</w:t>
      </w:r>
      <w:r>
        <w:rPr>
          <w:rFonts w:hint="eastAsia" w:ascii="宋体" w:hAnsi="宋体"/>
          <w:color w:val="auto"/>
          <w:szCs w:val="21"/>
        </w:rPr>
        <w:t>在投标文件中应说明各项货物名称、数量、单价、规格型号等。</w:t>
      </w:r>
    </w:p>
    <w:p w14:paraId="0C51CAE1">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3.4.3</w:t>
      </w:r>
      <w:r>
        <w:rPr>
          <w:rFonts w:hint="eastAsia" w:ascii="宋体" w:hAnsi="宋体"/>
          <w:color w:val="auto"/>
          <w:szCs w:val="21"/>
        </w:rPr>
        <w:t>证明文件可以是文字资料、图纸和数据。</w:t>
      </w:r>
    </w:p>
    <w:p w14:paraId="5F97DA9F">
      <w:pPr>
        <w:pStyle w:val="4"/>
        <w:numPr>
          <w:ilvl w:val="1"/>
          <w:numId w:val="0"/>
        </w:numPr>
        <w:spacing w:before="140" w:after="140" w:line="240" w:lineRule="auto"/>
        <w:ind w:left="0" w:leftChars="0" w:firstLine="0" w:firstLineChars="0"/>
        <w:rPr>
          <w:rFonts w:hint="eastAsia"/>
          <w:color w:val="auto"/>
        </w:rPr>
      </w:pPr>
      <w:bookmarkStart w:id="169" w:name="_Toc20716"/>
      <w:bookmarkStart w:id="170" w:name="_Toc23963"/>
      <w:r>
        <w:rPr>
          <w:rFonts w:hint="default" w:ascii="宋体" w:hAnsi="宋体" w:eastAsia="宋体" w:cs="宋体"/>
          <w:b/>
          <w:bCs/>
          <w:color w:val="auto"/>
          <w:kern w:val="2"/>
          <w:sz w:val="21"/>
          <w:szCs w:val="21"/>
          <w:lang w:val="en-US" w:eastAsia="zh-CN" w:bidi="ar-SA"/>
        </w:rPr>
        <w:t>3.5</w:t>
      </w:r>
      <w:r>
        <w:rPr>
          <w:rFonts w:hint="eastAsia"/>
          <w:color w:val="auto"/>
        </w:rPr>
        <w:t>投标保证金</w:t>
      </w:r>
      <w:bookmarkEnd w:id="166"/>
      <w:bookmarkEnd w:id="167"/>
      <w:bookmarkEnd w:id="168"/>
      <w:bookmarkEnd w:id="169"/>
      <w:r>
        <w:rPr>
          <w:rFonts w:hint="eastAsia" w:cs="仿宋_GB2312"/>
          <w:color w:val="auto"/>
          <w:kern w:val="0"/>
        </w:rPr>
        <w:t>（本项目不要求缴纳投标保证金）</w:t>
      </w:r>
      <w:bookmarkEnd w:id="170"/>
    </w:p>
    <w:p w14:paraId="587EBEED">
      <w:pPr>
        <w:pStyle w:val="4"/>
        <w:numPr>
          <w:ilvl w:val="1"/>
          <w:numId w:val="0"/>
        </w:numPr>
        <w:spacing w:before="140" w:after="140" w:line="240" w:lineRule="auto"/>
        <w:ind w:left="0" w:leftChars="0" w:firstLine="0" w:firstLineChars="0"/>
        <w:rPr>
          <w:rFonts w:hint="eastAsia"/>
          <w:color w:val="auto"/>
        </w:rPr>
      </w:pPr>
      <w:bookmarkStart w:id="171" w:name="_Toc22418"/>
      <w:bookmarkStart w:id="172" w:name="_Toc11749"/>
      <w:bookmarkStart w:id="173" w:name="_Toc29010"/>
      <w:bookmarkStart w:id="174" w:name="_Toc878"/>
      <w:bookmarkStart w:id="175" w:name="_Toc11525"/>
      <w:r>
        <w:rPr>
          <w:rFonts w:hint="default" w:ascii="宋体" w:hAnsi="宋体" w:eastAsia="宋体" w:cs="宋体"/>
          <w:b/>
          <w:bCs/>
          <w:color w:val="auto"/>
          <w:kern w:val="2"/>
          <w:sz w:val="21"/>
          <w:szCs w:val="21"/>
          <w:lang w:val="en-US" w:eastAsia="zh-CN" w:bidi="ar-SA"/>
        </w:rPr>
        <w:t>3.6</w:t>
      </w:r>
      <w:r>
        <w:rPr>
          <w:rFonts w:hint="eastAsia"/>
          <w:color w:val="auto"/>
        </w:rPr>
        <w:t>投标有效期</w:t>
      </w:r>
      <w:bookmarkEnd w:id="171"/>
      <w:bookmarkEnd w:id="172"/>
      <w:bookmarkEnd w:id="173"/>
      <w:bookmarkEnd w:id="174"/>
      <w:bookmarkEnd w:id="175"/>
    </w:p>
    <w:p w14:paraId="5FBA9E47">
      <w:pPr>
        <w:numPr>
          <w:ilvl w:val="2"/>
          <w:numId w:val="0"/>
        </w:numPr>
        <w:spacing w:line="360" w:lineRule="auto"/>
        <w:ind w:left="0" w:leftChars="0" w:firstLine="422" w:firstLineChars="200"/>
        <w:rPr>
          <w:rFonts w:hint="eastAsia" w:ascii="宋体" w:hAnsi="宋体"/>
          <w:b/>
          <w:bCs/>
          <w:color w:val="auto"/>
          <w:szCs w:val="21"/>
        </w:rPr>
      </w:pPr>
      <w:r>
        <w:rPr>
          <w:rFonts w:hint="default" w:ascii="宋体" w:hAnsi="宋体" w:eastAsia="宋体" w:cs="Times New Roman"/>
          <w:b/>
          <w:bCs/>
          <w:color w:val="auto"/>
          <w:kern w:val="2"/>
          <w:sz w:val="21"/>
          <w:szCs w:val="21"/>
          <w:lang w:val="en-US" w:eastAsia="zh-CN" w:bidi="ar-SA"/>
        </w:rPr>
        <w:t>3.6.1</w:t>
      </w:r>
      <w:r>
        <w:rPr>
          <w:rFonts w:hint="eastAsia" w:ascii="宋体" w:hAnsi="宋体"/>
          <w:color w:val="auto"/>
          <w:szCs w:val="21"/>
        </w:rPr>
        <w:t>投标有效期见投标人须知前附表，从递交投标文件的截止之日起算。</w:t>
      </w:r>
    </w:p>
    <w:p w14:paraId="09A22FCA">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3.6.2</w:t>
      </w:r>
      <w:r>
        <w:rPr>
          <w:rFonts w:hint="eastAsia" w:ascii="宋体" w:hAnsi="宋体"/>
          <w:color w:val="auto"/>
          <w:szCs w:val="21"/>
        </w:rPr>
        <w:t>投标文件应自递交投标文件的截止之日起，在投标人须知前附表规定的时间内保持有效。投标有效期不足的将被视为非响应投标而予以拒绝。</w:t>
      </w:r>
    </w:p>
    <w:p w14:paraId="71C5E0F0">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3.6.3</w:t>
      </w:r>
      <w:r>
        <w:rPr>
          <w:rFonts w:hint="eastAsia" w:ascii="宋体" w:hAnsi="宋体"/>
          <w:color w:val="auto"/>
          <w:szCs w:val="21"/>
        </w:rPr>
        <w:t>在特殊情况下，在原投标有效期截止之前，采购人和采购代理机构可征求投标人同意延长投标有效期。这种要求与答复均应以书面形式提交。同意延期的投标人将不会被要求也不允许修改其投标。</w:t>
      </w:r>
    </w:p>
    <w:p w14:paraId="142B92AF">
      <w:pPr>
        <w:pStyle w:val="4"/>
        <w:numPr>
          <w:ilvl w:val="1"/>
          <w:numId w:val="0"/>
        </w:numPr>
        <w:spacing w:before="140" w:after="140" w:line="240" w:lineRule="auto"/>
        <w:ind w:left="0" w:leftChars="0" w:firstLine="0" w:firstLineChars="0"/>
        <w:rPr>
          <w:rFonts w:hint="eastAsia"/>
          <w:color w:val="auto"/>
        </w:rPr>
      </w:pPr>
      <w:bookmarkStart w:id="176" w:name="_Toc10777"/>
      <w:bookmarkStart w:id="177" w:name="_Toc5773"/>
      <w:bookmarkStart w:id="178" w:name="_Toc25251"/>
      <w:bookmarkStart w:id="179" w:name="_Toc8140"/>
      <w:bookmarkStart w:id="180" w:name="_Toc9753"/>
      <w:r>
        <w:rPr>
          <w:rFonts w:hint="default" w:ascii="宋体" w:hAnsi="宋体" w:eastAsia="宋体" w:cs="宋体"/>
          <w:b/>
          <w:bCs/>
          <w:color w:val="auto"/>
          <w:kern w:val="2"/>
          <w:sz w:val="21"/>
          <w:szCs w:val="21"/>
          <w:lang w:val="en-US" w:eastAsia="zh-CN" w:bidi="ar-SA"/>
        </w:rPr>
        <w:t>3.7</w:t>
      </w:r>
      <w:r>
        <w:rPr>
          <w:rFonts w:hint="eastAsia"/>
          <w:color w:val="auto"/>
        </w:rPr>
        <w:t>投标文件编制</w:t>
      </w:r>
      <w:bookmarkEnd w:id="176"/>
      <w:bookmarkEnd w:id="177"/>
      <w:bookmarkEnd w:id="178"/>
      <w:bookmarkEnd w:id="179"/>
      <w:bookmarkEnd w:id="180"/>
    </w:p>
    <w:p w14:paraId="5D9FB5E6">
      <w:pPr>
        <w:numPr>
          <w:ilvl w:val="2"/>
          <w:numId w:val="0"/>
        </w:numPr>
        <w:spacing w:line="360" w:lineRule="auto"/>
        <w:ind w:left="0" w:leftChars="0" w:firstLine="420" w:firstLineChars="200"/>
        <w:rPr>
          <w:rFonts w:hint="eastAsia" w:ascii="宋体" w:hAnsi="宋体"/>
          <w:color w:val="auto"/>
          <w:szCs w:val="21"/>
        </w:rPr>
      </w:pPr>
      <w:bookmarkStart w:id="181" w:name="_Toc312133546"/>
      <w:r>
        <w:rPr>
          <w:rFonts w:hint="default" w:ascii="宋体" w:hAnsi="宋体" w:eastAsia="宋体" w:cs="Times New Roman"/>
          <w:color w:val="auto"/>
          <w:kern w:val="2"/>
          <w:sz w:val="21"/>
          <w:szCs w:val="21"/>
          <w:lang w:val="en-US" w:eastAsia="zh-CN" w:bidi="ar-SA"/>
        </w:rPr>
        <w:t>3.7.1</w:t>
      </w:r>
      <w:r>
        <w:rPr>
          <w:rFonts w:hint="eastAsia" w:ascii="宋体" w:hAnsi="宋体"/>
          <w:color w:val="auto"/>
          <w:szCs w:val="21"/>
        </w:rPr>
        <w:t>投标文件应按第七章“投标文件资格审查册通用格式”、第八章“投标文件通用格式”进行编写，如有必要，可以增加附页，作为投标文件的组成部分。其中，开标一览表在满足招标文件实质性要求的基础上，可以提出比招标文件要求更有利于采购人的承诺。</w:t>
      </w:r>
    </w:p>
    <w:p w14:paraId="3AE03B00">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3.7.2</w:t>
      </w:r>
      <w:r>
        <w:rPr>
          <w:rFonts w:hint="eastAsia" w:ascii="宋体" w:hAnsi="宋体"/>
          <w:color w:val="auto"/>
          <w:szCs w:val="21"/>
        </w:rPr>
        <w:t>投标文件应当对招标文件有关投标有效期、采购范围等实质性内容作出响应。</w:t>
      </w:r>
    </w:p>
    <w:p w14:paraId="18228096">
      <w:pPr>
        <w:pStyle w:val="27"/>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3.7.3</w:t>
      </w:r>
      <w:r>
        <w:rPr>
          <w:rFonts w:hint="eastAsia" w:eastAsia="宋体" w:cs="宋体"/>
          <w:color w:val="auto"/>
          <w:sz w:val="21"/>
          <w:szCs w:val="21"/>
        </w:rPr>
        <w:t>投标文件全部采用电子文档，除投标人须知前附表另有规定外，投标文件所附证书证件均为原件扫描件，并采用单位和个人数字证书，按招标文件要求在相应位置加盖电子印章。由投标人的法定代表人（单位负责人）签字或加盖电子印章的，应附法定代表人（单位负责人）身份证明，由代理人签字或加盖电子印章的，应附由法定代表人（单位负责人）签署的授权委托书。</w:t>
      </w:r>
    </w:p>
    <w:p w14:paraId="38544705">
      <w:pPr>
        <w:spacing w:line="360" w:lineRule="auto"/>
        <w:ind w:firstLine="420" w:firstLineChars="200"/>
        <w:rPr>
          <w:rFonts w:hint="eastAsia" w:ascii="宋体" w:hAnsi="宋体"/>
          <w:color w:val="auto"/>
          <w:szCs w:val="21"/>
        </w:rPr>
      </w:pPr>
      <w:r>
        <w:rPr>
          <w:rFonts w:hint="eastAsia" w:ascii="宋体" w:hAnsi="宋体"/>
          <w:color w:val="auto"/>
          <w:szCs w:val="21"/>
        </w:rPr>
        <w:t>3.7.4 电报、电传和传真投标文件一律不接受。</w:t>
      </w:r>
    </w:p>
    <w:p w14:paraId="217F0C98">
      <w:pPr>
        <w:pStyle w:val="3"/>
        <w:numPr>
          <w:ilvl w:val="0"/>
          <w:numId w:val="0"/>
        </w:numPr>
        <w:tabs>
          <w:tab w:val="left" w:pos="721"/>
          <w:tab w:val="left" w:pos="840"/>
          <w:tab w:val="left" w:pos="2880"/>
          <w:tab w:val="left" w:pos="3780"/>
        </w:tabs>
        <w:ind w:left="0" w:leftChars="0" w:firstLine="0" w:firstLineChars="0"/>
        <w:jc w:val="both"/>
        <w:rPr>
          <w:rFonts w:hint="eastAsia" w:ascii="宋体" w:hAnsi="宋体"/>
          <w:color w:val="auto"/>
          <w:szCs w:val="24"/>
        </w:rPr>
      </w:pPr>
      <w:bookmarkStart w:id="182" w:name="_Toc11379"/>
      <w:r>
        <w:rPr>
          <w:rFonts w:hint="eastAsia" w:ascii="宋体" w:hAnsi="宋体" w:eastAsia="宋体" w:cs="Times New Roman"/>
          <w:b/>
          <w:color w:val="auto"/>
          <w:kern w:val="2"/>
          <w:sz w:val="24"/>
          <w:szCs w:val="24"/>
          <w:lang w:val="en-US" w:eastAsia="zh-CN" w:bidi="ar-SA"/>
        </w:rPr>
        <w:t>4.</w:t>
      </w:r>
      <w:r>
        <w:rPr>
          <w:rFonts w:hint="eastAsia" w:ascii="宋体" w:hAnsi="宋体"/>
          <w:color w:val="auto"/>
          <w:szCs w:val="24"/>
        </w:rPr>
        <w:t>投标</w:t>
      </w:r>
      <w:bookmarkEnd w:id="181"/>
      <w:bookmarkEnd w:id="182"/>
    </w:p>
    <w:p w14:paraId="54895D83">
      <w:pPr>
        <w:pStyle w:val="4"/>
        <w:numPr>
          <w:ilvl w:val="1"/>
          <w:numId w:val="0"/>
        </w:numPr>
        <w:ind w:left="0" w:leftChars="0" w:firstLine="0" w:firstLineChars="0"/>
        <w:rPr>
          <w:rFonts w:hint="eastAsia"/>
          <w:color w:val="auto"/>
        </w:rPr>
      </w:pPr>
      <w:bookmarkStart w:id="183" w:name="_Toc22690"/>
      <w:bookmarkStart w:id="184" w:name="_Toc15515"/>
      <w:bookmarkStart w:id="185" w:name="_Toc7004"/>
      <w:bookmarkStart w:id="186" w:name="_Toc24089"/>
      <w:bookmarkStart w:id="187" w:name="_Toc24770"/>
      <w:bookmarkStart w:id="188" w:name="_Toc23777"/>
      <w:bookmarkStart w:id="189" w:name="_Toc2541"/>
      <w:bookmarkStart w:id="190" w:name="_Toc9486"/>
      <w:bookmarkStart w:id="191" w:name="_Toc17190"/>
      <w:bookmarkStart w:id="192" w:name="_Toc7201"/>
      <w:bookmarkStart w:id="193" w:name="_Toc25740"/>
      <w:bookmarkStart w:id="194" w:name="_Toc32620"/>
      <w:bookmarkStart w:id="195" w:name="_Toc312133547"/>
      <w:r>
        <w:rPr>
          <w:rFonts w:hint="default" w:ascii="宋体" w:hAnsi="宋体" w:eastAsia="宋体" w:cs="宋体"/>
          <w:b/>
          <w:bCs/>
          <w:color w:val="auto"/>
          <w:kern w:val="2"/>
          <w:sz w:val="21"/>
          <w:szCs w:val="21"/>
          <w:lang w:val="en-US" w:eastAsia="zh-CN" w:bidi="ar-SA"/>
        </w:rPr>
        <w:t>4.1</w:t>
      </w:r>
      <w:r>
        <w:rPr>
          <w:rFonts w:hint="eastAsia"/>
          <w:color w:val="auto"/>
        </w:rPr>
        <w:t>投标文件的密封、签署和盖章</w:t>
      </w:r>
      <w:bookmarkEnd w:id="183"/>
      <w:bookmarkEnd w:id="184"/>
      <w:bookmarkEnd w:id="185"/>
      <w:bookmarkEnd w:id="186"/>
      <w:bookmarkEnd w:id="187"/>
      <w:bookmarkEnd w:id="188"/>
      <w:bookmarkEnd w:id="189"/>
      <w:bookmarkEnd w:id="190"/>
      <w:bookmarkEnd w:id="191"/>
      <w:bookmarkEnd w:id="192"/>
      <w:bookmarkEnd w:id="193"/>
      <w:bookmarkEnd w:id="194"/>
    </w:p>
    <w:p w14:paraId="0B123B9F">
      <w:pPr>
        <w:spacing w:line="360" w:lineRule="auto"/>
        <w:ind w:firstLine="420" w:firstLineChars="200"/>
        <w:rPr>
          <w:rFonts w:hint="eastAsia" w:ascii="宋体" w:hAnsi="宋体" w:cs="宋体"/>
          <w:color w:val="auto"/>
        </w:rPr>
      </w:pPr>
      <w:r>
        <w:rPr>
          <w:rFonts w:hint="eastAsia" w:ascii="宋体" w:hAnsi="宋体" w:cs="宋体"/>
          <w:color w:val="auto"/>
          <w:szCs w:val="21"/>
        </w:rPr>
        <w:t xml:space="preserve">4.1.1签字或盖章的具体要求见投标人须知前附表。投标人应当按照招标文件和电子招标投标交易平台的要求加密投标文件，具体要求见投标人须知前附表。 </w:t>
      </w:r>
    </w:p>
    <w:p w14:paraId="6452D6B0">
      <w:pPr>
        <w:spacing w:line="360" w:lineRule="auto"/>
        <w:ind w:firstLine="420" w:firstLineChars="200"/>
        <w:rPr>
          <w:rFonts w:hint="eastAsia" w:ascii="宋体" w:hAnsi="宋体" w:cs="宋体"/>
          <w:color w:val="auto"/>
        </w:rPr>
      </w:pPr>
      <w:r>
        <w:rPr>
          <w:rFonts w:hint="eastAsia" w:ascii="宋体" w:hAnsi="宋体" w:cs="宋体"/>
          <w:color w:val="auto"/>
          <w:szCs w:val="21"/>
        </w:rPr>
        <w:t>4.1.2未按本章第4.1.1项要求加密、签署和盖章的投标文件，电子招标投标交易平台将予以拒收。</w:t>
      </w:r>
    </w:p>
    <w:p w14:paraId="6144B6E1">
      <w:pPr>
        <w:pStyle w:val="4"/>
        <w:numPr>
          <w:ilvl w:val="1"/>
          <w:numId w:val="0"/>
        </w:numPr>
        <w:ind w:left="0" w:leftChars="0" w:firstLine="0" w:firstLineChars="0"/>
        <w:rPr>
          <w:rFonts w:hint="eastAsia"/>
          <w:color w:val="auto"/>
        </w:rPr>
      </w:pPr>
      <w:bookmarkStart w:id="196" w:name="_Toc28937"/>
      <w:bookmarkStart w:id="197" w:name="_Toc14647"/>
      <w:bookmarkStart w:id="198" w:name="_Toc24802"/>
      <w:bookmarkStart w:id="199" w:name="_Toc17234"/>
      <w:bookmarkStart w:id="200" w:name="_Toc8642"/>
      <w:bookmarkStart w:id="201" w:name="_Toc17164"/>
      <w:bookmarkStart w:id="202" w:name="_Toc10849"/>
      <w:bookmarkStart w:id="203" w:name="_Toc27621"/>
      <w:bookmarkStart w:id="204" w:name="_Toc2882"/>
      <w:bookmarkStart w:id="205" w:name="_Toc25206"/>
      <w:bookmarkStart w:id="206" w:name="_Toc20161"/>
      <w:bookmarkStart w:id="207" w:name="_Toc27859"/>
      <w:r>
        <w:rPr>
          <w:rFonts w:hint="default" w:ascii="宋体" w:hAnsi="宋体" w:eastAsia="宋体" w:cs="宋体"/>
          <w:b/>
          <w:bCs/>
          <w:color w:val="auto"/>
          <w:kern w:val="2"/>
          <w:sz w:val="21"/>
          <w:szCs w:val="21"/>
          <w:lang w:val="en-US" w:eastAsia="zh-CN" w:bidi="ar-SA"/>
        </w:rPr>
        <w:t>4.2</w:t>
      </w:r>
      <w:r>
        <w:rPr>
          <w:rFonts w:hint="eastAsia"/>
          <w:color w:val="auto"/>
        </w:rPr>
        <w:t>投标文件的递交</w:t>
      </w:r>
      <w:bookmarkEnd w:id="196"/>
      <w:bookmarkEnd w:id="197"/>
      <w:bookmarkEnd w:id="198"/>
      <w:bookmarkEnd w:id="199"/>
      <w:bookmarkEnd w:id="200"/>
      <w:bookmarkEnd w:id="201"/>
      <w:bookmarkEnd w:id="202"/>
      <w:bookmarkEnd w:id="203"/>
      <w:bookmarkEnd w:id="204"/>
      <w:bookmarkEnd w:id="205"/>
      <w:bookmarkEnd w:id="206"/>
      <w:bookmarkEnd w:id="207"/>
    </w:p>
    <w:p w14:paraId="58B3693A">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4.2.1</w:t>
      </w:r>
      <w:r>
        <w:rPr>
          <w:rFonts w:hint="eastAsia" w:ascii="宋体" w:hAnsi="宋体" w:cs="宋体"/>
          <w:color w:val="auto"/>
          <w:kern w:val="0"/>
          <w:szCs w:val="21"/>
        </w:rPr>
        <w:t>投</w:t>
      </w:r>
      <w:r>
        <w:rPr>
          <w:rFonts w:hint="eastAsia" w:ascii="宋体" w:hAnsi="宋体" w:cs="宋体"/>
          <w:color w:val="auto"/>
          <w:spacing w:val="-2"/>
          <w:kern w:val="0"/>
          <w:szCs w:val="21"/>
        </w:rPr>
        <w:t>标</w:t>
      </w:r>
      <w:r>
        <w:rPr>
          <w:rFonts w:hint="eastAsia" w:ascii="宋体" w:hAnsi="宋体" w:cs="宋体"/>
          <w:color w:val="auto"/>
          <w:kern w:val="0"/>
          <w:szCs w:val="21"/>
        </w:rPr>
        <w:t>人</w:t>
      </w:r>
      <w:r>
        <w:rPr>
          <w:rFonts w:hint="eastAsia" w:ascii="宋体" w:hAnsi="宋体" w:cs="宋体"/>
          <w:color w:val="auto"/>
          <w:spacing w:val="-2"/>
          <w:kern w:val="0"/>
          <w:szCs w:val="21"/>
        </w:rPr>
        <w:t>应</w:t>
      </w:r>
      <w:r>
        <w:rPr>
          <w:rFonts w:hint="eastAsia" w:ascii="宋体" w:hAnsi="宋体" w:cs="宋体"/>
          <w:color w:val="auto"/>
          <w:kern w:val="0"/>
          <w:szCs w:val="21"/>
        </w:rPr>
        <w:t>在</w:t>
      </w:r>
      <w:r>
        <w:rPr>
          <w:rFonts w:hint="eastAsia" w:ascii="宋体" w:hAnsi="宋体" w:cs="宋体"/>
          <w:color w:val="auto"/>
          <w:spacing w:val="-2"/>
          <w:kern w:val="0"/>
          <w:szCs w:val="21"/>
        </w:rPr>
        <w:t>投</w:t>
      </w:r>
      <w:r>
        <w:rPr>
          <w:rFonts w:hint="eastAsia" w:ascii="宋体" w:hAnsi="宋体" w:cs="宋体"/>
          <w:color w:val="auto"/>
          <w:kern w:val="0"/>
          <w:szCs w:val="21"/>
        </w:rPr>
        <w:t>标</w:t>
      </w:r>
      <w:r>
        <w:rPr>
          <w:rFonts w:hint="eastAsia" w:ascii="宋体" w:hAnsi="宋体" w:cs="宋体"/>
          <w:color w:val="auto"/>
          <w:spacing w:val="-2"/>
          <w:kern w:val="0"/>
          <w:szCs w:val="21"/>
        </w:rPr>
        <w:t>人须</w:t>
      </w:r>
      <w:r>
        <w:rPr>
          <w:rFonts w:hint="eastAsia" w:ascii="宋体" w:hAnsi="宋体" w:cs="宋体"/>
          <w:color w:val="auto"/>
          <w:kern w:val="0"/>
          <w:szCs w:val="21"/>
        </w:rPr>
        <w:t>知前</w:t>
      </w:r>
      <w:r>
        <w:rPr>
          <w:rFonts w:hint="eastAsia" w:ascii="宋体" w:hAnsi="宋体" w:cs="宋体"/>
          <w:color w:val="auto"/>
          <w:spacing w:val="-2"/>
          <w:kern w:val="0"/>
          <w:szCs w:val="21"/>
        </w:rPr>
        <w:t>附</w:t>
      </w:r>
      <w:r>
        <w:rPr>
          <w:rFonts w:hint="eastAsia" w:ascii="宋体" w:hAnsi="宋体" w:cs="宋体"/>
          <w:color w:val="auto"/>
          <w:kern w:val="0"/>
          <w:szCs w:val="21"/>
        </w:rPr>
        <w:t>表</w:t>
      </w:r>
      <w:r>
        <w:rPr>
          <w:rFonts w:hint="eastAsia" w:ascii="宋体" w:hAnsi="宋体" w:cs="宋体"/>
          <w:color w:val="auto"/>
          <w:spacing w:val="-2"/>
          <w:kern w:val="0"/>
          <w:szCs w:val="21"/>
        </w:rPr>
        <w:t>规</w:t>
      </w:r>
      <w:r>
        <w:rPr>
          <w:rFonts w:hint="eastAsia" w:ascii="宋体" w:hAnsi="宋体" w:cs="宋体"/>
          <w:color w:val="auto"/>
          <w:kern w:val="0"/>
          <w:szCs w:val="21"/>
        </w:rPr>
        <w:t>定</w:t>
      </w:r>
      <w:r>
        <w:rPr>
          <w:rFonts w:hint="eastAsia" w:ascii="宋体" w:hAnsi="宋体" w:cs="宋体"/>
          <w:color w:val="auto"/>
          <w:spacing w:val="-2"/>
          <w:kern w:val="0"/>
          <w:szCs w:val="21"/>
        </w:rPr>
        <w:t>的</w:t>
      </w:r>
      <w:r>
        <w:rPr>
          <w:rFonts w:hint="eastAsia" w:ascii="宋体" w:hAnsi="宋体" w:cs="宋体"/>
          <w:color w:val="auto"/>
          <w:kern w:val="0"/>
          <w:szCs w:val="21"/>
        </w:rPr>
        <w:t>投</w:t>
      </w:r>
      <w:r>
        <w:rPr>
          <w:rFonts w:hint="eastAsia" w:ascii="宋体" w:hAnsi="宋体" w:cs="宋体"/>
          <w:color w:val="auto"/>
          <w:spacing w:val="-2"/>
          <w:kern w:val="0"/>
          <w:szCs w:val="21"/>
        </w:rPr>
        <w:t>标</w:t>
      </w:r>
      <w:r>
        <w:rPr>
          <w:rFonts w:hint="eastAsia" w:ascii="宋体" w:hAnsi="宋体" w:cs="宋体"/>
          <w:color w:val="auto"/>
          <w:kern w:val="0"/>
          <w:szCs w:val="21"/>
        </w:rPr>
        <w:t>截</w:t>
      </w:r>
      <w:r>
        <w:rPr>
          <w:rFonts w:hint="eastAsia" w:ascii="宋体" w:hAnsi="宋体" w:cs="宋体"/>
          <w:color w:val="auto"/>
          <w:spacing w:val="-2"/>
          <w:kern w:val="0"/>
          <w:szCs w:val="21"/>
        </w:rPr>
        <w:t>止</w:t>
      </w:r>
      <w:r>
        <w:rPr>
          <w:rFonts w:hint="eastAsia" w:ascii="宋体" w:hAnsi="宋体" w:cs="宋体"/>
          <w:color w:val="auto"/>
          <w:kern w:val="0"/>
          <w:szCs w:val="21"/>
        </w:rPr>
        <w:t>时间</w:t>
      </w:r>
      <w:r>
        <w:rPr>
          <w:rFonts w:hint="eastAsia" w:ascii="宋体" w:hAnsi="宋体" w:cs="宋体"/>
          <w:color w:val="auto"/>
          <w:spacing w:val="-2"/>
          <w:kern w:val="0"/>
          <w:szCs w:val="21"/>
        </w:rPr>
        <w:t>前</w:t>
      </w:r>
      <w:r>
        <w:rPr>
          <w:rFonts w:hint="eastAsia" w:ascii="宋体" w:hAnsi="宋体" w:cs="宋体"/>
          <w:color w:val="auto"/>
          <w:kern w:val="0"/>
          <w:szCs w:val="21"/>
        </w:rPr>
        <w:t>递</w:t>
      </w:r>
      <w:r>
        <w:rPr>
          <w:rFonts w:hint="eastAsia" w:ascii="宋体" w:hAnsi="宋体" w:cs="宋体"/>
          <w:color w:val="auto"/>
          <w:spacing w:val="-2"/>
          <w:kern w:val="0"/>
          <w:szCs w:val="21"/>
        </w:rPr>
        <w:t>交</w:t>
      </w:r>
      <w:r>
        <w:rPr>
          <w:rFonts w:hint="eastAsia" w:ascii="宋体" w:hAnsi="宋体" w:cs="宋体"/>
          <w:color w:val="auto"/>
          <w:kern w:val="0"/>
          <w:szCs w:val="21"/>
        </w:rPr>
        <w:t>投</w:t>
      </w:r>
      <w:r>
        <w:rPr>
          <w:rFonts w:hint="eastAsia" w:ascii="宋体" w:hAnsi="宋体" w:cs="宋体"/>
          <w:color w:val="auto"/>
          <w:spacing w:val="-2"/>
          <w:kern w:val="0"/>
          <w:szCs w:val="21"/>
        </w:rPr>
        <w:t>标</w:t>
      </w:r>
      <w:r>
        <w:rPr>
          <w:rFonts w:hint="eastAsia" w:ascii="宋体" w:hAnsi="宋体" w:cs="宋体"/>
          <w:color w:val="auto"/>
          <w:kern w:val="0"/>
          <w:szCs w:val="21"/>
        </w:rPr>
        <w:t>文</w:t>
      </w:r>
      <w:r>
        <w:rPr>
          <w:rFonts w:hint="eastAsia" w:ascii="宋体" w:hAnsi="宋体" w:cs="宋体"/>
          <w:color w:val="auto"/>
          <w:spacing w:val="-2"/>
          <w:kern w:val="0"/>
          <w:szCs w:val="21"/>
        </w:rPr>
        <w:t>件</w:t>
      </w:r>
      <w:r>
        <w:rPr>
          <w:rFonts w:hint="eastAsia" w:ascii="宋体" w:hAnsi="宋体" w:cs="宋体"/>
          <w:color w:val="auto"/>
          <w:kern w:val="0"/>
          <w:szCs w:val="21"/>
        </w:rPr>
        <w:t>。</w:t>
      </w:r>
    </w:p>
    <w:p w14:paraId="60F4D6BB">
      <w:pPr>
        <w:spacing w:line="360" w:lineRule="auto"/>
        <w:ind w:firstLine="420" w:firstLineChars="200"/>
        <w:rPr>
          <w:rFonts w:hint="eastAsia"/>
          <w:color w:val="auto"/>
        </w:rPr>
      </w:pPr>
      <w:r>
        <w:rPr>
          <w:rFonts w:hint="eastAsia" w:ascii="宋体" w:hAnsi="宋体" w:cs="宋体"/>
          <w:color w:val="auto"/>
          <w:szCs w:val="21"/>
        </w:rPr>
        <w:t>4.2.2投标人通过下载招标文件的电子招标投标交易平台递交电子投标文件，具体要求见投标人须知前附表。</w:t>
      </w:r>
    </w:p>
    <w:p w14:paraId="44A4F569">
      <w:pPr>
        <w:spacing w:line="360" w:lineRule="auto"/>
        <w:ind w:firstLine="420" w:firstLineChars="200"/>
        <w:rPr>
          <w:rFonts w:hint="eastAsia"/>
          <w:color w:val="auto"/>
        </w:rPr>
      </w:pPr>
      <w:r>
        <w:rPr>
          <w:rFonts w:hint="eastAsia" w:ascii="宋体" w:hAnsi="宋体" w:cs="宋体"/>
          <w:color w:val="auto"/>
          <w:szCs w:val="21"/>
        </w:rPr>
        <w:t>4.2.</w:t>
      </w:r>
      <w:r>
        <w:rPr>
          <w:rFonts w:hint="eastAsia" w:cs="宋体"/>
          <w:color w:val="auto"/>
          <w:szCs w:val="21"/>
        </w:rPr>
        <w:t>3</w:t>
      </w:r>
      <w:r>
        <w:rPr>
          <w:rFonts w:hint="eastAsia" w:ascii="宋体" w:hAnsi="宋体" w:cs="宋体"/>
          <w:color w:val="auto"/>
          <w:szCs w:val="21"/>
        </w:rPr>
        <w:t>投标人完成电子投标文件上传后，电子招标投标交易平台即时向投标人发出递交回执通知。递交时间以递交回执通知载明的传输完成时间为准。</w:t>
      </w:r>
    </w:p>
    <w:p w14:paraId="345CACA1">
      <w:pPr>
        <w:spacing w:line="360" w:lineRule="auto"/>
        <w:ind w:firstLine="420" w:firstLineChars="200"/>
        <w:rPr>
          <w:rFonts w:hint="eastAsia" w:ascii="宋体" w:hAnsi="宋体" w:cs="宋体"/>
          <w:color w:val="auto"/>
        </w:rPr>
      </w:pPr>
      <w:r>
        <w:rPr>
          <w:rFonts w:hint="eastAsia" w:ascii="宋体" w:hAnsi="宋体" w:cs="宋体"/>
          <w:color w:val="auto"/>
          <w:szCs w:val="21"/>
        </w:rPr>
        <w:t>4.2.4逾期送达的投标文件或未按规定加密的投标文件，电子招标投标交易平台将予以拒收。</w:t>
      </w:r>
    </w:p>
    <w:p w14:paraId="41533023">
      <w:pPr>
        <w:pStyle w:val="4"/>
        <w:numPr>
          <w:ilvl w:val="1"/>
          <w:numId w:val="0"/>
        </w:numPr>
        <w:ind w:left="0" w:leftChars="0" w:firstLine="0" w:firstLineChars="0"/>
        <w:rPr>
          <w:rFonts w:hint="eastAsia"/>
          <w:color w:val="auto"/>
        </w:rPr>
      </w:pPr>
      <w:bookmarkStart w:id="208" w:name="_Toc8025"/>
      <w:bookmarkStart w:id="209" w:name="_Toc3471"/>
      <w:bookmarkStart w:id="210" w:name="_Toc27900"/>
      <w:bookmarkStart w:id="211" w:name="_Toc31018"/>
      <w:bookmarkStart w:id="212" w:name="_Toc13886"/>
      <w:bookmarkStart w:id="213" w:name="_Toc7628"/>
      <w:bookmarkStart w:id="214" w:name="_Toc7423"/>
      <w:bookmarkStart w:id="215" w:name="_Toc27084"/>
      <w:bookmarkStart w:id="216" w:name="_Toc23125"/>
      <w:bookmarkStart w:id="217" w:name="_Toc22212"/>
      <w:bookmarkStart w:id="218" w:name="_Toc19554"/>
      <w:bookmarkStart w:id="219" w:name="_Toc32365"/>
      <w:r>
        <w:rPr>
          <w:rFonts w:hint="default" w:ascii="宋体" w:hAnsi="宋体" w:eastAsia="宋体" w:cs="宋体"/>
          <w:b/>
          <w:bCs/>
          <w:color w:val="auto"/>
          <w:kern w:val="2"/>
          <w:sz w:val="21"/>
          <w:szCs w:val="21"/>
          <w:lang w:val="en-US" w:eastAsia="zh-CN" w:bidi="ar-SA"/>
        </w:rPr>
        <w:t>4.3</w:t>
      </w:r>
      <w:r>
        <w:rPr>
          <w:rFonts w:hint="eastAsia"/>
          <w:color w:val="auto"/>
        </w:rPr>
        <w:t>投标文件的修改和撤回</w:t>
      </w:r>
      <w:bookmarkEnd w:id="208"/>
      <w:bookmarkEnd w:id="209"/>
      <w:bookmarkEnd w:id="210"/>
      <w:bookmarkEnd w:id="211"/>
      <w:bookmarkEnd w:id="212"/>
      <w:bookmarkEnd w:id="213"/>
      <w:bookmarkEnd w:id="214"/>
      <w:bookmarkEnd w:id="215"/>
      <w:bookmarkEnd w:id="216"/>
      <w:bookmarkEnd w:id="217"/>
      <w:bookmarkEnd w:id="218"/>
      <w:bookmarkEnd w:id="219"/>
    </w:p>
    <w:p w14:paraId="4133A2F6">
      <w:pPr>
        <w:numPr>
          <w:ilvl w:val="2"/>
          <w:numId w:val="0"/>
        </w:numPr>
        <w:spacing w:line="360" w:lineRule="auto"/>
        <w:ind w:left="0" w:leftChars="0" w:firstLine="420" w:firstLineChars="200"/>
        <w:rPr>
          <w:rFonts w:hint="eastAsia" w:ascii="宋体" w:hAnsi="宋体" w:cs="宋体"/>
          <w:color w:val="auto"/>
          <w:kern w:val="0"/>
          <w:szCs w:val="21"/>
        </w:rPr>
      </w:pPr>
      <w:r>
        <w:rPr>
          <w:rFonts w:hint="default" w:ascii="宋体" w:hAnsi="宋体" w:eastAsia="宋体" w:cs="宋体"/>
          <w:color w:val="auto"/>
          <w:kern w:val="0"/>
          <w:sz w:val="21"/>
          <w:szCs w:val="21"/>
          <w:lang w:val="en-US" w:eastAsia="zh-CN" w:bidi="ar-SA"/>
        </w:rPr>
        <w:t>4.3.1</w:t>
      </w:r>
      <w:r>
        <w:rPr>
          <w:rFonts w:hint="eastAsia" w:ascii="宋体" w:hAnsi="宋体" w:cs="宋体"/>
          <w:color w:val="auto"/>
          <w:kern w:val="0"/>
          <w:szCs w:val="21"/>
        </w:rPr>
        <w:t>递交投标文件以后，如果投标人进行修改或撤回投标的，须提出书面申请并在投标截止时间前送达投标文件递交地点，提出的书面申请应按照本章第</w:t>
      </w:r>
      <w:r>
        <w:rPr>
          <w:rFonts w:hint="eastAsia" w:ascii="宋体" w:hAnsi="宋体" w:cs="宋体"/>
          <w:color w:val="auto"/>
          <w:szCs w:val="21"/>
        </w:rPr>
        <w:t>3.7.3</w:t>
      </w:r>
      <w:r>
        <w:rPr>
          <w:rFonts w:hint="eastAsia" w:ascii="宋体" w:hAnsi="宋体" w:cs="宋体"/>
          <w:color w:val="auto"/>
          <w:kern w:val="0"/>
          <w:szCs w:val="21"/>
        </w:rPr>
        <w:t>项的要求签字或盖章。修改内容为投标文件的组成部分，投标人对投标文件的修改应按本须知规定编制、密封、标记，并标明“修改”字样。</w:t>
      </w:r>
    </w:p>
    <w:p w14:paraId="4F4CFE6C">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4.3.2</w:t>
      </w:r>
      <w:r>
        <w:rPr>
          <w:rFonts w:hint="eastAsia" w:ascii="宋体" w:hAnsi="宋体"/>
          <w:color w:val="auto"/>
          <w:szCs w:val="21"/>
        </w:rPr>
        <w:t>在投标截止时间之后，投标人不得对其投标文件做任何修改。</w:t>
      </w:r>
    </w:p>
    <w:p w14:paraId="48E56615">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4.3.3</w:t>
      </w:r>
      <w:r>
        <w:rPr>
          <w:rFonts w:hint="eastAsia" w:ascii="宋体" w:hAnsi="宋体"/>
          <w:color w:val="auto"/>
          <w:szCs w:val="21"/>
        </w:rPr>
        <w:t>从投标截止时间至投标人在投标文件中载明的投标有效期满期间，投标人不得撤回其投标文件。</w:t>
      </w:r>
    </w:p>
    <w:p w14:paraId="2BD1A972">
      <w:pPr>
        <w:pStyle w:val="3"/>
        <w:numPr>
          <w:ilvl w:val="0"/>
          <w:numId w:val="0"/>
        </w:numPr>
        <w:tabs>
          <w:tab w:val="left" w:pos="721"/>
          <w:tab w:val="left" w:pos="840"/>
          <w:tab w:val="left" w:pos="2880"/>
          <w:tab w:val="left" w:pos="3780"/>
        </w:tabs>
        <w:ind w:left="0" w:leftChars="0" w:firstLine="0" w:firstLineChars="0"/>
        <w:jc w:val="both"/>
        <w:rPr>
          <w:rFonts w:hint="eastAsia" w:ascii="宋体" w:hAnsi="宋体"/>
          <w:color w:val="auto"/>
          <w:szCs w:val="24"/>
        </w:rPr>
      </w:pPr>
      <w:bookmarkStart w:id="220" w:name="_Toc12764"/>
      <w:r>
        <w:rPr>
          <w:rFonts w:hint="eastAsia" w:ascii="宋体" w:hAnsi="宋体" w:eastAsia="宋体" w:cs="Times New Roman"/>
          <w:b/>
          <w:color w:val="auto"/>
          <w:kern w:val="2"/>
          <w:sz w:val="24"/>
          <w:szCs w:val="24"/>
          <w:lang w:val="en-US" w:eastAsia="zh-CN" w:bidi="ar-SA"/>
        </w:rPr>
        <w:t>5.</w:t>
      </w:r>
      <w:r>
        <w:rPr>
          <w:rFonts w:hint="eastAsia" w:ascii="宋体" w:hAnsi="宋体"/>
          <w:color w:val="auto"/>
          <w:szCs w:val="24"/>
        </w:rPr>
        <w:t>开标、资格审查与评标</w:t>
      </w:r>
      <w:bookmarkEnd w:id="195"/>
      <w:bookmarkEnd w:id="220"/>
    </w:p>
    <w:p w14:paraId="1219F8D7">
      <w:pPr>
        <w:pStyle w:val="4"/>
        <w:numPr>
          <w:ilvl w:val="1"/>
          <w:numId w:val="0"/>
        </w:numPr>
        <w:ind w:left="0" w:leftChars="0" w:firstLine="0" w:firstLineChars="0"/>
        <w:rPr>
          <w:rFonts w:hint="eastAsia"/>
          <w:color w:val="auto"/>
        </w:rPr>
      </w:pPr>
      <w:bookmarkStart w:id="221" w:name="_Toc2359"/>
      <w:bookmarkStart w:id="222" w:name="_Toc28821"/>
      <w:bookmarkStart w:id="223" w:name="_Toc10372"/>
      <w:bookmarkStart w:id="224" w:name="_Toc30917"/>
      <w:bookmarkStart w:id="225" w:name="_Toc24837"/>
      <w:bookmarkStart w:id="226" w:name="_Toc21689"/>
      <w:bookmarkStart w:id="227" w:name="_Toc1051"/>
      <w:bookmarkStart w:id="228" w:name="_Toc3484"/>
      <w:bookmarkStart w:id="229" w:name="_Toc22058"/>
      <w:bookmarkStart w:id="230" w:name="_Toc3802"/>
      <w:bookmarkStart w:id="231" w:name="_Toc10066"/>
      <w:bookmarkStart w:id="232" w:name="_Toc18834"/>
      <w:bookmarkStart w:id="233" w:name="_Toc312133548"/>
      <w:r>
        <w:rPr>
          <w:rFonts w:hint="default" w:ascii="宋体" w:hAnsi="宋体" w:eastAsia="宋体" w:cs="宋体"/>
          <w:b/>
          <w:bCs/>
          <w:color w:val="auto"/>
          <w:kern w:val="2"/>
          <w:sz w:val="21"/>
          <w:szCs w:val="21"/>
          <w:lang w:val="en-US" w:eastAsia="zh-CN" w:bidi="ar-SA"/>
        </w:rPr>
        <w:t>5.1</w:t>
      </w:r>
      <w:r>
        <w:rPr>
          <w:rFonts w:hint="eastAsia"/>
          <w:color w:val="auto"/>
        </w:rPr>
        <w:t>开标</w:t>
      </w:r>
      <w:bookmarkEnd w:id="221"/>
      <w:bookmarkEnd w:id="222"/>
      <w:bookmarkEnd w:id="223"/>
      <w:bookmarkEnd w:id="224"/>
      <w:bookmarkEnd w:id="225"/>
      <w:bookmarkEnd w:id="226"/>
      <w:bookmarkEnd w:id="227"/>
      <w:bookmarkEnd w:id="228"/>
      <w:bookmarkEnd w:id="229"/>
      <w:bookmarkEnd w:id="230"/>
      <w:bookmarkEnd w:id="231"/>
      <w:bookmarkEnd w:id="232"/>
    </w:p>
    <w:p w14:paraId="2E760C3F">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5.1.1</w:t>
      </w:r>
      <w:r>
        <w:rPr>
          <w:rFonts w:hint="eastAsia" w:ascii="宋体" w:hAnsi="宋体"/>
          <w:color w:val="auto"/>
          <w:szCs w:val="21"/>
        </w:rPr>
        <w:t>采购代理机构在投标人须知前附表中规定的时间和地点组织公开开标。投标人不足3家的，不得开标。开标由采购人或者采购代理机构主持，邀请所有投标人的法定代表人或委托代理人参加。</w:t>
      </w:r>
    </w:p>
    <w:p w14:paraId="7A524030">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5.1.2</w:t>
      </w:r>
      <w:r>
        <w:rPr>
          <w:rFonts w:hint="eastAsia" w:ascii="宋体" w:hAnsi="宋体"/>
          <w:color w:val="auto"/>
          <w:szCs w:val="21"/>
        </w:rPr>
        <w:t>开标程序：</w:t>
      </w:r>
    </w:p>
    <w:p w14:paraId="7A21A7EB">
      <w:p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（1）宣布开标纪律；</w:t>
      </w:r>
    </w:p>
    <w:p w14:paraId="6AD684DC">
      <w:p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（2）公布在投标截止时间前递交投标文件的投标人名称；</w:t>
      </w:r>
    </w:p>
    <w:p w14:paraId="5D4B34B8">
      <w:p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（3）投标人通过电子招标投标交易平台对已递交的电子投标文件进行解密；</w:t>
      </w:r>
    </w:p>
    <w:p w14:paraId="7A85563F">
      <w:p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（4）参加开标的各投标人代表和相关工作人员对开标记录表线上确认；</w:t>
      </w:r>
    </w:p>
    <w:p w14:paraId="56734937">
      <w:p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（5）开标结束。</w:t>
      </w:r>
    </w:p>
    <w:p w14:paraId="0A971CB4">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5.1.3</w:t>
      </w:r>
      <w:r>
        <w:rPr>
          <w:rFonts w:hint="eastAsia" w:ascii="宋体" w:hAnsi="宋体"/>
          <w:color w:val="auto"/>
          <w:szCs w:val="21"/>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并制作记录。</w:t>
      </w:r>
    </w:p>
    <w:p w14:paraId="34F7D8FB">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5.1.4</w:t>
      </w:r>
      <w:r>
        <w:rPr>
          <w:rFonts w:hint="eastAsia" w:ascii="宋体" w:hAnsi="宋体"/>
          <w:color w:val="auto"/>
          <w:szCs w:val="21"/>
        </w:rPr>
        <w:t>投标人未参加开标的，视同认可开标结果。</w:t>
      </w:r>
    </w:p>
    <w:p w14:paraId="10201D3C">
      <w:pPr>
        <w:pStyle w:val="4"/>
        <w:numPr>
          <w:ilvl w:val="1"/>
          <w:numId w:val="0"/>
        </w:numPr>
        <w:ind w:left="0" w:leftChars="0" w:firstLine="0" w:firstLineChars="0"/>
        <w:rPr>
          <w:rFonts w:hint="eastAsia"/>
          <w:color w:val="auto"/>
        </w:rPr>
      </w:pPr>
      <w:bookmarkStart w:id="234" w:name="_Toc29588"/>
      <w:bookmarkStart w:id="235" w:name="_Toc3031"/>
      <w:bookmarkStart w:id="236" w:name="_Toc11192"/>
      <w:bookmarkStart w:id="237" w:name="_Toc29637"/>
      <w:bookmarkStart w:id="238" w:name="_Toc29955"/>
      <w:bookmarkStart w:id="239" w:name="_Toc18862"/>
      <w:bookmarkStart w:id="240" w:name="_Toc24277"/>
      <w:bookmarkStart w:id="241" w:name="_Toc22131"/>
      <w:bookmarkStart w:id="242" w:name="_Toc11443"/>
      <w:bookmarkStart w:id="243" w:name="_Toc13168"/>
      <w:bookmarkStart w:id="244" w:name="_Toc29315"/>
      <w:bookmarkStart w:id="245" w:name="_Toc22209"/>
      <w:r>
        <w:rPr>
          <w:rFonts w:hint="default" w:ascii="宋体" w:hAnsi="宋体" w:eastAsia="宋体" w:cs="宋体"/>
          <w:b/>
          <w:bCs/>
          <w:color w:val="auto"/>
          <w:kern w:val="2"/>
          <w:sz w:val="21"/>
          <w:szCs w:val="21"/>
          <w:lang w:val="en-US" w:eastAsia="zh-CN" w:bidi="ar-SA"/>
        </w:rPr>
        <w:t>5.2</w:t>
      </w:r>
      <w:r>
        <w:rPr>
          <w:rFonts w:hint="eastAsia"/>
          <w:color w:val="auto"/>
        </w:rPr>
        <w:t>资格审查工作</w:t>
      </w:r>
      <w:bookmarkEnd w:id="234"/>
      <w:bookmarkEnd w:id="235"/>
      <w:bookmarkEnd w:id="236"/>
      <w:bookmarkEnd w:id="237"/>
      <w:bookmarkEnd w:id="238"/>
      <w:bookmarkEnd w:id="239"/>
      <w:bookmarkEnd w:id="240"/>
      <w:bookmarkEnd w:id="241"/>
      <w:bookmarkEnd w:id="242"/>
      <w:bookmarkEnd w:id="243"/>
      <w:bookmarkEnd w:id="244"/>
      <w:bookmarkEnd w:id="245"/>
    </w:p>
    <w:p w14:paraId="2AA1FEB1">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5.2.1</w:t>
      </w:r>
      <w:r>
        <w:rPr>
          <w:rFonts w:hint="eastAsia" w:ascii="宋体" w:hAnsi="宋体"/>
          <w:color w:val="auto"/>
          <w:szCs w:val="21"/>
        </w:rPr>
        <w:t>开标结束后，采购人或者采购代理机构应当依法对投标人的资格进行审查。合格投标人不足3家的，不得评标。</w:t>
      </w:r>
    </w:p>
    <w:p w14:paraId="050CA18C">
      <w:pPr>
        <w:pStyle w:val="4"/>
        <w:numPr>
          <w:ilvl w:val="1"/>
          <w:numId w:val="0"/>
        </w:numPr>
        <w:ind w:left="0" w:leftChars="0" w:firstLine="0" w:firstLineChars="0"/>
        <w:rPr>
          <w:rFonts w:hint="eastAsia"/>
          <w:color w:val="auto"/>
        </w:rPr>
      </w:pPr>
      <w:bookmarkStart w:id="246" w:name="_Toc24379"/>
      <w:bookmarkStart w:id="247" w:name="_Toc31474"/>
      <w:bookmarkStart w:id="248" w:name="_Toc32305"/>
      <w:bookmarkStart w:id="249" w:name="_Toc19513"/>
      <w:bookmarkStart w:id="250" w:name="_Toc26746"/>
      <w:bookmarkStart w:id="251" w:name="_Toc22789"/>
      <w:bookmarkStart w:id="252" w:name="_Toc8092"/>
      <w:bookmarkStart w:id="253" w:name="_Toc2042"/>
      <w:bookmarkStart w:id="254" w:name="_Toc22105"/>
      <w:bookmarkStart w:id="255" w:name="_Toc12598"/>
      <w:bookmarkStart w:id="256" w:name="_Toc16180"/>
      <w:bookmarkStart w:id="257" w:name="_Toc31129"/>
      <w:r>
        <w:rPr>
          <w:rFonts w:hint="default" w:ascii="宋体" w:hAnsi="宋体" w:eastAsia="宋体" w:cs="宋体"/>
          <w:b/>
          <w:bCs/>
          <w:color w:val="auto"/>
          <w:kern w:val="2"/>
          <w:sz w:val="21"/>
          <w:szCs w:val="21"/>
          <w:lang w:val="en-US" w:eastAsia="zh-CN" w:bidi="ar-SA"/>
        </w:rPr>
        <w:t>5.3</w:t>
      </w:r>
      <w:r>
        <w:rPr>
          <w:rFonts w:hint="eastAsia"/>
          <w:color w:val="auto"/>
        </w:rPr>
        <w:t>评标工作</w:t>
      </w:r>
      <w:bookmarkEnd w:id="246"/>
      <w:bookmarkEnd w:id="247"/>
      <w:bookmarkEnd w:id="248"/>
      <w:bookmarkEnd w:id="249"/>
      <w:bookmarkEnd w:id="250"/>
      <w:bookmarkEnd w:id="251"/>
      <w:bookmarkEnd w:id="252"/>
      <w:bookmarkEnd w:id="253"/>
      <w:bookmarkEnd w:id="254"/>
      <w:bookmarkEnd w:id="255"/>
      <w:bookmarkEnd w:id="256"/>
      <w:bookmarkEnd w:id="257"/>
    </w:p>
    <w:p w14:paraId="3D05C775">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5.3.1</w:t>
      </w:r>
      <w:r>
        <w:rPr>
          <w:rFonts w:hint="eastAsia" w:ascii="宋体" w:hAnsi="宋体"/>
          <w:color w:val="auto"/>
          <w:szCs w:val="21"/>
        </w:rPr>
        <w:t>评标委员会</w:t>
      </w:r>
    </w:p>
    <w:p w14:paraId="5F9C00F1">
      <w:pPr>
        <w:numPr>
          <w:ilvl w:val="0"/>
          <w:numId w:val="10"/>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评标工作由采购人依法组建的评标委员会负责，对所有投标人的投标文件进行审评，并按评标办法规定的方式推荐出投标人须知前附表中载明数量的中标候选人。</w:t>
      </w:r>
    </w:p>
    <w:p w14:paraId="63F40E5D">
      <w:pPr>
        <w:numPr>
          <w:ilvl w:val="0"/>
          <w:numId w:val="10"/>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评标委员会由采购人代表和评审专家组成，成员人数应当为5人以上单数，其中评审专家不得少于成员总数的三分之二。对采购预算金额在1000万元以上或技术复杂或社会影响较大的采购项目，评标委员会成员人数应当为7人以上单数。</w:t>
      </w:r>
    </w:p>
    <w:p w14:paraId="0C348C33">
      <w:pPr>
        <w:numPr>
          <w:ilvl w:val="0"/>
          <w:numId w:val="10"/>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评审专家对本单位的采购项目只能作为采购人代表参与评标，对技术复杂、专业性强的采购项目，通过随机方式难以确定合适评审专家的情形除外。</w:t>
      </w:r>
    </w:p>
    <w:p w14:paraId="4AE22762">
      <w:pPr>
        <w:numPr>
          <w:ilvl w:val="0"/>
          <w:numId w:val="10"/>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采购代理机构工作人员不得参加由本机构代理的政府采购项目的评标。</w:t>
      </w:r>
    </w:p>
    <w:p w14:paraId="1ADAC5A7">
      <w:pPr>
        <w:numPr>
          <w:ilvl w:val="0"/>
          <w:numId w:val="10"/>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评标委员会成员名单在评标结果公告前应当保密。</w:t>
      </w:r>
    </w:p>
    <w:p w14:paraId="410D3EA1">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5.3.2</w:t>
      </w:r>
      <w:r>
        <w:rPr>
          <w:rFonts w:hint="eastAsia" w:ascii="宋体" w:hAnsi="宋体"/>
          <w:color w:val="auto"/>
          <w:szCs w:val="21"/>
        </w:rPr>
        <w:t>评标委员会及其成员不得有下列行为：</w:t>
      </w:r>
    </w:p>
    <w:p w14:paraId="3B406ED2">
      <w:pPr>
        <w:numPr>
          <w:ilvl w:val="0"/>
          <w:numId w:val="11"/>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确定参与评标至评标结束前私自接触投标人；</w:t>
      </w:r>
    </w:p>
    <w:p w14:paraId="3385EFBC">
      <w:pPr>
        <w:numPr>
          <w:ilvl w:val="0"/>
          <w:numId w:val="11"/>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接受投标人提出的与投标文件不一致的澄清或者说明（对于投标文件中含义不明确、同类问题表述不一致或者有明显文字和计算错误的内容，评标委员会以书面形式要求投标人作出必要的澄清、说明或者补正的除外）；</w:t>
      </w:r>
    </w:p>
    <w:p w14:paraId="53AEC08E">
      <w:pPr>
        <w:numPr>
          <w:ilvl w:val="0"/>
          <w:numId w:val="11"/>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违反评标纪律发表倾向性意见或者征询采购人的倾向性意见；</w:t>
      </w:r>
    </w:p>
    <w:p w14:paraId="02D79839">
      <w:pPr>
        <w:numPr>
          <w:ilvl w:val="0"/>
          <w:numId w:val="11"/>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对需要专业判断的主观评审因素协商评分；</w:t>
      </w:r>
    </w:p>
    <w:p w14:paraId="0980AD8D">
      <w:pPr>
        <w:numPr>
          <w:ilvl w:val="0"/>
          <w:numId w:val="11"/>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在评标过程中擅离职守，影响评标程序正常进行的；</w:t>
      </w:r>
    </w:p>
    <w:p w14:paraId="32AB667F">
      <w:pPr>
        <w:numPr>
          <w:ilvl w:val="0"/>
          <w:numId w:val="11"/>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记录、复制或者带走任何评标资料；</w:t>
      </w:r>
    </w:p>
    <w:p w14:paraId="644D433F">
      <w:pPr>
        <w:numPr>
          <w:ilvl w:val="0"/>
          <w:numId w:val="11"/>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其他不遵守评标纪律的行为。</w:t>
      </w:r>
    </w:p>
    <w:p w14:paraId="5979D4D1">
      <w:pPr>
        <w:tabs>
          <w:tab w:val="left" w:pos="720"/>
        </w:tabs>
        <w:spacing w:line="360" w:lineRule="auto"/>
        <w:ind w:firstLine="420" w:firstLineChars="200"/>
        <w:rPr>
          <w:rFonts w:hint="eastAsia" w:ascii="宋体" w:hAnsi="宋体"/>
          <w:color w:val="auto"/>
          <w:szCs w:val="21"/>
        </w:rPr>
      </w:pPr>
      <w:r>
        <w:rPr>
          <w:rFonts w:hint="eastAsia" w:ascii="宋体" w:hAnsi="宋体"/>
          <w:color w:val="auto"/>
          <w:szCs w:val="21"/>
        </w:rPr>
        <w:t>评标委员会成员有本章第5.3.2项第（1）至（5）目行为之一的，其评审意见无效，并不得获取评审劳务报酬和报销异地评审差旅费。</w:t>
      </w:r>
    </w:p>
    <w:p w14:paraId="663C3BA1">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5.3.3</w:t>
      </w:r>
      <w:r>
        <w:rPr>
          <w:rFonts w:hint="eastAsia" w:ascii="宋体" w:hAnsi="宋体"/>
          <w:color w:val="auto"/>
          <w:szCs w:val="21"/>
        </w:rPr>
        <w:t>评标委员会成员对需要共同认定的事项存在争议的，应当按照少数服从多数的原则作出结论。持不同意见的评标委员会成员应当在评标报告上签署不同意见及理由，否则视为同意评标报告。</w:t>
      </w:r>
    </w:p>
    <w:p w14:paraId="027E5B1F">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5.3.4</w:t>
      </w:r>
      <w:r>
        <w:rPr>
          <w:rFonts w:hint="eastAsia" w:ascii="宋体" w:hAnsi="宋体"/>
          <w:color w:val="auto"/>
          <w:szCs w:val="21"/>
        </w:rPr>
        <w:t>评标</w:t>
      </w:r>
    </w:p>
    <w:p w14:paraId="2E31F20E">
      <w:pPr>
        <w:numPr>
          <w:ilvl w:val="0"/>
          <w:numId w:val="12"/>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评标委员会按照第四章评标办法规定的方法、评审因素、标准和程序对投标文件进行评审。第四章评标办法没有规定的方法、评审因素和标准，不作为评标依据。</w:t>
      </w:r>
    </w:p>
    <w:p w14:paraId="15B39DD0">
      <w:pPr>
        <w:numPr>
          <w:ilvl w:val="0"/>
          <w:numId w:val="12"/>
        </w:numPr>
        <w:autoSpaceDE w:val="0"/>
        <w:autoSpaceDN w:val="0"/>
        <w:adjustRightInd w:val="0"/>
        <w:spacing w:line="360" w:lineRule="auto"/>
        <w:ind w:left="0" w:right="40" w:firstLine="420" w:firstLineChars="200"/>
        <w:jc w:val="left"/>
        <w:rPr>
          <w:rFonts w:hint="eastAsia" w:ascii="宋体" w:hAnsi="宋体" w:cs="微软雅黑"/>
          <w:color w:val="auto"/>
          <w:kern w:val="0"/>
          <w:szCs w:val="21"/>
        </w:rPr>
      </w:pPr>
      <w:r>
        <w:rPr>
          <w:rFonts w:hint="eastAsia" w:ascii="宋体" w:hAnsi="宋体" w:cs="微软雅黑"/>
          <w:color w:val="auto"/>
          <w:kern w:val="0"/>
          <w:szCs w:val="21"/>
        </w:rPr>
        <w:t>评标完成后，评标委员会应当向采购人提交书面评标报告和中标候选人名单。评标委员会推荐中标候选人的人数见投标人须知前附表。</w:t>
      </w:r>
    </w:p>
    <w:p w14:paraId="2324AF12">
      <w:pPr>
        <w:pStyle w:val="4"/>
        <w:numPr>
          <w:ilvl w:val="1"/>
          <w:numId w:val="0"/>
        </w:numPr>
        <w:ind w:left="0" w:leftChars="0" w:firstLine="0" w:firstLineChars="0"/>
        <w:rPr>
          <w:rFonts w:hint="eastAsia"/>
          <w:color w:val="auto"/>
        </w:rPr>
      </w:pPr>
      <w:bookmarkStart w:id="258" w:name="_Toc25530"/>
      <w:bookmarkStart w:id="259" w:name="_Toc5485"/>
      <w:bookmarkStart w:id="260" w:name="_Toc608"/>
      <w:bookmarkStart w:id="261" w:name="_Toc5830"/>
      <w:bookmarkStart w:id="262" w:name="_Toc25755"/>
      <w:bookmarkStart w:id="263" w:name="_Toc12131"/>
      <w:bookmarkStart w:id="264" w:name="_Toc12609"/>
      <w:bookmarkStart w:id="265" w:name="_Toc7396"/>
      <w:bookmarkStart w:id="266" w:name="_Toc10927"/>
      <w:bookmarkStart w:id="267" w:name="_Toc8996"/>
      <w:bookmarkStart w:id="268" w:name="_Toc25509"/>
      <w:bookmarkStart w:id="269" w:name="_Toc22420"/>
      <w:r>
        <w:rPr>
          <w:rFonts w:hint="default" w:ascii="宋体" w:hAnsi="宋体" w:eastAsia="宋体" w:cs="宋体"/>
          <w:b/>
          <w:bCs/>
          <w:color w:val="auto"/>
          <w:kern w:val="2"/>
          <w:sz w:val="21"/>
          <w:szCs w:val="21"/>
          <w:lang w:val="en-US" w:eastAsia="zh-CN" w:bidi="ar-SA"/>
        </w:rPr>
        <w:t>5.4</w:t>
      </w:r>
      <w:r>
        <w:rPr>
          <w:rFonts w:hint="eastAsia"/>
          <w:color w:val="auto"/>
        </w:rPr>
        <w:t>保密及其它注意事项</w:t>
      </w:r>
      <w:bookmarkEnd w:id="258"/>
      <w:bookmarkEnd w:id="259"/>
      <w:bookmarkEnd w:id="260"/>
      <w:bookmarkEnd w:id="261"/>
      <w:bookmarkEnd w:id="262"/>
      <w:bookmarkEnd w:id="263"/>
      <w:bookmarkEnd w:id="264"/>
      <w:bookmarkEnd w:id="265"/>
      <w:bookmarkEnd w:id="266"/>
      <w:bookmarkEnd w:id="267"/>
      <w:bookmarkEnd w:id="268"/>
      <w:bookmarkEnd w:id="269"/>
    </w:p>
    <w:p w14:paraId="62615486">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5.4.1</w:t>
      </w:r>
      <w:r>
        <w:rPr>
          <w:rFonts w:hint="eastAsia" w:ascii="宋体" w:hAnsi="宋体"/>
          <w:color w:val="auto"/>
          <w:szCs w:val="21"/>
        </w:rPr>
        <w:t>评标是招标工作的重要环节，评标工作在评标委员会内独立进行。</w:t>
      </w:r>
    </w:p>
    <w:p w14:paraId="34930008">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5.4.2</w:t>
      </w:r>
      <w:r>
        <w:rPr>
          <w:rFonts w:hint="eastAsia" w:ascii="宋体" w:hAnsi="宋体"/>
          <w:color w:val="auto"/>
          <w:szCs w:val="21"/>
        </w:rPr>
        <w:t>评标委员会将遵照规定的评标方法，公正、平等地对待所有投标人。</w:t>
      </w:r>
    </w:p>
    <w:p w14:paraId="7D5BD196">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5.4.3</w:t>
      </w:r>
      <w:r>
        <w:rPr>
          <w:rFonts w:hint="eastAsia" w:ascii="宋体" w:hAnsi="宋体"/>
          <w:color w:val="auto"/>
          <w:szCs w:val="21"/>
        </w:rPr>
        <w:t>在开标、评标期间，投标人不得向评委询问评标情况，不得进行旨在影响评标结果的活动。否则其投标可能被拒绝。</w:t>
      </w:r>
    </w:p>
    <w:p w14:paraId="43261E45">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5.4.4</w:t>
      </w:r>
      <w:r>
        <w:rPr>
          <w:rFonts w:hint="eastAsia" w:ascii="宋体" w:hAnsi="宋体"/>
          <w:color w:val="auto"/>
          <w:szCs w:val="21"/>
        </w:rPr>
        <w:t>为保证评标的公正性，开标后直至授予投标人合同，评委不得与投标人私下交换意见。</w:t>
      </w:r>
    </w:p>
    <w:p w14:paraId="08C41201">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5.4.5</w:t>
      </w:r>
      <w:r>
        <w:rPr>
          <w:rFonts w:hint="eastAsia" w:ascii="宋体" w:hAnsi="宋体"/>
          <w:color w:val="auto"/>
          <w:szCs w:val="21"/>
        </w:rPr>
        <w:t>在评标工作结束后，凡与评标情况有接触的任何人不得擅自将评标情况扩散出评标人员之外。</w:t>
      </w:r>
    </w:p>
    <w:p w14:paraId="2D9E999F">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5.4.6</w:t>
      </w:r>
      <w:r>
        <w:rPr>
          <w:rFonts w:hint="eastAsia" w:ascii="宋体" w:hAnsi="宋体"/>
          <w:color w:val="auto"/>
          <w:szCs w:val="21"/>
        </w:rPr>
        <w:t>评标结束后，投标文件概不退还。</w:t>
      </w:r>
    </w:p>
    <w:p w14:paraId="4CA053AA">
      <w:pPr>
        <w:pStyle w:val="3"/>
        <w:numPr>
          <w:ilvl w:val="0"/>
          <w:numId w:val="0"/>
        </w:numPr>
        <w:tabs>
          <w:tab w:val="left" w:pos="721"/>
          <w:tab w:val="left" w:pos="840"/>
          <w:tab w:val="left" w:pos="2880"/>
          <w:tab w:val="left" w:pos="3780"/>
        </w:tabs>
        <w:ind w:left="0" w:leftChars="0" w:firstLine="0" w:firstLineChars="0"/>
        <w:jc w:val="both"/>
        <w:rPr>
          <w:rFonts w:hint="eastAsia" w:ascii="宋体" w:hAnsi="宋体"/>
          <w:color w:val="auto"/>
          <w:szCs w:val="24"/>
        </w:rPr>
      </w:pPr>
      <w:bookmarkStart w:id="270" w:name="_Toc19209"/>
      <w:r>
        <w:rPr>
          <w:rFonts w:hint="eastAsia" w:ascii="宋体" w:hAnsi="宋体" w:eastAsia="宋体" w:cs="Times New Roman"/>
          <w:b/>
          <w:color w:val="auto"/>
          <w:kern w:val="2"/>
          <w:sz w:val="24"/>
          <w:szCs w:val="24"/>
          <w:lang w:val="en-US" w:eastAsia="zh-CN" w:bidi="ar-SA"/>
        </w:rPr>
        <w:t>6.</w:t>
      </w:r>
      <w:r>
        <w:rPr>
          <w:rFonts w:hint="eastAsia" w:ascii="宋体" w:hAnsi="宋体"/>
          <w:color w:val="auto"/>
          <w:szCs w:val="24"/>
        </w:rPr>
        <w:t>授予合同</w:t>
      </w:r>
      <w:bookmarkEnd w:id="233"/>
      <w:bookmarkEnd w:id="270"/>
    </w:p>
    <w:p w14:paraId="7F89BDEA">
      <w:pPr>
        <w:pStyle w:val="4"/>
        <w:numPr>
          <w:ilvl w:val="1"/>
          <w:numId w:val="0"/>
        </w:numPr>
        <w:ind w:left="0" w:leftChars="0" w:firstLine="0" w:firstLineChars="0"/>
        <w:rPr>
          <w:rFonts w:hint="eastAsia"/>
          <w:color w:val="auto"/>
        </w:rPr>
      </w:pPr>
      <w:bookmarkStart w:id="271" w:name="_Toc22971"/>
      <w:bookmarkStart w:id="272" w:name="_Toc7404"/>
      <w:bookmarkStart w:id="273" w:name="_Toc32241"/>
      <w:bookmarkStart w:id="274" w:name="_Toc7898"/>
      <w:bookmarkStart w:id="275" w:name="_Toc27126"/>
      <w:bookmarkStart w:id="276" w:name="_Toc13599"/>
      <w:bookmarkStart w:id="277" w:name="_Toc15637"/>
      <w:bookmarkStart w:id="278" w:name="_Toc3574"/>
      <w:bookmarkStart w:id="279" w:name="_Toc6320"/>
      <w:bookmarkStart w:id="280" w:name="_Toc16230"/>
      <w:bookmarkStart w:id="281" w:name="_Toc22245"/>
      <w:bookmarkStart w:id="282" w:name="_Toc21756"/>
      <w:bookmarkStart w:id="283" w:name="_Toc23900"/>
      <w:bookmarkStart w:id="284" w:name="_Toc22088"/>
      <w:bookmarkStart w:id="285" w:name="_Toc26604"/>
      <w:bookmarkStart w:id="286" w:name="_Toc17818"/>
      <w:bookmarkStart w:id="287" w:name="_Toc30644"/>
      <w:bookmarkStart w:id="288" w:name="_Toc22457"/>
      <w:r>
        <w:rPr>
          <w:rFonts w:hint="default" w:ascii="宋体" w:hAnsi="宋体" w:eastAsia="宋体" w:cs="宋体"/>
          <w:b/>
          <w:bCs/>
          <w:color w:val="auto"/>
          <w:kern w:val="2"/>
          <w:sz w:val="21"/>
          <w:szCs w:val="21"/>
          <w:lang w:val="en-US" w:eastAsia="zh-CN" w:bidi="ar-SA"/>
        </w:rPr>
        <w:t>6.1</w:t>
      </w:r>
      <w:r>
        <w:rPr>
          <w:rFonts w:hint="eastAsia"/>
          <w:color w:val="auto"/>
        </w:rPr>
        <w:t>中标公告</w:t>
      </w:r>
      <w:bookmarkEnd w:id="271"/>
      <w:bookmarkEnd w:id="272"/>
      <w:bookmarkEnd w:id="273"/>
      <w:bookmarkEnd w:id="274"/>
      <w:bookmarkEnd w:id="275"/>
      <w:bookmarkEnd w:id="276"/>
      <w:bookmarkEnd w:id="277"/>
      <w:bookmarkEnd w:id="278"/>
      <w:bookmarkEnd w:id="279"/>
      <w:bookmarkEnd w:id="280"/>
      <w:bookmarkEnd w:id="281"/>
      <w:bookmarkEnd w:id="282"/>
    </w:p>
    <w:p w14:paraId="57AE11BD">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6.1.1</w:t>
      </w:r>
      <w:r>
        <w:rPr>
          <w:rFonts w:hint="eastAsia" w:ascii="宋体" w:hAnsi="宋体"/>
          <w:color w:val="auto"/>
          <w:szCs w:val="21"/>
        </w:rPr>
        <w:t>采购代理机构应当在评标结束后2个工作日内将评标报告送采购人。采购人应自收到评标报告之日起5个工作日内，在评标报告确定的中标候选人名单中按顺序确定中标人。中标候选人并列的，由采购人采取随机抽取的方式确定中标人。</w:t>
      </w:r>
    </w:p>
    <w:p w14:paraId="300A9B72">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6.1.2</w:t>
      </w:r>
      <w:r>
        <w:rPr>
          <w:rFonts w:hint="eastAsia" w:ascii="宋体" w:hAnsi="宋体"/>
          <w:color w:val="auto"/>
          <w:szCs w:val="21"/>
        </w:rPr>
        <w:t>采购代理机构应当自中标人确定之日起2个工作日内，在省级以上财政部门指定的媒体上公告中标结果，招标文件应当随中标结果同时公告。公告期限为1个工作日。</w:t>
      </w:r>
    </w:p>
    <w:p w14:paraId="2D728C59">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6.1.3</w:t>
      </w:r>
      <w:r>
        <w:rPr>
          <w:rFonts w:hint="eastAsia" w:ascii="宋体" w:hAnsi="宋体"/>
          <w:color w:val="auto"/>
          <w:szCs w:val="21"/>
        </w:rPr>
        <w:t>中标通知书发出后，采购人不得违法改变中标结果，中标人无正当理由不得放弃中标。</w:t>
      </w:r>
    </w:p>
    <w:p w14:paraId="1153F06E">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6.1.4</w:t>
      </w:r>
      <w:r>
        <w:rPr>
          <w:rFonts w:hint="eastAsia" w:ascii="宋体" w:hAnsi="宋体"/>
          <w:color w:val="auto"/>
          <w:szCs w:val="21"/>
        </w:rPr>
        <w:t>中标人为残疾人福利性单位的，采购代理机构将随中标结果同时公告其《残疾人福利性单位声明函》，接受社会监督。中标供应商享受《政府采购促进中小企业发展管理办法》规定的中小企业扶持政策的，采购人、采购代理机构应当随中标结果公开中标投标人的《中小企业声明函》。</w:t>
      </w:r>
    </w:p>
    <w:p w14:paraId="10407FB0">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6.1.5</w:t>
      </w:r>
      <w:r>
        <w:rPr>
          <w:rFonts w:hint="eastAsia" w:ascii="宋体" w:hAnsi="宋体"/>
          <w:color w:val="auto"/>
          <w:szCs w:val="21"/>
        </w:rPr>
        <w:t>各有关当事人对中标结果有异议的，可以在中标公告期限届满之日起七个工作日内，按</w:t>
      </w:r>
      <w:r>
        <w:rPr>
          <w:rFonts w:hint="eastAsia"/>
          <w:color w:val="auto"/>
          <w:szCs w:val="21"/>
        </w:rPr>
        <w:t>《</w:t>
      </w:r>
      <w:r>
        <w:rPr>
          <w:rFonts w:hint="eastAsia" w:ascii="宋体" w:hAnsi="宋体"/>
          <w:color w:val="auto"/>
          <w:szCs w:val="21"/>
        </w:rPr>
        <w:t>政府采购质疑和投诉办法</w:t>
      </w:r>
      <w:r>
        <w:rPr>
          <w:rFonts w:hint="eastAsia"/>
          <w:color w:val="auto"/>
          <w:szCs w:val="21"/>
        </w:rPr>
        <w:t>》</w:t>
      </w:r>
      <w:r>
        <w:rPr>
          <w:rFonts w:hint="eastAsia" w:ascii="宋体" w:hAnsi="宋体"/>
          <w:color w:val="auto"/>
          <w:szCs w:val="21"/>
        </w:rPr>
        <w:t>（中华人民共和国财政部令第94号）要求以书面形式同时向采购人和采购代理机构提出质疑，逾期提交或未按照要求提交的质疑函将不予受理。</w:t>
      </w:r>
    </w:p>
    <w:bookmarkEnd w:id="283"/>
    <w:bookmarkEnd w:id="284"/>
    <w:bookmarkEnd w:id="285"/>
    <w:bookmarkEnd w:id="286"/>
    <w:bookmarkEnd w:id="287"/>
    <w:bookmarkEnd w:id="288"/>
    <w:p w14:paraId="39494E06">
      <w:pPr>
        <w:pStyle w:val="4"/>
        <w:numPr>
          <w:ilvl w:val="1"/>
          <w:numId w:val="0"/>
        </w:numPr>
        <w:ind w:left="0" w:leftChars="0" w:firstLine="0" w:firstLineChars="0"/>
        <w:rPr>
          <w:rFonts w:hint="eastAsia"/>
          <w:color w:val="auto"/>
        </w:rPr>
      </w:pPr>
      <w:bookmarkStart w:id="289" w:name="_Toc30096"/>
      <w:bookmarkStart w:id="290" w:name="_Toc7497"/>
      <w:r>
        <w:rPr>
          <w:rFonts w:hint="default" w:ascii="宋体" w:hAnsi="宋体" w:eastAsia="宋体" w:cs="宋体"/>
          <w:b/>
          <w:bCs/>
          <w:color w:val="auto"/>
          <w:kern w:val="2"/>
          <w:sz w:val="21"/>
          <w:szCs w:val="21"/>
          <w:lang w:val="en-US" w:eastAsia="zh-CN" w:bidi="ar-SA"/>
        </w:rPr>
        <w:t>6.2</w:t>
      </w:r>
      <w:r>
        <w:rPr>
          <w:rFonts w:hint="eastAsia"/>
          <w:color w:val="auto"/>
        </w:rPr>
        <w:t>采购任务取消</w:t>
      </w:r>
      <w:bookmarkEnd w:id="289"/>
      <w:bookmarkEnd w:id="290"/>
    </w:p>
    <w:p w14:paraId="15F39899">
      <w:pPr>
        <w:spacing w:line="360" w:lineRule="auto"/>
        <w:ind w:firstLine="420" w:firstLineChars="200"/>
        <w:rPr>
          <w:rFonts w:hint="eastAsia" w:ascii="宋体" w:hAnsi="宋体"/>
          <w:color w:val="auto"/>
          <w:szCs w:val="21"/>
        </w:rPr>
      </w:pPr>
      <w:r>
        <w:rPr>
          <w:rFonts w:hint="eastAsia" w:ascii="宋体" w:hAnsi="宋体"/>
          <w:color w:val="auto"/>
          <w:szCs w:val="21"/>
        </w:rPr>
        <w:t>因重大变故采购任务取消时，采购人有权拒绝任何投标人中标，且对受影响的投标人不承担任何责任。</w:t>
      </w:r>
    </w:p>
    <w:p w14:paraId="538522AB">
      <w:pPr>
        <w:pStyle w:val="4"/>
        <w:numPr>
          <w:ilvl w:val="1"/>
          <w:numId w:val="0"/>
        </w:numPr>
        <w:ind w:left="0" w:leftChars="0" w:firstLine="0" w:firstLineChars="0"/>
        <w:rPr>
          <w:rFonts w:hint="eastAsia"/>
          <w:color w:val="auto"/>
        </w:rPr>
      </w:pPr>
      <w:bookmarkStart w:id="291" w:name="_Toc24223"/>
      <w:bookmarkStart w:id="292" w:name="_Toc1468"/>
      <w:bookmarkStart w:id="293" w:name="_Toc3846"/>
      <w:bookmarkStart w:id="294" w:name="_Toc21282"/>
      <w:bookmarkStart w:id="295" w:name="_Toc19825"/>
      <w:bookmarkStart w:id="296" w:name="_Toc29785"/>
      <w:bookmarkStart w:id="297" w:name="_Toc5799"/>
      <w:bookmarkStart w:id="298" w:name="_Toc23214"/>
      <w:bookmarkStart w:id="299" w:name="_Toc12174"/>
      <w:bookmarkStart w:id="300" w:name="_Toc12305"/>
      <w:bookmarkStart w:id="301" w:name="_Toc25326"/>
      <w:bookmarkStart w:id="302" w:name="_Toc14610"/>
      <w:r>
        <w:rPr>
          <w:rFonts w:hint="default" w:ascii="宋体" w:hAnsi="宋体" w:eastAsia="宋体" w:cs="宋体"/>
          <w:b/>
          <w:bCs/>
          <w:color w:val="auto"/>
          <w:kern w:val="2"/>
          <w:sz w:val="21"/>
          <w:szCs w:val="21"/>
          <w:lang w:val="en-US" w:eastAsia="zh-CN" w:bidi="ar-SA"/>
        </w:rPr>
        <w:t>6.3</w:t>
      </w:r>
      <w:r>
        <w:rPr>
          <w:rFonts w:hint="eastAsia"/>
          <w:color w:val="auto"/>
        </w:rPr>
        <w:t>中标通知书</w:t>
      </w:r>
      <w:bookmarkEnd w:id="291"/>
      <w:bookmarkEnd w:id="292"/>
      <w:bookmarkEnd w:id="293"/>
      <w:bookmarkEnd w:id="294"/>
      <w:bookmarkEnd w:id="295"/>
      <w:bookmarkEnd w:id="296"/>
      <w:bookmarkEnd w:id="297"/>
      <w:bookmarkEnd w:id="298"/>
      <w:bookmarkEnd w:id="299"/>
      <w:bookmarkEnd w:id="300"/>
      <w:bookmarkEnd w:id="301"/>
      <w:bookmarkEnd w:id="302"/>
    </w:p>
    <w:p w14:paraId="1CE15381">
      <w:pPr>
        <w:spacing w:line="360" w:lineRule="auto"/>
        <w:ind w:firstLine="420" w:firstLineChars="200"/>
        <w:rPr>
          <w:rFonts w:hint="eastAsia" w:ascii="宋体" w:hAnsi="宋体"/>
          <w:color w:val="auto"/>
          <w:szCs w:val="21"/>
        </w:rPr>
      </w:pPr>
      <w:r>
        <w:rPr>
          <w:rFonts w:hint="eastAsia" w:ascii="宋体" w:hAnsi="宋体"/>
          <w:color w:val="auto"/>
          <w:szCs w:val="21"/>
        </w:rPr>
        <w:t>在公告中标结果的同时，采购人或者采购代理机构应当向中标人发出中标通知书，中标通知书将作为进行合同谈判和签订合同的依据。</w:t>
      </w:r>
    </w:p>
    <w:p w14:paraId="3C547432">
      <w:pPr>
        <w:pStyle w:val="4"/>
        <w:numPr>
          <w:ilvl w:val="1"/>
          <w:numId w:val="0"/>
        </w:numPr>
        <w:ind w:left="0" w:leftChars="0" w:firstLine="0" w:firstLineChars="0"/>
        <w:rPr>
          <w:rFonts w:hint="eastAsia"/>
          <w:color w:val="auto"/>
        </w:rPr>
      </w:pPr>
      <w:bookmarkStart w:id="303" w:name="_Toc9865"/>
      <w:bookmarkStart w:id="304" w:name="_Toc9428"/>
      <w:bookmarkStart w:id="305" w:name="_Toc11448"/>
      <w:bookmarkStart w:id="306" w:name="_Toc31317"/>
      <w:bookmarkStart w:id="307" w:name="_Toc3979"/>
      <w:bookmarkStart w:id="308" w:name="_Toc21924"/>
      <w:bookmarkStart w:id="309" w:name="_Toc14397"/>
      <w:bookmarkStart w:id="310" w:name="_Toc26111"/>
      <w:bookmarkStart w:id="311" w:name="_Toc25686"/>
      <w:bookmarkStart w:id="312" w:name="_Toc15209"/>
      <w:bookmarkStart w:id="313" w:name="_Toc20517"/>
      <w:bookmarkStart w:id="314" w:name="_Toc25990"/>
      <w:bookmarkStart w:id="315" w:name="_Toc1226"/>
      <w:bookmarkStart w:id="316" w:name="_Toc26471"/>
      <w:bookmarkStart w:id="317" w:name="_Toc12530"/>
      <w:bookmarkStart w:id="318" w:name="_Toc15061"/>
      <w:bookmarkStart w:id="319" w:name="_Toc3376"/>
      <w:bookmarkStart w:id="320" w:name="_Toc11221"/>
      <w:r>
        <w:rPr>
          <w:rFonts w:hint="default" w:ascii="宋体" w:hAnsi="宋体" w:eastAsia="宋体" w:cs="宋体"/>
          <w:b/>
          <w:bCs/>
          <w:color w:val="auto"/>
          <w:kern w:val="2"/>
          <w:sz w:val="21"/>
          <w:szCs w:val="21"/>
          <w:lang w:val="en-US" w:eastAsia="zh-CN" w:bidi="ar-SA"/>
        </w:rPr>
        <w:t>6.4</w:t>
      </w:r>
      <w:r>
        <w:rPr>
          <w:rFonts w:hint="eastAsia"/>
          <w:color w:val="auto"/>
        </w:rPr>
        <w:t>履约保证金</w:t>
      </w:r>
      <w:bookmarkEnd w:id="303"/>
      <w:bookmarkEnd w:id="304"/>
      <w:bookmarkEnd w:id="305"/>
      <w:bookmarkEnd w:id="306"/>
      <w:bookmarkEnd w:id="307"/>
      <w:bookmarkEnd w:id="308"/>
      <w:bookmarkEnd w:id="309"/>
      <w:bookmarkEnd w:id="310"/>
      <w:bookmarkEnd w:id="311"/>
      <w:bookmarkEnd w:id="312"/>
      <w:bookmarkEnd w:id="313"/>
      <w:bookmarkEnd w:id="314"/>
    </w:p>
    <w:p w14:paraId="2E0B016C">
      <w:pPr>
        <w:numPr>
          <w:ilvl w:val="2"/>
          <w:numId w:val="0"/>
        </w:numPr>
        <w:spacing w:line="360" w:lineRule="auto"/>
        <w:ind w:left="0" w:leftChars="0" w:firstLine="420" w:firstLineChars="200"/>
        <w:rPr>
          <w:rFonts w:hint="eastAsia" w:ascii="宋体" w:hAnsi="宋体"/>
          <w:color w:val="auto"/>
          <w:szCs w:val="21"/>
        </w:rPr>
      </w:pPr>
      <w:bookmarkStart w:id="321" w:name="_Toc13295"/>
      <w:bookmarkStart w:id="322" w:name="_Toc24299"/>
      <w:bookmarkStart w:id="323" w:name="_Toc22384"/>
      <w:bookmarkStart w:id="324" w:name="_Toc1508"/>
      <w:r>
        <w:rPr>
          <w:rFonts w:hint="default" w:ascii="宋体" w:hAnsi="宋体" w:eastAsia="宋体" w:cs="Times New Roman"/>
          <w:color w:val="auto"/>
          <w:kern w:val="2"/>
          <w:sz w:val="21"/>
          <w:szCs w:val="21"/>
          <w:lang w:val="en-US" w:eastAsia="zh-CN" w:bidi="ar-SA"/>
        </w:rPr>
        <w:t>6.4.1</w:t>
      </w:r>
      <w:r>
        <w:rPr>
          <w:rFonts w:hint="eastAsia" w:ascii="宋体" w:hAnsi="宋体"/>
          <w:color w:val="auto"/>
          <w:szCs w:val="21"/>
        </w:rPr>
        <w:t>中标人应按投标人须知前附表规定的形式、金额和招标文件第五章“合同”规定的履约保证金格式向招标人提交履约保证金。履约保证金为</w:t>
      </w:r>
      <w:r>
        <w:rPr>
          <w:rFonts w:hint="eastAsia" w:ascii="宋体" w:hAnsi="宋体" w:cs="宋体"/>
          <w:color w:val="auto"/>
        </w:rPr>
        <w:t>中标或成交价的5%</w:t>
      </w:r>
      <w:r>
        <w:rPr>
          <w:rFonts w:hint="eastAsia" w:ascii="宋体" w:hAnsi="宋体"/>
          <w:color w:val="auto"/>
          <w:szCs w:val="21"/>
        </w:rPr>
        <w:t>。</w:t>
      </w:r>
    </w:p>
    <w:p w14:paraId="4766A34C">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6.4.2</w:t>
      </w:r>
      <w:r>
        <w:rPr>
          <w:rFonts w:hint="eastAsia" w:ascii="宋体" w:hAnsi="宋体"/>
          <w:color w:val="auto"/>
          <w:szCs w:val="21"/>
        </w:rPr>
        <w:t>中标人不能按本章第6.4.1项要求提交履约保证金的，视为放弃中标，其投标保证金不予退还，给招标人造成的损失超过投标保证金数额的，中标人还应当对超过部分予以赔偿。</w:t>
      </w:r>
      <w:bookmarkStart w:id="325" w:name="_Toc20184"/>
    </w:p>
    <w:p w14:paraId="08114E8B">
      <w:pPr>
        <w:pStyle w:val="4"/>
        <w:numPr>
          <w:ilvl w:val="1"/>
          <w:numId w:val="0"/>
        </w:numPr>
        <w:ind w:left="0" w:leftChars="0" w:firstLine="0" w:firstLineChars="0"/>
        <w:rPr>
          <w:rFonts w:hint="eastAsia"/>
          <w:color w:val="auto"/>
        </w:rPr>
      </w:pPr>
      <w:bookmarkStart w:id="326" w:name="_Toc2117"/>
      <w:r>
        <w:rPr>
          <w:rFonts w:hint="default" w:ascii="宋体" w:hAnsi="宋体" w:eastAsia="宋体" w:cs="宋体"/>
          <w:b/>
          <w:bCs/>
          <w:color w:val="auto"/>
          <w:kern w:val="2"/>
          <w:sz w:val="21"/>
          <w:szCs w:val="21"/>
          <w:lang w:val="en-US" w:eastAsia="zh-CN" w:bidi="ar-SA"/>
        </w:rPr>
        <w:t>6.5</w:t>
      </w:r>
      <w:r>
        <w:rPr>
          <w:rFonts w:hint="eastAsia"/>
          <w:color w:val="auto"/>
        </w:rPr>
        <w:t>签订合同</w:t>
      </w:r>
      <w:bookmarkEnd w:id="315"/>
      <w:bookmarkEnd w:id="316"/>
      <w:bookmarkEnd w:id="317"/>
      <w:bookmarkEnd w:id="318"/>
      <w:bookmarkEnd w:id="319"/>
      <w:bookmarkEnd w:id="320"/>
      <w:bookmarkEnd w:id="321"/>
      <w:bookmarkEnd w:id="322"/>
      <w:bookmarkEnd w:id="323"/>
      <w:bookmarkEnd w:id="324"/>
      <w:bookmarkEnd w:id="325"/>
      <w:bookmarkEnd w:id="326"/>
    </w:p>
    <w:p w14:paraId="36BE76CB">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6.5.1</w:t>
      </w:r>
      <w:r>
        <w:rPr>
          <w:rFonts w:hint="eastAsia" w:ascii="宋体" w:hAnsi="宋体"/>
          <w:color w:val="auto"/>
          <w:szCs w:val="21"/>
        </w:rPr>
        <w:t>采购人应当自中标通知书发出之日起</w:t>
      </w:r>
      <w:r>
        <w:rPr>
          <w:rFonts w:hint="eastAsia" w:ascii="宋体" w:hAnsi="宋体"/>
          <w:color w:val="auto"/>
          <w:szCs w:val="21"/>
          <w:lang w:val="en-US" w:eastAsia="zh-CN"/>
        </w:rPr>
        <w:t>7</w:t>
      </w:r>
      <w:r>
        <w:rPr>
          <w:rFonts w:hint="eastAsia" w:ascii="宋体" w:hAnsi="宋体"/>
          <w:color w:val="auto"/>
          <w:szCs w:val="21"/>
        </w:rPr>
        <w:t>日内，按照招标文件和中标人投标文件的规定，与中标人签订书面合同。所签订的合同不得对招标文件确定的事项和中标人投标文件作实质性修改。</w:t>
      </w:r>
    </w:p>
    <w:p w14:paraId="0FC2F1D0">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6.5.2</w:t>
      </w:r>
      <w:r>
        <w:rPr>
          <w:rFonts w:hint="eastAsia" w:ascii="宋体" w:hAnsi="宋体"/>
          <w:color w:val="auto"/>
          <w:szCs w:val="21"/>
        </w:rPr>
        <w:t>中标人拒绝与采购人签订合同的，采购人可以按照评审报告推荐的中标或者成交候选人名单排序，确定下一候选人为中标或者成交投标人，也可以重新开展政府采购活动。</w:t>
      </w:r>
    </w:p>
    <w:p w14:paraId="31ABF16E">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6.5.3</w:t>
      </w:r>
      <w:r>
        <w:rPr>
          <w:rFonts w:hint="eastAsia" w:ascii="宋体" w:hAnsi="宋体"/>
          <w:color w:val="auto"/>
          <w:szCs w:val="21"/>
        </w:rPr>
        <w:t>招标文件、中标人的投标文件和澄清文件等，均应作为签约的合同文本的基础。</w:t>
      </w:r>
    </w:p>
    <w:p w14:paraId="7A7405A2">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6.5.4</w:t>
      </w:r>
      <w:r>
        <w:rPr>
          <w:rFonts w:hint="eastAsia" w:ascii="宋体" w:hAnsi="宋体"/>
          <w:color w:val="auto"/>
          <w:szCs w:val="21"/>
        </w:rPr>
        <w:t>如采购人或中标人拒签合同，则按违约处理。对违约方收取中标金额2%的违约金。</w:t>
      </w:r>
    </w:p>
    <w:p w14:paraId="2C9EC204">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6.5.5</w:t>
      </w:r>
      <w:r>
        <w:rPr>
          <w:rFonts w:hint="eastAsia" w:ascii="宋体" w:hAnsi="宋体"/>
          <w:color w:val="auto"/>
          <w:szCs w:val="21"/>
        </w:rPr>
        <w:t>政府采购合同应当包括采购人与中标人的名称和住所、标的、数量、质量、价款或者报酬、履行期限及地点和方式、验收要求、违约责任、解决争议的方法等内容。</w:t>
      </w:r>
    </w:p>
    <w:p w14:paraId="7B148619">
      <w:pPr>
        <w:numPr>
          <w:ilvl w:val="2"/>
          <w:numId w:val="0"/>
        </w:numPr>
        <w:spacing w:line="360" w:lineRule="auto"/>
        <w:ind w:left="0" w:leftChars="0" w:firstLine="420" w:firstLineChars="200"/>
        <w:rPr>
          <w:rFonts w:hint="eastAsia" w:ascii="宋体" w:hAnsi="宋体"/>
          <w:color w:val="auto"/>
          <w:szCs w:val="21"/>
        </w:rPr>
      </w:pPr>
      <w:r>
        <w:rPr>
          <w:rFonts w:hint="default" w:ascii="宋体" w:hAnsi="宋体" w:eastAsia="宋体" w:cs="Times New Roman"/>
          <w:color w:val="auto"/>
          <w:kern w:val="2"/>
          <w:sz w:val="21"/>
          <w:szCs w:val="21"/>
          <w:lang w:val="en-US" w:eastAsia="zh-CN" w:bidi="ar-SA"/>
        </w:rPr>
        <w:t>6.5.6</w:t>
      </w:r>
      <w:r>
        <w:rPr>
          <w:rFonts w:hint="eastAsia" w:ascii="宋体" w:hAnsi="宋体"/>
          <w:color w:val="auto"/>
          <w:szCs w:val="21"/>
        </w:rPr>
        <w:t>如中标人不按本章第6.5.1项约定签订合同，采购人将报请取消其中标决定。采购人可在中标候选人中重新选定中标人或者重新招标。</w:t>
      </w:r>
    </w:p>
    <w:p w14:paraId="754038E8">
      <w:pPr>
        <w:pStyle w:val="3"/>
        <w:numPr>
          <w:ilvl w:val="0"/>
          <w:numId w:val="0"/>
        </w:numPr>
        <w:tabs>
          <w:tab w:val="left" w:pos="721"/>
          <w:tab w:val="left" w:pos="840"/>
          <w:tab w:val="left" w:pos="2880"/>
          <w:tab w:val="left" w:pos="3780"/>
        </w:tabs>
        <w:ind w:left="0" w:leftChars="0" w:firstLine="0" w:firstLineChars="0"/>
        <w:jc w:val="both"/>
        <w:rPr>
          <w:rFonts w:hint="eastAsia" w:ascii="宋体" w:hAnsi="宋体"/>
          <w:color w:val="auto"/>
          <w:szCs w:val="24"/>
        </w:rPr>
      </w:pPr>
      <w:bookmarkStart w:id="327" w:name="_Toc18962"/>
      <w:r>
        <w:rPr>
          <w:rFonts w:hint="eastAsia" w:ascii="宋体" w:hAnsi="宋体" w:eastAsia="宋体" w:cs="Times New Roman"/>
          <w:b/>
          <w:color w:val="auto"/>
          <w:kern w:val="2"/>
          <w:sz w:val="24"/>
          <w:szCs w:val="24"/>
          <w:lang w:val="en-US" w:eastAsia="zh-CN" w:bidi="ar-SA"/>
        </w:rPr>
        <w:t>7.</w:t>
      </w:r>
      <w:r>
        <w:rPr>
          <w:rFonts w:hint="eastAsia" w:ascii="宋体" w:hAnsi="宋体"/>
          <w:color w:val="auto"/>
          <w:szCs w:val="24"/>
        </w:rPr>
        <w:t>信用记录</w:t>
      </w:r>
      <w:bookmarkEnd w:id="327"/>
    </w:p>
    <w:p w14:paraId="4454ED9F">
      <w:pPr>
        <w:spacing w:line="360" w:lineRule="auto"/>
        <w:ind w:firstLine="420" w:firstLineChars="200"/>
        <w:rPr>
          <w:rFonts w:hint="eastAsia" w:ascii="宋体" w:hAnsi="宋体" w:cs="宋体"/>
          <w:color w:val="auto"/>
          <w:szCs w:val="21"/>
        </w:rPr>
      </w:pPr>
      <w:bookmarkStart w:id="328" w:name="_Toc1411"/>
      <w:r>
        <w:rPr>
          <w:rFonts w:hint="eastAsia" w:ascii="宋体" w:hAnsi="宋体" w:cs="宋体"/>
          <w:b w:val="0"/>
          <w:bCs w:val="0"/>
          <w:sz w:val="21"/>
          <w:szCs w:val="21"/>
          <w:highlight w:val="none"/>
        </w:rPr>
        <w:t>根据《关于在政府采购活动中查询及使用信用记录有关问题的通知》(财库[2016]125号)的规定，采购人或采购代理机构将通过“信用中国”网站（www.creditchina.gov.cn）、中国执行信息公开网（http://zxgk.court.gov.cn）、中国政府采购网（www.ccgp.gov.cn）、国家企业信用信息公示系统（http://www.gsxt.gov.cn）等渠道查询供应商信用记录，被列入失信被执行人、重大税收违法失信主体、政府采购严重违法失信行为记录名单、严重违法失信名单的供应商将被拒绝参与本项目政府采购活动（截止时点：投标截止时间）。在规定的查询时间之后，网站信息发生的任何变更均不再作为评审依据。供应商自行提供的与网站信息不一致的其他证明材料亦不作为资格审查的依据。信用信息查询记录和证据将同采购文件等资料一同归档保存。</w:t>
      </w:r>
    </w:p>
    <w:p w14:paraId="7E73385F">
      <w:pPr>
        <w:pStyle w:val="3"/>
        <w:numPr>
          <w:ilvl w:val="0"/>
          <w:numId w:val="0"/>
        </w:numPr>
        <w:tabs>
          <w:tab w:val="left" w:pos="721"/>
          <w:tab w:val="left" w:pos="840"/>
          <w:tab w:val="left" w:pos="2880"/>
          <w:tab w:val="left" w:pos="3780"/>
        </w:tabs>
        <w:ind w:left="0" w:leftChars="0" w:firstLine="0" w:firstLineChars="0"/>
        <w:jc w:val="both"/>
        <w:rPr>
          <w:rFonts w:hint="eastAsia" w:ascii="宋体" w:hAnsi="宋体"/>
          <w:color w:val="auto"/>
          <w:szCs w:val="24"/>
        </w:rPr>
      </w:pPr>
      <w:r>
        <w:rPr>
          <w:rFonts w:hint="eastAsia" w:ascii="宋体" w:hAnsi="宋体" w:eastAsia="宋体" w:cs="Times New Roman"/>
          <w:b/>
          <w:color w:val="auto"/>
          <w:kern w:val="2"/>
          <w:sz w:val="24"/>
          <w:szCs w:val="24"/>
          <w:lang w:val="en-US" w:eastAsia="zh-CN" w:bidi="ar-SA"/>
        </w:rPr>
        <w:t>8.</w:t>
      </w:r>
      <w:r>
        <w:rPr>
          <w:rFonts w:hint="eastAsia" w:ascii="宋体" w:hAnsi="宋体"/>
          <w:color w:val="auto"/>
          <w:szCs w:val="24"/>
        </w:rPr>
        <w:t>政府采购政策</w:t>
      </w:r>
      <w:bookmarkEnd w:id="328"/>
    </w:p>
    <w:p w14:paraId="7F68E439">
      <w:pPr>
        <w:numPr>
          <w:ilvl w:val="1"/>
          <w:numId w:val="0"/>
        </w:numPr>
        <w:spacing w:line="360" w:lineRule="auto"/>
        <w:ind w:left="0" w:leftChars="0" w:firstLine="422" w:firstLineChars="200"/>
        <w:rPr>
          <w:rFonts w:hint="eastAsia" w:ascii="宋体" w:hAnsi="宋体"/>
          <w:color w:val="auto"/>
          <w:szCs w:val="21"/>
        </w:rPr>
      </w:pPr>
      <w:bookmarkStart w:id="329" w:name="_Toc16339"/>
      <w:r>
        <w:rPr>
          <w:rFonts w:hint="default" w:ascii="宋体" w:hAnsi="宋体" w:eastAsia="宋体" w:cs="宋体"/>
          <w:b/>
          <w:bCs/>
          <w:color w:val="auto"/>
          <w:kern w:val="2"/>
          <w:sz w:val="21"/>
          <w:szCs w:val="21"/>
          <w:lang w:val="en-US" w:eastAsia="zh-CN" w:bidi="ar-SA"/>
        </w:rPr>
        <w:t>8.1</w:t>
      </w:r>
      <w:r>
        <w:rPr>
          <w:rFonts w:hint="eastAsia" w:ascii="宋体" w:hAnsi="宋体"/>
          <w:color w:val="auto"/>
          <w:szCs w:val="21"/>
        </w:rPr>
        <w:t>投标产品符合国家环保、节能标准，并载入财政部、国家发改委、国家环保总局发布的《环境标志产品政府采购品目清单》、《节能产品政府采购品目清单》内，且具国家确定的认证机构出具的、处于有效期之内的《国家节能产品认证证书》或《中国环境标志产品认证证书》（投标人必须提供有关证明材料和文件等），将分别给予投标人在评标办法中规定的标准分值进行加分评审。</w:t>
      </w:r>
    </w:p>
    <w:p w14:paraId="64DF59B4">
      <w:pPr>
        <w:numPr>
          <w:ilvl w:val="1"/>
          <w:numId w:val="0"/>
        </w:numPr>
        <w:spacing w:line="360" w:lineRule="auto"/>
        <w:ind w:left="0" w:leftChars="0" w:firstLine="422" w:firstLineChars="200"/>
        <w:rPr>
          <w:rFonts w:hint="eastAsia" w:ascii="宋体" w:hAnsi="宋体"/>
          <w:color w:val="auto"/>
          <w:szCs w:val="21"/>
        </w:rPr>
      </w:pPr>
      <w:r>
        <w:rPr>
          <w:rFonts w:hint="default" w:ascii="宋体" w:hAnsi="宋体" w:eastAsia="宋体" w:cs="宋体"/>
          <w:b/>
          <w:bCs/>
          <w:color w:val="auto"/>
          <w:kern w:val="2"/>
          <w:sz w:val="21"/>
          <w:szCs w:val="21"/>
          <w:lang w:val="en-US" w:eastAsia="zh-CN" w:bidi="ar-SA"/>
        </w:rPr>
        <w:t>8.2</w:t>
      </w:r>
      <w:r>
        <w:rPr>
          <w:rFonts w:hint="eastAsia" w:ascii="宋体" w:hAnsi="宋体"/>
          <w:color w:val="auto"/>
          <w:szCs w:val="21"/>
        </w:rPr>
        <w:t>如投标产品属于财政部和国家发展改革委发布的《节能产品政府采购品目清单》中要求的政府强制采购节能产品的，投标人必须提供所投产品经国家确定的认证机构出具的、处于有效期之内的《国家节能产品认证证书》复印件。</w:t>
      </w:r>
    </w:p>
    <w:p w14:paraId="39B0AA9B">
      <w:pPr>
        <w:numPr>
          <w:ilvl w:val="1"/>
          <w:numId w:val="0"/>
        </w:numPr>
        <w:spacing w:line="360" w:lineRule="auto"/>
        <w:ind w:left="0" w:leftChars="0" w:firstLine="422" w:firstLineChars="200"/>
        <w:rPr>
          <w:rFonts w:hint="eastAsia" w:ascii="宋体" w:hAnsi="宋体"/>
          <w:color w:val="auto"/>
          <w:szCs w:val="21"/>
        </w:rPr>
      </w:pPr>
      <w:r>
        <w:rPr>
          <w:rFonts w:hint="default" w:ascii="宋体" w:hAnsi="宋体" w:eastAsia="宋体" w:cs="宋体"/>
          <w:b/>
          <w:bCs/>
          <w:color w:val="auto"/>
          <w:kern w:val="2"/>
          <w:sz w:val="21"/>
          <w:szCs w:val="21"/>
          <w:lang w:val="en-US" w:eastAsia="zh-CN" w:bidi="ar-SA"/>
        </w:rPr>
        <w:t>8.3</w:t>
      </w:r>
      <w:r>
        <w:rPr>
          <w:rFonts w:hint="eastAsia" w:ascii="宋体" w:hAnsi="宋体"/>
          <w:color w:val="auto"/>
          <w:szCs w:val="21"/>
        </w:rPr>
        <w:t>采购货物为国家强制性认证产品的，必须符合强制性标准，并提供相关证明材料。</w:t>
      </w:r>
    </w:p>
    <w:p w14:paraId="3E0B165E">
      <w:pPr>
        <w:numPr>
          <w:ilvl w:val="1"/>
          <w:numId w:val="0"/>
        </w:numPr>
        <w:spacing w:line="360" w:lineRule="auto"/>
        <w:ind w:left="0" w:leftChars="0" w:firstLine="422" w:firstLineChars="200"/>
        <w:rPr>
          <w:rFonts w:hint="eastAsia" w:ascii="宋体" w:hAnsi="宋体"/>
          <w:color w:val="auto"/>
          <w:szCs w:val="21"/>
        </w:rPr>
      </w:pPr>
      <w:r>
        <w:rPr>
          <w:rFonts w:hint="default" w:ascii="宋体" w:hAnsi="宋体" w:eastAsia="宋体" w:cs="宋体"/>
          <w:b/>
          <w:bCs/>
          <w:color w:val="auto"/>
          <w:kern w:val="2"/>
          <w:sz w:val="21"/>
          <w:szCs w:val="21"/>
          <w:lang w:val="en-US" w:eastAsia="zh-CN" w:bidi="ar-SA"/>
        </w:rPr>
        <w:t>8.4</w:t>
      </w:r>
      <w:r>
        <w:rPr>
          <w:rFonts w:hint="eastAsia" w:ascii="宋体" w:hAnsi="宋体"/>
          <w:color w:val="auto"/>
          <w:szCs w:val="21"/>
        </w:rPr>
        <w:t>优先采购本国产品。采购进口产品应符合《中华人民共和国政府采购法》并依法办理论证、审批手续。</w:t>
      </w:r>
    </w:p>
    <w:p w14:paraId="1046FA35">
      <w:pPr>
        <w:numPr>
          <w:ilvl w:val="1"/>
          <w:numId w:val="0"/>
        </w:numPr>
        <w:spacing w:line="360" w:lineRule="auto"/>
        <w:ind w:left="0" w:leftChars="0" w:firstLine="422" w:firstLineChars="200"/>
        <w:rPr>
          <w:rFonts w:hint="eastAsia" w:ascii="宋体" w:hAnsi="宋体"/>
          <w:color w:val="auto"/>
          <w:szCs w:val="21"/>
        </w:rPr>
      </w:pPr>
      <w:r>
        <w:rPr>
          <w:rFonts w:hint="default" w:ascii="宋体" w:hAnsi="宋体" w:eastAsia="宋体" w:cs="宋体"/>
          <w:b/>
          <w:bCs/>
          <w:color w:val="auto"/>
          <w:kern w:val="2"/>
          <w:sz w:val="21"/>
          <w:szCs w:val="21"/>
          <w:lang w:val="en-US" w:eastAsia="zh-CN" w:bidi="ar-SA"/>
        </w:rPr>
        <w:t>8.5</w:t>
      </w:r>
      <w:r>
        <w:rPr>
          <w:rFonts w:hint="eastAsia" w:ascii="宋体" w:hAnsi="宋体"/>
          <w:color w:val="auto"/>
          <w:szCs w:val="21"/>
        </w:rPr>
        <w:t>促进中小型企业发展，必须执行财政部、工信部印发的《政府采购促进中小企业发展管理办法》，对于经主管预算单位统筹后未预留份额专门面向中小企业采购的采购项目，以及预留份额项目中的非预留部分采购包，应当对货物由小微企业制造（即货物由小微企业生产且使用该小微企业商号或者注册商标）的投标报价给予</w:t>
      </w:r>
      <w:r>
        <w:rPr>
          <w:rFonts w:hint="eastAsia" w:ascii="宋体" w:hAnsi="宋体"/>
          <w:color w:val="auto"/>
          <w:szCs w:val="21"/>
          <w:lang w:val="en-US" w:eastAsia="zh-CN"/>
        </w:rPr>
        <w:t>1</w:t>
      </w:r>
      <w:r>
        <w:rPr>
          <w:rFonts w:hint="eastAsia" w:ascii="宋体" w:hAnsi="宋体"/>
          <w:color w:val="auto"/>
          <w:szCs w:val="21"/>
        </w:rPr>
        <w:t>0%的扣除，用扣除后的价格参加评审（监狱企业/残疾人福利性企业视同小型、微型企业）。参加政府采购活动的中小企业应当提供《中小企业声明函》，未填写中小企业声明函的在评标过程中不予认可；参加政府采购活动的残疾人福利性单位应当提供《残疾人福利性单位声明函》，未填写残疾人福利性单位声明函的在评标过程中不予认可；参加政府采购活动的监狱企业，未提供由省级以上监狱管理局、戒毒管理局（含新疆生产建设兵团）出具的属于监狱企业的证明文件的不予认可。</w:t>
      </w:r>
    </w:p>
    <w:p w14:paraId="2ECF3BC3">
      <w:pPr>
        <w:numPr>
          <w:ilvl w:val="1"/>
          <w:numId w:val="0"/>
        </w:numPr>
        <w:spacing w:line="360" w:lineRule="auto"/>
        <w:ind w:left="0" w:leftChars="0" w:firstLine="422" w:firstLineChars="200"/>
        <w:rPr>
          <w:rFonts w:hint="eastAsia" w:ascii="宋体" w:hAnsi="宋体"/>
          <w:color w:val="auto"/>
          <w:szCs w:val="21"/>
        </w:rPr>
      </w:pPr>
      <w:r>
        <w:rPr>
          <w:rFonts w:hint="default" w:ascii="宋体" w:hAnsi="宋体" w:eastAsia="宋体" w:cs="宋体"/>
          <w:b/>
          <w:bCs/>
          <w:color w:val="auto"/>
          <w:kern w:val="2"/>
          <w:sz w:val="21"/>
          <w:szCs w:val="21"/>
          <w:lang w:val="en-US" w:eastAsia="zh-CN" w:bidi="ar-SA"/>
        </w:rPr>
        <w:t>8.6</w:t>
      </w:r>
      <w:r>
        <w:rPr>
          <w:rFonts w:hint="eastAsia" w:ascii="宋体" w:hAnsi="宋体"/>
          <w:color w:val="auto"/>
          <w:szCs w:val="21"/>
        </w:rPr>
        <w:t>开源节流，执行低价优先的采购政策规定。</w:t>
      </w:r>
    </w:p>
    <w:p w14:paraId="71777A77">
      <w:pPr>
        <w:numPr>
          <w:ilvl w:val="0"/>
          <w:numId w:val="0"/>
        </w:numPr>
        <w:spacing w:line="360" w:lineRule="auto"/>
        <w:ind w:firstLine="422" w:firstLineChars="200"/>
        <w:rPr>
          <w:rFonts w:hint="eastAsia" w:ascii="宋体" w:hAnsi="宋体" w:eastAsia="宋体" w:cs="宋体"/>
          <w:color w:val="auto"/>
          <w:szCs w:val="21"/>
          <w:lang w:val="en-US" w:eastAsia="zh-CN"/>
        </w:rPr>
      </w:pPr>
      <w:r>
        <w:rPr>
          <w:rFonts w:hint="eastAsia" w:ascii="宋体" w:hAnsi="宋体" w:eastAsia="宋体" w:cs="宋体"/>
          <w:b/>
          <w:bCs/>
          <w:color w:val="auto"/>
          <w:szCs w:val="21"/>
          <w:lang w:val="en-US" w:eastAsia="zh-CN"/>
        </w:rPr>
        <w:t xml:space="preserve">8.7 </w:t>
      </w:r>
      <w:r>
        <w:rPr>
          <w:rFonts w:hint="eastAsia" w:ascii="宋体" w:hAnsi="宋体" w:eastAsia="宋体" w:cs="宋体"/>
          <w:color w:val="auto"/>
          <w:szCs w:val="21"/>
          <w:lang w:val="en-US" w:eastAsia="zh-CN"/>
        </w:rPr>
        <w:t>关于推动解决政府采购异常低价问题的通知</w:t>
      </w:r>
    </w:p>
    <w:p w14:paraId="37079845">
      <w:pPr>
        <w:numPr>
          <w:ilvl w:val="0"/>
          <w:numId w:val="0"/>
        </w:numPr>
        <w:spacing w:line="360" w:lineRule="auto"/>
        <w:ind w:firstLine="420" w:firstLineChars="200"/>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政府采购评审中出现下列情形之一的，评审委员会应当启动异常低价投标（响应）审查程序： </w:t>
      </w:r>
    </w:p>
    <w:p w14:paraId="2AC54E57">
      <w:pPr>
        <w:numPr>
          <w:ilvl w:val="0"/>
          <w:numId w:val="0"/>
        </w:numPr>
        <w:spacing w:line="360" w:lineRule="auto"/>
        <w:ind w:firstLine="420" w:firstLineChars="200"/>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1.投标（响应）报价低于全部通过符合性审查供应商投标（响应）报价平均值50%的，即投标（响应）报价&lt;全部通过符合性审查供应商投标（响应）报价平均值×50%；</w:t>
      </w:r>
    </w:p>
    <w:p w14:paraId="66F6B6A7">
      <w:pPr>
        <w:numPr>
          <w:ilvl w:val="0"/>
          <w:numId w:val="0"/>
        </w:numPr>
        <w:spacing w:line="360" w:lineRule="auto"/>
        <w:ind w:firstLine="420" w:firstLineChars="200"/>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2.投标（响应）报价低于通过符合性审查的次低报价供应商投标（响应）报价50%的，即投标（响应）报价&lt;通过符合性审查的次低报价供应商投标（响应）报价×50%；</w:t>
      </w:r>
    </w:p>
    <w:p w14:paraId="4FB293ED">
      <w:pPr>
        <w:numPr>
          <w:ilvl w:val="0"/>
          <w:numId w:val="0"/>
        </w:numPr>
        <w:spacing w:line="360" w:lineRule="auto"/>
        <w:ind w:firstLine="420" w:firstLineChars="200"/>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3.投标（响应）报价低于采购项目最高限价45%的，即投标（响应）报价&lt;采购项目最高限价×45%；</w:t>
      </w:r>
    </w:p>
    <w:p w14:paraId="7326F6EA">
      <w:pPr>
        <w:numPr>
          <w:ilvl w:val="0"/>
          <w:numId w:val="0"/>
        </w:numPr>
        <w:spacing w:line="360" w:lineRule="auto"/>
        <w:ind w:firstLine="420" w:firstLineChars="200"/>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4.评审委员会基于专业判断，认为供应商报价过低，有可能影响产品质量或者不能诚信履约的其他情形。</w:t>
      </w:r>
    </w:p>
    <w:p w14:paraId="34F5BB1D">
      <w:pPr>
        <w:numPr>
          <w:ilvl w:val="0"/>
          <w:numId w:val="0"/>
        </w:numPr>
        <w:spacing w:line="360" w:lineRule="auto"/>
        <w:ind w:firstLine="420" w:firstLineChars="200"/>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6C03543">
      <w:pPr>
        <w:numPr>
          <w:ilvl w:val="0"/>
          <w:numId w:val="0"/>
        </w:numPr>
        <w:spacing w:line="360" w:lineRule="auto"/>
        <w:ind w:firstLine="420" w:firstLineChars="200"/>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FB63308">
      <w:pPr>
        <w:numPr>
          <w:ilvl w:val="0"/>
          <w:numId w:val="0"/>
        </w:numPr>
        <w:spacing w:line="360" w:lineRule="auto"/>
        <w:ind w:firstLine="420" w:firstLineChars="200"/>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D9D6597">
      <w:pPr>
        <w:pStyle w:val="6"/>
        <w:rPr>
          <w:rFonts w:hint="eastAsia"/>
        </w:rPr>
      </w:pPr>
      <w:r>
        <w:rPr>
          <w:rFonts w:hint="default" w:ascii="宋体" w:hAnsi="宋体" w:eastAsia="宋体" w:cs="宋体"/>
          <w:color w:val="auto"/>
          <w:szCs w:val="21"/>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06594773">
      <w:pPr>
        <w:pStyle w:val="3"/>
        <w:numPr>
          <w:ilvl w:val="0"/>
          <w:numId w:val="0"/>
        </w:numPr>
        <w:tabs>
          <w:tab w:val="left" w:pos="721"/>
          <w:tab w:val="left" w:pos="2880"/>
          <w:tab w:val="left" w:pos="3780"/>
        </w:tabs>
        <w:ind w:left="0" w:leftChars="0" w:firstLine="0" w:firstLineChars="0"/>
        <w:jc w:val="both"/>
        <w:rPr>
          <w:rFonts w:hint="eastAsia" w:ascii="宋体" w:hAnsi="宋体"/>
          <w:color w:val="auto"/>
          <w:szCs w:val="24"/>
        </w:rPr>
      </w:pPr>
      <w:bookmarkStart w:id="330" w:name="_Toc17813"/>
      <w:r>
        <w:rPr>
          <w:rFonts w:hint="eastAsia" w:ascii="宋体" w:hAnsi="宋体" w:eastAsia="宋体" w:cs="Times New Roman"/>
          <w:b/>
          <w:color w:val="auto"/>
          <w:kern w:val="2"/>
          <w:sz w:val="24"/>
          <w:szCs w:val="24"/>
          <w:lang w:val="en-US" w:eastAsia="zh-CN" w:bidi="ar-SA"/>
        </w:rPr>
        <w:t>9.</w:t>
      </w:r>
      <w:r>
        <w:rPr>
          <w:rFonts w:hint="eastAsia" w:ascii="宋体" w:hAnsi="宋体"/>
          <w:color w:val="auto"/>
          <w:szCs w:val="24"/>
        </w:rPr>
        <w:t>需要补充的其他内容</w:t>
      </w:r>
      <w:bookmarkEnd w:id="330"/>
    </w:p>
    <w:p w14:paraId="6EE40316">
      <w:pPr>
        <w:numPr>
          <w:ilvl w:val="1"/>
          <w:numId w:val="0"/>
        </w:numPr>
        <w:spacing w:line="360" w:lineRule="auto"/>
        <w:ind w:left="0" w:leftChars="0" w:firstLine="422" w:firstLineChars="200"/>
        <w:rPr>
          <w:rFonts w:hint="eastAsia" w:ascii="宋体" w:hAnsi="宋体"/>
          <w:color w:val="auto"/>
          <w:szCs w:val="21"/>
        </w:rPr>
      </w:pPr>
      <w:r>
        <w:rPr>
          <w:rFonts w:hint="default" w:ascii="宋体" w:hAnsi="宋体" w:eastAsia="宋体" w:cs="宋体"/>
          <w:b/>
          <w:bCs/>
          <w:color w:val="auto"/>
          <w:kern w:val="2"/>
          <w:sz w:val="21"/>
          <w:szCs w:val="21"/>
          <w:lang w:val="en-US" w:eastAsia="zh-CN" w:bidi="ar-SA"/>
        </w:rPr>
        <w:t>9.1</w:t>
      </w:r>
      <w:r>
        <w:rPr>
          <w:rFonts w:hint="eastAsia" w:ascii="宋体" w:hAnsi="宋体"/>
          <w:color w:val="auto"/>
          <w:szCs w:val="21"/>
        </w:rPr>
        <w:t>需要补充的其他内容：见投标人须知前附表。</w:t>
      </w:r>
      <w:bookmarkEnd w:id="329"/>
      <w:r>
        <w:rPr>
          <w:rFonts w:hint="eastAsia" w:ascii="宋体" w:hAnsi="宋体"/>
          <w:color w:val="auto"/>
          <w:szCs w:val="21"/>
        </w:rPr>
        <w:t xml:space="preserve"> </w:t>
      </w:r>
    </w:p>
    <w:p w14:paraId="3EBA024C">
      <w:pPr>
        <w:pStyle w:val="26"/>
        <w:widowControl/>
        <w:shd w:val="clear" w:color="auto" w:fill="FFFFFF"/>
        <w:spacing w:before="0" w:beforeAutospacing="0" w:after="0" w:afterAutospacing="0" w:line="330" w:lineRule="atLeast"/>
        <w:rPr>
          <w:rFonts w:hint="eastAsia" w:ascii="宋体" w:hAnsi="宋体" w:cs="仿宋_GB2312"/>
          <w:b/>
          <w:bCs/>
          <w:color w:val="auto"/>
          <w:szCs w:val="21"/>
        </w:rPr>
      </w:pPr>
      <w:r>
        <w:rPr>
          <w:rFonts w:hint="eastAsia" w:ascii="宋体" w:hAnsi="宋体" w:cs="仿宋_GB2312"/>
          <w:b/>
          <w:bCs/>
          <w:color w:val="auto"/>
          <w:szCs w:val="21"/>
        </w:rPr>
        <w:br w:type="page"/>
      </w:r>
      <w:r>
        <w:rPr>
          <w:rFonts w:hint="eastAsia" w:ascii="宋体" w:hAnsi="宋体" w:cs="仿宋_GB2312"/>
          <w:b/>
          <w:bCs/>
          <w:color w:val="auto"/>
          <w:szCs w:val="21"/>
        </w:rPr>
        <w:t>附件1：</w:t>
      </w:r>
    </w:p>
    <w:p w14:paraId="0E093A88">
      <w:pPr>
        <w:pStyle w:val="26"/>
        <w:widowControl/>
        <w:shd w:val="clear" w:color="auto" w:fill="FFFFFF"/>
        <w:spacing w:before="0" w:beforeAutospacing="0" w:after="0" w:afterAutospacing="0" w:line="330" w:lineRule="atLeast"/>
        <w:jc w:val="center"/>
        <w:rPr>
          <w:rFonts w:hint="eastAsia" w:ascii="宋体" w:hAnsi="宋体" w:cs="宋体"/>
          <w:b/>
          <w:bCs/>
          <w:color w:val="auto"/>
          <w:spacing w:val="8"/>
          <w:sz w:val="28"/>
          <w:szCs w:val="28"/>
          <w:shd w:val="clear" w:color="auto" w:fill="FFFFFF"/>
        </w:rPr>
      </w:pPr>
      <w:r>
        <w:rPr>
          <w:rFonts w:hint="eastAsia" w:ascii="宋体" w:hAnsi="宋体" w:cs="宋体"/>
          <w:b/>
          <w:bCs/>
          <w:color w:val="auto"/>
          <w:spacing w:val="8"/>
          <w:sz w:val="28"/>
          <w:szCs w:val="28"/>
          <w:shd w:val="clear" w:color="auto" w:fill="FFFFFF"/>
        </w:rPr>
        <w:t>统计上大中小微型企业划分标准</w:t>
      </w:r>
    </w:p>
    <w:p w14:paraId="34FCC20F">
      <w:pPr>
        <w:pStyle w:val="26"/>
        <w:widowControl/>
        <w:shd w:val="clear" w:color="auto" w:fill="FFFFFF"/>
        <w:spacing w:before="0" w:beforeAutospacing="0" w:after="0" w:afterAutospacing="0" w:line="330" w:lineRule="atLeast"/>
        <w:jc w:val="center"/>
        <w:rPr>
          <w:rFonts w:hint="eastAsia" w:ascii="宋体" w:hAnsi="宋体" w:cs="宋体"/>
          <w:b/>
          <w:bCs/>
          <w:color w:val="auto"/>
          <w:spacing w:val="8"/>
          <w:sz w:val="28"/>
          <w:szCs w:val="28"/>
          <w:shd w:val="clear" w:color="auto" w:fill="FFFFFF"/>
        </w:rPr>
      </w:pPr>
    </w:p>
    <w:tbl>
      <w:tblPr>
        <w:tblStyle w:val="29"/>
        <w:tblW w:w="9516" w:type="dxa"/>
        <w:jc w:val="center"/>
        <w:shd w:val="clear" w:color="auto" w:fill="FFFFFF"/>
        <w:tblLayout w:type="autofit"/>
        <w:tblCellMar>
          <w:top w:w="0" w:type="dxa"/>
          <w:left w:w="0" w:type="dxa"/>
          <w:bottom w:w="0" w:type="dxa"/>
          <w:right w:w="0" w:type="dxa"/>
        </w:tblCellMar>
      </w:tblPr>
      <w:tblGrid>
        <w:gridCol w:w="2137"/>
        <w:gridCol w:w="1379"/>
        <w:gridCol w:w="712"/>
        <w:gridCol w:w="1137"/>
        <w:gridCol w:w="1712"/>
        <w:gridCol w:w="1439"/>
        <w:gridCol w:w="1000"/>
      </w:tblGrid>
      <w:tr w14:paraId="3AC2C3AA">
        <w:tblPrEx>
          <w:tblCellMar>
            <w:top w:w="0" w:type="dxa"/>
            <w:left w:w="0" w:type="dxa"/>
            <w:bottom w:w="0" w:type="dxa"/>
            <w:right w:w="0" w:type="dxa"/>
          </w:tblCellMar>
        </w:tblPrEx>
        <w:trPr>
          <w:trHeight w:val="638" w:hRule="atLeast"/>
          <w:jc w:val="center"/>
        </w:trPr>
        <w:tc>
          <w:tcPr>
            <w:tcW w:w="2137" w:type="dxa"/>
            <w:tcBorders>
              <w:top w:val="single" w:color="4F81BD" w:sz="6" w:space="0"/>
              <w:left w:val="single" w:color="4F81BD" w:sz="6" w:space="0"/>
              <w:bottom w:val="single" w:color="FFFFFF" w:sz="18" w:space="0"/>
              <w:right w:val="single" w:color="4F81BD" w:sz="6" w:space="0"/>
            </w:tcBorders>
            <w:shd w:val="clear" w:color="auto" w:fill="4F81BD"/>
            <w:noWrap w:val="0"/>
            <w:tcMar>
              <w:left w:w="105" w:type="dxa"/>
              <w:right w:w="105" w:type="dxa"/>
            </w:tcMar>
            <w:vAlign w:val="center"/>
          </w:tcPr>
          <w:p w14:paraId="45CFAC98">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Style w:val="32"/>
                <w:rFonts w:hint="eastAsia" w:ascii="宋体" w:hAnsi="宋体" w:cs="宋体"/>
                <w:color w:val="auto"/>
                <w:spacing w:val="8"/>
                <w:sz w:val="21"/>
                <w:szCs w:val="21"/>
              </w:rPr>
              <w:t>行业名称</w:t>
            </w:r>
          </w:p>
        </w:tc>
        <w:tc>
          <w:tcPr>
            <w:tcW w:w="1379"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386FF3E4">
            <w:pPr>
              <w:pStyle w:val="26"/>
              <w:widowControl/>
              <w:wordWrap w:val="0"/>
              <w:spacing w:before="0" w:beforeAutospacing="0" w:after="0" w:afterAutospacing="0"/>
              <w:jc w:val="center"/>
              <w:rPr>
                <w:rFonts w:hint="eastAsia" w:ascii="宋体" w:hAnsi="宋体" w:cs="宋体"/>
                <w:color w:val="auto"/>
                <w:sz w:val="21"/>
                <w:szCs w:val="21"/>
              </w:rPr>
            </w:pPr>
            <w:r>
              <w:rPr>
                <w:rStyle w:val="32"/>
                <w:rFonts w:hint="eastAsia" w:ascii="宋体" w:hAnsi="宋体" w:cs="宋体"/>
                <w:color w:val="auto"/>
                <w:spacing w:val="8"/>
                <w:sz w:val="21"/>
                <w:szCs w:val="21"/>
              </w:rPr>
              <w:t>指标名称</w:t>
            </w:r>
          </w:p>
        </w:tc>
        <w:tc>
          <w:tcPr>
            <w:tcW w:w="712"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71A72F76">
            <w:pPr>
              <w:pStyle w:val="26"/>
              <w:widowControl/>
              <w:wordWrap w:val="0"/>
              <w:spacing w:before="0" w:beforeAutospacing="0" w:after="0" w:afterAutospacing="0"/>
              <w:jc w:val="center"/>
              <w:rPr>
                <w:rFonts w:hint="eastAsia" w:ascii="宋体" w:hAnsi="宋体" w:cs="宋体"/>
                <w:color w:val="auto"/>
                <w:sz w:val="21"/>
                <w:szCs w:val="21"/>
              </w:rPr>
            </w:pPr>
            <w:r>
              <w:rPr>
                <w:rStyle w:val="32"/>
                <w:rFonts w:hint="eastAsia" w:ascii="宋体" w:hAnsi="宋体" w:cs="宋体"/>
                <w:color w:val="auto"/>
                <w:spacing w:val="8"/>
                <w:sz w:val="21"/>
                <w:szCs w:val="21"/>
              </w:rPr>
              <w:t>计量单位</w:t>
            </w:r>
          </w:p>
        </w:tc>
        <w:tc>
          <w:tcPr>
            <w:tcW w:w="1137"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4AFBDB5E">
            <w:pPr>
              <w:pStyle w:val="26"/>
              <w:widowControl/>
              <w:wordWrap w:val="0"/>
              <w:spacing w:before="0" w:beforeAutospacing="0" w:after="0" w:afterAutospacing="0"/>
              <w:jc w:val="center"/>
              <w:rPr>
                <w:rFonts w:hint="eastAsia" w:ascii="宋体" w:hAnsi="宋体" w:cs="宋体"/>
                <w:color w:val="auto"/>
                <w:sz w:val="21"/>
                <w:szCs w:val="21"/>
              </w:rPr>
            </w:pPr>
            <w:r>
              <w:rPr>
                <w:rStyle w:val="32"/>
                <w:rFonts w:hint="eastAsia" w:ascii="宋体" w:hAnsi="宋体" w:cs="宋体"/>
                <w:color w:val="auto"/>
                <w:spacing w:val="8"/>
                <w:sz w:val="21"/>
                <w:szCs w:val="21"/>
              </w:rPr>
              <w:t>大型</w:t>
            </w:r>
          </w:p>
        </w:tc>
        <w:tc>
          <w:tcPr>
            <w:tcW w:w="1712"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7251443F">
            <w:pPr>
              <w:pStyle w:val="26"/>
              <w:widowControl/>
              <w:wordWrap w:val="0"/>
              <w:spacing w:before="0" w:beforeAutospacing="0" w:after="0" w:afterAutospacing="0"/>
              <w:jc w:val="center"/>
              <w:rPr>
                <w:rFonts w:hint="eastAsia" w:ascii="宋体" w:hAnsi="宋体" w:cs="宋体"/>
                <w:color w:val="auto"/>
                <w:sz w:val="21"/>
                <w:szCs w:val="21"/>
              </w:rPr>
            </w:pPr>
            <w:r>
              <w:rPr>
                <w:rStyle w:val="32"/>
                <w:rFonts w:hint="eastAsia" w:ascii="宋体" w:hAnsi="宋体" w:cs="宋体"/>
                <w:color w:val="auto"/>
                <w:spacing w:val="8"/>
                <w:sz w:val="21"/>
                <w:szCs w:val="21"/>
              </w:rPr>
              <w:t>中型</w:t>
            </w:r>
          </w:p>
        </w:tc>
        <w:tc>
          <w:tcPr>
            <w:tcW w:w="1439"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19915312">
            <w:pPr>
              <w:pStyle w:val="26"/>
              <w:widowControl/>
              <w:wordWrap w:val="0"/>
              <w:spacing w:before="0" w:beforeAutospacing="0" w:after="0" w:afterAutospacing="0"/>
              <w:jc w:val="center"/>
              <w:rPr>
                <w:rFonts w:hint="eastAsia" w:ascii="宋体" w:hAnsi="宋体" w:cs="宋体"/>
                <w:color w:val="auto"/>
                <w:sz w:val="21"/>
                <w:szCs w:val="21"/>
              </w:rPr>
            </w:pPr>
            <w:r>
              <w:rPr>
                <w:rStyle w:val="32"/>
                <w:rFonts w:hint="eastAsia" w:ascii="宋体" w:hAnsi="宋体" w:cs="宋体"/>
                <w:color w:val="auto"/>
                <w:spacing w:val="8"/>
                <w:sz w:val="21"/>
                <w:szCs w:val="21"/>
              </w:rPr>
              <w:t>小型</w:t>
            </w:r>
          </w:p>
        </w:tc>
        <w:tc>
          <w:tcPr>
            <w:tcW w:w="1000"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508631AE">
            <w:pPr>
              <w:pStyle w:val="26"/>
              <w:widowControl/>
              <w:wordWrap w:val="0"/>
              <w:spacing w:before="0" w:beforeAutospacing="0" w:after="0" w:afterAutospacing="0"/>
              <w:jc w:val="center"/>
              <w:rPr>
                <w:rFonts w:hint="eastAsia" w:ascii="宋体" w:hAnsi="宋体" w:cs="宋体"/>
                <w:color w:val="auto"/>
                <w:sz w:val="21"/>
                <w:szCs w:val="21"/>
              </w:rPr>
            </w:pPr>
            <w:r>
              <w:rPr>
                <w:rStyle w:val="32"/>
                <w:rFonts w:hint="eastAsia" w:ascii="宋体" w:hAnsi="宋体" w:cs="宋体"/>
                <w:color w:val="auto"/>
                <w:spacing w:val="8"/>
                <w:sz w:val="21"/>
                <w:szCs w:val="21"/>
              </w:rPr>
              <w:t>微型</w:t>
            </w:r>
          </w:p>
        </w:tc>
      </w:tr>
      <w:tr w14:paraId="24C94864">
        <w:tblPrEx>
          <w:tblCellMar>
            <w:top w:w="0" w:type="dxa"/>
            <w:left w:w="0" w:type="dxa"/>
            <w:bottom w:w="0" w:type="dxa"/>
            <w:right w:w="0" w:type="dxa"/>
          </w:tblCellMar>
        </w:tblPrEx>
        <w:trPr>
          <w:trHeight w:val="596" w:hRule="atLeast"/>
          <w:jc w:val="center"/>
        </w:trPr>
        <w:tc>
          <w:tcPr>
            <w:tcW w:w="2137" w:type="dxa"/>
            <w:tcBorders>
              <w:top w:val="nil"/>
              <w:left w:val="single" w:color="4F81BD" w:sz="6" w:space="0"/>
              <w:bottom w:val="single" w:color="4F81BD" w:sz="6" w:space="0"/>
              <w:right w:val="single" w:color="4F81BD" w:sz="6" w:space="0"/>
            </w:tcBorders>
            <w:shd w:val="clear" w:color="auto" w:fill="B8CCE4"/>
            <w:noWrap w:val="0"/>
            <w:tcMar>
              <w:left w:w="105" w:type="dxa"/>
              <w:right w:w="105" w:type="dxa"/>
            </w:tcMar>
            <w:vAlign w:val="center"/>
          </w:tcPr>
          <w:p w14:paraId="7B7015BD">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农、林、牧、渔业</w:t>
            </w: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847150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9BFC63C">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E9F97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Y≥20000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B07635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500≤Y＜20000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F9021C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50≤Y＜500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DC5D98B">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Y＜50</w:t>
            </w:r>
          </w:p>
        </w:tc>
      </w:tr>
      <w:tr w14:paraId="2008054B">
        <w:tblPrEx>
          <w:shd w:val="clear" w:color="auto" w:fill="FFFFFF"/>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4A23BEC">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工业 *</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868605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3F0C4D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624A06C">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3097C7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300≤X＜1000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1EE5FD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20≤X＜300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6D6F88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X＜20</w:t>
            </w:r>
          </w:p>
        </w:tc>
      </w:tr>
      <w:tr w14:paraId="3030878B">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F93F92A">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FBBF8DF">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03C137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502ACE6">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Y≥40000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2A29B0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2000≤Y＜40000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F4A77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300≤Y＜2000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95DED2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Y＜300</w:t>
            </w:r>
          </w:p>
        </w:tc>
      </w:tr>
      <w:tr w14:paraId="559286BD">
        <w:tblPrEx>
          <w:shd w:val="clear" w:color="auto" w:fill="FFFFFF"/>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2FA7A21">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建筑业</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100BB7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B121E6">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887EE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Y≥80000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7FA19F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6000≤Y＜80000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F01273B">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300≤Y＜6000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A1E10E1">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Y＜300</w:t>
            </w:r>
          </w:p>
        </w:tc>
      </w:tr>
      <w:tr w14:paraId="0A92D313">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7E9382A">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735608E">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资产总额(Z)</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9DFA901">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A3F3D3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Z≥80000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F21E23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5000≤Z＜80000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6822F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300≤Z＜5000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0498875">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Z＜300</w:t>
            </w:r>
          </w:p>
        </w:tc>
      </w:tr>
      <w:tr w14:paraId="428A57DD">
        <w:tblPrEx>
          <w:tblCellMar>
            <w:top w:w="0" w:type="dxa"/>
            <w:left w:w="0" w:type="dxa"/>
            <w:bottom w:w="0" w:type="dxa"/>
            <w:right w:w="0" w:type="dxa"/>
          </w:tblCellMar>
        </w:tblPrEx>
        <w:trPr>
          <w:trHeight w:val="410"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BEE32F6">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批发业</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1569F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296C1C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04887A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X≥200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8BA617C">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20≤X＜200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745C13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5≤X＜20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DF018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X＜5</w:t>
            </w:r>
          </w:p>
        </w:tc>
      </w:tr>
      <w:tr w14:paraId="5D1A59ED">
        <w:tblPrEx>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3A63C20">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77A6AA7">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548E9F1">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5F91C7C">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Y≥40000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D205FC5">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5000≤Y＜40000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DC10AA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1000≤Y＜5000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2742C1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Y＜1000</w:t>
            </w:r>
          </w:p>
        </w:tc>
      </w:tr>
      <w:tr w14:paraId="48AAAFF2">
        <w:tblPrEx>
          <w:shd w:val="clear" w:color="auto" w:fill="FFFFFF"/>
          <w:tblCellMar>
            <w:top w:w="0" w:type="dxa"/>
            <w:left w:w="0" w:type="dxa"/>
            <w:bottom w:w="0" w:type="dxa"/>
            <w:right w:w="0" w:type="dxa"/>
          </w:tblCellMar>
        </w:tblPrEx>
        <w:trPr>
          <w:trHeight w:val="410"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D37D070">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零售业</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F9B858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D93A8DF">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63E560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X≥300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354914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50≤X＜300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4D75501">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10≤X＜50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5C9493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w:t>
            </w:r>
          </w:p>
        </w:tc>
      </w:tr>
      <w:tr w14:paraId="78F3AA71">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919B12D">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06331D">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4B5598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2D99EE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Y≥20000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54F3456">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500≤Y＜20000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CD5953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100≤Y＜500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A82EB8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w:t>
            </w:r>
          </w:p>
        </w:tc>
      </w:tr>
      <w:tr w14:paraId="4161F6AA">
        <w:tblPrEx>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7A968D3">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交通运输业 *</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0FC9E5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52D2C7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9B265DF">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5100D4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300≤X＜1000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97A34B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20≤X＜300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42E9CF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X＜20</w:t>
            </w:r>
          </w:p>
        </w:tc>
      </w:tr>
      <w:tr w14:paraId="1042DB10">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9968506">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8118D95">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B71155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9153B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Y≥30000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138944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3000≤Y＜30000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18EE1E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200≤Y＜3000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54FC4A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Y＜200</w:t>
            </w:r>
          </w:p>
        </w:tc>
      </w:tr>
      <w:tr w14:paraId="38C980AB">
        <w:tblPrEx>
          <w:shd w:val="clear" w:color="auto" w:fill="FFFFFF"/>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6545B7D">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仓储业*</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D27785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26E59DF">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D94314B">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X≥200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B3C54C6">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100≤X＜200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7CC8DA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20≤X＜100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0805D4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X＜20</w:t>
            </w:r>
          </w:p>
        </w:tc>
      </w:tr>
      <w:tr w14:paraId="70C42088">
        <w:tblPrEx>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1512763">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5A9D709">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C54F14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814665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Y≥30000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3429E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1000≤Y＜30000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E7B9FC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100≤Y＜1000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E37D19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w:t>
            </w:r>
          </w:p>
        </w:tc>
      </w:tr>
      <w:tr w14:paraId="7E0865EF">
        <w:tblPrEx>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E0755EE">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邮政业</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7E82B3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3EFE22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DF1E78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F147705">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300≤X＜1000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04F926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20≤X＜300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71386A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X＜20</w:t>
            </w:r>
          </w:p>
        </w:tc>
      </w:tr>
      <w:tr w14:paraId="0A53A3C1">
        <w:tblPrEx>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9858339">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9DE391B">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FCDF87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1BE09A6">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Y≥30000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D25ED4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2000≤Y＜30000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4990D8F">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100≤Y＜2000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82A546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w:t>
            </w:r>
          </w:p>
        </w:tc>
      </w:tr>
      <w:tr w14:paraId="15F08D8A">
        <w:tblPrEx>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2DBCE14">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住宿业</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A39507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4BC0FD7">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A928A9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X≥300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E1C6E1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100≤X＜300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5164EC5">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10≤X＜100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1B2BC6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w:t>
            </w:r>
          </w:p>
        </w:tc>
      </w:tr>
      <w:tr w14:paraId="2BFC67C5">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E061408">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AEF2A39">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B33E70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3908CD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F3F725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2000≤Y＜10000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896E3F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100≤Y＜2000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9B56D5F">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w:t>
            </w:r>
          </w:p>
        </w:tc>
      </w:tr>
      <w:tr w14:paraId="1AAE0A7F">
        <w:tblPrEx>
          <w:shd w:val="clear" w:color="auto" w:fill="FFFFFF"/>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FCEE2A3">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餐饮业</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8EA373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7D6E68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33A3185">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X≥300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59CE9E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100≤X＜300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47AB90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10≤X＜100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D6A89C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w:t>
            </w:r>
          </w:p>
        </w:tc>
      </w:tr>
      <w:tr w14:paraId="613691B7">
        <w:tblPrEx>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E8B1DF5">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EFD319">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6A549C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E86B6BB">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EA3346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2000≤Y＜10000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10AA64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100≤Y＜2000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24359A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w:t>
            </w:r>
          </w:p>
        </w:tc>
      </w:tr>
      <w:tr w14:paraId="34996269">
        <w:tblPrEx>
          <w:shd w:val="clear" w:color="auto" w:fill="FFFFFF"/>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D1350A6">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信息传输业 *</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189683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E49002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061AF2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X≥2000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9957D6F">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100≤X＜2000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8C9FA5B">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10≤X＜100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B0D5A9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w:t>
            </w:r>
          </w:p>
        </w:tc>
      </w:tr>
      <w:tr w14:paraId="3900259F">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7ADD4E9">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13096F6">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4E6A3E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72F7D1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3EACF9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1000≤Y＜100000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E59407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100≤Y＜1000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976144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w:t>
            </w:r>
          </w:p>
        </w:tc>
      </w:tr>
      <w:tr w14:paraId="605F4A8F">
        <w:tblPrEx>
          <w:shd w:val="clear" w:color="auto" w:fill="FFFFFF"/>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41207A7">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15"/>
                <w:sz w:val="21"/>
                <w:szCs w:val="21"/>
              </w:rPr>
              <w:t>软件和信息技术服</w:t>
            </w:r>
            <w:r>
              <w:rPr>
                <w:rFonts w:hint="eastAsia" w:ascii="宋体" w:hAnsi="宋体" w:cs="宋体"/>
                <w:color w:val="auto"/>
                <w:spacing w:val="8"/>
                <w:sz w:val="21"/>
                <w:szCs w:val="21"/>
              </w:rPr>
              <w:t>务业</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546F5A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2AABF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E0E2946">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X≥300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FB0951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100≤X＜300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1E1849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10≤X＜100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3A7409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w:t>
            </w:r>
          </w:p>
        </w:tc>
      </w:tr>
      <w:tr w14:paraId="2F769C66">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33BE73A">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D0989A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3B4BF4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61914A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0F18ECB">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1000≤Y＜10000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A622895">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50≤Y＜1000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14F400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Y＜50</w:t>
            </w:r>
          </w:p>
        </w:tc>
      </w:tr>
      <w:tr w14:paraId="1D0DFB5B">
        <w:tblPrEx>
          <w:shd w:val="clear" w:color="auto" w:fill="FFFFFF"/>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7861F55">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房地产开发经营</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507AB8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DAB6CF5">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F6D3BA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Y≥200000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E6A6FF">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1000≤Y＜200000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7262339">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100≤Y＜1000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86B9DC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Y＜100</w:t>
            </w:r>
          </w:p>
        </w:tc>
      </w:tr>
      <w:tr w14:paraId="3BFFFBAB">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7BD13B4">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9BD1D80">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资产总额(Z)</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18C5C0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2B0B59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Z≥10000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338C6E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5000≤Z＜10000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CCB3221">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2000≤Z＜5000   </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B41E95A">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Z＜2000</w:t>
            </w:r>
          </w:p>
        </w:tc>
      </w:tr>
      <w:tr w14:paraId="437DB517">
        <w:tblPrEx>
          <w:tblCellMar>
            <w:top w:w="0" w:type="dxa"/>
            <w:left w:w="0" w:type="dxa"/>
            <w:bottom w:w="0" w:type="dxa"/>
            <w:right w:w="0" w:type="dxa"/>
          </w:tblCellMar>
        </w:tblPrEx>
        <w:trPr>
          <w:trHeight w:val="364"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66CFE03">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物业管理</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E17AE8C">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819C50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82D4BD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A607043">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300≤X＜1000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7E78AE8">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100≤X＜300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CC72A2F">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X＜100</w:t>
            </w:r>
          </w:p>
        </w:tc>
      </w:tr>
      <w:tr w14:paraId="52592164">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1C0A019">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3170513">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营业收入(Y)</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5E068BC">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85ABEF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Y≥5000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9CF772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1000≤Y＜5000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E964B6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500≤Y＜1000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09E8E8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Y＜500</w:t>
            </w:r>
          </w:p>
        </w:tc>
      </w:tr>
      <w:tr w14:paraId="75A6E899">
        <w:tblPrEx>
          <w:tblCellMar>
            <w:top w:w="0" w:type="dxa"/>
            <w:left w:w="0" w:type="dxa"/>
            <w:bottom w:w="0" w:type="dxa"/>
            <w:right w:w="0" w:type="dxa"/>
          </w:tblCellMar>
        </w:tblPrEx>
        <w:trPr>
          <w:trHeight w:val="566" w:hRule="atLeast"/>
          <w:jc w:val="center"/>
        </w:trPr>
        <w:tc>
          <w:tcPr>
            <w:tcW w:w="2137"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BC9EABA">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租赁和商务服务业</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968596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017CBB6">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426BAB6">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X≥300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50A928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100≤X＜300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E41220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10≤X＜100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EBC3EC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w:t>
            </w:r>
          </w:p>
        </w:tc>
      </w:tr>
      <w:tr w14:paraId="2E36AF98">
        <w:tblPrEx>
          <w:shd w:val="clear" w:color="auto" w:fill="FFFFFF"/>
          <w:tblCellMar>
            <w:top w:w="0" w:type="dxa"/>
            <w:left w:w="0" w:type="dxa"/>
            <w:bottom w:w="0" w:type="dxa"/>
            <w:right w:w="0" w:type="dxa"/>
          </w:tblCellMar>
        </w:tblPrEx>
        <w:trPr>
          <w:trHeight w:val="566" w:hRule="atLeast"/>
          <w:jc w:val="center"/>
        </w:trPr>
        <w:tc>
          <w:tcPr>
            <w:tcW w:w="2137"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9963CAA">
            <w:pPr>
              <w:rPr>
                <w:rFonts w:hint="eastAsia" w:ascii="宋体" w:hAnsi="宋体" w:cs="宋体"/>
                <w:color w:val="auto"/>
                <w:spacing w:val="8"/>
                <w:szCs w:val="21"/>
              </w:rPr>
            </w:pPr>
          </w:p>
        </w:tc>
        <w:tc>
          <w:tcPr>
            <w:tcW w:w="137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B46F88F">
            <w:pPr>
              <w:pStyle w:val="26"/>
              <w:widowControl/>
              <w:wordWrap w:val="0"/>
              <w:spacing w:before="0" w:beforeAutospacing="0" w:after="0" w:afterAutospacing="0" w:line="240" w:lineRule="atLeast"/>
              <w:jc w:val="center"/>
              <w:rPr>
                <w:rFonts w:hint="eastAsia" w:ascii="宋体" w:hAnsi="宋体" w:cs="宋体"/>
                <w:color w:val="auto"/>
                <w:sz w:val="21"/>
                <w:szCs w:val="21"/>
              </w:rPr>
            </w:pPr>
            <w:r>
              <w:rPr>
                <w:rFonts w:hint="eastAsia" w:ascii="宋体" w:hAnsi="宋体" w:cs="宋体"/>
                <w:color w:val="auto"/>
                <w:spacing w:val="8"/>
                <w:sz w:val="21"/>
                <w:szCs w:val="21"/>
              </w:rPr>
              <w:t>资产总额(Z)</w:t>
            </w:r>
          </w:p>
        </w:tc>
        <w:tc>
          <w:tcPr>
            <w:tcW w:w="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B63842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万元</w:t>
            </w:r>
          </w:p>
        </w:tc>
        <w:tc>
          <w:tcPr>
            <w:tcW w:w="113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3CBD4D5">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Z≥120000</w:t>
            </w:r>
          </w:p>
        </w:tc>
        <w:tc>
          <w:tcPr>
            <w:tcW w:w="171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B4892D0">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8000≤Z＜120000</w:t>
            </w:r>
          </w:p>
        </w:tc>
        <w:tc>
          <w:tcPr>
            <w:tcW w:w="1439"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304133B">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100≤Z＜8000</w:t>
            </w:r>
          </w:p>
        </w:tc>
        <w:tc>
          <w:tcPr>
            <w:tcW w:w="100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9519AC">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Z＜100</w:t>
            </w:r>
          </w:p>
        </w:tc>
      </w:tr>
      <w:tr w14:paraId="06B0F4DC">
        <w:tblPrEx>
          <w:shd w:val="clear" w:color="auto" w:fill="FFFFFF"/>
          <w:tblCellMar>
            <w:top w:w="0" w:type="dxa"/>
            <w:left w:w="0" w:type="dxa"/>
            <w:bottom w:w="0" w:type="dxa"/>
            <w:right w:w="0" w:type="dxa"/>
          </w:tblCellMar>
        </w:tblPrEx>
        <w:trPr>
          <w:trHeight w:val="581" w:hRule="atLeast"/>
          <w:jc w:val="center"/>
        </w:trPr>
        <w:tc>
          <w:tcPr>
            <w:tcW w:w="2137" w:type="dxa"/>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B8EE50E">
            <w:pPr>
              <w:pStyle w:val="26"/>
              <w:widowControl/>
              <w:wordWrap w:val="0"/>
              <w:spacing w:before="0" w:beforeAutospacing="0" w:after="0" w:afterAutospacing="0" w:line="240" w:lineRule="atLeast"/>
              <w:jc w:val="both"/>
              <w:rPr>
                <w:rFonts w:hint="eastAsia" w:ascii="宋体" w:hAnsi="宋体" w:cs="宋体"/>
                <w:color w:val="auto"/>
                <w:sz w:val="21"/>
                <w:szCs w:val="21"/>
              </w:rPr>
            </w:pPr>
            <w:r>
              <w:rPr>
                <w:rFonts w:hint="eastAsia" w:ascii="宋体" w:hAnsi="宋体" w:cs="宋体"/>
                <w:color w:val="auto"/>
                <w:spacing w:val="8"/>
                <w:sz w:val="21"/>
                <w:szCs w:val="21"/>
              </w:rPr>
              <w:t>其他未列明行业 *</w:t>
            </w:r>
          </w:p>
        </w:tc>
        <w:tc>
          <w:tcPr>
            <w:tcW w:w="137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F324502">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从业人员(X)</w:t>
            </w:r>
          </w:p>
        </w:tc>
        <w:tc>
          <w:tcPr>
            <w:tcW w:w="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3C007FB">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人</w:t>
            </w:r>
          </w:p>
        </w:tc>
        <w:tc>
          <w:tcPr>
            <w:tcW w:w="113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AD4514D">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X≥300</w:t>
            </w:r>
          </w:p>
        </w:tc>
        <w:tc>
          <w:tcPr>
            <w:tcW w:w="171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4E2EB44">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100≤X＜300</w:t>
            </w:r>
          </w:p>
        </w:tc>
        <w:tc>
          <w:tcPr>
            <w:tcW w:w="1439"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6200FCE">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 10≤X＜100</w:t>
            </w:r>
          </w:p>
        </w:tc>
        <w:tc>
          <w:tcPr>
            <w:tcW w:w="100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EA389C5">
            <w:pPr>
              <w:pStyle w:val="26"/>
              <w:widowControl/>
              <w:wordWrap w:val="0"/>
              <w:spacing w:before="0" w:beforeAutospacing="0" w:after="0" w:afterAutospacing="0"/>
              <w:jc w:val="center"/>
              <w:rPr>
                <w:rFonts w:hint="eastAsia" w:ascii="宋体" w:hAnsi="宋体" w:cs="宋体"/>
                <w:color w:val="auto"/>
                <w:sz w:val="21"/>
                <w:szCs w:val="21"/>
              </w:rPr>
            </w:pPr>
            <w:r>
              <w:rPr>
                <w:rFonts w:hint="eastAsia" w:ascii="宋体" w:hAnsi="宋体" w:cs="宋体"/>
                <w:color w:val="auto"/>
                <w:spacing w:val="8"/>
                <w:sz w:val="21"/>
                <w:szCs w:val="21"/>
              </w:rPr>
              <w:t>X＜10</w:t>
            </w:r>
          </w:p>
        </w:tc>
      </w:tr>
    </w:tbl>
    <w:p w14:paraId="37CA4BD2">
      <w:pPr>
        <w:rPr>
          <w:rFonts w:hint="eastAsia" w:ascii="宋体" w:hAnsi="宋体" w:cs="宋体"/>
          <w:color w:val="auto"/>
          <w:spacing w:val="15"/>
          <w:szCs w:val="21"/>
        </w:rPr>
      </w:pPr>
    </w:p>
    <w:p w14:paraId="1EA4F850">
      <w:pPr>
        <w:spacing w:line="360" w:lineRule="auto"/>
        <w:ind w:firstLine="480" w:firstLineChars="200"/>
        <w:rPr>
          <w:rFonts w:hint="eastAsia" w:ascii="宋体" w:hAnsi="宋体" w:cs="宋体"/>
          <w:color w:val="auto"/>
          <w:spacing w:val="15"/>
          <w:szCs w:val="21"/>
        </w:rPr>
      </w:pPr>
      <w:r>
        <w:rPr>
          <w:rFonts w:hint="eastAsia" w:ascii="宋体" w:hAnsi="宋体" w:cs="宋体"/>
          <w:color w:val="auto"/>
          <w:spacing w:val="15"/>
          <w:szCs w:val="21"/>
        </w:rPr>
        <w:t>说明：1</w:t>
      </w:r>
      <w:r>
        <w:rPr>
          <w:rFonts w:hint="eastAsia" w:ascii="宋体" w:hAnsi="宋体" w:cs="宋体"/>
          <w:b/>
          <w:bCs/>
          <w:color w:val="auto"/>
          <w:spacing w:val="15"/>
          <w:szCs w:val="21"/>
        </w:rPr>
        <w:t>.大型、中型和小型企业须同时满足所列指标的下限，否则下划一档；微型企业只须满足所列指标中的一项即可。</w:t>
      </w:r>
    </w:p>
    <w:p w14:paraId="76DC82D4">
      <w:pPr>
        <w:numPr>
          <w:ilvl w:val="0"/>
          <w:numId w:val="13"/>
        </w:numPr>
        <w:spacing w:line="360" w:lineRule="auto"/>
        <w:ind w:firstLine="480" w:firstLineChars="200"/>
        <w:rPr>
          <w:rFonts w:hint="eastAsia" w:ascii="宋体" w:hAnsi="宋体" w:cs="宋体"/>
          <w:color w:val="auto"/>
          <w:spacing w:val="15"/>
          <w:szCs w:val="21"/>
        </w:rPr>
      </w:pPr>
      <w:r>
        <w:rPr>
          <w:rFonts w:hint="eastAsia" w:ascii="宋体" w:hAnsi="宋体" w:cs="宋体"/>
          <w:color w:val="auto"/>
          <w:spacing w:val="15"/>
          <w:szCs w:val="21"/>
        </w:rPr>
        <w:t>附表中各行业的范围以《国民经济行业分类》（GB/T4754-2017）为准。</w:t>
      </w:r>
      <w:r>
        <w:rPr>
          <w:rFonts w:hint="eastAsia" w:ascii="宋体" w:hAnsi="宋体" w:cs="宋体"/>
          <w:b/>
          <w:bCs/>
          <w:color w:val="auto"/>
          <w:spacing w:val="15"/>
          <w:szCs w:val="21"/>
        </w:rPr>
        <w:t>带*的项为行业组合类别</w:t>
      </w:r>
      <w:r>
        <w:rPr>
          <w:rFonts w:hint="eastAsia" w:ascii="宋体" w:hAnsi="宋体" w:cs="宋体"/>
          <w:color w:val="auto"/>
          <w:spacing w:val="15"/>
          <w:szCs w:val="21"/>
        </w:rPr>
        <w:t>，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05AE299">
      <w:pPr>
        <w:numPr>
          <w:ilvl w:val="0"/>
          <w:numId w:val="13"/>
        </w:numPr>
        <w:spacing w:line="360" w:lineRule="auto"/>
        <w:ind w:firstLine="480" w:firstLineChars="200"/>
        <w:rPr>
          <w:rFonts w:hint="eastAsia" w:ascii="宋体" w:hAnsi="宋体" w:cs="宋体"/>
          <w:color w:val="auto"/>
          <w:spacing w:val="15"/>
          <w:szCs w:val="21"/>
        </w:rPr>
      </w:pPr>
      <w:r>
        <w:rPr>
          <w:rFonts w:hint="eastAsia" w:ascii="宋体" w:hAnsi="宋体" w:cs="宋体"/>
          <w:color w:val="auto"/>
          <w:spacing w:val="15"/>
          <w:szCs w:val="21"/>
        </w:rPr>
        <w:t>企业划分指标以现行统计制度为准。</w:t>
      </w:r>
    </w:p>
    <w:p w14:paraId="21C5C438">
      <w:pPr>
        <w:spacing w:line="360" w:lineRule="auto"/>
        <w:ind w:firstLine="480" w:firstLineChars="200"/>
        <w:rPr>
          <w:rFonts w:hint="eastAsia" w:ascii="宋体" w:hAnsi="宋体" w:cs="宋体"/>
          <w:color w:val="auto"/>
          <w:spacing w:val="15"/>
          <w:szCs w:val="21"/>
        </w:rPr>
      </w:pPr>
      <w:r>
        <w:rPr>
          <w:rFonts w:hint="eastAsia" w:ascii="宋体" w:hAnsi="宋体" w:cs="宋体"/>
          <w:color w:val="auto"/>
          <w:spacing w:val="15"/>
          <w:szCs w:val="21"/>
        </w:rPr>
        <w:t>（1）从业人员，是指期末从业人员数，没有期末从业人员数的，采用全年平均人员数代替。</w:t>
      </w:r>
    </w:p>
    <w:p w14:paraId="04B82211">
      <w:pPr>
        <w:spacing w:line="360" w:lineRule="auto"/>
        <w:ind w:firstLine="480" w:firstLineChars="200"/>
        <w:rPr>
          <w:rFonts w:hint="eastAsia" w:ascii="宋体" w:hAnsi="宋体" w:cs="宋体"/>
          <w:color w:val="auto"/>
          <w:spacing w:val="15"/>
          <w:szCs w:val="21"/>
        </w:rPr>
      </w:pPr>
      <w:r>
        <w:rPr>
          <w:rFonts w:hint="eastAsia" w:ascii="宋体" w:hAnsi="宋体" w:cs="宋体"/>
          <w:color w:val="auto"/>
          <w:spacing w:val="15"/>
          <w:szCs w:val="21"/>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5233B8EE">
      <w:pPr>
        <w:spacing w:line="360" w:lineRule="auto"/>
        <w:ind w:left="420" w:leftChars="200"/>
        <w:rPr>
          <w:rFonts w:hint="eastAsia" w:ascii="宋体" w:hAnsi="宋体" w:cs="宋体"/>
          <w:color w:val="auto"/>
          <w:szCs w:val="21"/>
        </w:rPr>
      </w:pPr>
      <w:r>
        <w:rPr>
          <w:rFonts w:hint="eastAsia" w:ascii="宋体" w:hAnsi="宋体" w:cs="宋体"/>
          <w:color w:val="auto"/>
          <w:spacing w:val="15"/>
          <w:szCs w:val="21"/>
        </w:rPr>
        <w:t>（3）资产总额，采用资产总计代替。</w:t>
      </w:r>
    </w:p>
    <w:p w14:paraId="1A7616C1">
      <w:pPr>
        <w:autoSpaceDE w:val="0"/>
        <w:autoSpaceDN w:val="0"/>
        <w:adjustRightInd w:val="0"/>
        <w:spacing w:line="420" w:lineRule="exact"/>
        <w:ind w:firstLine="640" w:firstLineChars="200"/>
        <w:jc w:val="left"/>
        <w:rPr>
          <w:rFonts w:hint="eastAsia" w:ascii="宋体" w:hAnsi="宋体" w:cs="仿宋_GB2312"/>
          <w:color w:val="auto"/>
          <w:kern w:val="0"/>
          <w:szCs w:val="21"/>
        </w:rPr>
      </w:pPr>
      <w:r>
        <w:rPr>
          <w:rFonts w:hint="eastAsia" w:ascii="宋体" w:hAnsi="宋体"/>
          <w:color w:val="auto"/>
          <w:sz w:val="32"/>
          <w:szCs w:val="32"/>
        </w:rPr>
        <w:br w:type="page"/>
      </w:r>
      <w:r>
        <w:rPr>
          <w:rFonts w:hint="eastAsia" w:ascii="宋体" w:hAnsi="宋体" w:cs="仿宋_GB2312"/>
          <w:b/>
          <w:bCs/>
          <w:color w:val="auto"/>
          <w:kern w:val="0"/>
          <w:szCs w:val="21"/>
        </w:rPr>
        <w:t>附件2：</w:t>
      </w:r>
    </w:p>
    <w:p w14:paraId="3873B661">
      <w:pPr>
        <w:autoSpaceDE w:val="0"/>
        <w:autoSpaceDN w:val="0"/>
        <w:adjustRightInd w:val="0"/>
        <w:spacing w:line="420" w:lineRule="exact"/>
        <w:ind w:firstLine="420" w:firstLineChars="200"/>
        <w:jc w:val="left"/>
        <w:rPr>
          <w:rFonts w:hint="eastAsia" w:ascii="宋体" w:hAnsi="宋体" w:cs="仿宋_GB2312"/>
          <w:color w:val="auto"/>
          <w:kern w:val="0"/>
          <w:szCs w:val="21"/>
        </w:rPr>
      </w:pPr>
    </w:p>
    <w:p w14:paraId="702945A0">
      <w:pPr>
        <w:autoSpaceDE w:val="0"/>
        <w:autoSpaceDN w:val="0"/>
        <w:adjustRightInd w:val="0"/>
        <w:spacing w:line="420" w:lineRule="exact"/>
        <w:ind w:firstLine="562" w:firstLineChars="200"/>
        <w:jc w:val="center"/>
        <w:rPr>
          <w:rFonts w:hint="eastAsia" w:ascii="宋体" w:hAnsi="宋体" w:cs="仿宋_GB2312"/>
          <w:b/>
          <w:bCs/>
          <w:color w:val="auto"/>
          <w:kern w:val="0"/>
          <w:sz w:val="28"/>
          <w:szCs w:val="28"/>
        </w:rPr>
      </w:pPr>
      <w:r>
        <w:rPr>
          <w:rFonts w:hint="eastAsia" w:ascii="宋体" w:hAnsi="宋体" w:cs="仿宋_GB2312"/>
          <w:b/>
          <w:bCs/>
          <w:color w:val="auto"/>
          <w:kern w:val="0"/>
          <w:sz w:val="28"/>
          <w:szCs w:val="28"/>
        </w:rPr>
        <w:t>河南省政府采购合同融资政策告知函</w:t>
      </w:r>
    </w:p>
    <w:p w14:paraId="290BBC09">
      <w:pPr>
        <w:autoSpaceDE w:val="0"/>
        <w:autoSpaceDN w:val="0"/>
        <w:adjustRightInd w:val="0"/>
        <w:spacing w:line="420" w:lineRule="exact"/>
        <w:ind w:firstLine="420" w:firstLineChars="200"/>
        <w:jc w:val="left"/>
        <w:rPr>
          <w:rFonts w:hint="eastAsia" w:ascii="宋体" w:hAnsi="宋体" w:cs="仿宋_GB2312"/>
          <w:color w:val="auto"/>
          <w:kern w:val="0"/>
          <w:szCs w:val="21"/>
        </w:rPr>
      </w:pPr>
      <w:r>
        <w:rPr>
          <w:rFonts w:hint="eastAsia" w:ascii="宋体" w:hAnsi="宋体" w:cs="仿宋_GB2312"/>
          <w:color w:val="auto"/>
          <w:kern w:val="0"/>
          <w:szCs w:val="21"/>
        </w:rPr>
        <w:t> </w:t>
      </w:r>
    </w:p>
    <w:p w14:paraId="5C2BF9C0">
      <w:pPr>
        <w:autoSpaceDE w:val="0"/>
        <w:autoSpaceDN w:val="0"/>
        <w:adjustRightInd w:val="0"/>
        <w:spacing w:line="420" w:lineRule="exact"/>
        <w:ind w:firstLine="420" w:firstLineChars="200"/>
        <w:jc w:val="left"/>
        <w:rPr>
          <w:rFonts w:hint="eastAsia" w:ascii="宋体" w:hAnsi="宋体" w:cs="仿宋_GB2312"/>
          <w:color w:val="auto"/>
          <w:kern w:val="0"/>
          <w:szCs w:val="21"/>
        </w:rPr>
      </w:pPr>
      <w:r>
        <w:rPr>
          <w:rFonts w:hint="eastAsia" w:ascii="宋体" w:hAnsi="宋体" w:cs="仿宋_GB2312"/>
          <w:color w:val="auto"/>
          <w:kern w:val="0"/>
          <w:szCs w:val="21"/>
        </w:rPr>
        <w:t>各供应商：</w:t>
      </w:r>
    </w:p>
    <w:p w14:paraId="329D2DD8">
      <w:pPr>
        <w:autoSpaceDE w:val="0"/>
        <w:autoSpaceDN w:val="0"/>
        <w:adjustRightInd w:val="0"/>
        <w:spacing w:line="420" w:lineRule="exact"/>
        <w:ind w:firstLine="420" w:firstLineChars="200"/>
        <w:jc w:val="left"/>
        <w:rPr>
          <w:rFonts w:hint="eastAsia" w:ascii="宋体" w:hAnsi="宋体" w:cs="仿宋_GB2312"/>
          <w:color w:val="auto"/>
          <w:kern w:val="0"/>
          <w:szCs w:val="21"/>
        </w:rPr>
      </w:pPr>
      <w:r>
        <w:rPr>
          <w:rFonts w:hint="eastAsia" w:ascii="宋体" w:hAnsi="宋体" w:cs="仿宋_GB2312"/>
          <w:color w:val="auto"/>
          <w:kern w:val="0"/>
          <w:szCs w:val="21"/>
        </w:rPr>
        <w:t>欢迎贵公司参与河南省政府采购活动！</w:t>
      </w:r>
    </w:p>
    <w:p w14:paraId="14E938BC">
      <w:pPr>
        <w:autoSpaceDE w:val="0"/>
        <w:autoSpaceDN w:val="0"/>
        <w:adjustRightInd w:val="0"/>
        <w:spacing w:line="420" w:lineRule="exact"/>
        <w:ind w:firstLine="420" w:firstLineChars="200"/>
        <w:jc w:val="left"/>
        <w:rPr>
          <w:rFonts w:hint="eastAsia" w:ascii="宋体" w:hAnsi="宋体" w:cs="仿宋_GB2312"/>
          <w:color w:val="auto"/>
          <w:kern w:val="0"/>
          <w:szCs w:val="21"/>
        </w:rPr>
      </w:pPr>
      <w:r>
        <w:rPr>
          <w:rFonts w:hint="eastAsia" w:ascii="宋体" w:hAnsi="宋体" w:cs="仿宋_GB2312"/>
          <w:color w:val="auto"/>
          <w:kern w:val="0"/>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73A05317">
      <w:pPr>
        <w:autoSpaceDE w:val="0"/>
        <w:autoSpaceDN w:val="0"/>
        <w:adjustRightInd w:val="0"/>
        <w:spacing w:line="420" w:lineRule="exact"/>
        <w:ind w:firstLine="420" w:firstLineChars="200"/>
        <w:jc w:val="left"/>
        <w:rPr>
          <w:rFonts w:hint="eastAsia" w:ascii="宋体" w:hAnsi="宋体" w:cs="仿宋_GB2312"/>
          <w:color w:val="auto"/>
          <w:kern w:val="0"/>
          <w:szCs w:val="21"/>
        </w:rPr>
      </w:pPr>
      <w:r>
        <w:rPr>
          <w:rFonts w:hint="eastAsia" w:ascii="宋体" w:hAnsi="宋体" w:cs="仿宋_GB2312"/>
          <w:color w:val="auto"/>
          <w:kern w:val="0"/>
          <w:szCs w:val="21"/>
        </w:rPr>
        <w:t>贷款渠道和提供贷款的金融机构，可在河南省政府采购网“河南省政府采购合同融资平台”查询联系。</w:t>
      </w:r>
    </w:p>
    <w:p w14:paraId="36B516B6">
      <w:pPr>
        <w:autoSpaceDE w:val="0"/>
        <w:autoSpaceDN w:val="0"/>
        <w:adjustRightInd w:val="0"/>
        <w:spacing w:line="420" w:lineRule="exact"/>
        <w:ind w:firstLine="420" w:firstLineChars="200"/>
        <w:jc w:val="left"/>
        <w:rPr>
          <w:rFonts w:hint="eastAsia" w:ascii="宋体" w:hAnsi="宋体" w:cs="仿宋_GB2312"/>
          <w:color w:val="auto"/>
          <w:kern w:val="0"/>
          <w:szCs w:val="21"/>
        </w:rPr>
      </w:pPr>
    </w:p>
    <w:p w14:paraId="5622C533">
      <w:pPr>
        <w:pStyle w:val="27"/>
        <w:rPr>
          <w:rFonts w:hint="eastAsia" w:ascii="宋体" w:hAnsi="宋体" w:cs="仿宋_GB2312"/>
          <w:color w:val="auto"/>
          <w:kern w:val="0"/>
          <w:szCs w:val="21"/>
        </w:rPr>
      </w:pPr>
    </w:p>
    <w:p w14:paraId="356F5945">
      <w:pPr>
        <w:pStyle w:val="2"/>
        <w:rPr>
          <w:rFonts w:hint="eastAsia"/>
          <w:color w:val="auto"/>
        </w:rPr>
      </w:pPr>
      <w:r>
        <w:rPr>
          <w:rFonts w:hint="eastAsia" w:ascii="宋体" w:hAnsi="宋体"/>
          <w:color w:val="auto"/>
          <w:szCs w:val="32"/>
        </w:rPr>
        <w:br w:type="page"/>
      </w:r>
      <w:bookmarkStart w:id="331" w:name="_Toc3931"/>
      <w:bookmarkStart w:id="332" w:name="_Toc19667"/>
      <w:r>
        <w:rPr>
          <w:rStyle w:val="39"/>
          <w:rFonts w:hint="eastAsia"/>
          <w:b/>
          <w:color w:val="auto"/>
          <w:szCs w:val="22"/>
        </w:rPr>
        <w:t>第三章  资格审查</w:t>
      </w:r>
      <w:bookmarkEnd w:id="331"/>
      <w:bookmarkEnd w:id="332"/>
    </w:p>
    <w:p w14:paraId="04CC0E90">
      <w:pPr>
        <w:pStyle w:val="4"/>
        <w:ind w:left="482"/>
        <w:jc w:val="center"/>
        <w:rPr>
          <w:rFonts w:hint="eastAsia"/>
          <w:color w:val="auto"/>
          <w:sz w:val="24"/>
          <w:szCs w:val="24"/>
        </w:rPr>
      </w:pPr>
      <w:bookmarkStart w:id="333" w:name="_Toc16729"/>
      <w:bookmarkStart w:id="334" w:name="_Toc27033"/>
      <w:bookmarkStart w:id="335" w:name="_Toc11714"/>
      <w:bookmarkStart w:id="336" w:name="_Toc12421"/>
      <w:bookmarkStart w:id="337" w:name="_Toc28519"/>
      <w:bookmarkStart w:id="338" w:name="_Toc6735"/>
      <w:bookmarkStart w:id="339" w:name="_Toc21173"/>
      <w:bookmarkStart w:id="340" w:name="_Toc30398"/>
      <w:bookmarkStart w:id="341" w:name="_Toc27205"/>
      <w:bookmarkStart w:id="342" w:name="_Toc13197"/>
      <w:r>
        <w:rPr>
          <w:rFonts w:hint="eastAsia"/>
          <w:color w:val="auto"/>
          <w:sz w:val="24"/>
          <w:szCs w:val="24"/>
        </w:rPr>
        <w:t>资格审查前附表</w:t>
      </w:r>
      <w:bookmarkEnd w:id="333"/>
      <w:bookmarkEnd w:id="334"/>
      <w:bookmarkEnd w:id="335"/>
      <w:bookmarkEnd w:id="336"/>
      <w:bookmarkEnd w:id="337"/>
      <w:bookmarkEnd w:id="338"/>
      <w:bookmarkEnd w:id="339"/>
      <w:bookmarkEnd w:id="340"/>
      <w:bookmarkEnd w:id="341"/>
      <w:bookmarkEnd w:id="342"/>
    </w:p>
    <w:tbl>
      <w:tblPr>
        <w:tblStyle w:val="29"/>
        <w:tblpPr w:leftFromText="180" w:rightFromText="180" w:vertAnchor="text" w:horzAnchor="page" w:tblpX="1366" w:tblpY="232"/>
        <w:tblOverlap w:val="never"/>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3282"/>
        <w:gridCol w:w="5146"/>
      </w:tblGrid>
      <w:tr w14:paraId="3716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exact"/>
        </w:trPr>
        <w:tc>
          <w:tcPr>
            <w:tcW w:w="972" w:type="dxa"/>
            <w:noWrap w:val="0"/>
            <w:vAlign w:val="center"/>
          </w:tcPr>
          <w:p w14:paraId="6ACCBB1E">
            <w:pPr>
              <w:widowControl/>
              <w:jc w:val="center"/>
              <w:rPr>
                <w:rFonts w:hint="eastAsia" w:ascii="宋体" w:hAnsi="宋体" w:cs="宋体"/>
                <w:color w:val="auto"/>
                <w:kern w:val="0"/>
                <w:szCs w:val="21"/>
              </w:rPr>
            </w:pPr>
            <w:r>
              <w:rPr>
                <w:rFonts w:hint="eastAsia" w:ascii="宋体" w:hAnsi="宋体" w:cs="宋体"/>
                <w:color w:val="auto"/>
                <w:kern w:val="0"/>
                <w:szCs w:val="21"/>
              </w:rPr>
              <w:t>条款</w:t>
            </w:r>
          </w:p>
        </w:tc>
        <w:tc>
          <w:tcPr>
            <w:tcW w:w="3282" w:type="dxa"/>
            <w:noWrap w:val="0"/>
            <w:vAlign w:val="center"/>
          </w:tcPr>
          <w:p w14:paraId="195EDF9F">
            <w:pPr>
              <w:widowControl/>
              <w:jc w:val="center"/>
              <w:rPr>
                <w:rFonts w:hint="eastAsia" w:ascii="宋体" w:hAnsi="宋体" w:cs="宋体"/>
                <w:color w:val="auto"/>
                <w:kern w:val="0"/>
                <w:szCs w:val="21"/>
              </w:rPr>
            </w:pPr>
            <w:r>
              <w:rPr>
                <w:rFonts w:hint="eastAsia" w:ascii="宋体" w:hAnsi="宋体" w:cs="宋体"/>
                <w:color w:val="auto"/>
                <w:kern w:val="0"/>
                <w:szCs w:val="21"/>
              </w:rPr>
              <w:t>评审因素</w:t>
            </w:r>
          </w:p>
        </w:tc>
        <w:tc>
          <w:tcPr>
            <w:tcW w:w="5146" w:type="dxa"/>
            <w:noWrap w:val="0"/>
            <w:vAlign w:val="center"/>
          </w:tcPr>
          <w:p w14:paraId="3F0E71D0">
            <w:pPr>
              <w:widowControl/>
              <w:jc w:val="center"/>
              <w:rPr>
                <w:rFonts w:hint="eastAsia" w:ascii="宋体" w:hAnsi="宋体" w:cs="宋体"/>
                <w:color w:val="auto"/>
                <w:kern w:val="0"/>
                <w:szCs w:val="21"/>
              </w:rPr>
            </w:pPr>
            <w:r>
              <w:rPr>
                <w:rFonts w:hint="eastAsia" w:ascii="宋体" w:hAnsi="宋体" w:cs="宋体"/>
                <w:color w:val="auto"/>
                <w:kern w:val="0"/>
                <w:szCs w:val="21"/>
              </w:rPr>
              <w:t>评审标准</w:t>
            </w:r>
          </w:p>
        </w:tc>
      </w:tr>
      <w:tr w14:paraId="24EA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trPr>
        <w:tc>
          <w:tcPr>
            <w:tcW w:w="972" w:type="dxa"/>
            <w:vMerge w:val="restart"/>
            <w:noWrap w:val="0"/>
            <w:vAlign w:val="center"/>
          </w:tcPr>
          <w:p w14:paraId="26516011">
            <w:pPr>
              <w:widowControl/>
              <w:jc w:val="center"/>
              <w:rPr>
                <w:rFonts w:hint="eastAsia" w:ascii="宋体" w:hAnsi="宋体" w:cs="宋体"/>
                <w:color w:val="auto"/>
                <w:kern w:val="0"/>
                <w:szCs w:val="21"/>
              </w:rPr>
            </w:pPr>
            <w:r>
              <w:rPr>
                <w:rFonts w:hint="eastAsia" w:ascii="宋体" w:hAnsi="宋体" w:cs="宋体"/>
                <w:color w:val="auto"/>
                <w:szCs w:val="21"/>
              </w:rPr>
              <w:t>资格审查</w:t>
            </w:r>
            <w:r>
              <w:rPr>
                <w:rFonts w:hint="eastAsia" w:ascii="宋体" w:hAnsi="宋体" w:cs="宋体"/>
                <w:color w:val="auto"/>
                <w:kern w:val="0"/>
                <w:szCs w:val="21"/>
              </w:rPr>
              <w:t>标准</w:t>
            </w:r>
          </w:p>
        </w:tc>
        <w:tc>
          <w:tcPr>
            <w:tcW w:w="3282" w:type="dxa"/>
            <w:noWrap w:val="0"/>
            <w:vAlign w:val="center"/>
          </w:tcPr>
          <w:p w14:paraId="3D49A7B0">
            <w:pPr>
              <w:widowControl/>
              <w:jc w:val="center"/>
              <w:rPr>
                <w:rFonts w:hint="eastAsia" w:ascii="宋体" w:hAnsi="宋体" w:cs="宋体"/>
                <w:color w:val="auto"/>
                <w:kern w:val="0"/>
                <w:szCs w:val="21"/>
              </w:rPr>
            </w:pPr>
            <w:r>
              <w:rPr>
                <w:rFonts w:hint="eastAsia" w:ascii="宋体" w:hAnsi="宋体" w:cs="宋体"/>
                <w:color w:val="auto"/>
                <w:kern w:val="0"/>
                <w:szCs w:val="21"/>
              </w:rPr>
              <w:t>投标人名称</w:t>
            </w:r>
          </w:p>
        </w:tc>
        <w:tc>
          <w:tcPr>
            <w:tcW w:w="5146" w:type="dxa"/>
            <w:noWrap w:val="0"/>
            <w:vAlign w:val="center"/>
          </w:tcPr>
          <w:p w14:paraId="0F1A8482">
            <w:pPr>
              <w:widowControl/>
              <w:jc w:val="center"/>
              <w:rPr>
                <w:rFonts w:hint="eastAsia" w:ascii="宋体" w:hAnsi="宋体" w:cs="宋体"/>
                <w:color w:val="auto"/>
                <w:kern w:val="0"/>
                <w:szCs w:val="21"/>
              </w:rPr>
            </w:pPr>
            <w:r>
              <w:rPr>
                <w:rFonts w:hint="eastAsia" w:ascii="宋体" w:hAnsi="宋体" w:cs="宋体"/>
                <w:color w:val="auto"/>
                <w:kern w:val="0"/>
                <w:szCs w:val="21"/>
              </w:rPr>
              <w:t>与营业执照（如有）一致</w:t>
            </w:r>
          </w:p>
        </w:tc>
      </w:tr>
      <w:tr w14:paraId="699D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exact"/>
        </w:trPr>
        <w:tc>
          <w:tcPr>
            <w:tcW w:w="972" w:type="dxa"/>
            <w:vMerge w:val="continue"/>
            <w:noWrap w:val="0"/>
            <w:vAlign w:val="center"/>
          </w:tcPr>
          <w:p w14:paraId="0A2D2140">
            <w:pPr>
              <w:widowControl/>
              <w:jc w:val="center"/>
              <w:rPr>
                <w:rFonts w:hint="eastAsia" w:ascii="宋体" w:hAnsi="宋体" w:cs="宋体"/>
                <w:color w:val="auto"/>
                <w:kern w:val="0"/>
                <w:szCs w:val="21"/>
              </w:rPr>
            </w:pPr>
          </w:p>
        </w:tc>
        <w:tc>
          <w:tcPr>
            <w:tcW w:w="3282" w:type="dxa"/>
            <w:noWrap w:val="0"/>
            <w:vAlign w:val="center"/>
          </w:tcPr>
          <w:p w14:paraId="401EC735">
            <w:pPr>
              <w:widowControl/>
              <w:jc w:val="center"/>
              <w:rPr>
                <w:rFonts w:hint="eastAsia" w:ascii="宋体" w:hAnsi="宋体" w:cs="宋体"/>
                <w:color w:val="auto"/>
                <w:kern w:val="0"/>
                <w:szCs w:val="21"/>
              </w:rPr>
            </w:pPr>
            <w:r>
              <w:rPr>
                <w:rFonts w:hint="eastAsia" w:ascii="宋体" w:hAnsi="宋体" w:cs="宋体"/>
                <w:color w:val="auto"/>
                <w:kern w:val="0"/>
                <w:szCs w:val="21"/>
              </w:rPr>
              <w:t>营业执照</w:t>
            </w:r>
            <w:r>
              <w:rPr>
                <w:rFonts w:hint="eastAsia" w:cs="宋体"/>
                <w:color w:val="auto"/>
                <w:kern w:val="0"/>
                <w:szCs w:val="21"/>
              </w:rPr>
              <w:t>或其他证明材料</w:t>
            </w:r>
          </w:p>
        </w:tc>
        <w:tc>
          <w:tcPr>
            <w:tcW w:w="5146" w:type="dxa"/>
            <w:noWrap w:val="0"/>
            <w:vAlign w:val="center"/>
          </w:tcPr>
          <w:p w14:paraId="235B6AAF">
            <w:pPr>
              <w:widowControl/>
              <w:jc w:val="center"/>
              <w:rPr>
                <w:rFonts w:hint="eastAsia" w:ascii="宋体" w:hAnsi="宋体" w:cs="宋体"/>
                <w:color w:val="auto"/>
                <w:kern w:val="0"/>
                <w:szCs w:val="21"/>
              </w:rPr>
            </w:pPr>
            <w:r>
              <w:rPr>
                <w:rFonts w:hint="eastAsia" w:ascii="宋体" w:hAnsi="宋体" w:cs="宋体"/>
                <w:color w:val="auto"/>
                <w:kern w:val="0"/>
                <w:szCs w:val="21"/>
              </w:rPr>
              <w:t>具备有效的营业执照</w:t>
            </w:r>
            <w:r>
              <w:rPr>
                <w:rFonts w:hint="eastAsia" w:cs="宋体"/>
                <w:color w:val="auto"/>
                <w:kern w:val="0"/>
                <w:szCs w:val="21"/>
              </w:rPr>
              <w:t>或其他证明材料</w:t>
            </w:r>
          </w:p>
        </w:tc>
      </w:tr>
      <w:tr w14:paraId="647B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trPr>
        <w:tc>
          <w:tcPr>
            <w:tcW w:w="972" w:type="dxa"/>
            <w:vMerge w:val="continue"/>
            <w:noWrap w:val="0"/>
            <w:vAlign w:val="center"/>
          </w:tcPr>
          <w:p w14:paraId="686DC3A6">
            <w:pPr>
              <w:widowControl/>
              <w:jc w:val="center"/>
              <w:rPr>
                <w:rFonts w:hint="eastAsia" w:ascii="宋体" w:hAnsi="宋体" w:cs="宋体"/>
                <w:color w:val="auto"/>
                <w:kern w:val="0"/>
                <w:szCs w:val="21"/>
              </w:rPr>
            </w:pPr>
          </w:p>
        </w:tc>
        <w:tc>
          <w:tcPr>
            <w:tcW w:w="3282" w:type="dxa"/>
            <w:noWrap w:val="0"/>
            <w:vAlign w:val="center"/>
          </w:tcPr>
          <w:p w14:paraId="62372444">
            <w:pPr>
              <w:widowControl/>
              <w:jc w:val="center"/>
              <w:rPr>
                <w:rFonts w:hint="eastAsia" w:ascii="宋体" w:hAnsi="宋体" w:cs="宋体"/>
                <w:color w:val="auto"/>
                <w:kern w:val="0"/>
                <w:szCs w:val="21"/>
              </w:rPr>
            </w:pPr>
            <w:r>
              <w:rPr>
                <w:rFonts w:hint="eastAsia" w:ascii="宋体" w:hAnsi="宋体" w:cs="宋体"/>
                <w:color w:val="auto"/>
                <w:kern w:val="0"/>
                <w:szCs w:val="21"/>
              </w:rPr>
              <w:t>信用记录</w:t>
            </w:r>
          </w:p>
        </w:tc>
        <w:tc>
          <w:tcPr>
            <w:tcW w:w="5146" w:type="dxa"/>
            <w:noWrap w:val="0"/>
            <w:vAlign w:val="center"/>
          </w:tcPr>
          <w:p w14:paraId="1667F912">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符合第二章“投标人须知前附表”第1.2.10项规定</w:t>
            </w:r>
          </w:p>
        </w:tc>
      </w:tr>
      <w:tr w14:paraId="2F5C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972" w:type="dxa"/>
            <w:vMerge w:val="continue"/>
            <w:noWrap w:val="0"/>
            <w:vAlign w:val="center"/>
          </w:tcPr>
          <w:p w14:paraId="2180636F">
            <w:pPr>
              <w:widowControl/>
              <w:jc w:val="center"/>
              <w:rPr>
                <w:rFonts w:hint="eastAsia" w:ascii="宋体" w:hAnsi="宋体" w:cs="宋体"/>
                <w:color w:val="auto"/>
                <w:kern w:val="0"/>
                <w:szCs w:val="21"/>
              </w:rPr>
            </w:pPr>
          </w:p>
        </w:tc>
        <w:tc>
          <w:tcPr>
            <w:tcW w:w="3282" w:type="dxa"/>
            <w:noWrap w:val="0"/>
            <w:vAlign w:val="center"/>
          </w:tcPr>
          <w:p w14:paraId="4F0A35DA">
            <w:pPr>
              <w:widowControl/>
              <w:jc w:val="center"/>
              <w:rPr>
                <w:rFonts w:hint="eastAsia" w:ascii="宋体" w:hAnsi="宋体" w:cs="宋体"/>
                <w:color w:val="auto"/>
                <w:kern w:val="0"/>
                <w:szCs w:val="21"/>
              </w:rPr>
            </w:pPr>
            <w:r>
              <w:rPr>
                <w:rFonts w:hint="eastAsia" w:ascii="宋体" w:hAnsi="宋体" w:cs="宋体"/>
                <w:color w:val="auto"/>
                <w:kern w:val="0"/>
                <w:szCs w:val="21"/>
              </w:rPr>
              <w:t>财务报告</w:t>
            </w:r>
          </w:p>
        </w:tc>
        <w:tc>
          <w:tcPr>
            <w:tcW w:w="5146" w:type="dxa"/>
            <w:noWrap w:val="0"/>
            <w:vAlign w:val="center"/>
          </w:tcPr>
          <w:p w14:paraId="06737791">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符合第二章“投标人须知前附表”第1.2.10项规定</w:t>
            </w:r>
          </w:p>
        </w:tc>
      </w:tr>
      <w:tr w14:paraId="07F0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trPr>
        <w:tc>
          <w:tcPr>
            <w:tcW w:w="972" w:type="dxa"/>
            <w:vMerge w:val="continue"/>
            <w:noWrap w:val="0"/>
            <w:vAlign w:val="center"/>
          </w:tcPr>
          <w:p w14:paraId="195C56DD">
            <w:pPr>
              <w:widowControl/>
              <w:jc w:val="center"/>
              <w:rPr>
                <w:rFonts w:hint="eastAsia" w:ascii="宋体" w:hAnsi="宋体" w:cs="宋体"/>
                <w:color w:val="auto"/>
                <w:kern w:val="0"/>
                <w:szCs w:val="21"/>
              </w:rPr>
            </w:pPr>
          </w:p>
        </w:tc>
        <w:tc>
          <w:tcPr>
            <w:tcW w:w="3282" w:type="dxa"/>
            <w:noWrap w:val="0"/>
            <w:vAlign w:val="center"/>
          </w:tcPr>
          <w:p w14:paraId="756069D8">
            <w:pPr>
              <w:widowControl/>
              <w:jc w:val="center"/>
              <w:rPr>
                <w:rFonts w:hint="eastAsia" w:ascii="宋体" w:hAnsi="宋体" w:cs="宋体"/>
                <w:color w:val="auto"/>
                <w:kern w:val="0"/>
                <w:szCs w:val="21"/>
              </w:rPr>
            </w:pPr>
            <w:r>
              <w:rPr>
                <w:rFonts w:hint="eastAsia" w:ascii="宋体" w:hAnsi="宋体" w:cs="宋体"/>
                <w:color w:val="auto"/>
                <w:kern w:val="0"/>
                <w:szCs w:val="21"/>
              </w:rPr>
              <w:t>纳税要求</w:t>
            </w:r>
          </w:p>
        </w:tc>
        <w:tc>
          <w:tcPr>
            <w:tcW w:w="5146" w:type="dxa"/>
            <w:noWrap w:val="0"/>
            <w:vAlign w:val="center"/>
          </w:tcPr>
          <w:p w14:paraId="7A080D54">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符合第二章“投标人须知前附表”第1.2.10项规定</w:t>
            </w:r>
          </w:p>
        </w:tc>
      </w:tr>
      <w:tr w14:paraId="58E6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trPr>
        <w:tc>
          <w:tcPr>
            <w:tcW w:w="972" w:type="dxa"/>
            <w:vMerge w:val="continue"/>
            <w:noWrap w:val="0"/>
            <w:vAlign w:val="center"/>
          </w:tcPr>
          <w:p w14:paraId="6DCC8995">
            <w:pPr>
              <w:widowControl/>
              <w:jc w:val="center"/>
              <w:rPr>
                <w:rFonts w:hint="eastAsia" w:ascii="宋体" w:hAnsi="宋体" w:cs="宋体"/>
                <w:color w:val="auto"/>
                <w:kern w:val="0"/>
                <w:szCs w:val="21"/>
              </w:rPr>
            </w:pPr>
          </w:p>
        </w:tc>
        <w:tc>
          <w:tcPr>
            <w:tcW w:w="3282" w:type="dxa"/>
            <w:noWrap w:val="0"/>
            <w:vAlign w:val="center"/>
          </w:tcPr>
          <w:p w14:paraId="076B6997">
            <w:pPr>
              <w:widowControl/>
              <w:jc w:val="center"/>
              <w:rPr>
                <w:rFonts w:hint="eastAsia" w:ascii="宋体" w:hAnsi="宋体" w:cs="宋体"/>
                <w:color w:val="auto"/>
                <w:kern w:val="0"/>
                <w:szCs w:val="21"/>
              </w:rPr>
            </w:pPr>
            <w:r>
              <w:rPr>
                <w:rFonts w:hint="eastAsia" w:ascii="宋体" w:hAnsi="宋体" w:cs="宋体"/>
                <w:color w:val="auto"/>
                <w:kern w:val="0"/>
                <w:szCs w:val="21"/>
              </w:rPr>
              <w:t>社会保险要求</w:t>
            </w:r>
          </w:p>
        </w:tc>
        <w:tc>
          <w:tcPr>
            <w:tcW w:w="5146" w:type="dxa"/>
            <w:noWrap w:val="0"/>
            <w:vAlign w:val="center"/>
          </w:tcPr>
          <w:p w14:paraId="1358DF5A">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符合第二章“投标人须知前附表”第1.2.10项规定</w:t>
            </w:r>
          </w:p>
        </w:tc>
      </w:tr>
      <w:tr w14:paraId="671C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exact"/>
        </w:trPr>
        <w:tc>
          <w:tcPr>
            <w:tcW w:w="972" w:type="dxa"/>
            <w:vMerge w:val="continue"/>
            <w:noWrap w:val="0"/>
            <w:vAlign w:val="center"/>
          </w:tcPr>
          <w:p w14:paraId="72847281">
            <w:pPr>
              <w:widowControl/>
              <w:jc w:val="center"/>
              <w:rPr>
                <w:rFonts w:hint="eastAsia" w:ascii="宋体" w:hAnsi="宋体" w:cs="宋体"/>
                <w:color w:val="auto"/>
                <w:kern w:val="0"/>
                <w:szCs w:val="21"/>
              </w:rPr>
            </w:pPr>
          </w:p>
        </w:tc>
        <w:tc>
          <w:tcPr>
            <w:tcW w:w="3282" w:type="dxa"/>
            <w:noWrap w:val="0"/>
            <w:vAlign w:val="center"/>
          </w:tcPr>
          <w:p w14:paraId="7C07DAA1">
            <w:pPr>
              <w:widowControl/>
              <w:jc w:val="center"/>
              <w:rPr>
                <w:rFonts w:hint="eastAsia" w:ascii="宋体" w:hAnsi="宋体" w:cs="宋体"/>
                <w:color w:val="auto"/>
                <w:kern w:val="0"/>
                <w:szCs w:val="21"/>
              </w:rPr>
            </w:pPr>
            <w:r>
              <w:rPr>
                <w:rFonts w:hint="eastAsia" w:ascii="宋体" w:hAnsi="宋体" w:cs="宋体"/>
                <w:color w:val="auto"/>
                <w:kern w:val="0"/>
                <w:szCs w:val="21"/>
              </w:rPr>
              <w:t>具有履行合同所必需的设备和专业技术能力</w:t>
            </w:r>
          </w:p>
        </w:tc>
        <w:tc>
          <w:tcPr>
            <w:tcW w:w="5146" w:type="dxa"/>
            <w:noWrap w:val="0"/>
            <w:vAlign w:val="center"/>
          </w:tcPr>
          <w:p w14:paraId="5952A8F9">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符合第二章“投标人须知前附表”第1.2.10项规定</w:t>
            </w:r>
          </w:p>
        </w:tc>
      </w:tr>
      <w:tr w14:paraId="160A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exact"/>
        </w:trPr>
        <w:tc>
          <w:tcPr>
            <w:tcW w:w="972" w:type="dxa"/>
            <w:vMerge w:val="continue"/>
            <w:noWrap w:val="0"/>
            <w:vAlign w:val="center"/>
          </w:tcPr>
          <w:p w14:paraId="76A47F05">
            <w:pPr>
              <w:widowControl/>
              <w:jc w:val="center"/>
              <w:rPr>
                <w:rFonts w:hint="eastAsia" w:ascii="宋体" w:hAnsi="宋体" w:cs="宋体"/>
                <w:color w:val="auto"/>
                <w:kern w:val="0"/>
                <w:szCs w:val="21"/>
              </w:rPr>
            </w:pPr>
          </w:p>
        </w:tc>
        <w:tc>
          <w:tcPr>
            <w:tcW w:w="3282" w:type="dxa"/>
            <w:noWrap w:val="0"/>
            <w:vAlign w:val="center"/>
          </w:tcPr>
          <w:p w14:paraId="39009C31">
            <w:pPr>
              <w:widowControl/>
              <w:jc w:val="center"/>
              <w:rPr>
                <w:rFonts w:hint="eastAsia" w:ascii="宋体" w:hAnsi="宋体" w:cs="宋体"/>
                <w:color w:val="auto"/>
                <w:kern w:val="0"/>
                <w:szCs w:val="21"/>
              </w:rPr>
            </w:pPr>
            <w:r>
              <w:rPr>
                <w:rFonts w:hint="eastAsia" w:ascii="宋体" w:hAnsi="宋体" w:cs="宋体"/>
                <w:color w:val="auto"/>
                <w:kern w:val="0"/>
                <w:szCs w:val="21"/>
              </w:rPr>
              <w:t>参加政府采购活动前三年内，在经营活动中没有重大违法记录</w:t>
            </w:r>
          </w:p>
        </w:tc>
        <w:tc>
          <w:tcPr>
            <w:tcW w:w="5146" w:type="dxa"/>
            <w:noWrap w:val="0"/>
            <w:vAlign w:val="center"/>
          </w:tcPr>
          <w:p w14:paraId="1675383B">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符合第二章“投标人须知前附表”第1.2.10项规定</w:t>
            </w:r>
          </w:p>
        </w:tc>
      </w:tr>
      <w:tr w14:paraId="2F62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exact"/>
        </w:trPr>
        <w:tc>
          <w:tcPr>
            <w:tcW w:w="972" w:type="dxa"/>
            <w:vMerge w:val="continue"/>
            <w:noWrap w:val="0"/>
            <w:vAlign w:val="center"/>
          </w:tcPr>
          <w:p w14:paraId="265F6D35">
            <w:pPr>
              <w:widowControl/>
              <w:jc w:val="center"/>
              <w:rPr>
                <w:rFonts w:hint="eastAsia" w:ascii="宋体" w:hAnsi="宋体" w:cs="宋体"/>
                <w:color w:val="auto"/>
                <w:kern w:val="0"/>
                <w:szCs w:val="21"/>
              </w:rPr>
            </w:pPr>
          </w:p>
        </w:tc>
        <w:tc>
          <w:tcPr>
            <w:tcW w:w="3282" w:type="dxa"/>
            <w:noWrap w:val="0"/>
            <w:vAlign w:val="center"/>
          </w:tcPr>
          <w:p w14:paraId="2BFDF655">
            <w:pPr>
              <w:widowControl/>
              <w:spacing w:line="312"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《医疗器械生产许可证》</w:t>
            </w:r>
            <w:r>
              <w:rPr>
                <w:rFonts w:hint="eastAsia" w:ascii="宋体" w:hAnsi="宋体" w:cs="宋体"/>
                <w:color w:val="auto"/>
                <w:kern w:val="0"/>
                <w:szCs w:val="21"/>
                <w:highlight w:val="none"/>
                <w:lang w:val="en-US" w:eastAsia="zh-CN"/>
              </w:rPr>
              <w:t>或备案凭证</w:t>
            </w:r>
            <w:r>
              <w:rPr>
                <w:rFonts w:hint="eastAsia" w:ascii="宋体" w:hAnsi="宋体" w:cs="宋体"/>
                <w:color w:val="auto"/>
                <w:kern w:val="0"/>
                <w:szCs w:val="21"/>
                <w:highlight w:val="none"/>
              </w:rPr>
              <w:t>（制造商提供）；《</w:t>
            </w:r>
            <w:r>
              <w:rPr>
                <w:rFonts w:hint="eastAsia" w:ascii="宋体" w:hAnsi="宋体" w:cs="宋体"/>
                <w:color w:val="auto"/>
                <w:szCs w:val="21"/>
                <w:highlight w:val="none"/>
              </w:rPr>
              <w:t>医疗器械经营备案凭证</w:t>
            </w:r>
            <w:r>
              <w:rPr>
                <w:rFonts w:hint="eastAsia" w:ascii="宋体" w:hAnsi="宋体" w:cs="宋体"/>
                <w:color w:val="auto"/>
                <w:kern w:val="0"/>
                <w:szCs w:val="21"/>
                <w:highlight w:val="none"/>
              </w:rPr>
              <w:t>》或《</w:t>
            </w:r>
            <w:r>
              <w:rPr>
                <w:rFonts w:hint="eastAsia" w:ascii="宋体" w:hAnsi="宋体" w:cs="宋体"/>
                <w:color w:val="auto"/>
                <w:szCs w:val="21"/>
                <w:highlight w:val="none"/>
              </w:rPr>
              <w:t>医疗器械经营许可证</w:t>
            </w:r>
            <w:r>
              <w:rPr>
                <w:rFonts w:hint="eastAsia" w:ascii="宋体" w:hAnsi="宋体" w:cs="宋体"/>
                <w:color w:val="auto"/>
                <w:kern w:val="0"/>
                <w:szCs w:val="21"/>
                <w:highlight w:val="none"/>
              </w:rPr>
              <w:t>》（经销商提供）</w:t>
            </w:r>
          </w:p>
        </w:tc>
        <w:tc>
          <w:tcPr>
            <w:tcW w:w="5146" w:type="dxa"/>
            <w:noWrap w:val="0"/>
            <w:vAlign w:val="center"/>
          </w:tcPr>
          <w:p w14:paraId="03C39BFB">
            <w:pPr>
              <w:widowControl/>
              <w:spacing w:line="312" w:lineRule="auto"/>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符合第二章“投标人须知前附表”第1.2.10项规定</w:t>
            </w:r>
          </w:p>
        </w:tc>
      </w:tr>
      <w:tr w14:paraId="3013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trPr>
        <w:tc>
          <w:tcPr>
            <w:tcW w:w="972" w:type="dxa"/>
            <w:vMerge w:val="continue"/>
            <w:noWrap w:val="0"/>
            <w:vAlign w:val="center"/>
          </w:tcPr>
          <w:p w14:paraId="473EBF51">
            <w:pPr>
              <w:widowControl/>
              <w:jc w:val="center"/>
              <w:rPr>
                <w:rFonts w:hint="eastAsia" w:ascii="宋体" w:hAnsi="宋体" w:cs="宋体"/>
                <w:color w:val="auto"/>
                <w:kern w:val="0"/>
                <w:szCs w:val="21"/>
              </w:rPr>
            </w:pPr>
          </w:p>
        </w:tc>
        <w:tc>
          <w:tcPr>
            <w:tcW w:w="3282" w:type="dxa"/>
            <w:noWrap w:val="0"/>
            <w:vAlign w:val="center"/>
          </w:tcPr>
          <w:p w14:paraId="481B9BBA">
            <w:pPr>
              <w:widowControl/>
              <w:spacing w:line="312" w:lineRule="auto"/>
              <w:jc w:val="center"/>
              <w:rPr>
                <w:rFonts w:hint="eastAsia" w:ascii="宋体" w:hAnsi="宋体"/>
                <w:color w:val="auto"/>
                <w:szCs w:val="21"/>
                <w:highlight w:val="none"/>
              </w:rPr>
            </w:pPr>
            <w:r>
              <w:rPr>
                <w:rFonts w:hint="eastAsia" w:ascii="宋体" w:hAnsi="宋体" w:cs="宋体"/>
                <w:color w:val="auto"/>
                <w:sz w:val="21"/>
                <w:szCs w:val="21"/>
                <w:highlight w:val="none"/>
              </w:rPr>
              <w:t>医疗器械注册证</w:t>
            </w:r>
            <w:r>
              <w:rPr>
                <w:rFonts w:hint="eastAsia" w:ascii="宋体" w:hAnsi="宋体" w:cs="宋体"/>
                <w:color w:val="auto"/>
                <w:sz w:val="21"/>
                <w:szCs w:val="21"/>
                <w:highlight w:val="none"/>
                <w:lang w:eastAsia="zh-CN"/>
              </w:rPr>
              <w:t>或备案凭证</w:t>
            </w:r>
          </w:p>
        </w:tc>
        <w:tc>
          <w:tcPr>
            <w:tcW w:w="5146" w:type="dxa"/>
            <w:noWrap w:val="0"/>
            <w:vAlign w:val="center"/>
          </w:tcPr>
          <w:p w14:paraId="36124D34">
            <w:pPr>
              <w:widowControl/>
              <w:spacing w:line="312" w:lineRule="auto"/>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符合第二章“投标人须知前附表”第1.2.10项规定</w:t>
            </w:r>
          </w:p>
        </w:tc>
      </w:tr>
      <w:tr w14:paraId="1CF2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trPr>
        <w:tc>
          <w:tcPr>
            <w:tcW w:w="972" w:type="dxa"/>
            <w:vMerge w:val="continue"/>
            <w:noWrap w:val="0"/>
            <w:vAlign w:val="center"/>
          </w:tcPr>
          <w:p w14:paraId="3C100BAA">
            <w:pPr>
              <w:widowControl/>
              <w:jc w:val="center"/>
              <w:rPr>
                <w:rFonts w:hint="eastAsia" w:ascii="宋体" w:hAnsi="宋体" w:cs="宋体"/>
                <w:color w:val="auto"/>
                <w:kern w:val="0"/>
                <w:szCs w:val="21"/>
              </w:rPr>
            </w:pPr>
          </w:p>
        </w:tc>
        <w:tc>
          <w:tcPr>
            <w:tcW w:w="3282" w:type="dxa"/>
            <w:noWrap w:val="0"/>
            <w:vAlign w:val="center"/>
          </w:tcPr>
          <w:p w14:paraId="71FA5119">
            <w:pPr>
              <w:widowControl/>
              <w:spacing w:line="312" w:lineRule="auto"/>
              <w:jc w:val="center"/>
              <w:rPr>
                <w:rFonts w:ascii="宋体" w:hAnsi="宋体" w:cs="宋体"/>
                <w:color w:val="auto"/>
                <w:kern w:val="0"/>
                <w:szCs w:val="21"/>
              </w:rPr>
            </w:pPr>
            <w:r>
              <w:rPr>
                <w:rFonts w:hint="eastAsia" w:ascii="宋体" w:hAnsi="宋体" w:cs="宋体"/>
                <w:color w:val="auto"/>
                <w:kern w:val="0"/>
                <w:szCs w:val="21"/>
              </w:rPr>
              <w:t>其他要求</w:t>
            </w:r>
          </w:p>
        </w:tc>
        <w:tc>
          <w:tcPr>
            <w:tcW w:w="5146" w:type="dxa"/>
            <w:noWrap w:val="0"/>
            <w:vAlign w:val="center"/>
          </w:tcPr>
          <w:p w14:paraId="5A71BF57">
            <w:pPr>
              <w:widowControl/>
              <w:spacing w:line="312" w:lineRule="auto"/>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符合第二章“投标人须知前附表”第1.2.10项规定</w:t>
            </w:r>
          </w:p>
        </w:tc>
      </w:tr>
    </w:tbl>
    <w:p w14:paraId="6788F02A">
      <w:pPr>
        <w:rPr>
          <w:rFonts w:ascii="宋体" w:hAnsi="宋体"/>
          <w:b/>
          <w:color w:val="auto"/>
          <w:sz w:val="24"/>
        </w:rPr>
      </w:pPr>
    </w:p>
    <w:p w14:paraId="5961C5C4">
      <w:pPr>
        <w:rPr>
          <w:rFonts w:hint="eastAsia"/>
          <w:color w:val="auto"/>
        </w:rPr>
      </w:pPr>
      <w:bookmarkStart w:id="343" w:name="_Toc16607"/>
      <w:bookmarkStart w:id="344" w:name="_Toc23399"/>
      <w:bookmarkStart w:id="345" w:name="_Toc2378"/>
      <w:bookmarkStart w:id="346" w:name="_Toc25514"/>
      <w:bookmarkStart w:id="347" w:name="_Toc16266"/>
      <w:bookmarkStart w:id="348" w:name="_Toc465"/>
      <w:bookmarkStart w:id="349" w:name="_Toc21337"/>
      <w:bookmarkStart w:id="350" w:name="_Toc1301"/>
      <w:bookmarkStart w:id="351" w:name="_Toc16293"/>
      <w:bookmarkStart w:id="352" w:name="_Toc19241"/>
    </w:p>
    <w:p w14:paraId="62F67F31">
      <w:pPr>
        <w:rPr>
          <w:rFonts w:hint="eastAsia"/>
          <w:color w:val="auto"/>
        </w:rPr>
      </w:pPr>
    </w:p>
    <w:p w14:paraId="3757859C">
      <w:pPr>
        <w:pStyle w:val="4"/>
        <w:numPr>
          <w:ilvl w:val="0"/>
          <w:numId w:val="14"/>
        </w:numPr>
        <w:rPr>
          <w:rFonts w:hint="eastAsia"/>
          <w:color w:val="auto"/>
        </w:rPr>
      </w:pPr>
      <w:bookmarkStart w:id="353" w:name="_Toc15430"/>
      <w:r>
        <w:rPr>
          <w:rFonts w:hint="eastAsia"/>
          <w:color w:val="auto"/>
          <w:sz w:val="24"/>
          <w:szCs w:val="24"/>
        </w:rPr>
        <w:t>资格审查</w:t>
      </w:r>
      <w:bookmarkEnd w:id="343"/>
      <w:bookmarkEnd w:id="344"/>
      <w:bookmarkEnd w:id="345"/>
      <w:bookmarkEnd w:id="346"/>
      <w:bookmarkEnd w:id="347"/>
      <w:bookmarkEnd w:id="348"/>
      <w:bookmarkEnd w:id="349"/>
      <w:bookmarkEnd w:id="350"/>
      <w:bookmarkEnd w:id="351"/>
      <w:bookmarkEnd w:id="352"/>
      <w:bookmarkEnd w:id="353"/>
    </w:p>
    <w:p w14:paraId="550B7785">
      <w:pPr>
        <w:spacing w:line="360" w:lineRule="auto"/>
        <w:ind w:firstLine="420" w:firstLineChars="200"/>
        <w:rPr>
          <w:rFonts w:hint="eastAsia"/>
          <w:color w:val="auto"/>
        </w:rPr>
      </w:pPr>
      <w:r>
        <w:rPr>
          <w:rFonts w:hint="eastAsia"/>
          <w:color w:val="auto"/>
        </w:rPr>
        <w:t>开标结束后，采购人或者采购代理机构应当依法对投标人的资格进行审查。</w:t>
      </w:r>
    </w:p>
    <w:p w14:paraId="278D8EB6">
      <w:pPr>
        <w:pStyle w:val="4"/>
        <w:numPr>
          <w:ilvl w:val="0"/>
          <w:numId w:val="14"/>
        </w:numPr>
        <w:rPr>
          <w:rFonts w:hint="eastAsia"/>
          <w:color w:val="auto"/>
        </w:rPr>
      </w:pPr>
      <w:r>
        <w:rPr>
          <w:rFonts w:hint="eastAsia"/>
          <w:color w:val="auto"/>
        </w:rPr>
        <w:t>资格审查标准</w:t>
      </w:r>
    </w:p>
    <w:p w14:paraId="2E2A030D">
      <w:pPr>
        <w:autoSpaceDE w:val="0"/>
        <w:autoSpaceDN w:val="0"/>
        <w:adjustRightInd w:val="0"/>
        <w:spacing w:line="360" w:lineRule="auto"/>
        <w:ind w:right="-20"/>
        <w:jc w:val="left"/>
        <w:rPr>
          <w:color w:val="auto"/>
        </w:rPr>
      </w:pPr>
      <w:r>
        <w:rPr>
          <w:rFonts w:hint="eastAsia" w:ascii="宋体" w:hAnsi="宋体" w:cs="微软雅黑"/>
          <w:color w:val="auto"/>
          <w:kern w:val="0"/>
          <w:szCs w:val="21"/>
        </w:rPr>
        <w:t xml:space="preserve">    资格审查标准：见资格审查前附表。</w:t>
      </w:r>
    </w:p>
    <w:p w14:paraId="0E3FAC59">
      <w:pPr>
        <w:pStyle w:val="4"/>
        <w:numPr>
          <w:ilvl w:val="0"/>
          <w:numId w:val="14"/>
        </w:numPr>
        <w:rPr>
          <w:rFonts w:hint="eastAsia"/>
          <w:color w:val="auto"/>
        </w:rPr>
      </w:pPr>
      <w:bookmarkStart w:id="354" w:name="_Toc920"/>
      <w:bookmarkStart w:id="355" w:name="_Toc32375"/>
      <w:bookmarkStart w:id="356" w:name="_Toc10180"/>
      <w:bookmarkStart w:id="357" w:name="_Toc13549"/>
      <w:bookmarkStart w:id="358" w:name="_Toc2259"/>
      <w:bookmarkStart w:id="359" w:name="_Toc18436"/>
      <w:bookmarkStart w:id="360" w:name="_Toc19383"/>
      <w:bookmarkStart w:id="361" w:name="_Toc14072"/>
      <w:bookmarkStart w:id="362" w:name="_Toc16031"/>
      <w:bookmarkStart w:id="363" w:name="_Toc5940"/>
      <w:bookmarkStart w:id="364" w:name="_Toc2029"/>
      <w:r>
        <w:rPr>
          <w:rFonts w:hint="eastAsia"/>
          <w:color w:val="auto"/>
        </w:rPr>
        <w:t>资格审查程序</w:t>
      </w:r>
      <w:bookmarkEnd w:id="354"/>
      <w:bookmarkEnd w:id="355"/>
      <w:bookmarkEnd w:id="356"/>
      <w:bookmarkEnd w:id="357"/>
      <w:bookmarkEnd w:id="358"/>
      <w:bookmarkEnd w:id="359"/>
      <w:bookmarkEnd w:id="360"/>
      <w:bookmarkEnd w:id="361"/>
      <w:bookmarkEnd w:id="362"/>
      <w:bookmarkEnd w:id="363"/>
      <w:bookmarkEnd w:id="364"/>
    </w:p>
    <w:p w14:paraId="6D23EE81">
      <w:pPr>
        <w:autoSpaceDE w:val="0"/>
        <w:autoSpaceDN w:val="0"/>
        <w:adjustRightInd w:val="0"/>
        <w:spacing w:line="360" w:lineRule="auto"/>
        <w:ind w:right="40" w:firstLine="412" w:firstLineChars="200"/>
        <w:jc w:val="left"/>
        <w:rPr>
          <w:rFonts w:hint="eastAsia" w:ascii="宋体" w:hAnsi="宋体" w:cs="微软雅黑"/>
          <w:color w:val="auto"/>
          <w:kern w:val="0"/>
          <w:szCs w:val="21"/>
        </w:rPr>
      </w:pPr>
      <w:r>
        <w:rPr>
          <w:rFonts w:hint="eastAsia" w:ascii="宋体" w:hAnsi="宋体" w:cs="微软雅黑"/>
          <w:color w:val="auto"/>
          <w:spacing w:val="-2"/>
          <w:kern w:val="0"/>
          <w:szCs w:val="21"/>
        </w:rPr>
        <w:t>资格审查人员依</w:t>
      </w:r>
      <w:r>
        <w:rPr>
          <w:rFonts w:hint="eastAsia" w:ascii="宋体" w:hAnsi="宋体" w:cs="微软雅黑"/>
          <w:color w:val="auto"/>
          <w:kern w:val="0"/>
          <w:szCs w:val="21"/>
        </w:rPr>
        <w:t>据本</w:t>
      </w:r>
      <w:r>
        <w:rPr>
          <w:rFonts w:hint="eastAsia" w:ascii="宋体" w:hAnsi="宋体" w:cs="微软雅黑"/>
          <w:color w:val="auto"/>
          <w:spacing w:val="-2"/>
          <w:kern w:val="0"/>
          <w:szCs w:val="21"/>
        </w:rPr>
        <w:t>章</w:t>
      </w:r>
      <w:r>
        <w:rPr>
          <w:rFonts w:hint="eastAsia" w:ascii="宋体" w:hAnsi="宋体" w:cs="微软雅黑"/>
          <w:color w:val="auto"/>
          <w:kern w:val="0"/>
          <w:szCs w:val="21"/>
        </w:rPr>
        <w:t>资格审查前附表</w:t>
      </w:r>
      <w:r>
        <w:rPr>
          <w:rFonts w:hint="eastAsia" w:ascii="宋体" w:hAnsi="宋体" w:cs="微软雅黑"/>
          <w:color w:val="auto"/>
          <w:spacing w:val="-2"/>
          <w:kern w:val="0"/>
          <w:szCs w:val="21"/>
        </w:rPr>
        <w:t>规</w:t>
      </w:r>
      <w:r>
        <w:rPr>
          <w:rFonts w:hint="eastAsia" w:ascii="宋体" w:hAnsi="宋体" w:cs="微软雅黑"/>
          <w:color w:val="auto"/>
          <w:kern w:val="0"/>
          <w:szCs w:val="21"/>
        </w:rPr>
        <w:t>定</w:t>
      </w:r>
      <w:r>
        <w:rPr>
          <w:rFonts w:hint="eastAsia" w:ascii="宋体" w:hAnsi="宋体" w:cs="微软雅黑"/>
          <w:color w:val="auto"/>
          <w:spacing w:val="-2"/>
          <w:kern w:val="0"/>
          <w:szCs w:val="21"/>
        </w:rPr>
        <w:t>的标</w:t>
      </w:r>
      <w:r>
        <w:rPr>
          <w:rFonts w:hint="eastAsia" w:ascii="宋体" w:hAnsi="宋体" w:cs="微软雅黑"/>
          <w:color w:val="auto"/>
          <w:kern w:val="0"/>
          <w:szCs w:val="21"/>
        </w:rPr>
        <w:t>准对</w:t>
      </w:r>
      <w:r>
        <w:rPr>
          <w:rFonts w:hint="eastAsia" w:ascii="宋体" w:hAnsi="宋体" w:cs="微软雅黑"/>
          <w:color w:val="auto"/>
          <w:spacing w:val="-2"/>
          <w:kern w:val="0"/>
          <w:szCs w:val="21"/>
        </w:rPr>
        <w:t>投</w:t>
      </w:r>
      <w:r>
        <w:rPr>
          <w:rFonts w:hint="eastAsia" w:ascii="宋体" w:hAnsi="宋体" w:cs="微软雅黑"/>
          <w:color w:val="auto"/>
          <w:kern w:val="0"/>
          <w:szCs w:val="21"/>
        </w:rPr>
        <w:t>标</w:t>
      </w:r>
      <w:r>
        <w:rPr>
          <w:rFonts w:hint="eastAsia" w:ascii="宋体" w:hAnsi="宋体" w:cs="微软雅黑"/>
          <w:color w:val="auto"/>
          <w:spacing w:val="-2"/>
          <w:kern w:val="0"/>
          <w:szCs w:val="21"/>
        </w:rPr>
        <w:t>文</w:t>
      </w:r>
      <w:r>
        <w:rPr>
          <w:rFonts w:hint="eastAsia" w:ascii="宋体" w:hAnsi="宋体" w:cs="微软雅黑"/>
          <w:color w:val="auto"/>
          <w:kern w:val="0"/>
          <w:szCs w:val="21"/>
        </w:rPr>
        <w:t>件</w:t>
      </w:r>
      <w:r>
        <w:rPr>
          <w:rFonts w:hint="eastAsia" w:ascii="宋体" w:hAnsi="宋体" w:cs="微软雅黑"/>
          <w:color w:val="auto"/>
          <w:spacing w:val="-2"/>
          <w:kern w:val="0"/>
          <w:szCs w:val="21"/>
        </w:rPr>
        <w:t>进</w:t>
      </w:r>
      <w:r>
        <w:rPr>
          <w:rFonts w:hint="eastAsia" w:ascii="宋体" w:hAnsi="宋体" w:cs="微软雅黑"/>
          <w:color w:val="auto"/>
          <w:kern w:val="0"/>
          <w:szCs w:val="21"/>
        </w:rPr>
        <w:t>行</w:t>
      </w:r>
      <w:r>
        <w:rPr>
          <w:rFonts w:hint="eastAsia" w:ascii="宋体" w:hAnsi="宋体" w:cs="微软雅黑"/>
          <w:color w:val="auto"/>
          <w:spacing w:val="-2"/>
          <w:kern w:val="0"/>
          <w:szCs w:val="21"/>
        </w:rPr>
        <w:t>资</w:t>
      </w:r>
      <w:r>
        <w:rPr>
          <w:rFonts w:hint="eastAsia" w:ascii="宋体" w:hAnsi="宋体" w:cs="微软雅黑"/>
          <w:color w:val="auto"/>
          <w:kern w:val="0"/>
          <w:szCs w:val="21"/>
        </w:rPr>
        <w:t>格审查，以确定投标人是否具备投标资格，有一项不符合评审标准的，资格审查人员应当认定其</w:t>
      </w:r>
      <w:r>
        <w:rPr>
          <w:rFonts w:hint="eastAsia" w:ascii="宋体" w:hAnsi="宋体" w:cs="微软雅黑"/>
          <w:b/>
          <w:bCs/>
          <w:color w:val="auto"/>
          <w:kern w:val="0"/>
          <w:szCs w:val="21"/>
        </w:rPr>
        <w:t>投标无效</w:t>
      </w:r>
      <w:r>
        <w:rPr>
          <w:rFonts w:hint="eastAsia" w:ascii="宋体" w:hAnsi="宋体" w:cs="微软雅黑"/>
          <w:color w:val="auto"/>
          <w:kern w:val="0"/>
          <w:szCs w:val="21"/>
        </w:rPr>
        <w:t>，合格投标人不足3家的，不得评标。</w:t>
      </w:r>
    </w:p>
    <w:p w14:paraId="490FE767">
      <w:pPr>
        <w:pStyle w:val="27"/>
        <w:rPr>
          <w:rFonts w:hint="eastAsia"/>
          <w:color w:val="auto"/>
        </w:rPr>
      </w:pPr>
    </w:p>
    <w:p w14:paraId="119A0EF4">
      <w:pPr>
        <w:pStyle w:val="2"/>
        <w:rPr>
          <w:rStyle w:val="39"/>
          <w:rFonts w:hint="eastAsia"/>
          <w:b/>
          <w:color w:val="auto"/>
          <w:szCs w:val="22"/>
        </w:rPr>
      </w:pPr>
      <w:bookmarkStart w:id="365" w:name="_Toc21563"/>
      <w:bookmarkStart w:id="366" w:name="_Toc12137"/>
      <w:bookmarkStart w:id="367" w:name="_Toc2610"/>
      <w:bookmarkStart w:id="368" w:name="_Toc18033"/>
      <w:bookmarkStart w:id="369" w:name="_Toc19252"/>
      <w:bookmarkStart w:id="370" w:name="_Toc8280"/>
      <w:bookmarkStart w:id="371" w:name="_Toc8631"/>
      <w:bookmarkStart w:id="372" w:name="_Toc11542"/>
      <w:bookmarkStart w:id="373" w:name="_Toc23230"/>
      <w:bookmarkStart w:id="374" w:name="_Toc3310"/>
      <w:bookmarkStart w:id="375" w:name="_Toc29893"/>
      <w:bookmarkStart w:id="376" w:name="_Toc21593"/>
      <w:r>
        <w:rPr>
          <w:rFonts w:hint="eastAsia" w:ascii="宋体" w:hAnsi="宋体"/>
          <w:color w:val="auto"/>
          <w:szCs w:val="32"/>
        </w:rPr>
        <w:t>第四章  评标办法（综合评分法）</w:t>
      </w:r>
      <w:bookmarkEnd w:id="365"/>
    </w:p>
    <w:p w14:paraId="70BF2F84">
      <w:pPr>
        <w:pStyle w:val="4"/>
        <w:ind w:left="482"/>
        <w:jc w:val="center"/>
        <w:rPr>
          <w:rFonts w:hint="eastAsia"/>
          <w:color w:val="auto"/>
          <w:sz w:val="24"/>
          <w:szCs w:val="24"/>
        </w:rPr>
      </w:pPr>
      <w:bookmarkStart w:id="377" w:name="_Toc4734"/>
      <w:bookmarkStart w:id="378" w:name="_Toc16950"/>
      <w:bookmarkStart w:id="379" w:name="_Toc14114"/>
      <w:bookmarkStart w:id="380" w:name="_Toc1534"/>
      <w:bookmarkStart w:id="381" w:name="_Toc23659"/>
      <w:bookmarkStart w:id="382" w:name="_Toc6633"/>
      <w:bookmarkStart w:id="383" w:name="_Toc12415"/>
      <w:bookmarkStart w:id="384" w:name="_Toc26967"/>
      <w:bookmarkStart w:id="385" w:name="_Toc16535"/>
      <w:bookmarkStart w:id="386" w:name="_Toc22753"/>
      <w:bookmarkStart w:id="387" w:name="_Toc22649"/>
      <w:r>
        <w:rPr>
          <w:rFonts w:hint="eastAsia"/>
          <w:color w:val="auto"/>
          <w:sz w:val="24"/>
          <w:szCs w:val="24"/>
        </w:rPr>
        <w:t>评标办法前附表</w:t>
      </w:r>
      <w:bookmarkEnd w:id="377"/>
      <w:bookmarkEnd w:id="378"/>
      <w:bookmarkEnd w:id="379"/>
      <w:bookmarkEnd w:id="380"/>
      <w:bookmarkEnd w:id="381"/>
      <w:bookmarkEnd w:id="382"/>
      <w:bookmarkEnd w:id="383"/>
      <w:bookmarkEnd w:id="384"/>
      <w:bookmarkEnd w:id="385"/>
      <w:bookmarkEnd w:id="386"/>
      <w:bookmarkEnd w:id="387"/>
    </w:p>
    <w:tbl>
      <w:tblPr>
        <w:tblStyle w:val="29"/>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40"/>
        <w:gridCol w:w="850"/>
        <w:gridCol w:w="2126"/>
        <w:gridCol w:w="5245"/>
      </w:tblGrid>
      <w:tr w14:paraId="3F11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1980" w:type="dxa"/>
            <w:gridSpan w:val="3"/>
            <w:noWrap w:val="0"/>
            <w:vAlign w:val="center"/>
          </w:tcPr>
          <w:p w14:paraId="35DE9975">
            <w:pPr>
              <w:widowControl/>
              <w:jc w:val="center"/>
              <w:rPr>
                <w:rFonts w:hint="eastAsia" w:ascii="宋体" w:hAnsi="宋体" w:cs="宋体"/>
                <w:color w:val="auto"/>
                <w:szCs w:val="21"/>
              </w:rPr>
            </w:pPr>
            <w:r>
              <w:rPr>
                <w:rFonts w:hint="eastAsia" w:ascii="宋体" w:hAnsi="宋体" w:cs="宋体"/>
                <w:color w:val="auto"/>
                <w:szCs w:val="21"/>
              </w:rPr>
              <w:t>条款号</w:t>
            </w:r>
          </w:p>
        </w:tc>
        <w:tc>
          <w:tcPr>
            <w:tcW w:w="2126" w:type="dxa"/>
            <w:noWrap w:val="0"/>
            <w:vAlign w:val="center"/>
          </w:tcPr>
          <w:p w14:paraId="3EAD0E8A">
            <w:pPr>
              <w:autoSpaceDE w:val="0"/>
              <w:autoSpaceDN w:val="0"/>
              <w:adjustRightInd w:val="0"/>
              <w:spacing w:line="400" w:lineRule="exact"/>
              <w:ind w:left="38" w:leftChars="18"/>
              <w:jc w:val="center"/>
              <w:rPr>
                <w:rFonts w:hint="eastAsia" w:ascii="宋体" w:hAnsi="宋体" w:cs="宋体"/>
                <w:color w:val="auto"/>
                <w:kern w:val="0"/>
                <w:szCs w:val="21"/>
              </w:rPr>
            </w:pPr>
            <w:r>
              <w:rPr>
                <w:rFonts w:hint="eastAsia" w:ascii="宋体" w:hAnsi="宋体" w:cs="宋体"/>
                <w:color w:val="auto"/>
                <w:kern w:val="0"/>
                <w:szCs w:val="21"/>
              </w:rPr>
              <w:t>评审因素</w:t>
            </w:r>
          </w:p>
        </w:tc>
        <w:tc>
          <w:tcPr>
            <w:tcW w:w="5245" w:type="dxa"/>
            <w:noWrap w:val="0"/>
            <w:vAlign w:val="center"/>
          </w:tcPr>
          <w:p w14:paraId="51B58ED4">
            <w:pPr>
              <w:autoSpaceDE w:val="0"/>
              <w:autoSpaceDN w:val="0"/>
              <w:adjustRightInd w:val="0"/>
              <w:spacing w:line="400" w:lineRule="exact"/>
              <w:ind w:left="38" w:leftChars="18"/>
              <w:jc w:val="center"/>
              <w:rPr>
                <w:rFonts w:hint="eastAsia" w:ascii="宋体" w:hAnsi="宋体" w:cs="宋体"/>
                <w:color w:val="auto"/>
                <w:szCs w:val="21"/>
              </w:rPr>
            </w:pPr>
            <w:r>
              <w:rPr>
                <w:rFonts w:hint="eastAsia" w:ascii="宋体" w:hAnsi="宋体" w:cs="宋体"/>
                <w:color w:val="auto"/>
                <w:kern w:val="0"/>
                <w:szCs w:val="21"/>
              </w:rPr>
              <w:t>评审标准</w:t>
            </w:r>
          </w:p>
        </w:tc>
      </w:tr>
      <w:tr w14:paraId="0314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1130" w:type="dxa"/>
            <w:gridSpan w:val="2"/>
            <w:vMerge w:val="restart"/>
            <w:noWrap w:val="0"/>
            <w:vAlign w:val="center"/>
          </w:tcPr>
          <w:p w14:paraId="1B2D7D61">
            <w:pPr>
              <w:widowControl/>
              <w:jc w:val="center"/>
              <w:rPr>
                <w:rFonts w:hint="eastAsia" w:ascii="宋体" w:hAnsi="宋体" w:cs="宋体"/>
                <w:color w:val="auto"/>
                <w:kern w:val="0"/>
                <w:szCs w:val="21"/>
              </w:rPr>
            </w:pPr>
            <w:r>
              <w:rPr>
                <w:rFonts w:hint="eastAsia" w:ascii="宋体" w:hAnsi="宋体" w:cs="宋体"/>
                <w:color w:val="auto"/>
                <w:kern w:val="0"/>
                <w:szCs w:val="21"/>
              </w:rPr>
              <w:t>2.1</w:t>
            </w:r>
          </w:p>
        </w:tc>
        <w:tc>
          <w:tcPr>
            <w:tcW w:w="850" w:type="dxa"/>
            <w:vMerge w:val="restart"/>
            <w:noWrap w:val="0"/>
            <w:vAlign w:val="center"/>
          </w:tcPr>
          <w:p w14:paraId="5D7DAA61">
            <w:pPr>
              <w:widowControl/>
              <w:jc w:val="center"/>
              <w:rPr>
                <w:rFonts w:hint="eastAsia" w:ascii="宋体" w:hAnsi="宋体" w:cs="宋体"/>
                <w:color w:val="auto"/>
                <w:kern w:val="0"/>
                <w:szCs w:val="21"/>
              </w:rPr>
            </w:pPr>
            <w:r>
              <w:rPr>
                <w:rFonts w:hint="eastAsia" w:ascii="宋体" w:hAnsi="宋体" w:cs="宋体"/>
                <w:color w:val="auto"/>
                <w:szCs w:val="21"/>
              </w:rPr>
              <w:t>符合性审查</w:t>
            </w:r>
            <w:r>
              <w:rPr>
                <w:rFonts w:hint="eastAsia" w:ascii="宋体" w:hAnsi="宋体" w:cs="宋体"/>
                <w:color w:val="auto"/>
                <w:kern w:val="0"/>
                <w:szCs w:val="21"/>
              </w:rPr>
              <w:t>标准</w:t>
            </w:r>
          </w:p>
        </w:tc>
        <w:tc>
          <w:tcPr>
            <w:tcW w:w="2126" w:type="dxa"/>
            <w:noWrap w:val="0"/>
            <w:vAlign w:val="center"/>
          </w:tcPr>
          <w:p w14:paraId="0AC78687">
            <w:pPr>
              <w:widowControl/>
              <w:jc w:val="center"/>
              <w:rPr>
                <w:rFonts w:hint="eastAsia" w:ascii="宋体" w:hAnsi="宋体" w:cs="宋体"/>
                <w:color w:val="auto"/>
                <w:kern w:val="0"/>
                <w:szCs w:val="21"/>
              </w:rPr>
            </w:pPr>
            <w:r>
              <w:rPr>
                <w:rFonts w:hint="eastAsia" w:ascii="宋体" w:hAnsi="宋体" w:cs="宋体"/>
                <w:color w:val="auto"/>
                <w:kern w:val="0"/>
                <w:szCs w:val="21"/>
              </w:rPr>
              <w:t>投标文件签署、盖章</w:t>
            </w:r>
          </w:p>
        </w:tc>
        <w:tc>
          <w:tcPr>
            <w:tcW w:w="5245" w:type="dxa"/>
            <w:noWrap w:val="0"/>
            <w:vAlign w:val="center"/>
          </w:tcPr>
          <w:p w14:paraId="0B9E671E">
            <w:pPr>
              <w:widowControl/>
              <w:jc w:val="center"/>
              <w:rPr>
                <w:rFonts w:hint="eastAsia" w:ascii="宋体" w:hAnsi="宋体" w:cs="宋体"/>
                <w:color w:val="auto"/>
                <w:kern w:val="0"/>
                <w:szCs w:val="21"/>
              </w:rPr>
            </w:pPr>
            <w:r>
              <w:rPr>
                <w:rFonts w:hint="eastAsia" w:ascii="宋体" w:hAnsi="宋体" w:cs="宋体"/>
                <w:color w:val="auto"/>
                <w:szCs w:val="21"/>
              </w:rPr>
              <w:t>投标文件按招标文件要求签署、盖章的</w:t>
            </w:r>
          </w:p>
        </w:tc>
      </w:tr>
      <w:tr w14:paraId="3D83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exact"/>
          <w:jc w:val="center"/>
        </w:trPr>
        <w:tc>
          <w:tcPr>
            <w:tcW w:w="1130" w:type="dxa"/>
            <w:gridSpan w:val="2"/>
            <w:vMerge w:val="continue"/>
            <w:noWrap w:val="0"/>
            <w:vAlign w:val="center"/>
          </w:tcPr>
          <w:p w14:paraId="3EC30656">
            <w:pPr>
              <w:widowControl/>
              <w:jc w:val="center"/>
              <w:rPr>
                <w:rFonts w:hint="eastAsia" w:ascii="宋体" w:hAnsi="宋体" w:cs="宋体"/>
                <w:color w:val="auto"/>
                <w:kern w:val="0"/>
                <w:szCs w:val="21"/>
              </w:rPr>
            </w:pPr>
          </w:p>
        </w:tc>
        <w:tc>
          <w:tcPr>
            <w:tcW w:w="850" w:type="dxa"/>
            <w:vMerge w:val="continue"/>
            <w:noWrap w:val="0"/>
            <w:vAlign w:val="center"/>
          </w:tcPr>
          <w:p w14:paraId="2CE8F96F">
            <w:pPr>
              <w:widowControl/>
              <w:jc w:val="center"/>
              <w:rPr>
                <w:rFonts w:hint="eastAsia" w:ascii="宋体" w:hAnsi="宋体" w:cs="宋体"/>
                <w:color w:val="auto"/>
                <w:kern w:val="0"/>
                <w:szCs w:val="21"/>
              </w:rPr>
            </w:pPr>
          </w:p>
        </w:tc>
        <w:tc>
          <w:tcPr>
            <w:tcW w:w="2126" w:type="dxa"/>
            <w:noWrap w:val="0"/>
            <w:vAlign w:val="center"/>
          </w:tcPr>
          <w:p w14:paraId="1B7C0A96">
            <w:pPr>
              <w:widowControl/>
              <w:jc w:val="center"/>
              <w:rPr>
                <w:rFonts w:hint="eastAsia" w:ascii="宋体" w:hAnsi="宋体" w:cs="宋体"/>
                <w:color w:val="auto"/>
                <w:kern w:val="0"/>
                <w:szCs w:val="21"/>
              </w:rPr>
            </w:pPr>
            <w:r>
              <w:rPr>
                <w:rFonts w:hint="eastAsia" w:ascii="宋体" w:hAnsi="宋体" w:cs="宋体"/>
                <w:color w:val="auto"/>
                <w:kern w:val="0"/>
                <w:szCs w:val="21"/>
              </w:rPr>
              <w:t>投标承诺函</w:t>
            </w:r>
          </w:p>
        </w:tc>
        <w:tc>
          <w:tcPr>
            <w:tcW w:w="5245" w:type="dxa"/>
            <w:noWrap w:val="0"/>
            <w:vAlign w:val="center"/>
          </w:tcPr>
          <w:p w14:paraId="327971A2">
            <w:pPr>
              <w:widowControl/>
              <w:jc w:val="center"/>
              <w:rPr>
                <w:rFonts w:hint="eastAsia" w:ascii="宋体" w:hAnsi="宋体" w:cs="宋体"/>
                <w:color w:val="auto"/>
                <w:kern w:val="0"/>
                <w:szCs w:val="21"/>
              </w:rPr>
            </w:pPr>
            <w:r>
              <w:rPr>
                <w:rFonts w:hint="eastAsia" w:ascii="宋体" w:hAnsi="宋体" w:cs="宋体"/>
                <w:color w:val="auto"/>
                <w:kern w:val="0"/>
                <w:szCs w:val="21"/>
              </w:rPr>
              <w:t>按照招标文件的规定提交投标承诺函的</w:t>
            </w:r>
          </w:p>
        </w:tc>
      </w:tr>
      <w:tr w14:paraId="58D7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jc w:val="center"/>
        </w:trPr>
        <w:tc>
          <w:tcPr>
            <w:tcW w:w="1130" w:type="dxa"/>
            <w:gridSpan w:val="2"/>
            <w:vMerge w:val="continue"/>
            <w:noWrap w:val="0"/>
            <w:vAlign w:val="center"/>
          </w:tcPr>
          <w:p w14:paraId="77ABB189">
            <w:pPr>
              <w:widowControl/>
              <w:jc w:val="center"/>
              <w:rPr>
                <w:rFonts w:hint="eastAsia" w:ascii="宋体" w:hAnsi="宋体" w:cs="宋体"/>
                <w:color w:val="auto"/>
                <w:kern w:val="0"/>
                <w:szCs w:val="21"/>
              </w:rPr>
            </w:pPr>
          </w:p>
        </w:tc>
        <w:tc>
          <w:tcPr>
            <w:tcW w:w="850" w:type="dxa"/>
            <w:vMerge w:val="continue"/>
            <w:noWrap w:val="0"/>
            <w:vAlign w:val="center"/>
          </w:tcPr>
          <w:p w14:paraId="5928E312">
            <w:pPr>
              <w:widowControl/>
              <w:jc w:val="center"/>
              <w:rPr>
                <w:rFonts w:hint="eastAsia" w:ascii="宋体" w:hAnsi="宋体" w:cs="宋体"/>
                <w:color w:val="auto"/>
                <w:kern w:val="0"/>
                <w:szCs w:val="21"/>
              </w:rPr>
            </w:pPr>
          </w:p>
        </w:tc>
        <w:tc>
          <w:tcPr>
            <w:tcW w:w="2126" w:type="dxa"/>
            <w:noWrap w:val="0"/>
            <w:vAlign w:val="center"/>
          </w:tcPr>
          <w:p w14:paraId="28EBB23B">
            <w:pPr>
              <w:widowControl/>
              <w:jc w:val="center"/>
              <w:rPr>
                <w:rFonts w:hint="eastAsia" w:ascii="宋体" w:hAnsi="宋体" w:cs="宋体"/>
                <w:color w:val="auto"/>
                <w:kern w:val="0"/>
                <w:szCs w:val="21"/>
              </w:rPr>
            </w:pPr>
            <w:r>
              <w:rPr>
                <w:rFonts w:hint="eastAsia" w:ascii="宋体" w:hAnsi="宋体" w:cs="宋体"/>
                <w:color w:val="auto"/>
                <w:kern w:val="0"/>
                <w:szCs w:val="21"/>
              </w:rPr>
              <w:t>报价唯一</w:t>
            </w:r>
          </w:p>
        </w:tc>
        <w:tc>
          <w:tcPr>
            <w:tcW w:w="5245" w:type="dxa"/>
            <w:noWrap w:val="0"/>
            <w:vAlign w:val="center"/>
          </w:tcPr>
          <w:p w14:paraId="5FB05BAC">
            <w:pPr>
              <w:widowControl/>
              <w:jc w:val="center"/>
              <w:rPr>
                <w:rFonts w:hint="eastAsia" w:ascii="宋体" w:hAnsi="宋体" w:cs="宋体"/>
                <w:color w:val="auto"/>
                <w:kern w:val="0"/>
                <w:szCs w:val="21"/>
              </w:rPr>
            </w:pPr>
            <w:r>
              <w:rPr>
                <w:rFonts w:hint="eastAsia" w:ascii="宋体" w:hAnsi="宋体" w:cs="宋体"/>
                <w:color w:val="auto"/>
                <w:kern w:val="0"/>
                <w:szCs w:val="21"/>
              </w:rPr>
              <w:t>只能有一个有效报价</w:t>
            </w:r>
          </w:p>
        </w:tc>
      </w:tr>
      <w:tr w14:paraId="0616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1130" w:type="dxa"/>
            <w:gridSpan w:val="2"/>
            <w:vMerge w:val="continue"/>
            <w:noWrap w:val="0"/>
            <w:vAlign w:val="center"/>
          </w:tcPr>
          <w:p w14:paraId="09F497A2">
            <w:pPr>
              <w:widowControl/>
              <w:jc w:val="center"/>
              <w:rPr>
                <w:rFonts w:hint="eastAsia" w:ascii="宋体" w:hAnsi="宋体" w:cs="宋体"/>
                <w:color w:val="auto"/>
                <w:kern w:val="0"/>
                <w:szCs w:val="21"/>
              </w:rPr>
            </w:pPr>
          </w:p>
        </w:tc>
        <w:tc>
          <w:tcPr>
            <w:tcW w:w="850" w:type="dxa"/>
            <w:vMerge w:val="continue"/>
            <w:noWrap w:val="0"/>
            <w:vAlign w:val="center"/>
          </w:tcPr>
          <w:p w14:paraId="3E266087">
            <w:pPr>
              <w:widowControl/>
              <w:jc w:val="center"/>
              <w:rPr>
                <w:rFonts w:hint="eastAsia" w:ascii="宋体" w:hAnsi="宋体" w:cs="宋体"/>
                <w:color w:val="auto"/>
                <w:kern w:val="0"/>
                <w:szCs w:val="21"/>
              </w:rPr>
            </w:pPr>
          </w:p>
        </w:tc>
        <w:tc>
          <w:tcPr>
            <w:tcW w:w="2126" w:type="dxa"/>
            <w:noWrap w:val="0"/>
            <w:vAlign w:val="center"/>
          </w:tcPr>
          <w:p w14:paraId="75667FF4">
            <w:pPr>
              <w:widowControl/>
              <w:jc w:val="center"/>
              <w:rPr>
                <w:rFonts w:hint="eastAsia" w:ascii="宋体" w:hAnsi="宋体" w:cs="宋体"/>
                <w:color w:val="auto"/>
                <w:kern w:val="0"/>
                <w:szCs w:val="21"/>
              </w:rPr>
            </w:pPr>
            <w:r>
              <w:rPr>
                <w:rFonts w:hint="eastAsia" w:ascii="宋体" w:hAnsi="宋体" w:cs="宋体"/>
                <w:color w:val="auto"/>
                <w:kern w:val="0"/>
                <w:szCs w:val="21"/>
              </w:rPr>
              <w:t>投标报价</w:t>
            </w:r>
          </w:p>
        </w:tc>
        <w:tc>
          <w:tcPr>
            <w:tcW w:w="5245" w:type="dxa"/>
            <w:noWrap w:val="0"/>
            <w:vAlign w:val="center"/>
          </w:tcPr>
          <w:p w14:paraId="6084B1E0">
            <w:pPr>
              <w:widowControl/>
              <w:jc w:val="center"/>
              <w:rPr>
                <w:rFonts w:hint="eastAsia" w:ascii="宋体" w:hAnsi="宋体" w:cs="宋体"/>
                <w:color w:val="auto"/>
                <w:kern w:val="0"/>
                <w:szCs w:val="21"/>
              </w:rPr>
            </w:pPr>
            <w:r>
              <w:rPr>
                <w:rFonts w:hint="eastAsia" w:ascii="宋体" w:hAnsi="宋体" w:cs="宋体"/>
                <w:color w:val="auto"/>
                <w:kern w:val="0"/>
                <w:szCs w:val="21"/>
              </w:rPr>
              <w:t>报价未超过招标文件中规定的预算金额或者最高限价的</w:t>
            </w:r>
          </w:p>
        </w:tc>
      </w:tr>
      <w:tr w14:paraId="3397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1130" w:type="dxa"/>
            <w:gridSpan w:val="2"/>
            <w:vMerge w:val="continue"/>
            <w:noWrap w:val="0"/>
            <w:vAlign w:val="center"/>
          </w:tcPr>
          <w:p w14:paraId="5CB2C595">
            <w:pPr>
              <w:widowControl/>
              <w:jc w:val="center"/>
              <w:rPr>
                <w:rFonts w:hint="eastAsia" w:ascii="宋体" w:hAnsi="宋体" w:cs="宋体"/>
                <w:color w:val="auto"/>
                <w:kern w:val="0"/>
                <w:szCs w:val="21"/>
              </w:rPr>
            </w:pPr>
          </w:p>
        </w:tc>
        <w:tc>
          <w:tcPr>
            <w:tcW w:w="850" w:type="dxa"/>
            <w:vMerge w:val="continue"/>
            <w:noWrap w:val="0"/>
            <w:vAlign w:val="center"/>
          </w:tcPr>
          <w:p w14:paraId="4721841E">
            <w:pPr>
              <w:widowControl/>
              <w:jc w:val="center"/>
              <w:rPr>
                <w:rFonts w:hint="eastAsia" w:ascii="宋体" w:hAnsi="宋体" w:cs="宋体"/>
                <w:color w:val="auto"/>
                <w:kern w:val="0"/>
                <w:szCs w:val="21"/>
              </w:rPr>
            </w:pPr>
          </w:p>
        </w:tc>
        <w:tc>
          <w:tcPr>
            <w:tcW w:w="2126" w:type="dxa"/>
            <w:noWrap w:val="0"/>
            <w:vAlign w:val="center"/>
          </w:tcPr>
          <w:p w14:paraId="5B943516">
            <w:pPr>
              <w:widowControl/>
              <w:jc w:val="center"/>
              <w:rPr>
                <w:rFonts w:hint="eastAsia" w:ascii="宋体" w:hAnsi="宋体" w:cs="宋体"/>
                <w:color w:val="auto"/>
                <w:kern w:val="0"/>
                <w:szCs w:val="21"/>
              </w:rPr>
            </w:pPr>
            <w:r>
              <w:rPr>
                <w:rFonts w:hint="eastAsia" w:ascii="宋体" w:hAnsi="宋体" w:cs="宋体"/>
                <w:color w:val="auto"/>
                <w:kern w:val="0"/>
                <w:szCs w:val="21"/>
              </w:rPr>
              <w:t>投标内容</w:t>
            </w:r>
          </w:p>
        </w:tc>
        <w:tc>
          <w:tcPr>
            <w:tcW w:w="5245" w:type="dxa"/>
            <w:noWrap w:val="0"/>
            <w:vAlign w:val="center"/>
          </w:tcPr>
          <w:p w14:paraId="12C69E02">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符合第二章“投标人须知前附表”第1.2.4项规定</w:t>
            </w:r>
          </w:p>
        </w:tc>
      </w:tr>
      <w:tr w14:paraId="22F4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jc w:val="center"/>
        </w:trPr>
        <w:tc>
          <w:tcPr>
            <w:tcW w:w="1130" w:type="dxa"/>
            <w:gridSpan w:val="2"/>
            <w:vMerge w:val="continue"/>
            <w:noWrap w:val="0"/>
            <w:vAlign w:val="center"/>
          </w:tcPr>
          <w:p w14:paraId="26C36D2D">
            <w:pPr>
              <w:widowControl/>
              <w:jc w:val="center"/>
              <w:rPr>
                <w:rFonts w:hint="eastAsia" w:ascii="宋体" w:hAnsi="宋体" w:cs="宋体"/>
                <w:color w:val="auto"/>
                <w:kern w:val="0"/>
                <w:szCs w:val="21"/>
              </w:rPr>
            </w:pPr>
          </w:p>
        </w:tc>
        <w:tc>
          <w:tcPr>
            <w:tcW w:w="850" w:type="dxa"/>
            <w:vMerge w:val="continue"/>
            <w:noWrap w:val="0"/>
            <w:vAlign w:val="center"/>
          </w:tcPr>
          <w:p w14:paraId="28DC3984">
            <w:pPr>
              <w:widowControl/>
              <w:jc w:val="center"/>
              <w:rPr>
                <w:rFonts w:hint="eastAsia" w:ascii="宋体" w:hAnsi="宋体" w:cs="宋体"/>
                <w:color w:val="auto"/>
                <w:kern w:val="0"/>
                <w:szCs w:val="21"/>
              </w:rPr>
            </w:pPr>
          </w:p>
        </w:tc>
        <w:tc>
          <w:tcPr>
            <w:tcW w:w="2126" w:type="dxa"/>
            <w:noWrap w:val="0"/>
            <w:vAlign w:val="center"/>
          </w:tcPr>
          <w:p w14:paraId="1157E6DC">
            <w:pPr>
              <w:widowControl/>
              <w:jc w:val="center"/>
              <w:rPr>
                <w:rFonts w:hint="eastAsia" w:ascii="宋体" w:hAnsi="宋体" w:cs="宋体"/>
                <w:color w:val="auto"/>
                <w:kern w:val="0"/>
                <w:szCs w:val="21"/>
              </w:rPr>
            </w:pPr>
            <w:r>
              <w:rPr>
                <w:rFonts w:hint="eastAsia" w:ascii="宋体" w:hAnsi="宋体" w:cs="宋体"/>
                <w:color w:val="auto"/>
                <w:kern w:val="0"/>
                <w:szCs w:val="21"/>
              </w:rPr>
              <w:t>交货期</w:t>
            </w:r>
          </w:p>
        </w:tc>
        <w:tc>
          <w:tcPr>
            <w:tcW w:w="5245" w:type="dxa"/>
            <w:noWrap w:val="0"/>
            <w:vAlign w:val="center"/>
          </w:tcPr>
          <w:p w14:paraId="7616DF27">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符合第二章“投标人须知前附表”第1.2.6项规定</w:t>
            </w:r>
          </w:p>
        </w:tc>
      </w:tr>
      <w:tr w14:paraId="28E4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jc w:val="center"/>
        </w:trPr>
        <w:tc>
          <w:tcPr>
            <w:tcW w:w="1130" w:type="dxa"/>
            <w:gridSpan w:val="2"/>
            <w:vMerge w:val="continue"/>
            <w:noWrap w:val="0"/>
            <w:vAlign w:val="center"/>
          </w:tcPr>
          <w:p w14:paraId="3629C043">
            <w:pPr>
              <w:widowControl/>
              <w:jc w:val="center"/>
              <w:rPr>
                <w:rFonts w:hint="eastAsia" w:ascii="宋体" w:hAnsi="宋体" w:cs="宋体"/>
                <w:color w:val="auto"/>
                <w:kern w:val="0"/>
                <w:szCs w:val="21"/>
              </w:rPr>
            </w:pPr>
          </w:p>
        </w:tc>
        <w:tc>
          <w:tcPr>
            <w:tcW w:w="850" w:type="dxa"/>
            <w:vMerge w:val="continue"/>
            <w:noWrap w:val="0"/>
            <w:vAlign w:val="center"/>
          </w:tcPr>
          <w:p w14:paraId="5F6015C2">
            <w:pPr>
              <w:widowControl/>
              <w:jc w:val="center"/>
              <w:rPr>
                <w:rFonts w:hint="eastAsia" w:ascii="宋体" w:hAnsi="宋体" w:cs="宋体"/>
                <w:color w:val="auto"/>
                <w:kern w:val="0"/>
                <w:szCs w:val="21"/>
              </w:rPr>
            </w:pPr>
          </w:p>
        </w:tc>
        <w:tc>
          <w:tcPr>
            <w:tcW w:w="2126" w:type="dxa"/>
            <w:noWrap w:val="0"/>
            <w:vAlign w:val="center"/>
          </w:tcPr>
          <w:p w14:paraId="5FF4120D">
            <w:pPr>
              <w:widowControl/>
              <w:jc w:val="center"/>
              <w:rPr>
                <w:rFonts w:hint="eastAsia" w:ascii="宋体" w:hAnsi="宋体" w:cs="宋体"/>
                <w:color w:val="auto"/>
                <w:kern w:val="0"/>
                <w:szCs w:val="21"/>
              </w:rPr>
            </w:pPr>
            <w:r>
              <w:rPr>
                <w:rFonts w:hint="eastAsia" w:ascii="宋体" w:hAnsi="宋体" w:cs="宋体"/>
                <w:color w:val="auto"/>
                <w:kern w:val="0"/>
                <w:szCs w:val="21"/>
              </w:rPr>
              <w:t>交货地点</w:t>
            </w:r>
          </w:p>
        </w:tc>
        <w:tc>
          <w:tcPr>
            <w:tcW w:w="5245" w:type="dxa"/>
            <w:noWrap w:val="0"/>
            <w:vAlign w:val="center"/>
          </w:tcPr>
          <w:p w14:paraId="0DEA8F72">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符合第二章“投标人须知前附表”第1.2.7项规定</w:t>
            </w:r>
          </w:p>
        </w:tc>
      </w:tr>
      <w:tr w14:paraId="4F7B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jc w:val="center"/>
        </w:trPr>
        <w:tc>
          <w:tcPr>
            <w:tcW w:w="1130" w:type="dxa"/>
            <w:gridSpan w:val="2"/>
            <w:vMerge w:val="continue"/>
            <w:noWrap w:val="0"/>
            <w:vAlign w:val="center"/>
          </w:tcPr>
          <w:p w14:paraId="4F01848C">
            <w:pPr>
              <w:widowControl/>
              <w:jc w:val="center"/>
              <w:rPr>
                <w:rFonts w:hint="eastAsia" w:ascii="宋体" w:hAnsi="宋体" w:cs="宋体"/>
                <w:color w:val="auto"/>
                <w:kern w:val="0"/>
                <w:szCs w:val="21"/>
              </w:rPr>
            </w:pPr>
          </w:p>
        </w:tc>
        <w:tc>
          <w:tcPr>
            <w:tcW w:w="850" w:type="dxa"/>
            <w:vMerge w:val="continue"/>
            <w:noWrap w:val="0"/>
            <w:vAlign w:val="center"/>
          </w:tcPr>
          <w:p w14:paraId="169D5923">
            <w:pPr>
              <w:widowControl/>
              <w:jc w:val="center"/>
              <w:rPr>
                <w:rFonts w:hint="eastAsia" w:ascii="宋体" w:hAnsi="宋体" w:cs="宋体"/>
                <w:color w:val="auto"/>
                <w:kern w:val="0"/>
                <w:szCs w:val="21"/>
              </w:rPr>
            </w:pPr>
          </w:p>
        </w:tc>
        <w:tc>
          <w:tcPr>
            <w:tcW w:w="2126" w:type="dxa"/>
            <w:noWrap w:val="0"/>
            <w:vAlign w:val="center"/>
          </w:tcPr>
          <w:p w14:paraId="646DFFC4">
            <w:pPr>
              <w:widowControl/>
              <w:jc w:val="center"/>
              <w:rPr>
                <w:rFonts w:hint="eastAsia" w:ascii="宋体" w:hAnsi="宋体" w:cs="宋体"/>
                <w:color w:val="auto"/>
                <w:kern w:val="0"/>
                <w:szCs w:val="21"/>
              </w:rPr>
            </w:pPr>
            <w:r>
              <w:rPr>
                <w:rFonts w:hint="eastAsia" w:ascii="宋体" w:hAnsi="宋体" w:cs="宋体"/>
                <w:color w:val="auto"/>
                <w:kern w:val="0"/>
                <w:szCs w:val="21"/>
              </w:rPr>
              <w:t>质保期</w:t>
            </w:r>
          </w:p>
        </w:tc>
        <w:tc>
          <w:tcPr>
            <w:tcW w:w="5245" w:type="dxa"/>
            <w:noWrap w:val="0"/>
            <w:vAlign w:val="center"/>
          </w:tcPr>
          <w:p w14:paraId="66DA0699">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符合第二章“投标人须知前附表”第1.2.8项规定</w:t>
            </w:r>
          </w:p>
        </w:tc>
      </w:tr>
      <w:tr w14:paraId="7FAD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130" w:type="dxa"/>
            <w:gridSpan w:val="2"/>
            <w:vMerge w:val="continue"/>
            <w:noWrap w:val="0"/>
            <w:vAlign w:val="center"/>
          </w:tcPr>
          <w:p w14:paraId="6C1D666D">
            <w:pPr>
              <w:widowControl/>
              <w:jc w:val="center"/>
              <w:rPr>
                <w:rFonts w:hint="eastAsia" w:ascii="宋体" w:hAnsi="宋体" w:cs="宋体"/>
                <w:color w:val="auto"/>
                <w:kern w:val="0"/>
                <w:szCs w:val="21"/>
              </w:rPr>
            </w:pPr>
          </w:p>
        </w:tc>
        <w:tc>
          <w:tcPr>
            <w:tcW w:w="850" w:type="dxa"/>
            <w:vMerge w:val="continue"/>
            <w:noWrap w:val="0"/>
            <w:vAlign w:val="center"/>
          </w:tcPr>
          <w:p w14:paraId="20D7FF05">
            <w:pPr>
              <w:widowControl/>
              <w:jc w:val="center"/>
              <w:rPr>
                <w:rFonts w:hint="eastAsia" w:ascii="宋体" w:hAnsi="宋体" w:cs="宋体"/>
                <w:color w:val="auto"/>
                <w:kern w:val="0"/>
                <w:szCs w:val="21"/>
              </w:rPr>
            </w:pPr>
          </w:p>
        </w:tc>
        <w:tc>
          <w:tcPr>
            <w:tcW w:w="2126" w:type="dxa"/>
            <w:noWrap w:val="0"/>
            <w:vAlign w:val="center"/>
          </w:tcPr>
          <w:p w14:paraId="4D688BDE">
            <w:pPr>
              <w:widowControl/>
              <w:jc w:val="center"/>
              <w:rPr>
                <w:rFonts w:hint="eastAsia" w:ascii="宋体" w:hAnsi="宋体" w:cs="宋体"/>
                <w:color w:val="auto"/>
                <w:kern w:val="0"/>
                <w:szCs w:val="21"/>
              </w:rPr>
            </w:pPr>
            <w:r>
              <w:rPr>
                <w:rFonts w:hint="eastAsia" w:ascii="宋体" w:hAnsi="宋体" w:cs="宋体"/>
                <w:color w:val="auto"/>
                <w:kern w:val="0"/>
                <w:szCs w:val="21"/>
              </w:rPr>
              <w:t>质量标准</w:t>
            </w:r>
          </w:p>
        </w:tc>
        <w:tc>
          <w:tcPr>
            <w:tcW w:w="5245" w:type="dxa"/>
            <w:noWrap w:val="0"/>
            <w:vAlign w:val="center"/>
          </w:tcPr>
          <w:p w14:paraId="39CCEED6">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符合第二章“投标人须知前附表”第1.2.9项规定</w:t>
            </w:r>
          </w:p>
        </w:tc>
      </w:tr>
      <w:tr w14:paraId="5E12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130" w:type="dxa"/>
            <w:gridSpan w:val="2"/>
            <w:vMerge w:val="continue"/>
            <w:noWrap w:val="0"/>
            <w:vAlign w:val="center"/>
          </w:tcPr>
          <w:p w14:paraId="69F74F3C">
            <w:pPr>
              <w:widowControl/>
              <w:jc w:val="center"/>
              <w:rPr>
                <w:rFonts w:hint="eastAsia" w:ascii="宋体" w:hAnsi="宋体" w:cs="宋体"/>
                <w:color w:val="auto"/>
                <w:kern w:val="0"/>
                <w:szCs w:val="21"/>
              </w:rPr>
            </w:pPr>
          </w:p>
        </w:tc>
        <w:tc>
          <w:tcPr>
            <w:tcW w:w="850" w:type="dxa"/>
            <w:vMerge w:val="continue"/>
            <w:noWrap w:val="0"/>
            <w:vAlign w:val="center"/>
          </w:tcPr>
          <w:p w14:paraId="3F20362D">
            <w:pPr>
              <w:widowControl/>
              <w:jc w:val="center"/>
              <w:rPr>
                <w:rFonts w:hint="eastAsia" w:ascii="宋体" w:hAnsi="宋体" w:cs="宋体"/>
                <w:color w:val="auto"/>
                <w:kern w:val="0"/>
                <w:szCs w:val="21"/>
              </w:rPr>
            </w:pPr>
          </w:p>
        </w:tc>
        <w:tc>
          <w:tcPr>
            <w:tcW w:w="2126" w:type="dxa"/>
            <w:noWrap w:val="0"/>
            <w:vAlign w:val="center"/>
          </w:tcPr>
          <w:p w14:paraId="1C6C014A">
            <w:pPr>
              <w:widowControl/>
              <w:jc w:val="center"/>
              <w:rPr>
                <w:rFonts w:hint="eastAsia" w:ascii="宋体" w:hAnsi="宋体" w:cs="宋体"/>
                <w:color w:val="auto"/>
                <w:kern w:val="0"/>
                <w:szCs w:val="21"/>
              </w:rPr>
            </w:pPr>
            <w:r>
              <w:rPr>
                <w:rFonts w:hint="eastAsia" w:ascii="宋体" w:hAnsi="宋体"/>
                <w:color w:val="auto"/>
                <w:szCs w:val="21"/>
              </w:rPr>
              <w:t>投标有效期</w:t>
            </w:r>
          </w:p>
        </w:tc>
        <w:tc>
          <w:tcPr>
            <w:tcW w:w="5245" w:type="dxa"/>
            <w:noWrap w:val="0"/>
            <w:vAlign w:val="center"/>
          </w:tcPr>
          <w:p w14:paraId="60A72628">
            <w:pPr>
              <w:widowControl/>
              <w:jc w:val="center"/>
              <w:rPr>
                <w:rFonts w:hint="eastAsia" w:ascii="宋体" w:hAnsi="宋体" w:cs="宋体"/>
                <w:color w:val="auto"/>
                <w:kern w:val="0"/>
                <w:szCs w:val="21"/>
              </w:rPr>
            </w:pPr>
            <w:r>
              <w:rPr>
                <w:rFonts w:hint="eastAsia" w:ascii="宋体" w:hAnsi="宋体" w:cs="宋体"/>
                <w:color w:val="auto"/>
                <w:kern w:val="0"/>
                <w:szCs w:val="21"/>
              </w:rPr>
              <w:t>符合第二章“投标人须知前附表”第3.6.1项规定</w:t>
            </w:r>
          </w:p>
        </w:tc>
      </w:tr>
      <w:tr w14:paraId="63AA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130" w:type="dxa"/>
            <w:gridSpan w:val="2"/>
            <w:vMerge w:val="continue"/>
            <w:noWrap w:val="0"/>
            <w:vAlign w:val="center"/>
          </w:tcPr>
          <w:p w14:paraId="3426EDEA">
            <w:pPr>
              <w:widowControl/>
              <w:jc w:val="center"/>
              <w:rPr>
                <w:rFonts w:hint="eastAsia" w:ascii="宋体" w:hAnsi="宋体" w:cs="宋体"/>
                <w:color w:val="auto"/>
                <w:kern w:val="0"/>
                <w:szCs w:val="21"/>
              </w:rPr>
            </w:pPr>
          </w:p>
        </w:tc>
        <w:tc>
          <w:tcPr>
            <w:tcW w:w="850" w:type="dxa"/>
            <w:vMerge w:val="continue"/>
            <w:noWrap w:val="0"/>
            <w:vAlign w:val="center"/>
          </w:tcPr>
          <w:p w14:paraId="2DD1184F">
            <w:pPr>
              <w:widowControl/>
              <w:jc w:val="center"/>
              <w:rPr>
                <w:rFonts w:hint="eastAsia" w:ascii="宋体" w:hAnsi="宋体" w:cs="宋体"/>
                <w:color w:val="auto"/>
                <w:kern w:val="0"/>
                <w:szCs w:val="21"/>
              </w:rPr>
            </w:pPr>
          </w:p>
        </w:tc>
        <w:tc>
          <w:tcPr>
            <w:tcW w:w="2126" w:type="dxa"/>
            <w:noWrap w:val="0"/>
            <w:vAlign w:val="center"/>
          </w:tcPr>
          <w:p w14:paraId="47B58FF7">
            <w:pPr>
              <w:widowControl/>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eastAsia="zh-CN"/>
              </w:rPr>
              <w:t>标书雷同性分析</w:t>
            </w:r>
          </w:p>
        </w:tc>
        <w:tc>
          <w:tcPr>
            <w:tcW w:w="5245" w:type="dxa"/>
            <w:noWrap w:val="0"/>
            <w:vAlign w:val="center"/>
          </w:tcPr>
          <w:p w14:paraId="4653431C">
            <w:pPr>
              <w:widowControl/>
              <w:jc w:val="center"/>
              <w:rPr>
                <w:rFonts w:ascii="宋体" w:hAnsi="宋体" w:cs="宋体"/>
                <w:color w:val="auto"/>
                <w:kern w:val="0"/>
                <w:szCs w:val="21"/>
              </w:rPr>
            </w:pPr>
            <w:r>
              <w:rPr>
                <w:rFonts w:hint="eastAsia" w:ascii="宋体" w:hAnsi="宋体" w:cs="宋体"/>
                <w:color w:val="auto"/>
                <w:kern w:val="0"/>
                <w:szCs w:val="21"/>
              </w:rPr>
              <w:t>不同投标人的投标文件制作机器码不能一致</w:t>
            </w:r>
          </w:p>
        </w:tc>
      </w:tr>
      <w:tr w14:paraId="2C4B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jc w:val="center"/>
        </w:trPr>
        <w:tc>
          <w:tcPr>
            <w:tcW w:w="1980" w:type="dxa"/>
            <w:gridSpan w:val="3"/>
            <w:noWrap w:val="0"/>
            <w:vAlign w:val="center"/>
          </w:tcPr>
          <w:p w14:paraId="3AAB9CC4">
            <w:pPr>
              <w:autoSpaceDE w:val="0"/>
              <w:autoSpaceDN w:val="0"/>
              <w:adjustRightInd w:val="0"/>
              <w:spacing w:line="400" w:lineRule="exact"/>
              <w:ind w:left="38" w:leftChars="18"/>
              <w:jc w:val="center"/>
              <w:rPr>
                <w:rFonts w:hint="eastAsia" w:ascii="宋体" w:hAnsi="宋体" w:cs="宋体"/>
                <w:color w:val="auto"/>
                <w:kern w:val="0"/>
                <w:szCs w:val="21"/>
              </w:rPr>
            </w:pPr>
            <w:r>
              <w:rPr>
                <w:rFonts w:hint="eastAsia" w:ascii="宋体" w:hAnsi="宋体" w:cs="宋体"/>
                <w:color w:val="auto"/>
                <w:kern w:val="0"/>
                <w:szCs w:val="21"/>
              </w:rPr>
              <w:t>条款号</w:t>
            </w:r>
          </w:p>
        </w:tc>
        <w:tc>
          <w:tcPr>
            <w:tcW w:w="2126" w:type="dxa"/>
            <w:noWrap w:val="0"/>
            <w:vAlign w:val="center"/>
          </w:tcPr>
          <w:p w14:paraId="73DB82C6">
            <w:pPr>
              <w:autoSpaceDE w:val="0"/>
              <w:autoSpaceDN w:val="0"/>
              <w:adjustRightInd w:val="0"/>
              <w:spacing w:line="400" w:lineRule="exact"/>
              <w:ind w:left="38" w:leftChars="18"/>
              <w:jc w:val="center"/>
              <w:rPr>
                <w:rFonts w:hint="eastAsia" w:ascii="宋体" w:hAnsi="宋体" w:cs="宋体"/>
                <w:color w:val="auto"/>
                <w:kern w:val="0"/>
                <w:szCs w:val="21"/>
              </w:rPr>
            </w:pPr>
            <w:r>
              <w:rPr>
                <w:rFonts w:hint="eastAsia" w:ascii="宋体" w:hAnsi="宋体" w:cs="宋体"/>
                <w:color w:val="auto"/>
                <w:kern w:val="0"/>
                <w:szCs w:val="21"/>
              </w:rPr>
              <w:t>条款内容</w:t>
            </w:r>
          </w:p>
        </w:tc>
        <w:tc>
          <w:tcPr>
            <w:tcW w:w="5245" w:type="dxa"/>
            <w:noWrap w:val="0"/>
            <w:vAlign w:val="center"/>
          </w:tcPr>
          <w:p w14:paraId="076BC78E">
            <w:pPr>
              <w:autoSpaceDE w:val="0"/>
              <w:autoSpaceDN w:val="0"/>
              <w:adjustRightInd w:val="0"/>
              <w:spacing w:line="400" w:lineRule="exact"/>
              <w:ind w:left="38" w:leftChars="18"/>
              <w:jc w:val="center"/>
              <w:rPr>
                <w:rFonts w:hint="eastAsia" w:ascii="宋体" w:hAnsi="宋体" w:cs="宋体"/>
                <w:color w:val="auto"/>
                <w:kern w:val="0"/>
                <w:szCs w:val="21"/>
              </w:rPr>
            </w:pPr>
            <w:r>
              <w:rPr>
                <w:rFonts w:hint="eastAsia" w:ascii="宋体" w:hAnsi="宋体" w:cs="宋体"/>
                <w:color w:val="auto"/>
                <w:kern w:val="0"/>
                <w:szCs w:val="21"/>
              </w:rPr>
              <w:t>编列内容</w:t>
            </w:r>
          </w:p>
        </w:tc>
      </w:tr>
      <w:tr w14:paraId="514E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3"/>
            <w:noWrap w:val="0"/>
            <w:vAlign w:val="center"/>
          </w:tcPr>
          <w:p w14:paraId="69F025F7">
            <w:pPr>
              <w:autoSpaceDE w:val="0"/>
              <w:autoSpaceDN w:val="0"/>
              <w:adjustRightInd w:val="0"/>
              <w:spacing w:before="24" w:beforeLines="10" w:line="360" w:lineRule="auto"/>
              <w:ind w:left="38" w:leftChars="18"/>
              <w:jc w:val="center"/>
              <w:rPr>
                <w:rFonts w:hint="eastAsia" w:ascii="宋体" w:hAnsi="宋体" w:cs="宋体"/>
                <w:color w:val="auto"/>
                <w:kern w:val="0"/>
                <w:szCs w:val="21"/>
              </w:rPr>
            </w:pPr>
            <w:r>
              <w:rPr>
                <w:rFonts w:hint="eastAsia" w:ascii="宋体" w:hAnsi="宋体" w:cs="宋体"/>
                <w:color w:val="auto"/>
                <w:kern w:val="0"/>
                <w:szCs w:val="21"/>
              </w:rPr>
              <w:t>2.2.1</w:t>
            </w:r>
          </w:p>
        </w:tc>
        <w:tc>
          <w:tcPr>
            <w:tcW w:w="2126" w:type="dxa"/>
            <w:noWrap w:val="0"/>
            <w:vAlign w:val="center"/>
          </w:tcPr>
          <w:p w14:paraId="17A06C51">
            <w:pPr>
              <w:autoSpaceDE w:val="0"/>
              <w:autoSpaceDN w:val="0"/>
              <w:adjustRightInd w:val="0"/>
              <w:spacing w:before="24" w:beforeLines="10" w:line="360" w:lineRule="auto"/>
              <w:ind w:left="38" w:leftChars="18"/>
              <w:jc w:val="center"/>
              <w:rPr>
                <w:rFonts w:hint="eastAsia" w:ascii="宋体" w:hAnsi="宋体" w:cs="宋体"/>
                <w:color w:val="auto"/>
                <w:kern w:val="0"/>
                <w:szCs w:val="21"/>
              </w:rPr>
            </w:pPr>
            <w:r>
              <w:rPr>
                <w:rFonts w:hint="eastAsia" w:ascii="宋体" w:hAnsi="宋体" w:cs="宋体"/>
                <w:color w:val="auto"/>
                <w:kern w:val="0"/>
                <w:szCs w:val="21"/>
              </w:rPr>
              <w:t>分值构成</w:t>
            </w:r>
          </w:p>
          <w:p w14:paraId="4AAB0AAE">
            <w:pPr>
              <w:autoSpaceDE w:val="0"/>
              <w:autoSpaceDN w:val="0"/>
              <w:adjustRightInd w:val="0"/>
              <w:spacing w:before="24" w:beforeLines="10" w:line="360" w:lineRule="auto"/>
              <w:ind w:left="38" w:leftChars="18"/>
              <w:jc w:val="center"/>
              <w:rPr>
                <w:rFonts w:hint="eastAsia" w:ascii="宋体" w:hAnsi="宋体" w:cs="宋体"/>
                <w:color w:val="auto"/>
                <w:kern w:val="0"/>
                <w:szCs w:val="21"/>
              </w:rPr>
            </w:pPr>
            <w:r>
              <w:rPr>
                <w:rFonts w:hint="eastAsia" w:ascii="宋体" w:hAnsi="宋体" w:cs="宋体"/>
                <w:color w:val="auto"/>
                <w:kern w:val="0"/>
                <w:szCs w:val="21"/>
              </w:rPr>
              <w:t>(总分100分)</w:t>
            </w:r>
          </w:p>
        </w:tc>
        <w:tc>
          <w:tcPr>
            <w:tcW w:w="5245" w:type="dxa"/>
            <w:noWrap w:val="0"/>
            <w:vAlign w:val="center"/>
          </w:tcPr>
          <w:p w14:paraId="586FEFA1">
            <w:pPr>
              <w:autoSpaceDE w:val="0"/>
              <w:autoSpaceDN w:val="0"/>
              <w:adjustRightInd w:val="0"/>
              <w:spacing w:before="24" w:beforeLines="10" w:line="360" w:lineRule="auto"/>
              <w:ind w:left="38" w:leftChars="18"/>
              <w:jc w:val="left"/>
              <w:rPr>
                <w:rFonts w:hint="eastAsia" w:ascii="宋体" w:hAnsi="宋体" w:cs="宋体"/>
                <w:b/>
                <w:bCs/>
                <w:color w:val="auto"/>
                <w:kern w:val="0"/>
                <w:szCs w:val="21"/>
              </w:rPr>
            </w:pPr>
            <w:r>
              <w:rPr>
                <w:rFonts w:hint="eastAsia" w:ascii="宋体" w:hAnsi="宋体" w:cs="宋体"/>
                <w:b/>
                <w:bCs/>
                <w:color w:val="auto"/>
                <w:kern w:val="0"/>
                <w:szCs w:val="21"/>
              </w:rPr>
              <w:t>报价得分：30分</w:t>
            </w:r>
          </w:p>
          <w:p w14:paraId="6ACB7E28">
            <w:pPr>
              <w:autoSpaceDE w:val="0"/>
              <w:autoSpaceDN w:val="0"/>
              <w:adjustRightInd w:val="0"/>
              <w:spacing w:before="24" w:beforeLines="10" w:line="360" w:lineRule="auto"/>
              <w:ind w:left="38" w:leftChars="18"/>
              <w:jc w:val="left"/>
              <w:rPr>
                <w:rFonts w:hint="eastAsia" w:ascii="宋体" w:hAnsi="宋体" w:cs="宋体"/>
                <w:b/>
                <w:bCs/>
                <w:color w:val="auto"/>
                <w:kern w:val="0"/>
                <w:szCs w:val="21"/>
              </w:rPr>
            </w:pPr>
            <w:r>
              <w:rPr>
                <w:rFonts w:hint="eastAsia" w:ascii="宋体" w:hAnsi="宋体" w:cs="宋体"/>
                <w:b/>
                <w:bCs/>
                <w:color w:val="auto"/>
                <w:kern w:val="0"/>
                <w:szCs w:val="21"/>
              </w:rPr>
              <w:t>技术部分：50分</w:t>
            </w:r>
          </w:p>
          <w:p w14:paraId="09248C92">
            <w:pPr>
              <w:autoSpaceDE w:val="0"/>
              <w:autoSpaceDN w:val="0"/>
              <w:adjustRightInd w:val="0"/>
              <w:spacing w:before="24" w:beforeLines="10" w:line="360" w:lineRule="auto"/>
              <w:ind w:left="38" w:leftChars="18"/>
              <w:jc w:val="left"/>
              <w:rPr>
                <w:rFonts w:hint="eastAsia" w:ascii="宋体" w:hAnsi="宋体"/>
                <w:b/>
                <w:color w:val="auto"/>
                <w:szCs w:val="21"/>
              </w:rPr>
            </w:pPr>
            <w:r>
              <w:rPr>
                <w:rFonts w:hint="eastAsia" w:ascii="宋体" w:hAnsi="宋体" w:cs="宋体"/>
                <w:b/>
                <w:bCs/>
                <w:color w:val="auto"/>
                <w:kern w:val="0"/>
                <w:szCs w:val="21"/>
                <w:lang w:eastAsia="zh-CN"/>
              </w:rPr>
              <w:t>综合部分</w:t>
            </w:r>
            <w:r>
              <w:rPr>
                <w:rFonts w:hint="eastAsia" w:ascii="宋体" w:hAnsi="宋体" w:cs="宋体"/>
                <w:b/>
                <w:bCs/>
                <w:color w:val="auto"/>
                <w:kern w:val="0"/>
                <w:szCs w:val="21"/>
              </w:rPr>
              <w:t>：20分</w:t>
            </w:r>
          </w:p>
        </w:tc>
      </w:tr>
      <w:tr w14:paraId="64D4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3"/>
            <w:noWrap w:val="0"/>
            <w:vAlign w:val="center"/>
          </w:tcPr>
          <w:p w14:paraId="6CDF0562">
            <w:pPr>
              <w:autoSpaceDE w:val="0"/>
              <w:autoSpaceDN w:val="0"/>
              <w:adjustRightInd w:val="0"/>
              <w:spacing w:before="24" w:beforeLines="10" w:line="360" w:lineRule="auto"/>
              <w:ind w:left="38" w:leftChars="18"/>
              <w:jc w:val="center"/>
              <w:rPr>
                <w:rFonts w:hint="eastAsia" w:ascii="宋体" w:hAnsi="宋体" w:cs="宋体"/>
                <w:color w:val="auto"/>
                <w:kern w:val="0"/>
                <w:szCs w:val="21"/>
              </w:rPr>
            </w:pPr>
            <w:r>
              <w:rPr>
                <w:rFonts w:hint="eastAsia" w:ascii="宋体" w:hAnsi="宋体" w:cs="宋体"/>
                <w:color w:val="auto"/>
                <w:kern w:val="0"/>
                <w:szCs w:val="21"/>
              </w:rPr>
              <w:t>条款号</w:t>
            </w:r>
          </w:p>
        </w:tc>
        <w:tc>
          <w:tcPr>
            <w:tcW w:w="2126" w:type="dxa"/>
            <w:noWrap w:val="0"/>
            <w:vAlign w:val="center"/>
          </w:tcPr>
          <w:p w14:paraId="41B0FDDF">
            <w:pPr>
              <w:autoSpaceDE w:val="0"/>
              <w:autoSpaceDN w:val="0"/>
              <w:adjustRightInd w:val="0"/>
              <w:spacing w:before="24" w:beforeLines="10" w:line="360" w:lineRule="auto"/>
              <w:ind w:left="38" w:leftChars="18"/>
              <w:jc w:val="center"/>
              <w:rPr>
                <w:rFonts w:hint="eastAsia" w:ascii="宋体" w:hAnsi="宋体" w:cs="宋体"/>
                <w:color w:val="auto"/>
                <w:kern w:val="0"/>
                <w:szCs w:val="21"/>
              </w:rPr>
            </w:pPr>
            <w:r>
              <w:rPr>
                <w:rFonts w:hint="eastAsia" w:ascii="宋体" w:hAnsi="宋体" w:cs="宋体"/>
                <w:color w:val="auto"/>
                <w:kern w:val="0"/>
                <w:szCs w:val="21"/>
              </w:rPr>
              <w:t>评分因素</w:t>
            </w:r>
          </w:p>
        </w:tc>
        <w:tc>
          <w:tcPr>
            <w:tcW w:w="5245" w:type="dxa"/>
            <w:noWrap w:val="0"/>
            <w:vAlign w:val="center"/>
          </w:tcPr>
          <w:p w14:paraId="4609415A">
            <w:pPr>
              <w:autoSpaceDE w:val="0"/>
              <w:autoSpaceDN w:val="0"/>
              <w:adjustRightInd w:val="0"/>
              <w:spacing w:before="24" w:beforeLines="10" w:line="360" w:lineRule="auto"/>
              <w:ind w:left="38" w:leftChars="18"/>
              <w:jc w:val="center"/>
              <w:rPr>
                <w:rFonts w:hint="eastAsia" w:hAnsi="宋体"/>
                <w:b/>
                <w:color w:val="auto"/>
              </w:rPr>
            </w:pPr>
            <w:r>
              <w:rPr>
                <w:rFonts w:hint="eastAsia" w:ascii="宋体" w:hAnsi="宋体" w:cs="宋体"/>
                <w:color w:val="auto"/>
                <w:kern w:val="0"/>
                <w:szCs w:val="21"/>
              </w:rPr>
              <w:t>评分标准</w:t>
            </w:r>
          </w:p>
        </w:tc>
      </w:tr>
      <w:tr w14:paraId="5600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noWrap w:val="0"/>
            <w:vAlign w:val="center"/>
          </w:tcPr>
          <w:p w14:paraId="3AEC360C">
            <w:pPr>
              <w:widowControl/>
              <w:spacing w:before="24" w:beforeLines="10" w:line="360" w:lineRule="auto"/>
              <w:jc w:val="center"/>
              <w:rPr>
                <w:rFonts w:hint="eastAsia" w:ascii="宋体" w:hAnsi="宋体" w:cs="宋体"/>
                <w:color w:val="auto"/>
                <w:kern w:val="0"/>
                <w:szCs w:val="21"/>
              </w:rPr>
            </w:pPr>
            <w:r>
              <w:rPr>
                <w:rFonts w:hint="eastAsia" w:ascii="宋体" w:hAnsi="宋体" w:cs="宋体"/>
                <w:color w:val="auto"/>
                <w:kern w:val="0"/>
                <w:szCs w:val="21"/>
              </w:rPr>
              <w:t>2.2.2（1）</w:t>
            </w:r>
          </w:p>
        </w:tc>
        <w:tc>
          <w:tcPr>
            <w:tcW w:w="990" w:type="dxa"/>
            <w:gridSpan w:val="2"/>
            <w:noWrap w:val="0"/>
            <w:vAlign w:val="center"/>
          </w:tcPr>
          <w:p w14:paraId="13671884">
            <w:pPr>
              <w:widowControl/>
              <w:spacing w:before="24" w:beforeLines="10" w:line="360" w:lineRule="auto"/>
              <w:jc w:val="center"/>
              <w:rPr>
                <w:rFonts w:hint="eastAsia" w:ascii="宋体" w:hAnsi="宋体"/>
                <w:b/>
                <w:color w:val="auto"/>
                <w:szCs w:val="21"/>
              </w:rPr>
            </w:pPr>
            <w:r>
              <w:rPr>
                <w:rFonts w:hint="eastAsia" w:ascii="宋体" w:hAnsi="宋体" w:cs="宋体"/>
                <w:b/>
                <w:color w:val="auto"/>
                <w:szCs w:val="21"/>
              </w:rPr>
              <w:t>报价得分（30分）</w:t>
            </w:r>
          </w:p>
        </w:tc>
        <w:tc>
          <w:tcPr>
            <w:tcW w:w="2126" w:type="dxa"/>
            <w:noWrap w:val="0"/>
            <w:vAlign w:val="center"/>
          </w:tcPr>
          <w:p w14:paraId="10DE131B">
            <w:pPr>
              <w:widowControl/>
              <w:spacing w:before="24" w:beforeLines="10" w:line="360" w:lineRule="auto"/>
              <w:jc w:val="center"/>
              <w:rPr>
                <w:rFonts w:hint="eastAsia" w:ascii="宋体" w:hAnsi="宋体" w:cs="宋体"/>
                <w:color w:val="auto"/>
                <w:kern w:val="0"/>
                <w:szCs w:val="21"/>
              </w:rPr>
            </w:pPr>
            <w:r>
              <w:rPr>
                <w:rFonts w:hint="eastAsia" w:ascii="宋体" w:hAnsi="宋体" w:cs="宋体"/>
                <w:b/>
                <w:color w:val="auto"/>
                <w:szCs w:val="21"/>
              </w:rPr>
              <w:t>投标报价评分标准</w:t>
            </w:r>
          </w:p>
        </w:tc>
        <w:tc>
          <w:tcPr>
            <w:tcW w:w="5245" w:type="dxa"/>
            <w:noWrap w:val="0"/>
            <w:vAlign w:val="center"/>
          </w:tcPr>
          <w:p w14:paraId="4894247F">
            <w:pPr>
              <w:widowControl/>
              <w:spacing w:before="24" w:beforeLines="10" w:line="360" w:lineRule="auto"/>
              <w:jc w:val="left"/>
              <w:rPr>
                <w:rFonts w:hint="eastAsia" w:ascii="宋体" w:hAnsi="宋体" w:cs="宋体"/>
                <w:b/>
                <w:color w:val="auto"/>
                <w:szCs w:val="21"/>
              </w:rPr>
            </w:pPr>
            <w:r>
              <w:rPr>
                <w:rFonts w:hint="eastAsia" w:ascii="宋体" w:hAnsi="宋体" w:cs="宋体"/>
                <w:b/>
                <w:color w:val="auto"/>
                <w:szCs w:val="21"/>
              </w:rPr>
              <w:t>价格扣除：</w:t>
            </w:r>
          </w:p>
          <w:p w14:paraId="35681C03">
            <w:pPr>
              <w:pStyle w:val="27"/>
              <w:spacing w:before="24" w:beforeLines="10" w:after="0" w:line="360" w:lineRule="auto"/>
              <w:ind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投标人所投标的货物由小微企业制造（即货物由小微企业生产且使用该小微企业商号或者注册商标）的投标报价给予</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0%的扣除，用扣除后的价格参与评审。参加投标的小微企业，应当按照《政府采购促进中小企业发展管理办法》（财库〔2020〕46号）的规定提供《中小企业声明函》，中小企业划型标准详见《关于印发中小企业划型标准规定的通知》工信部联企业〔2011〕300号。</w:t>
            </w:r>
          </w:p>
          <w:p w14:paraId="22AC89A4">
            <w:pPr>
              <w:spacing w:before="24" w:beforeLines="10" w:line="360" w:lineRule="auto"/>
              <w:ind w:firstLine="420" w:firstLineChars="200"/>
              <w:rPr>
                <w:rFonts w:hint="eastAsia" w:ascii="宋体" w:hAnsi="宋体" w:cs="宋体"/>
                <w:color w:val="auto"/>
                <w:szCs w:val="21"/>
              </w:rPr>
            </w:pPr>
            <w:r>
              <w:rPr>
                <w:rFonts w:hint="eastAsia" w:ascii="宋体" w:hAnsi="宋体" w:cs="宋体"/>
                <w:color w:val="auto"/>
                <w:szCs w:val="21"/>
              </w:rPr>
              <w:t>根据财政部司法部《关于政府采购支持监狱企业发展有关问题的通知》（财库〔2014〕68号）和财政部民政部中国残疾人联合会《关于促进残疾人就业政府采购政策的通知》（财库〔2017〕141号）规定，监狱企业/残疾人福利性企业视同小型、微型企业。</w:t>
            </w:r>
          </w:p>
          <w:p w14:paraId="739F2A38">
            <w:pPr>
              <w:spacing w:before="24" w:beforeLines="10"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评标报价=投标报价-投标报价×</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0%</w:t>
            </w:r>
          </w:p>
          <w:p w14:paraId="67CCB071">
            <w:pPr>
              <w:spacing w:before="24" w:beforeLines="10" w:line="360" w:lineRule="auto"/>
              <w:ind w:firstLine="420" w:firstLineChars="200"/>
              <w:rPr>
                <w:rFonts w:hint="eastAsia" w:ascii="宋体" w:hAnsi="宋体" w:cs="宋体"/>
                <w:color w:val="auto"/>
                <w:szCs w:val="21"/>
              </w:rPr>
            </w:pPr>
            <w:r>
              <w:rPr>
                <w:rFonts w:hint="eastAsia" w:ascii="宋体" w:hAnsi="宋体" w:cs="宋体"/>
                <w:color w:val="auto"/>
                <w:szCs w:val="21"/>
              </w:rPr>
              <w:t>同一投标人（包括联合体），小微企业、监狱、残疾人福利性企业投标价格扣除优惠只享受一次，不得重复享受。</w:t>
            </w:r>
          </w:p>
          <w:p w14:paraId="2820717C">
            <w:pPr>
              <w:spacing w:before="24" w:beforeLines="10" w:line="360" w:lineRule="auto"/>
              <w:ind w:firstLine="422" w:firstLineChars="200"/>
              <w:rPr>
                <w:rFonts w:hint="eastAsia" w:ascii="宋体" w:hAnsi="宋体" w:cs="宋体"/>
                <w:color w:val="auto"/>
                <w:szCs w:val="21"/>
              </w:rPr>
            </w:pPr>
            <w:r>
              <w:rPr>
                <w:rFonts w:hint="eastAsia" w:ascii="宋体" w:hAnsi="宋体" w:cs="宋体"/>
                <w:b/>
                <w:color w:val="auto"/>
                <w:szCs w:val="21"/>
              </w:rPr>
              <w:t>价格分采用低价优先法计算，</w:t>
            </w:r>
            <w:r>
              <w:rPr>
                <w:rFonts w:hint="eastAsia" w:ascii="宋体" w:hAnsi="宋体" w:cs="宋体"/>
                <w:color w:val="auto"/>
                <w:szCs w:val="21"/>
              </w:rPr>
              <w:t>即满足招标文件要求且评标报价最低的评标报价为评标基准价，其价格分为满分。其他投标人的价格分统一按照下列公式计算：</w:t>
            </w:r>
          </w:p>
          <w:p w14:paraId="50BA0F95">
            <w:pPr>
              <w:spacing w:before="24" w:beforeLines="10" w:line="360" w:lineRule="auto"/>
              <w:ind w:firstLine="422" w:firstLineChars="200"/>
              <w:rPr>
                <w:rFonts w:ascii="宋体" w:hAnsi="宋体" w:cs="宋体"/>
                <w:color w:val="auto"/>
                <w:kern w:val="0"/>
                <w:szCs w:val="21"/>
              </w:rPr>
            </w:pPr>
            <w:r>
              <w:rPr>
                <w:rFonts w:hint="eastAsia" w:ascii="宋体" w:hAnsi="宋体" w:cs="宋体"/>
                <w:b/>
                <w:color w:val="auto"/>
                <w:szCs w:val="21"/>
              </w:rPr>
              <w:t>投标报价得分=(评标基准价／</w:t>
            </w:r>
            <w:r>
              <w:rPr>
                <w:rFonts w:hint="eastAsia" w:ascii="宋体" w:hAnsi="宋体" w:cs="宋体"/>
                <w:b/>
                <w:color w:val="auto"/>
                <w:szCs w:val="21"/>
                <w:lang w:val="en-US" w:eastAsia="zh-CN"/>
              </w:rPr>
              <w:t>投标</w:t>
            </w:r>
            <w:r>
              <w:rPr>
                <w:rFonts w:hint="eastAsia" w:ascii="宋体" w:hAnsi="宋体" w:cs="宋体"/>
                <w:b/>
                <w:color w:val="auto"/>
                <w:szCs w:val="21"/>
              </w:rPr>
              <w:t>报价)×30</w:t>
            </w:r>
          </w:p>
        </w:tc>
      </w:tr>
      <w:tr w14:paraId="6673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990" w:type="dxa"/>
            <w:vMerge w:val="restart"/>
            <w:noWrap w:val="0"/>
            <w:vAlign w:val="center"/>
          </w:tcPr>
          <w:p w14:paraId="3DBE41EC">
            <w:pPr>
              <w:widowControl/>
              <w:spacing w:before="24" w:beforeLines="10" w:line="360" w:lineRule="auto"/>
              <w:jc w:val="center"/>
              <w:rPr>
                <w:rFonts w:hint="eastAsia" w:ascii="宋体" w:hAnsi="宋体" w:cs="宋体"/>
                <w:color w:val="auto"/>
                <w:kern w:val="0"/>
                <w:szCs w:val="21"/>
              </w:rPr>
            </w:pPr>
            <w:r>
              <w:rPr>
                <w:rFonts w:hint="eastAsia" w:ascii="宋体" w:hAnsi="宋体" w:cs="宋体"/>
                <w:color w:val="auto"/>
                <w:kern w:val="0"/>
                <w:szCs w:val="21"/>
              </w:rPr>
              <w:t>2.2.2（2）</w:t>
            </w:r>
          </w:p>
        </w:tc>
        <w:tc>
          <w:tcPr>
            <w:tcW w:w="990" w:type="dxa"/>
            <w:gridSpan w:val="2"/>
            <w:vMerge w:val="restart"/>
            <w:noWrap w:val="0"/>
            <w:vAlign w:val="center"/>
          </w:tcPr>
          <w:p w14:paraId="7C98772F">
            <w:pPr>
              <w:widowControl/>
              <w:spacing w:before="24" w:beforeLines="10" w:line="360" w:lineRule="auto"/>
              <w:jc w:val="center"/>
              <w:rPr>
                <w:rFonts w:hint="eastAsia" w:ascii="宋体" w:hAnsi="宋体"/>
                <w:b/>
                <w:color w:val="auto"/>
                <w:szCs w:val="21"/>
              </w:rPr>
            </w:pPr>
            <w:r>
              <w:rPr>
                <w:rFonts w:hint="eastAsia" w:ascii="宋体" w:hAnsi="宋体" w:cs="宋体"/>
                <w:b/>
                <w:color w:val="auto"/>
                <w:szCs w:val="21"/>
              </w:rPr>
              <w:t>技术部分（50分）</w:t>
            </w:r>
          </w:p>
        </w:tc>
        <w:tc>
          <w:tcPr>
            <w:tcW w:w="2126" w:type="dxa"/>
            <w:noWrap w:val="0"/>
            <w:vAlign w:val="center"/>
          </w:tcPr>
          <w:p w14:paraId="7B8DB372">
            <w:pPr>
              <w:widowControl/>
              <w:spacing w:before="24" w:beforeLines="10" w:line="360" w:lineRule="auto"/>
              <w:jc w:val="center"/>
              <w:rPr>
                <w:rFonts w:hint="eastAsia" w:ascii="宋体" w:hAnsi="宋体" w:cs="宋体"/>
                <w:color w:val="auto"/>
                <w:kern w:val="0"/>
                <w:szCs w:val="21"/>
              </w:rPr>
            </w:pPr>
            <w:r>
              <w:rPr>
                <w:rFonts w:hint="eastAsia" w:ascii="宋体" w:hAnsi="宋体" w:cs="宋体"/>
                <w:b/>
                <w:bCs/>
                <w:color w:val="auto"/>
                <w:kern w:val="0"/>
                <w:szCs w:val="21"/>
              </w:rPr>
              <w:t>投标主要设备技术指标的响应程度：</w:t>
            </w:r>
            <w:r>
              <w:rPr>
                <w:rFonts w:hint="eastAsia" w:ascii="宋体" w:hAnsi="宋体" w:cs="宋体"/>
                <w:b/>
                <w:bCs/>
                <w:color w:val="auto"/>
                <w:kern w:val="0"/>
                <w:szCs w:val="21"/>
                <w:lang w:val="en-US" w:eastAsia="zh-CN"/>
              </w:rPr>
              <w:t>20</w:t>
            </w:r>
            <w:r>
              <w:rPr>
                <w:rFonts w:hint="eastAsia" w:ascii="宋体" w:hAnsi="宋体" w:cs="宋体"/>
                <w:b/>
                <w:bCs/>
                <w:color w:val="auto"/>
                <w:kern w:val="0"/>
                <w:szCs w:val="21"/>
              </w:rPr>
              <w:t>分</w:t>
            </w:r>
          </w:p>
        </w:tc>
        <w:tc>
          <w:tcPr>
            <w:tcW w:w="5245" w:type="dxa"/>
            <w:noWrap w:val="0"/>
            <w:vAlign w:val="center"/>
          </w:tcPr>
          <w:p w14:paraId="21ACC9C2">
            <w:pPr>
              <w:spacing w:line="400" w:lineRule="exact"/>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投标货物的技术参数、技术性能满足招标文件要求得</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val="en-US" w:eastAsia="zh-CN"/>
              </w:rPr>
              <w:t>其中★代表必须满足的，▲代表重要参数，有一项不满足</w:t>
            </w:r>
            <w:r>
              <w:rPr>
                <w:rFonts w:hint="eastAsia" w:ascii="宋体" w:hAnsi="宋体" w:cs="宋体"/>
                <w:color w:val="auto"/>
                <w:sz w:val="21"/>
                <w:szCs w:val="21"/>
                <w:highlight w:val="none"/>
                <w:lang w:eastAsia="zh-CN"/>
              </w:rPr>
              <w:t>在满分</w:t>
            </w:r>
            <w:r>
              <w:rPr>
                <w:rFonts w:hint="eastAsia" w:ascii="宋体" w:hAnsi="宋体" w:cs="宋体"/>
                <w:color w:val="auto"/>
                <w:sz w:val="21"/>
                <w:szCs w:val="21"/>
                <w:highlight w:val="none"/>
                <w:lang w:val="en-US" w:eastAsia="zh-CN"/>
              </w:rPr>
              <w:t>20分的基础上扣0.5分，其余部分</w:t>
            </w:r>
            <w:r>
              <w:rPr>
                <w:rFonts w:hint="eastAsia" w:ascii="宋体" w:hAnsi="宋体" w:eastAsia="宋体" w:cs="宋体"/>
                <w:color w:val="auto"/>
                <w:sz w:val="21"/>
                <w:szCs w:val="21"/>
                <w:highlight w:val="none"/>
              </w:rPr>
              <w:t>每有一项不满足扣</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05</w:t>
            </w:r>
            <w:r>
              <w:rPr>
                <w:rFonts w:hint="eastAsia" w:ascii="宋体" w:hAnsi="宋体" w:eastAsia="宋体" w:cs="宋体"/>
                <w:color w:val="auto"/>
                <w:sz w:val="21"/>
                <w:szCs w:val="21"/>
                <w:highlight w:val="none"/>
              </w:rPr>
              <w:t>分，扣完为止。</w:t>
            </w:r>
          </w:p>
          <w:p w14:paraId="49EC1E02">
            <w:pPr>
              <w:spacing w:line="400" w:lineRule="exact"/>
              <w:ind w:firstLine="420" w:firstLineChars="200"/>
              <w:rPr>
                <w:rFonts w:hint="default" w:ascii="宋体" w:hAnsi="宋体" w:eastAsia="宋体"/>
                <w:color w:val="auto"/>
                <w:szCs w:val="21"/>
                <w:lang w:val="en-US" w:eastAsia="zh-CN"/>
              </w:rPr>
            </w:pPr>
            <w:r>
              <w:rPr>
                <w:rFonts w:hint="eastAsia" w:ascii="宋体" w:hAnsi="宋体"/>
                <w:color w:val="auto"/>
                <w:szCs w:val="21"/>
                <w:highlight w:val="none"/>
              </w:rPr>
              <w:t>注：投标人按照招标文件的要求</w:t>
            </w:r>
            <w:r>
              <w:rPr>
                <w:rFonts w:hint="eastAsia" w:ascii="宋体" w:hAnsi="宋体"/>
                <w:color w:val="auto"/>
                <w:szCs w:val="21"/>
                <w:highlight w:val="none"/>
                <w:lang w:val="en-US" w:eastAsia="zh-CN"/>
              </w:rPr>
              <w:t>对采购需</w:t>
            </w:r>
            <w:r>
              <w:rPr>
                <w:rFonts w:hint="eastAsia" w:ascii="宋体" w:hAnsi="宋体"/>
                <w:color w:val="auto"/>
                <w:szCs w:val="21"/>
                <w:lang w:val="en-US" w:eastAsia="zh-CN"/>
              </w:rPr>
              <w:t>求逐条响应并在偏差表中逐条填写。</w:t>
            </w:r>
          </w:p>
        </w:tc>
      </w:tr>
      <w:tr w14:paraId="1108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4" w:hRule="atLeast"/>
          <w:jc w:val="center"/>
        </w:trPr>
        <w:tc>
          <w:tcPr>
            <w:tcW w:w="990" w:type="dxa"/>
            <w:vMerge w:val="continue"/>
            <w:noWrap w:val="0"/>
            <w:vAlign w:val="center"/>
          </w:tcPr>
          <w:p w14:paraId="009F5A07">
            <w:pPr>
              <w:widowControl/>
              <w:spacing w:before="24" w:beforeLines="10" w:line="360" w:lineRule="auto"/>
              <w:jc w:val="center"/>
              <w:rPr>
                <w:rFonts w:hint="eastAsia" w:ascii="宋体" w:hAnsi="宋体" w:cs="宋体"/>
                <w:color w:val="auto"/>
                <w:kern w:val="0"/>
                <w:szCs w:val="21"/>
              </w:rPr>
            </w:pPr>
          </w:p>
        </w:tc>
        <w:tc>
          <w:tcPr>
            <w:tcW w:w="990" w:type="dxa"/>
            <w:gridSpan w:val="2"/>
            <w:vMerge w:val="continue"/>
            <w:noWrap w:val="0"/>
            <w:vAlign w:val="center"/>
          </w:tcPr>
          <w:p w14:paraId="3AA348CD">
            <w:pPr>
              <w:widowControl/>
              <w:spacing w:before="24" w:beforeLines="10" w:line="360" w:lineRule="auto"/>
              <w:jc w:val="center"/>
              <w:rPr>
                <w:rFonts w:hint="eastAsia" w:hAnsi="宋体"/>
                <w:b/>
                <w:color w:val="auto"/>
              </w:rPr>
            </w:pPr>
          </w:p>
        </w:tc>
        <w:tc>
          <w:tcPr>
            <w:tcW w:w="2126" w:type="dxa"/>
            <w:noWrap w:val="0"/>
            <w:vAlign w:val="center"/>
          </w:tcPr>
          <w:p w14:paraId="2538B360">
            <w:pPr>
              <w:widowControl/>
              <w:spacing w:before="24" w:beforeLines="10" w:line="360" w:lineRule="auto"/>
              <w:jc w:val="center"/>
              <w:rPr>
                <w:rFonts w:hint="eastAsia" w:ascii="宋体" w:hAnsi="宋体" w:cs="宋体"/>
                <w:color w:val="auto"/>
                <w:kern w:val="0"/>
                <w:szCs w:val="21"/>
              </w:rPr>
            </w:pPr>
            <w:r>
              <w:rPr>
                <w:rFonts w:hint="eastAsia" w:ascii="宋体" w:hAnsi="宋体" w:cs="宋体"/>
                <w:b/>
                <w:bCs/>
                <w:color w:val="auto"/>
                <w:kern w:val="0"/>
                <w:szCs w:val="21"/>
              </w:rPr>
              <w:t>设备制造工艺、稳定性：</w:t>
            </w:r>
            <w:r>
              <w:rPr>
                <w:rFonts w:hint="eastAsia" w:ascii="宋体" w:hAnsi="宋体" w:cs="宋体"/>
                <w:b/>
                <w:bCs/>
                <w:color w:val="auto"/>
                <w:kern w:val="0"/>
                <w:szCs w:val="21"/>
                <w:lang w:val="en-US" w:eastAsia="zh-CN"/>
              </w:rPr>
              <w:t>8</w:t>
            </w:r>
            <w:r>
              <w:rPr>
                <w:rFonts w:hint="eastAsia" w:ascii="宋体" w:hAnsi="宋体" w:cs="宋体"/>
                <w:b/>
                <w:bCs/>
                <w:color w:val="auto"/>
                <w:kern w:val="0"/>
                <w:szCs w:val="21"/>
              </w:rPr>
              <w:t>分</w:t>
            </w:r>
          </w:p>
        </w:tc>
        <w:tc>
          <w:tcPr>
            <w:tcW w:w="5245" w:type="dxa"/>
            <w:noWrap w:val="0"/>
            <w:vAlign w:val="center"/>
          </w:tcPr>
          <w:p w14:paraId="6044D3FC">
            <w:pPr>
              <w:spacing w:before="24" w:beforeLines="10" w:line="360" w:lineRule="auto"/>
              <w:ind w:firstLine="420" w:firstLineChars="200"/>
              <w:rPr>
                <w:rFonts w:hint="eastAsia" w:ascii="宋体" w:hAnsi="宋体" w:cs="宋体"/>
                <w:color w:val="auto"/>
                <w:szCs w:val="21"/>
              </w:rPr>
            </w:pPr>
            <w:r>
              <w:rPr>
                <w:rFonts w:hint="eastAsia" w:ascii="宋体" w:hAnsi="宋体" w:cs="宋体"/>
                <w:color w:val="auto"/>
                <w:szCs w:val="21"/>
              </w:rPr>
              <w:t>根据项目特性结合各投标设备制造工艺、稳定性等进行打分：</w:t>
            </w:r>
          </w:p>
          <w:p w14:paraId="52A2EBC0">
            <w:pPr>
              <w:spacing w:before="24" w:beforeLines="10" w:line="360" w:lineRule="auto"/>
              <w:ind w:firstLine="420" w:firstLineChars="200"/>
              <w:rPr>
                <w:rFonts w:hint="eastAsia" w:ascii="宋体" w:hAnsi="宋体" w:cs="宋体"/>
                <w:color w:val="auto"/>
                <w:szCs w:val="21"/>
              </w:rPr>
            </w:pPr>
            <w:r>
              <w:rPr>
                <w:rFonts w:hint="eastAsia" w:ascii="宋体" w:hAnsi="宋体" w:cs="宋体"/>
                <w:color w:val="auto"/>
                <w:szCs w:val="21"/>
              </w:rPr>
              <w:t>投标产品制造工艺、稳定性好，安全性（操作维修安全等）高的得</w:t>
            </w:r>
            <w:r>
              <w:rPr>
                <w:rFonts w:hint="eastAsia" w:ascii="宋体" w:hAnsi="宋体" w:cs="宋体"/>
                <w:color w:val="auto"/>
                <w:szCs w:val="21"/>
                <w:lang w:val="en-US" w:eastAsia="zh-CN"/>
              </w:rPr>
              <w:t>8</w:t>
            </w:r>
            <w:r>
              <w:rPr>
                <w:rFonts w:hint="eastAsia" w:ascii="宋体" w:hAnsi="宋体" w:cs="宋体"/>
                <w:color w:val="auto"/>
                <w:szCs w:val="21"/>
              </w:rPr>
              <w:t>分；</w:t>
            </w:r>
          </w:p>
          <w:p w14:paraId="148BFA04">
            <w:pPr>
              <w:spacing w:before="24" w:beforeLines="10" w:line="360" w:lineRule="auto"/>
              <w:ind w:firstLine="420" w:firstLineChars="200"/>
              <w:rPr>
                <w:rFonts w:hint="eastAsia" w:ascii="宋体" w:hAnsi="宋体" w:cs="宋体"/>
                <w:color w:val="auto"/>
                <w:szCs w:val="21"/>
              </w:rPr>
            </w:pPr>
            <w:r>
              <w:rPr>
                <w:rFonts w:hint="eastAsia" w:ascii="宋体" w:hAnsi="宋体" w:cs="宋体"/>
                <w:color w:val="auto"/>
                <w:szCs w:val="21"/>
              </w:rPr>
              <w:t>投标产品制造工艺、稳定性较好，安全性（操作维修安全等）较高的得</w:t>
            </w:r>
            <w:r>
              <w:rPr>
                <w:rFonts w:hint="eastAsia" w:ascii="宋体" w:hAnsi="宋体" w:cs="宋体"/>
                <w:color w:val="auto"/>
                <w:szCs w:val="21"/>
                <w:lang w:val="en-US" w:eastAsia="zh-CN"/>
              </w:rPr>
              <w:t>5</w:t>
            </w:r>
            <w:r>
              <w:rPr>
                <w:rFonts w:hint="eastAsia" w:ascii="宋体" w:hAnsi="宋体" w:cs="宋体"/>
                <w:color w:val="auto"/>
                <w:szCs w:val="21"/>
              </w:rPr>
              <w:t>分；</w:t>
            </w:r>
          </w:p>
          <w:p w14:paraId="08430BB6">
            <w:pPr>
              <w:spacing w:before="24" w:beforeLines="10" w:line="360" w:lineRule="auto"/>
              <w:ind w:firstLine="420" w:firstLineChars="200"/>
              <w:rPr>
                <w:rFonts w:hint="eastAsia" w:ascii="宋体" w:hAnsi="宋体" w:cs="宋体"/>
                <w:color w:val="auto"/>
                <w:szCs w:val="21"/>
              </w:rPr>
            </w:pPr>
            <w:r>
              <w:rPr>
                <w:rFonts w:hint="eastAsia" w:ascii="宋体" w:hAnsi="宋体" w:cs="宋体"/>
                <w:color w:val="auto"/>
                <w:szCs w:val="21"/>
              </w:rPr>
              <w:t>投标产品制造工艺、稳定性、安全性（操作维修安全等）一般的得</w:t>
            </w:r>
            <w:r>
              <w:rPr>
                <w:rFonts w:hint="eastAsia" w:ascii="宋体" w:hAnsi="宋体" w:cs="宋体"/>
                <w:color w:val="auto"/>
                <w:szCs w:val="21"/>
                <w:lang w:val="en-US" w:eastAsia="zh-CN"/>
              </w:rPr>
              <w:t>3</w:t>
            </w:r>
            <w:r>
              <w:rPr>
                <w:rFonts w:hint="eastAsia" w:ascii="宋体" w:hAnsi="宋体" w:cs="宋体"/>
                <w:color w:val="auto"/>
                <w:szCs w:val="21"/>
              </w:rPr>
              <w:t>分。</w:t>
            </w:r>
          </w:p>
          <w:p w14:paraId="4451BDAE">
            <w:pPr>
              <w:spacing w:before="24" w:beforeLines="10"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投标产品制造工艺、稳定性、安全性（操作维修安全等）差的得 </w:t>
            </w:r>
            <w:r>
              <w:rPr>
                <w:rFonts w:hint="eastAsia" w:ascii="宋体" w:hAnsi="宋体" w:cs="宋体"/>
                <w:color w:val="auto"/>
                <w:szCs w:val="21"/>
                <w:lang w:val="en-US" w:eastAsia="zh-CN"/>
              </w:rPr>
              <w:t>0</w:t>
            </w:r>
            <w:r>
              <w:rPr>
                <w:rFonts w:hint="eastAsia" w:ascii="宋体" w:hAnsi="宋体" w:cs="宋体"/>
                <w:color w:val="auto"/>
                <w:szCs w:val="21"/>
              </w:rPr>
              <w:t>分。</w:t>
            </w:r>
          </w:p>
        </w:tc>
      </w:tr>
      <w:tr w14:paraId="1DC3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noWrap w:val="0"/>
            <w:vAlign w:val="center"/>
          </w:tcPr>
          <w:p w14:paraId="19D1E268">
            <w:pPr>
              <w:widowControl/>
              <w:spacing w:before="24" w:beforeLines="10" w:line="360" w:lineRule="auto"/>
              <w:jc w:val="center"/>
              <w:rPr>
                <w:rFonts w:hint="eastAsia" w:ascii="宋体" w:hAnsi="宋体" w:cs="宋体"/>
                <w:color w:val="auto"/>
                <w:kern w:val="0"/>
                <w:szCs w:val="21"/>
              </w:rPr>
            </w:pPr>
          </w:p>
        </w:tc>
        <w:tc>
          <w:tcPr>
            <w:tcW w:w="990" w:type="dxa"/>
            <w:gridSpan w:val="2"/>
            <w:vMerge w:val="continue"/>
            <w:noWrap w:val="0"/>
            <w:vAlign w:val="center"/>
          </w:tcPr>
          <w:p w14:paraId="3823E756">
            <w:pPr>
              <w:widowControl/>
              <w:spacing w:before="24" w:beforeLines="10" w:line="360" w:lineRule="auto"/>
              <w:jc w:val="center"/>
              <w:rPr>
                <w:rFonts w:hint="eastAsia" w:ascii="宋体" w:hAnsi="宋体" w:cs="宋体"/>
                <w:color w:val="auto"/>
                <w:kern w:val="0"/>
                <w:szCs w:val="21"/>
              </w:rPr>
            </w:pPr>
          </w:p>
        </w:tc>
        <w:tc>
          <w:tcPr>
            <w:tcW w:w="2126" w:type="dxa"/>
            <w:noWrap w:val="0"/>
            <w:vAlign w:val="center"/>
          </w:tcPr>
          <w:p w14:paraId="5E477CBD">
            <w:pPr>
              <w:widowControl/>
              <w:jc w:val="center"/>
              <w:rPr>
                <w:rFonts w:hint="eastAsia" w:ascii="宋体" w:hAnsi="宋体" w:cs="宋体"/>
                <w:color w:val="auto"/>
                <w:kern w:val="0"/>
                <w:szCs w:val="21"/>
              </w:rPr>
            </w:pPr>
            <w:r>
              <w:rPr>
                <w:rFonts w:hint="eastAsia" w:ascii="宋体" w:hAnsi="宋体" w:cs="宋体"/>
                <w:b/>
                <w:bCs/>
                <w:color w:val="auto"/>
                <w:kern w:val="0"/>
                <w:szCs w:val="21"/>
              </w:rPr>
              <w:t>供货方案：</w:t>
            </w:r>
            <w:r>
              <w:rPr>
                <w:rFonts w:hint="eastAsia" w:ascii="宋体" w:hAnsi="宋体" w:cs="宋体"/>
                <w:b/>
                <w:bCs/>
                <w:color w:val="auto"/>
                <w:kern w:val="0"/>
                <w:szCs w:val="21"/>
                <w:lang w:val="en-US" w:eastAsia="zh-CN"/>
              </w:rPr>
              <w:t>8</w:t>
            </w:r>
            <w:r>
              <w:rPr>
                <w:rFonts w:hint="eastAsia" w:ascii="宋体" w:hAnsi="宋体" w:cs="宋体"/>
                <w:b/>
                <w:bCs/>
                <w:color w:val="auto"/>
                <w:kern w:val="0"/>
                <w:szCs w:val="21"/>
              </w:rPr>
              <w:t>分</w:t>
            </w:r>
          </w:p>
        </w:tc>
        <w:tc>
          <w:tcPr>
            <w:tcW w:w="5245" w:type="dxa"/>
            <w:noWrap w:val="0"/>
            <w:vAlign w:val="center"/>
          </w:tcPr>
          <w:p w14:paraId="5E43C47E">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有详细的供货方案，且具有详细可行的实施计划和明确的工作流程，措施完整，优于采购需求的，得</w:t>
            </w:r>
            <w:r>
              <w:rPr>
                <w:rFonts w:hint="eastAsia" w:ascii="宋体" w:hAnsi="宋体" w:cs="宋体"/>
                <w:color w:val="auto"/>
                <w:kern w:val="0"/>
                <w:szCs w:val="21"/>
                <w:lang w:val="en-US" w:eastAsia="zh-CN"/>
              </w:rPr>
              <w:t>8</w:t>
            </w:r>
            <w:r>
              <w:rPr>
                <w:rFonts w:hint="eastAsia" w:ascii="宋体" w:hAnsi="宋体" w:cs="宋体"/>
                <w:color w:val="auto"/>
                <w:kern w:val="0"/>
                <w:szCs w:val="21"/>
              </w:rPr>
              <w:t>分。</w:t>
            </w:r>
          </w:p>
          <w:p w14:paraId="5027898A">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有较详细的供货方案，且具有较为详细可行的实施计划和的工作流程，措施较完整，满足采购需求，得</w:t>
            </w:r>
            <w:r>
              <w:rPr>
                <w:rFonts w:hint="eastAsia" w:ascii="宋体" w:hAnsi="宋体" w:cs="宋体"/>
                <w:color w:val="auto"/>
                <w:kern w:val="0"/>
                <w:szCs w:val="21"/>
                <w:lang w:val="en-US" w:eastAsia="zh-CN"/>
              </w:rPr>
              <w:t>5</w:t>
            </w:r>
            <w:r>
              <w:rPr>
                <w:rFonts w:hint="eastAsia" w:ascii="宋体" w:hAnsi="宋体" w:cs="宋体"/>
                <w:color w:val="auto"/>
                <w:kern w:val="0"/>
                <w:szCs w:val="21"/>
              </w:rPr>
              <w:t>分。</w:t>
            </w:r>
          </w:p>
          <w:p w14:paraId="44278ED3">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有较详细的供货方案，但实施计划和的工作流程一般，基本满足采购需求，得</w:t>
            </w:r>
            <w:r>
              <w:rPr>
                <w:rFonts w:hint="eastAsia" w:ascii="宋体" w:hAnsi="宋体" w:cs="宋体"/>
                <w:color w:val="auto"/>
                <w:kern w:val="0"/>
                <w:szCs w:val="21"/>
                <w:lang w:val="en-US" w:eastAsia="zh-CN"/>
              </w:rPr>
              <w:t>3</w:t>
            </w:r>
            <w:r>
              <w:rPr>
                <w:rFonts w:hint="eastAsia" w:ascii="宋体" w:hAnsi="宋体" w:cs="宋体"/>
                <w:color w:val="auto"/>
                <w:kern w:val="0"/>
                <w:szCs w:val="21"/>
              </w:rPr>
              <w:t>分。</w:t>
            </w:r>
          </w:p>
          <w:p w14:paraId="61D76DD9">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供货方案不完整，实施计划和工作流程不可行，得1分。</w:t>
            </w:r>
          </w:p>
          <w:p w14:paraId="39317922">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缺项得0分。</w:t>
            </w:r>
          </w:p>
        </w:tc>
      </w:tr>
      <w:tr w14:paraId="0AE0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990" w:type="dxa"/>
            <w:vMerge w:val="continue"/>
            <w:noWrap w:val="0"/>
            <w:vAlign w:val="center"/>
          </w:tcPr>
          <w:p w14:paraId="7C4DD764">
            <w:pPr>
              <w:widowControl/>
              <w:spacing w:before="24" w:beforeLines="10" w:line="360" w:lineRule="auto"/>
              <w:jc w:val="center"/>
              <w:rPr>
                <w:rFonts w:hint="eastAsia" w:ascii="宋体" w:hAnsi="宋体" w:cs="宋体"/>
                <w:color w:val="auto"/>
                <w:kern w:val="0"/>
                <w:szCs w:val="21"/>
              </w:rPr>
            </w:pPr>
          </w:p>
        </w:tc>
        <w:tc>
          <w:tcPr>
            <w:tcW w:w="990" w:type="dxa"/>
            <w:gridSpan w:val="2"/>
            <w:vMerge w:val="continue"/>
            <w:noWrap w:val="0"/>
            <w:vAlign w:val="center"/>
          </w:tcPr>
          <w:p w14:paraId="56333D3A">
            <w:pPr>
              <w:widowControl/>
              <w:spacing w:before="24" w:beforeLines="10" w:line="360" w:lineRule="auto"/>
              <w:jc w:val="center"/>
              <w:rPr>
                <w:rFonts w:hint="eastAsia" w:ascii="宋体" w:hAnsi="宋体" w:cs="宋体"/>
                <w:color w:val="auto"/>
                <w:kern w:val="0"/>
                <w:szCs w:val="21"/>
              </w:rPr>
            </w:pPr>
          </w:p>
        </w:tc>
        <w:tc>
          <w:tcPr>
            <w:tcW w:w="2126" w:type="dxa"/>
            <w:noWrap w:val="0"/>
            <w:vAlign w:val="center"/>
          </w:tcPr>
          <w:p w14:paraId="19762655">
            <w:pPr>
              <w:widowControl/>
              <w:jc w:val="center"/>
              <w:rPr>
                <w:rFonts w:ascii="宋体" w:hAnsi="宋体" w:cs="宋体"/>
                <w:b/>
                <w:bCs/>
                <w:color w:val="auto"/>
                <w:kern w:val="0"/>
                <w:szCs w:val="21"/>
              </w:rPr>
            </w:pPr>
            <w:r>
              <w:rPr>
                <w:rFonts w:hint="eastAsia" w:ascii="宋体" w:hAnsi="宋体" w:cs="宋体"/>
                <w:b/>
                <w:bCs/>
                <w:color w:val="auto"/>
                <w:kern w:val="0"/>
                <w:szCs w:val="21"/>
              </w:rPr>
              <w:t>安装、调试方案：</w:t>
            </w:r>
            <w:r>
              <w:rPr>
                <w:rFonts w:hint="eastAsia" w:ascii="宋体" w:hAnsi="宋体" w:cs="宋体"/>
                <w:b/>
                <w:bCs/>
                <w:color w:val="auto"/>
                <w:kern w:val="0"/>
                <w:szCs w:val="21"/>
                <w:lang w:val="en-US" w:eastAsia="zh-CN"/>
              </w:rPr>
              <w:t>8</w:t>
            </w:r>
            <w:r>
              <w:rPr>
                <w:rFonts w:hint="eastAsia" w:ascii="宋体" w:hAnsi="宋体" w:cs="宋体"/>
                <w:b/>
                <w:bCs/>
                <w:color w:val="auto"/>
                <w:kern w:val="0"/>
                <w:szCs w:val="21"/>
              </w:rPr>
              <w:t>分</w:t>
            </w:r>
          </w:p>
        </w:tc>
        <w:tc>
          <w:tcPr>
            <w:tcW w:w="5245" w:type="dxa"/>
            <w:noWrap w:val="0"/>
            <w:vAlign w:val="center"/>
          </w:tcPr>
          <w:p w14:paraId="542CFEA0">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设备安装调试、试运行测试、运行维护等内容描述完善、详细，优于采购需求的，得</w:t>
            </w:r>
            <w:r>
              <w:rPr>
                <w:rFonts w:hint="eastAsia" w:ascii="宋体" w:hAnsi="宋体" w:cs="宋体"/>
                <w:color w:val="auto"/>
                <w:kern w:val="0"/>
                <w:szCs w:val="21"/>
                <w:lang w:val="en-US" w:eastAsia="zh-CN"/>
              </w:rPr>
              <w:t>8</w:t>
            </w:r>
            <w:r>
              <w:rPr>
                <w:rFonts w:hint="eastAsia" w:ascii="宋体" w:hAnsi="宋体" w:cs="宋体"/>
                <w:color w:val="auto"/>
                <w:kern w:val="0"/>
                <w:szCs w:val="21"/>
              </w:rPr>
              <w:t>分。</w:t>
            </w:r>
          </w:p>
          <w:p w14:paraId="6F023BB0">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设备安装调试、试运行测试、运行维护等内容描述较完善、详细，满足采购需求的，得</w:t>
            </w:r>
            <w:r>
              <w:rPr>
                <w:rFonts w:hint="eastAsia" w:ascii="宋体" w:hAnsi="宋体" w:cs="宋体"/>
                <w:color w:val="auto"/>
                <w:kern w:val="0"/>
                <w:szCs w:val="21"/>
                <w:lang w:val="en-US" w:eastAsia="zh-CN"/>
              </w:rPr>
              <w:t>5</w:t>
            </w:r>
            <w:r>
              <w:rPr>
                <w:rFonts w:hint="eastAsia" w:ascii="宋体" w:hAnsi="宋体" w:cs="宋体"/>
                <w:color w:val="auto"/>
                <w:kern w:val="0"/>
                <w:szCs w:val="21"/>
              </w:rPr>
              <w:t>分。</w:t>
            </w:r>
          </w:p>
          <w:p w14:paraId="33089E6D">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设备安装调试、试运行测试、运行维护等内容描述基本完善、详细，基本满足采购需求的，得</w:t>
            </w:r>
            <w:r>
              <w:rPr>
                <w:rFonts w:hint="eastAsia" w:ascii="宋体" w:hAnsi="宋体" w:cs="宋体"/>
                <w:color w:val="auto"/>
                <w:kern w:val="0"/>
                <w:szCs w:val="21"/>
                <w:lang w:val="en-US" w:eastAsia="zh-CN"/>
              </w:rPr>
              <w:t>3</w:t>
            </w:r>
            <w:r>
              <w:rPr>
                <w:rFonts w:hint="eastAsia" w:ascii="宋体" w:hAnsi="宋体" w:cs="宋体"/>
                <w:color w:val="auto"/>
                <w:kern w:val="0"/>
                <w:szCs w:val="21"/>
              </w:rPr>
              <w:t>分。</w:t>
            </w:r>
          </w:p>
          <w:p w14:paraId="533F4E42">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设备安装调试、试运行测试、运行维护等内容描述不完善、详细的，得1分。</w:t>
            </w:r>
          </w:p>
          <w:p w14:paraId="2B545CB8">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缺项得0分。</w:t>
            </w:r>
          </w:p>
        </w:tc>
      </w:tr>
      <w:tr w14:paraId="5352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990" w:type="dxa"/>
            <w:vMerge w:val="continue"/>
            <w:noWrap w:val="0"/>
            <w:vAlign w:val="center"/>
          </w:tcPr>
          <w:p w14:paraId="2B22CCA5">
            <w:pPr>
              <w:spacing w:line="360" w:lineRule="auto"/>
              <w:ind w:firstLine="420" w:firstLineChars="200"/>
              <w:jc w:val="left"/>
            </w:pPr>
          </w:p>
        </w:tc>
        <w:tc>
          <w:tcPr>
            <w:tcW w:w="990" w:type="dxa"/>
            <w:gridSpan w:val="2"/>
            <w:vMerge w:val="continue"/>
            <w:noWrap w:val="0"/>
            <w:vAlign w:val="center"/>
          </w:tcPr>
          <w:p w14:paraId="5173F5D3">
            <w:pPr>
              <w:spacing w:line="360" w:lineRule="auto"/>
              <w:ind w:firstLine="420" w:firstLineChars="200"/>
              <w:jc w:val="left"/>
            </w:pPr>
          </w:p>
        </w:tc>
        <w:tc>
          <w:tcPr>
            <w:tcW w:w="2126" w:type="dxa"/>
            <w:noWrap w:val="0"/>
            <w:vAlign w:val="center"/>
          </w:tcPr>
          <w:p w14:paraId="2FBB7475">
            <w:pPr>
              <w:pStyle w:val="17"/>
              <w:spacing w:line="360" w:lineRule="auto"/>
              <w:jc w:val="center"/>
              <w:rPr>
                <w:rFonts w:hint="eastAsia" w:ascii="宋体" w:hAnsi="宋体" w:eastAsia="宋体" w:cs="宋体"/>
                <w:b/>
                <w:color w:val="auto"/>
                <w:kern w:val="0"/>
                <w:sz w:val="21"/>
                <w:szCs w:val="21"/>
                <w:highlight w:val="none"/>
                <w:lang w:val="en-US" w:eastAsia="zh-CN" w:bidi="ar-SA"/>
              </w:rPr>
            </w:pPr>
            <w:r>
              <w:rPr>
                <w:rFonts w:hint="eastAsia" w:hAnsi="宋体" w:cs="宋体"/>
                <w:b/>
                <w:color w:val="auto"/>
                <w:kern w:val="0"/>
                <w:highlight w:val="none"/>
                <w:lang w:val="en-US" w:eastAsia="zh-CN"/>
              </w:rPr>
              <w:t>备品备件：6分</w:t>
            </w:r>
          </w:p>
        </w:tc>
        <w:tc>
          <w:tcPr>
            <w:tcW w:w="5245" w:type="dxa"/>
            <w:noWrap w:val="0"/>
            <w:vAlign w:val="center"/>
          </w:tcPr>
          <w:p w14:paraId="0D739454">
            <w:pPr>
              <w:keepNext w:val="0"/>
              <w:keepLines w:val="0"/>
              <w:pageBreakBefore w:val="0"/>
              <w:widowControl/>
              <w:numPr>
                <w:ilvl w:val="0"/>
                <w:numId w:val="0"/>
              </w:numPr>
              <w:kinsoku/>
              <w:wordWrap/>
              <w:overflowPunct/>
              <w:topLinePunct w:val="0"/>
              <w:autoSpaceDE/>
              <w:autoSpaceDN/>
              <w:bidi w:val="0"/>
              <w:adjustRightInd/>
              <w:snapToGrid/>
              <w:spacing w:line="360" w:lineRule="auto"/>
              <w:ind w:right="105" w:rightChars="50" w:firstLine="420" w:firstLineChars="200"/>
              <w:textAlignment w:val="auto"/>
              <w:rPr>
                <w:rFonts w:hint="eastAsia" w:ascii="宋体" w:hAnsi="宋体" w:cs="宋体"/>
                <w:color w:val="auto"/>
                <w:spacing w:val="0"/>
                <w:kern w:val="0"/>
                <w:sz w:val="21"/>
                <w:szCs w:val="21"/>
                <w:highlight w:val="none"/>
              </w:rPr>
            </w:pPr>
            <w:r>
              <w:rPr>
                <w:rFonts w:hint="eastAsia" w:ascii="宋体" w:hAnsi="宋体" w:cs="宋体"/>
                <w:color w:val="auto"/>
                <w:spacing w:val="0"/>
                <w:kern w:val="0"/>
                <w:sz w:val="21"/>
                <w:szCs w:val="21"/>
                <w:highlight w:val="none"/>
              </w:rPr>
              <w:t>备品备件保障措施考虑周全、高效、可行，完全满足项目要求的，得</w:t>
            </w:r>
            <w:r>
              <w:rPr>
                <w:rFonts w:hint="eastAsia" w:ascii="宋体" w:hAnsi="宋体" w:cs="宋体"/>
                <w:color w:val="auto"/>
                <w:spacing w:val="0"/>
                <w:kern w:val="0"/>
                <w:sz w:val="21"/>
                <w:szCs w:val="21"/>
                <w:highlight w:val="none"/>
                <w:lang w:val="en-US" w:eastAsia="zh-CN"/>
              </w:rPr>
              <w:t>6</w:t>
            </w:r>
            <w:r>
              <w:rPr>
                <w:rFonts w:hint="eastAsia" w:ascii="宋体" w:hAnsi="宋体" w:cs="宋体"/>
                <w:color w:val="auto"/>
                <w:spacing w:val="0"/>
                <w:kern w:val="0"/>
                <w:sz w:val="21"/>
                <w:szCs w:val="21"/>
                <w:highlight w:val="none"/>
              </w:rPr>
              <w:t>分；</w:t>
            </w:r>
          </w:p>
          <w:p w14:paraId="58ABE404">
            <w:pPr>
              <w:keepNext w:val="0"/>
              <w:keepLines w:val="0"/>
              <w:pageBreakBefore w:val="0"/>
              <w:widowControl/>
              <w:numPr>
                <w:ilvl w:val="0"/>
                <w:numId w:val="0"/>
              </w:numPr>
              <w:kinsoku/>
              <w:wordWrap/>
              <w:overflowPunct/>
              <w:topLinePunct w:val="0"/>
              <w:autoSpaceDE/>
              <w:autoSpaceDN/>
              <w:bidi w:val="0"/>
              <w:adjustRightInd/>
              <w:snapToGrid/>
              <w:spacing w:line="360" w:lineRule="auto"/>
              <w:ind w:right="105" w:rightChars="50" w:firstLine="420" w:firstLineChars="200"/>
              <w:textAlignment w:val="auto"/>
              <w:rPr>
                <w:rFonts w:hint="eastAsia" w:ascii="宋体" w:hAnsi="宋体" w:cs="宋体"/>
                <w:color w:val="auto"/>
                <w:spacing w:val="0"/>
                <w:kern w:val="0"/>
                <w:sz w:val="21"/>
                <w:szCs w:val="21"/>
                <w:highlight w:val="none"/>
              </w:rPr>
            </w:pPr>
            <w:r>
              <w:rPr>
                <w:rFonts w:hint="eastAsia" w:ascii="宋体" w:hAnsi="宋体" w:cs="宋体"/>
                <w:color w:val="auto"/>
                <w:spacing w:val="0"/>
                <w:kern w:val="0"/>
                <w:sz w:val="21"/>
                <w:szCs w:val="21"/>
                <w:highlight w:val="none"/>
              </w:rPr>
              <w:t>缺乏针对性和可靠、有效的技术组织措施的，基本能够满足项目要求的，得</w:t>
            </w:r>
            <w:r>
              <w:rPr>
                <w:rFonts w:hint="eastAsia" w:ascii="宋体" w:hAnsi="宋体" w:cs="宋体"/>
                <w:color w:val="auto"/>
                <w:spacing w:val="0"/>
                <w:kern w:val="0"/>
                <w:sz w:val="21"/>
                <w:szCs w:val="21"/>
                <w:highlight w:val="none"/>
                <w:lang w:val="en-US" w:eastAsia="zh-CN"/>
              </w:rPr>
              <w:t>3</w:t>
            </w:r>
            <w:r>
              <w:rPr>
                <w:rFonts w:hint="eastAsia" w:ascii="宋体" w:hAnsi="宋体" w:cs="宋体"/>
                <w:color w:val="auto"/>
                <w:spacing w:val="0"/>
                <w:kern w:val="0"/>
                <w:sz w:val="21"/>
                <w:szCs w:val="21"/>
                <w:highlight w:val="none"/>
              </w:rPr>
              <w:t>分；</w:t>
            </w:r>
          </w:p>
          <w:p w14:paraId="73AE9D10">
            <w:pPr>
              <w:spacing w:line="360" w:lineRule="auto"/>
              <w:ind w:firstLine="420" w:firstLineChars="200"/>
              <w:jc w:val="left"/>
              <w:rPr>
                <w:rFonts w:hint="default" w:ascii="宋体" w:hAnsi="宋体" w:eastAsia="宋体" w:cs="宋体"/>
                <w:color w:val="auto"/>
                <w:spacing w:val="0"/>
                <w:kern w:val="0"/>
                <w:sz w:val="21"/>
                <w:szCs w:val="21"/>
                <w:highlight w:val="none"/>
                <w:lang w:val="en-US" w:eastAsia="zh-CN"/>
              </w:rPr>
            </w:pPr>
            <w:r>
              <w:rPr>
                <w:rFonts w:hint="eastAsia" w:ascii="宋体" w:hAnsi="宋体" w:cs="宋体"/>
                <w:color w:val="auto"/>
                <w:spacing w:val="0"/>
                <w:kern w:val="0"/>
                <w:sz w:val="21"/>
                <w:szCs w:val="21"/>
                <w:highlight w:val="none"/>
              </w:rPr>
              <w:t>备品备件</w:t>
            </w:r>
            <w:r>
              <w:rPr>
                <w:rFonts w:hint="eastAsia" w:ascii="宋体" w:hAnsi="宋体" w:cs="宋体"/>
                <w:color w:val="auto"/>
                <w:spacing w:val="0"/>
                <w:kern w:val="0"/>
                <w:sz w:val="21"/>
                <w:szCs w:val="21"/>
                <w:highlight w:val="none"/>
                <w:lang w:val="en-US" w:eastAsia="zh-CN"/>
              </w:rPr>
              <w:t>不完整，</w:t>
            </w:r>
            <w:r>
              <w:rPr>
                <w:rFonts w:hint="eastAsia" w:ascii="宋体" w:hAnsi="宋体" w:cs="宋体"/>
                <w:color w:val="auto"/>
                <w:spacing w:val="0"/>
                <w:kern w:val="0"/>
                <w:sz w:val="21"/>
                <w:szCs w:val="21"/>
                <w:highlight w:val="none"/>
              </w:rPr>
              <w:t>不能满足项目要求的</w:t>
            </w:r>
            <w:r>
              <w:rPr>
                <w:rFonts w:hint="eastAsia" w:ascii="宋体" w:hAnsi="宋体" w:cs="宋体"/>
                <w:color w:val="auto"/>
                <w:spacing w:val="0"/>
                <w:kern w:val="0"/>
                <w:sz w:val="21"/>
                <w:szCs w:val="21"/>
                <w:highlight w:val="none"/>
                <w:lang w:val="en-US" w:eastAsia="zh-CN"/>
              </w:rPr>
              <w:t>得1分；</w:t>
            </w:r>
          </w:p>
          <w:p w14:paraId="3A2B0862">
            <w:pPr>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pacing w:val="0"/>
                <w:kern w:val="0"/>
                <w:sz w:val="21"/>
                <w:szCs w:val="21"/>
                <w:highlight w:val="none"/>
                <w:lang w:eastAsia="zh-CN"/>
              </w:rPr>
              <w:t>缺项</w:t>
            </w:r>
            <w:r>
              <w:rPr>
                <w:rFonts w:hint="eastAsia" w:ascii="宋体" w:hAnsi="宋体" w:cs="宋体"/>
                <w:color w:val="auto"/>
                <w:kern w:val="0"/>
                <w:szCs w:val="21"/>
              </w:rPr>
              <w:t>得0分</w:t>
            </w:r>
            <w:r>
              <w:rPr>
                <w:rFonts w:hint="eastAsia" w:ascii="宋体" w:hAnsi="宋体" w:cs="宋体"/>
                <w:color w:val="auto"/>
                <w:kern w:val="0"/>
                <w:szCs w:val="21"/>
                <w:lang w:eastAsia="zh-CN"/>
              </w:rPr>
              <w:t>。</w:t>
            </w:r>
          </w:p>
        </w:tc>
      </w:tr>
      <w:tr w14:paraId="7727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jc w:val="center"/>
        </w:trPr>
        <w:tc>
          <w:tcPr>
            <w:tcW w:w="990" w:type="dxa"/>
            <w:vMerge w:val="restart"/>
            <w:noWrap w:val="0"/>
            <w:vAlign w:val="center"/>
          </w:tcPr>
          <w:p w14:paraId="480A0E3B">
            <w:pPr>
              <w:widowControl/>
              <w:spacing w:before="24" w:beforeLines="10" w:line="360" w:lineRule="auto"/>
              <w:jc w:val="center"/>
              <w:rPr>
                <w:rFonts w:hint="eastAsia" w:ascii="宋体" w:hAnsi="宋体" w:cs="宋体"/>
                <w:color w:val="auto"/>
                <w:kern w:val="0"/>
                <w:szCs w:val="21"/>
              </w:rPr>
            </w:pPr>
            <w:r>
              <w:rPr>
                <w:rFonts w:hint="eastAsia" w:ascii="宋体" w:hAnsi="宋体" w:cs="宋体"/>
                <w:color w:val="auto"/>
                <w:kern w:val="0"/>
                <w:szCs w:val="21"/>
              </w:rPr>
              <w:t>2.2.2（3）</w:t>
            </w:r>
          </w:p>
        </w:tc>
        <w:tc>
          <w:tcPr>
            <w:tcW w:w="990" w:type="dxa"/>
            <w:gridSpan w:val="2"/>
            <w:vMerge w:val="restart"/>
            <w:noWrap w:val="0"/>
            <w:vAlign w:val="center"/>
          </w:tcPr>
          <w:p w14:paraId="13ED6245">
            <w:pPr>
              <w:widowControl/>
              <w:spacing w:before="24" w:beforeLines="10" w:line="360" w:lineRule="auto"/>
              <w:jc w:val="center"/>
              <w:rPr>
                <w:rFonts w:hint="eastAsia" w:ascii="宋体" w:hAnsi="宋体" w:cs="宋体"/>
                <w:b/>
                <w:color w:val="auto"/>
                <w:szCs w:val="21"/>
              </w:rPr>
            </w:pPr>
            <w:r>
              <w:rPr>
                <w:rFonts w:hint="eastAsia" w:ascii="宋体" w:hAnsi="宋体" w:cs="宋体"/>
                <w:b/>
                <w:color w:val="auto"/>
                <w:szCs w:val="21"/>
                <w:lang w:eastAsia="zh-CN"/>
              </w:rPr>
              <w:t>综合部分</w:t>
            </w:r>
            <w:r>
              <w:rPr>
                <w:rFonts w:hint="eastAsia" w:ascii="宋体" w:hAnsi="宋体" w:cs="宋体"/>
                <w:b/>
                <w:color w:val="auto"/>
                <w:szCs w:val="21"/>
              </w:rPr>
              <w:t>（20分）</w:t>
            </w:r>
          </w:p>
          <w:p w14:paraId="660A4B6E">
            <w:pPr>
              <w:widowControl/>
              <w:spacing w:before="24" w:beforeLines="10" w:line="360" w:lineRule="auto"/>
              <w:jc w:val="center"/>
              <w:rPr>
                <w:rFonts w:hint="eastAsia" w:ascii="宋体" w:hAnsi="宋体" w:cs="宋体"/>
                <w:color w:val="auto"/>
                <w:kern w:val="0"/>
                <w:szCs w:val="21"/>
              </w:rPr>
            </w:pPr>
          </w:p>
        </w:tc>
        <w:tc>
          <w:tcPr>
            <w:tcW w:w="2126" w:type="dxa"/>
            <w:noWrap w:val="0"/>
            <w:vAlign w:val="center"/>
          </w:tcPr>
          <w:p w14:paraId="21CACE6F">
            <w:pPr>
              <w:widowControl/>
              <w:spacing w:before="24" w:beforeLines="10"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类似业绩：</w:t>
            </w:r>
            <w:r>
              <w:rPr>
                <w:rFonts w:hint="eastAsia" w:ascii="宋体" w:hAnsi="宋体" w:cs="宋体"/>
                <w:b/>
                <w:bCs/>
                <w:color w:val="auto"/>
                <w:kern w:val="0"/>
                <w:szCs w:val="21"/>
                <w:highlight w:val="none"/>
                <w:lang w:val="en-US" w:eastAsia="zh-CN"/>
              </w:rPr>
              <w:t>5</w:t>
            </w:r>
            <w:r>
              <w:rPr>
                <w:rFonts w:hint="eastAsia" w:ascii="宋体" w:hAnsi="宋体" w:cs="宋体"/>
                <w:b/>
                <w:bCs/>
                <w:color w:val="auto"/>
                <w:kern w:val="0"/>
                <w:szCs w:val="21"/>
                <w:highlight w:val="none"/>
              </w:rPr>
              <w:t>分</w:t>
            </w:r>
          </w:p>
          <w:p w14:paraId="2161DA76">
            <w:pPr>
              <w:widowControl/>
              <w:spacing w:before="24" w:beforeLines="10" w:line="360" w:lineRule="auto"/>
              <w:jc w:val="center"/>
              <w:rPr>
                <w:rFonts w:hint="eastAsia" w:ascii="宋体" w:hAnsi="宋体" w:cs="宋体"/>
                <w:color w:val="auto"/>
                <w:kern w:val="0"/>
                <w:szCs w:val="21"/>
                <w:highlight w:val="none"/>
              </w:rPr>
            </w:pPr>
          </w:p>
        </w:tc>
        <w:tc>
          <w:tcPr>
            <w:tcW w:w="5245" w:type="dxa"/>
            <w:noWrap w:val="0"/>
            <w:vAlign w:val="center"/>
          </w:tcPr>
          <w:p w14:paraId="5FEBA470">
            <w:pPr>
              <w:pStyle w:val="17"/>
              <w:spacing w:before="24" w:beforeLines="10"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lang w:val="en-US" w:eastAsia="zh-CN"/>
              </w:rPr>
              <w:t>提供</w:t>
            </w:r>
            <w:r>
              <w:rPr>
                <w:rFonts w:hint="eastAsia" w:hAnsi="宋体" w:cs="宋体"/>
                <w:color w:val="auto"/>
                <w:kern w:val="0"/>
                <w:highlight w:val="none"/>
              </w:rPr>
              <w:t>20</w:t>
            </w:r>
            <w:r>
              <w:rPr>
                <w:rFonts w:hint="eastAsia" w:hAnsi="宋体" w:cs="宋体"/>
                <w:color w:val="auto"/>
                <w:kern w:val="0"/>
                <w:highlight w:val="none"/>
                <w:lang w:val="en-US" w:eastAsia="zh-CN"/>
              </w:rPr>
              <w:t>22</w:t>
            </w:r>
            <w:r>
              <w:rPr>
                <w:rFonts w:hint="eastAsia" w:hAnsi="宋体" w:cs="宋体"/>
                <w:color w:val="auto"/>
                <w:kern w:val="0"/>
                <w:highlight w:val="none"/>
              </w:rPr>
              <w:t>年1月1日以来</w:t>
            </w:r>
            <w:r>
              <w:rPr>
                <w:rFonts w:hint="eastAsia" w:hAnsi="宋体" w:cs="宋体"/>
                <w:color w:val="auto"/>
                <w:kern w:val="0"/>
                <w:highlight w:val="none"/>
                <w:lang w:val="en-US" w:eastAsia="zh-CN"/>
              </w:rPr>
              <w:t>类似</w:t>
            </w:r>
            <w:r>
              <w:rPr>
                <w:rFonts w:hint="eastAsia" w:hAnsi="宋体" w:cs="宋体"/>
                <w:color w:val="auto"/>
                <w:kern w:val="0"/>
                <w:highlight w:val="none"/>
              </w:rPr>
              <w:t>业绩</w:t>
            </w:r>
            <w:r>
              <w:rPr>
                <w:rFonts w:hint="eastAsia" w:hAnsi="宋体" w:cs="宋体"/>
                <w:color w:val="auto"/>
                <w:kern w:val="0"/>
                <w:highlight w:val="none"/>
                <w:lang w:eastAsia="zh-CN"/>
              </w:rPr>
              <w:t>证明材料</w:t>
            </w:r>
            <w:r>
              <w:rPr>
                <w:rFonts w:hint="eastAsia" w:hAnsi="宋体" w:cs="宋体"/>
                <w:color w:val="auto"/>
                <w:kern w:val="0"/>
                <w:highlight w:val="none"/>
              </w:rPr>
              <w:t>，每提供1份得</w:t>
            </w:r>
            <w:r>
              <w:rPr>
                <w:rFonts w:hint="eastAsia" w:hAnsi="宋体" w:cs="宋体"/>
                <w:color w:val="auto"/>
                <w:kern w:val="0"/>
                <w:highlight w:val="none"/>
                <w:lang w:val="en-US" w:eastAsia="zh-CN"/>
              </w:rPr>
              <w:t>2.5</w:t>
            </w:r>
            <w:r>
              <w:rPr>
                <w:rFonts w:hint="eastAsia" w:hAnsi="宋体" w:cs="宋体"/>
                <w:color w:val="auto"/>
                <w:kern w:val="0"/>
                <w:highlight w:val="none"/>
              </w:rPr>
              <w:t>分，最高得</w:t>
            </w:r>
            <w:r>
              <w:rPr>
                <w:rFonts w:hint="eastAsia" w:hAnsi="宋体" w:cs="宋体"/>
                <w:color w:val="auto"/>
                <w:kern w:val="0"/>
                <w:highlight w:val="none"/>
                <w:lang w:val="en-US" w:eastAsia="zh-CN"/>
              </w:rPr>
              <w:t>5</w:t>
            </w:r>
            <w:r>
              <w:rPr>
                <w:rFonts w:hint="eastAsia" w:hAnsi="宋体" w:cs="宋体"/>
                <w:color w:val="auto"/>
                <w:kern w:val="0"/>
                <w:highlight w:val="none"/>
              </w:rPr>
              <w:t>分，没有不得分（</w:t>
            </w:r>
            <w:r>
              <w:rPr>
                <w:rFonts w:hint="eastAsia" w:hAnsi="宋体" w:cs="宋体"/>
                <w:color w:val="auto"/>
                <w:kern w:val="0"/>
                <w:highlight w:val="none"/>
                <w:lang w:val="en-US" w:eastAsia="zh-CN"/>
              </w:rPr>
              <w:t>须提供成交或中标通知书、合同扫描件，</w:t>
            </w:r>
            <w:r>
              <w:rPr>
                <w:rFonts w:hint="eastAsia" w:hAnsi="宋体" w:cs="宋体"/>
                <w:color w:val="auto"/>
                <w:kern w:val="0"/>
                <w:highlight w:val="none"/>
              </w:rPr>
              <w:t>以合同签订时间为准）。</w:t>
            </w:r>
          </w:p>
        </w:tc>
      </w:tr>
      <w:tr w14:paraId="2015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noWrap w:val="0"/>
            <w:vAlign w:val="center"/>
          </w:tcPr>
          <w:p w14:paraId="63F560BB">
            <w:pPr>
              <w:widowControl/>
              <w:spacing w:before="24" w:beforeLines="10" w:line="360" w:lineRule="auto"/>
              <w:jc w:val="center"/>
              <w:rPr>
                <w:rFonts w:hint="eastAsia" w:ascii="宋体" w:hAnsi="宋体" w:cs="宋体"/>
                <w:color w:val="auto"/>
                <w:kern w:val="0"/>
                <w:szCs w:val="21"/>
              </w:rPr>
            </w:pPr>
          </w:p>
        </w:tc>
        <w:tc>
          <w:tcPr>
            <w:tcW w:w="990" w:type="dxa"/>
            <w:gridSpan w:val="2"/>
            <w:vMerge w:val="continue"/>
            <w:noWrap w:val="0"/>
            <w:vAlign w:val="center"/>
          </w:tcPr>
          <w:p w14:paraId="215E0536">
            <w:pPr>
              <w:widowControl/>
              <w:spacing w:before="24" w:beforeLines="10" w:line="360" w:lineRule="auto"/>
              <w:jc w:val="center"/>
              <w:rPr>
                <w:rFonts w:hint="eastAsia" w:ascii="宋体" w:hAnsi="宋体" w:cs="宋体"/>
                <w:color w:val="auto"/>
                <w:kern w:val="0"/>
                <w:szCs w:val="21"/>
              </w:rPr>
            </w:pPr>
          </w:p>
        </w:tc>
        <w:tc>
          <w:tcPr>
            <w:tcW w:w="2126" w:type="dxa"/>
            <w:noWrap w:val="0"/>
            <w:vAlign w:val="center"/>
          </w:tcPr>
          <w:p w14:paraId="3A2983F2">
            <w:pPr>
              <w:widowControl/>
              <w:spacing w:before="24" w:beforeLines="10"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质保期：</w:t>
            </w:r>
            <w:r>
              <w:rPr>
                <w:rFonts w:hint="eastAsia" w:ascii="宋体" w:hAnsi="宋体" w:cs="宋体"/>
                <w:b/>
                <w:bCs/>
                <w:color w:val="auto"/>
                <w:kern w:val="0"/>
                <w:szCs w:val="21"/>
                <w:highlight w:val="none"/>
                <w:lang w:val="en-US" w:eastAsia="zh-CN"/>
              </w:rPr>
              <w:t>2</w:t>
            </w:r>
            <w:r>
              <w:rPr>
                <w:rFonts w:hint="eastAsia" w:ascii="宋体" w:hAnsi="宋体" w:cs="宋体"/>
                <w:b/>
                <w:bCs/>
                <w:color w:val="auto"/>
                <w:kern w:val="0"/>
                <w:szCs w:val="21"/>
                <w:highlight w:val="none"/>
              </w:rPr>
              <w:t>分</w:t>
            </w:r>
          </w:p>
        </w:tc>
        <w:tc>
          <w:tcPr>
            <w:tcW w:w="5245" w:type="dxa"/>
            <w:noWrap w:val="0"/>
            <w:vAlign w:val="center"/>
          </w:tcPr>
          <w:p w14:paraId="3619E60D">
            <w:pPr>
              <w:pStyle w:val="17"/>
              <w:spacing w:before="24" w:beforeLines="10"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在满足招标文件的基础上，每延长一年，加</w:t>
            </w:r>
            <w:r>
              <w:rPr>
                <w:rFonts w:hint="eastAsia" w:hAnsi="宋体" w:cs="宋体"/>
                <w:color w:val="auto"/>
                <w:kern w:val="0"/>
                <w:highlight w:val="none"/>
                <w:lang w:val="en-US" w:eastAsia="zh-CN"/>
              </w:rPr>
              <w:t>1</w:t>
            </w:r>
            <w:r>
              <w:rPr>
                <w:rFonts w:hint="eastAsia" w:hAnsi="宋体" w:cs="宋体"/>
                <w:color w:val="auto"/>
                <w:kern w:val="0"/>
                <w:highlight w:val="none"/>
              </w:rPr>
              <w:t>分，最多加</w:t>
            </w:r>
            <w:r>
              <w:rPr>
                <w:rFonts w:hint="eastAsia" w:hAnsi="宋体" w:cs="宋体"/>
                <w:color w:val="auto"/>
                <w:kern w:val="0"/>
                <w:highlight w:val="none"/>
                <w:lang w:val="en-US" w:eastAsia="zh-CN"/>
              </w:rPr>
              <w:t>2</w:t>
            </w:r>
            <w:r>
              <w:rPr>
                <w:rFonts w:hint="eastAsia" w:hAnsi="宋体" w:cs="宋体"/>
                <w:color w:val="auto"/>
                <w:kern w:val="0"/>
                <w:highlight w:val="none"/>
              </w:rPr>
              <w:t>分。</w:t>
            </w:r>
          </w:p>
        </w:tc>
      </w:tr>
      <w:tr w14:paraId="6D48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0" w:hRule="atLeast"/>
          <w:jc w:val="center"/>
        </w:trPr>
        <w:tc>
          <w:tcPr>
            <w:tcW w:w="990" w:type="dxa"/>
            <w:vMerge w:val="continue"/>
            <w:noWrap w:val="0"/>
            <w:vAlign w:val="center"/>
          </w:tcPr>
          <w:p w14:paraId="60472480">
            <w:pPr>
              <w:widowControl/>
              <w:spacing w:before="24" w:beforeLines="10" w:line="360" w:lineRule="auto"/>
              <w:jc w:val="center"/>
              <w:rPr>
                <w:rFonts w:hint="eastAsia" w:ascii="宋体" w:hAnsi="宋体" w:cs="宋体"/>
                <w:color w:val="auto"/>
                <w:kern w:val="0"/>
                <w:szCs w:val="21"/>
              </w:rPr>
            </w:pPr>
          </w:p>
        </w:tc>
        <w:tc>
          <w:tcPr>
            <w:tcW w:w="990" w:type="dxa"/>
            <w:gridSpan w:val="2"/>
            <w:vMerge w:val="continue"/>
            <w:noWrap w:val="0"/>
            <w:vAlign w:val="center"/>
          </w:tcPr>
          <w:p w14:paraId="12BC23C3">
            <w:pPr>
              <w:widowControl/>
              <w:spacing w:before="24" w:beforeLines="10" w:line="360" w:lineRule="auto"/>
              <w:jc w:val="center"/>
              <w:rPr>
                <w:rFonts w:hint="eastAsia" w:ascii="宋体" w:hAnsi="宋体" w:cs="宋体"/>
                <w:color w:val="auto"/>
                <w:kern w:val="0"/>
                <w:szCs w:val="21"/>
              </w:rPr>
            </w:pPr>
          </w:p>
        </w:tc>
        <w:tc>
          <w:tcPr>
            <w:tcW w:w="2126" w:type="dxa"/>
            <w:noWrap w:val="0"/>
            <w:vAlign w:val="center"/>
          </w:tcPr>
          <w:p w14:paraId="2A6E0D06">
            <w:pPr>
              <w:jc w:val="center"/>
              <w:rPr>
                <w:rFonts w:hint="eastAsia" w:ascii="宋体" w:hAnsi="宋体" w:eastAsia="宋体" w:cs="宋体"/>
                <w:b/>
                <w:bCs/>
                <w:color w:val="auto"/>
                <w:kern w:val="0"/>
                <w:sz w:val="21"/>
                <w:szCs w:val="21"/>
                <w:lang w:val="en-US" w:eastAsia="zh-CN" w:bidi="ar-SA"/>
              </w:rPr>
            </w:pPr>
            <w:r>
              <w:rPr>
                <w:rFonts w:hint="eastAsia" w:ascii="宋体" w:hAnsi="宋体" w:cs="宋体"/>
                <w:b/>
                <w:bCs/>
                <w:color w:val="auto"/>
                <w:kern w:val="0"/>
                <w:szCs w:val="21"/>
              </w:rPr>
              <w:t>质保期内保证措施：</w:t>
            </w:r>
            <w:r>
              <w:rPr>
                <w:rFonts w:hint="eastAsia" w:ascii="宋体" w:hAnsi="宋体" w:cs="宋体"/>
                <w:b/>
                <w:bCs/>
                <w:color w:val="auto"/>
                <w:kern w:val="0"/>
                <w:szCs w:val="21"/>
                <w:lang w:val="en-US" w:eastAsia="zh-CN"/>
              </w:rPr>
              <w:t>6</w:t>
            </w:r>
            <w:r>
              <w:rPr>
                <w:rFonts w:hint="eastAsia" w:ascii="宋体" w:hAnsi="宋体" w:cs="宋体"/>
                <w:b/>
                <w:bCs/>
                <w:color w:val="auto"/>
                <w:kern w:val="0"/>
                <w:szCs w:val="21"/>
              </w:rPr>
              <w:t>分</w:t>
            </w:r>
          </w:p>
        </w:tc>
        <w:tc>
          <w:tcPr>
            <w:tcW w:w="5245" w:type="dxa"/>
            <w:noWrap w:val="0"/>
            <w:vAlign w:val="center"/>
          </w:tcPr>
          <w:p w14:paraId="678B03EA">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质保期内质量保证措施完整、详细，且可行</w:t>
            </w:r>
            <w:r>
              <w:rPr>
                <w:rFonts w:hint="eastAsia" w:ascii="宋体" w:hAnsi="宋体" w:cs="宋体"/>
                <w:color w:val="auto"/>
                <w:kern w:val="0"/>
                <w:szCs w:val="21"/>
              </w:rPr>
              <w:t>，优于采购需求</w:t>
            </w:r>
            <w:r>
              <w:rPr>
                <w:rFonts w:hint="eastAsia" w:ascii="宋体" w:hAnsi="宋体" w:cs="宋体"/>
                <w:color w:val="auto"/>
                <w:szCs w:val="21"/>
              </w:rPr>
              <w:t>的，得</w:t>
            </w:r>
            <w:r>
              <w:rPr>
                <w:rFonts w:hint="eastAsia" w:ascii="宋体" w:hAnsi="宋体" w:cs="宋体"/>
                <w:color w:val="auto"/>
                <w:szCs w:val="21"/>
                <w:lang w:val="en-US" w:eastAsia="zh-CN"/>
              </w:rPr>
              <w:t>6</w:t>
            </w:r>
            <w:r>
              <w:rPr>
                <w:rFonts w:hint="eastAsia" w:ascii="宋体" w:hAnsi="宋体" w:cs="宋体"/>
                <w:color w:val="auto"/>
                <w:szCs w:val="21"/>
              </w:rPr>
              <w:t>分。</w:t>
            </w:r>
          </w:p>
          <w:p w14:paraId="56155CBA">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质保期内质量保证措施较完整、详细，较可行</w:t>
            </w:r>
            <w:r>
              <w:rPr>
                <w:rFonts w:hint="eastAsia" w:ascii="宋体" w:hAnsi="宋体" w:cs="宋体"/>
                <w:color w:val="auto"/>
                <w:kern w:val="0"/>
                <w:szCs w:val="21"/>
              </w:rPr>
              <w:t>，满足采购需求</w:t>
            </w:r>
            <w:r>
              <w:rPr>
                <w:rFonts w:hint="eastAsia" w:ascii="宋体" w:hAnsi="宋体" w:cs="宋体"/>
                <w:color w:val="auto"/>
                <w:szCs w:val="21"/>
              </w:rPr>
              <w:t>的，得</w:t>
            </w:r>
            <w:r>
              <w:rPr>
                <w:rFonts w:hint="eastAsia" w:ascii="宋体" w:hAnsi="宋体" w:cs="宋体"/>
                <w:color w:val="auto"/>
                <w:szCs w:val="21"/>
                <w:lang w:val="en-US" w:eastAsia="zh-CN"/>
              </w:rPr>
              <w:t>4</w:t>
            </w:r>
            <w:r>
              <w:rPr>
                <w:rFonts w:hint="eastAsia" w:ascii="宋体" w:hAnsi="宋体" w:cs="宋体"/>
                <w:color w:val="auto"/>
                <w:szCs w:val="21"/>
              </w:rPr>
              <w:t>分。</w:t>
            </w:r>
          </w:p>
          <w:p w14:paraId="294DC239">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质保期内质量保证措施较完整、详细，可行性一般</w:t>
            </w:r>
            <w:r>
              <w:rPr>
                <w:rFonts w:hint="eastAsia" w:ascii="宋体" w:hAnsi="宋体" w:cs="宋体"/>
                <w:color w:val="auto"/>
                <w:kern w:val="0"/>
                <w:szCs w:val="21"/>
              </w:rPr>
              <w:t>，基本满足采购需求</w:t>
            </w:r>
            <w:r>
              <w:rPr>
                <w:rFonts w:hint="eastAsia" w:ascii="宋体" w:hAnsi="宋体" w:cs="宋体"/>
                <w:color w:val="auto"/>
                <w:szCs w:val="21"/>
              </w:rPr>
              <w:t>的，得</w:t>
            </w:r>
            <w:r>
              <w:rPr>
                <w:rFonts w:hint="eastAsia" w:ascii="宋体" w:hAnsi="宋体" w:cs="宋体"/>
                <w:color w:val="auto"/>
                <w:szCs w:val="21"/>
                <w:lang w:val="en-US" w:eastAsia="zh-CN"/>
              </w:rPr>
              <w:t>2</w:t>
            </w:r>
            <w:r>
              <w:rPr>
                <w:rFonts w:hint="eastAsia" w:ascii="宋体" w:hAnsi="宋体" w:cs="宋体"/>
                <w:color w:val="auto"/>
                <w:szCs w:val="21"/>
              </w:rPr>
              <w:t>分。</w:t>
            </w:r>
          </w:p>
          <w:p w14:paraId="135F8D8D">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质保期内质量保证措施不完整、详细，可行性差的，得</w:t>
            </w:r>
            <w:r>
              <w:rPr>
                <w:rFonts w:hint="eastAsia" w:ascii="宋体" w:hAnsi="宋体" w:cs="宋体"/>
                <w:color w:val="auto"/>
                <w:szCs w:val="21"/>
                <w:lang w:val="en-US" w:eastAsia="zh-CN"/>
              </w:rPr>
              <w:t>1</w:t>
            </w:r>
            <w:r>
              <w:rPr>
                <w:rFonts w:hint="eastAsia" w:ascii="宋体" w:hAnsi="宋体" w:cs="宋体"/>
                <w:color w:val="auto"/>
                <w:szCs w:val="21"/>
              </w:rPr>
              <w:t>分。</w:t>
            </w:r>
          </w:p>
          <w:p w14:paraId="46058E0F">
            <w:pPr>
              <w:pStyle w:val="27"/>
              <w:spacing w:after="0" w:line="360" w:lineRule="auto"/>
              <w:ind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缺项得0分。</w:t>
            </w:r>
          </w:p>
        </w:tc>
      </w:tr>
      <w:tr w14:paraId="7930F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0" w:hRule="atLeast"/>
          <w:jc w:val="center"/>
        </w:trPr>
        <w:tc>
          <w:tcPr>
            <w:tcW w:w="990" w:type="dxa"/>
            <w:vMerge w:val="continue"/>
            <w:noWrap w:val="0"/>
            <w:vAlign w:val="center"/>
          </w:tcPr>
          <w:p w14:paraId="5A9B2396">
            <w:pPr>
              <w:spacing w:line="360" w:lineRule="auto"/>
              <w:ind w:firstLine="420" w:firstLineChars="200"/>
              <w:jc w:val="left"/>
            </w:pPr>
          </w:p>
        </w:tc>
        <w:tc>
          <w:tcPr>
            <w:tcW w:w="990" w:type="dxa"/>
            <w:gridSpan w:val="2"/>
            <w:vMerge w:val="continue"/>
            <w:noWrap w:val="0"/>
            <w:vAlign w:val="center"/>
          </w:tcPr>
          <w:p w14:paraId="18E6EA42">
            <w:pPr>
              <w:spacing w:line="360" w:lineRule="auto"/>
              <w:ind w:firstLine="420" w:firstLineChars="200"/>
              <w:jc w:val="left"/>
            </w:pPr>
          </w:p>
        </w:tc>
        <w:tc>
          <w:tcPr>
            <w:tcW w:w="2126" w:type="dxa"/>
            <w:noWrap w:val="0"/>
            <w:vAlign w:val="center"/>
          </w:tcPr>
          <w:p w14:paraId="49E158A9">
            <w:pPr>
              <w:pStyle w:val="17"/>
              <w:spacing w:line="360" w:lineRule="auto"/>
              <w:jc w:val="center"/>
              <w:rPr>
                <w:rFonts w:hint="eastAsia" w:ascii="宋体" w:hAnsi="宋体" w:eastAsia="宋体" w:cs="宋体"/>
                <w:b/>
                <w:bCs/>
                <w:color w:val="auto"/>
                <w:kern w:val="0"/>
                <w:sz w:val="21"/>
                <w:szCs w:val="21"/>
                <w:lang w:val="en-US" w:eastAsia="zh-CN" w:bidi="ar-SA"/>
              </w:rPr>
            </w:pPr>
            <w:r>
              <w:rPr>
                <w:rFonts w:hint="eastAsia" w:hAnsi="宋体" w:cs="宋体"/>
                <w:b/>
                <w:color w:val="auto"/>
                <w:kern w:val="0"/>
              </w:rPr>
              <w:t>售后服务方案：</w:t>
            </w:r>
            <w:r>
              <w:rPr>
                <w:rFonts w:hint="eastAsia" w:hAnsi="宋体" w:cs="宋体"/>
                <w:b/>
                <w:color w:val="auto"/>
                <w:kern w:val="0"/>
                <w:lang w:val="en-US" w:eastAsia="zh-CN"/>
              </w:rPr>
              <w:t>6</w:t>
            </w:r>
            <w:r>
              <w:rPr>
                <w:rFonts w:hint="eastAsia" w:hAnsi="宋体" w:cs="宋体"/>
                <w:b/>
                <w:color w:val="auto"/>
                <w:kern w:val="0"/>
              </w:rPr>
              <w:t>分</w:t>
            </w:r>
          </w:p>
        </w:tc>
        <w:tc>
          <w:tcPr>
            <w:tcW w:w="5245" w:type="dxa"/>
            <w:noWrap w:val="0"/>
            <w:vAlign w:val="center"/>
          </w:tcPr>
          <w:p w14:paraId="4DE4A39F">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售后服务方案合理、内容详实、售后服务人员配备合理，售后服务计划可行，故障响应时间迅速，售后服务设备实用</w:t>
            </w:r>
            <w:r>
              <w:rPr>
                <w:rFonts w:hint="eastAsia" w:ascii="宋体" w:hAnsi="宋体" w:cs="宋体"/>
                <w:color w:val="auto"/>
                <w:kern w:val="0"/>
                <w:szCs w:val="21"/>
              </w:rPr>
              <w:t>，优于采购需求</w:t>
            </w:r>
            <w:r>
              <w:rPr>
                <w:rFonts w:hint="eastAsia" w:ascii="宋体" w:hAnsi="宋体" w:cs="宋体"/>
                <w:color w:val="auto"/>
                <w:szCs w:val="21"/>
              </w:rPr>
              <w:t>的，得</w:t>
            </w:r>
            <w:r>
              <w:rPr>
                <w:rFonts w:hint="eastAsia" w:ascii="宋体" w:hAnsi="宋体" w:cs="宋体"/>
                <w:color w:val="auto"/>
                <w:szCs w:val="21"/>
                <w:lang w:val="en-US" w:eastAsia="zh-CN"/>
              </w:rPr>
              <w:t>6</w:t>
            </w:r>
            <w:r>
              <w:rPr>
                <w:rFonts w:hint="eastAsia" w:ascii="宋体" w:hAnsi="宋体" w:cs="宋体"/>
                <w:color w:val="auto"/>
                <w:szCs w:val="21"/>
              </w:rPr>
              <w:t>分。</w:t>
            </w:r>
          </w:p>
          <w:p w14:paraId="37CC2648">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售后服务方案较合理、内容较详实、售后服务人员配备较合理，售后服务计划可行，故障响应时间及时，售后服务设备较实用，</w:t>
            </w:r>
            <w:r>
              <w:rPr>
                <w:rFonts w:hint="eastAsia" w:ascii="宋体" w:hAnsi="宋体" w:cs="宋体"/>
                <w:color w:val="auto"/>
                <w:kern w:val="0"/>
                <w:szCs w:val="21"/>
              </w:rPr>
              <w:t>满足采购需求</w:t>
            </w:r>
            <w:r>
              <w:rPr>
                <w:rFonts w:hint="eastAsia" w:ascii="宋体" w:hAnsi="宋体" w:cs="宋体"/>
                <w:color w:val="auto"/>
                <w:szCs w:val="21"/>
              </w:rPr>
              <w:t xml:space="preserve">的，得 </w:t>
            </w:r>
            <w:r>
              <w:rPr>
                <w:rFonts w:hint="eastAsia" w:ascii="宋体" w:hAnsi="宋体" w:cs="宋体"/>
                <w:color w:val="auto"/>
                <w:szCs w:val="21"/>
                <w:lang w:val="en-US" w:eastAsia="zh-CN"/>
              </w:rPr>
              <w:t>4</w:t>
            </w:r>
            <w:r>
              <w:rPr>
                <w:rFonts w:hint="eastAsia" w:ascii="宋体" w:hAnsi="宋体" w:cs="宋体"/>
                <w:color w:val="auto"/>
                <w:szCs w:val="21"/>
              </w:rPr>
              <w:t>分。</w:t>
            </w:r>
          </w:p>
          <w:p w14:paraId="05B53F24">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售后服务方案一般、内容表述一般、售后服务人员配备不合理，售后服务计划简单，故障响应长，售后服务设备一般，</w:t>
            </w:r>
            <w:r>
              <w:rPr>
                <w:rFonts w:hint="eastAsia" w:ascii="宋体" w:hAnsi="宋体" w:cs="宋体"/>
                <w:color w:val="auto"/>
                <w:kern w:val="0"/>
                <w:szCs w:val="21"/>
              </w:rPr>
              <w:t>基本满足采购需求</w:t>
            </w:r>
            <w:r>
              <w:rPr>
                <w:rFonts w:hint="eastAsia" w:ascii="宋体" w:hAnsi="宋体" w:cs="宋体"/>
                <w:color w:val="auto"/>
                <w:szCs w:val="21"/>
              </w:rPr>
              <w:t>的，得 2 分。</w:t>
            </w:r>
          </w:p>
          <w:p w14:paraId="1A26E9C9">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售后服务方案不合理、内容表述不合理、售后服务人员配备不合理，售后服务计划简单，售后服务设备不合理得 1分。</w:t>
            </w:r>
          </w:p>
          <w:p w14:paraId="1D47745D">
            <w:pPr>
              <w:spacing w:line="360" w:lineRule="auto"/>
              <w:ind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缺项得 0 分。</w:t>
            </w:r>
          </w:p>
        </w:tc>
      </w:tr>
      <w:tr w14:paraId="636B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noWrap w:val="0"/>
            <w:vAlign w:val="center"/>
          </w:tcPr>
          <w:p w14:paraId="2B60BB6B">
            <w:pPr>
              <w:widowControl/>
              <w:spacing w:before="24" w:beforeLines="10" w:line="360" w:lineRule="auto"/>
              <w:jc w:val="center"/>
              <w:rPr>
                <w:rFonts w:hint="eastAsia" w:ascii="宋体" w:hAnsi="宋体" w:cs="宋体"/>
                <w:color w:val="auto"/>
                <w:kern w:val="0"/>
                <w:szCs w:val="21"/>
              </w:rPr>
            </w:pPr>
          </w:p>
        </w:tc>
        <w:tc>
          <w:tcPr>
            <w:tcW w:w="990" w:type="dxa"/>
            <w:gridSpan w:val="2"/>
            <w:vMerge w:val="continue"/>
            <w:noWrap w:val="0"/>
            <w:vAlign w:val="center"/>
          </w:tcPr>
          <w:p w14:paraId="6B543EFD">
            <w:pPr>
              <w:widowControl/>
              <w:spacing w:before="24" w:beforeLines="10" w:line="360" w:lineRule="auto"/>
              <w:jc w:val="center"/>
              <w:rPr>
                <w:rFonts w:hint="eastAsia" w:ascii="宋体" w:hAnsi="宋体" w:cs="宋体"/>
                <w:color w:val="auto"/>
                <w:kern w:val="0"/>
                <w:szCs w:val="21"/>
              </w:rPr>
            </w:pPr>
          </w:p>
        </w:tc>
        <w:tc>
          <w:tcPr>
            <w:tcW w:w="2126" w:type="dxa"/>
            <w:noWrap w:val="0"/>
            <w:vAlign w:val="center"/>
          </w:tcPr>
          <w:p w14:paraId="68646F83">
            <w:pPr>
              <w:widowControl/>
              <w:spacing w:line="360" w:lineRule="auto"/>
              <w:jc w:val="left"/>
              <w:rPr>
                <w:rFonts w:hint="eastAsia" w:ascii="宋体" w:hAnsi="宋体" w:cs="宋体"/>
                <w:color w:val="auto"/>
                <w:kern w:val="0"/>
                <w:szCs w:val="21"/>
              </w:rPr>
            </w:pPr>
            <w:r>
              <w:rPr>
                <w:rFonts w:hint="eastAsia" w:ascii="宋体" w:hAnsi="宋体" w:cs="宋体"/>
                <w:b/>
                <w:color w:val="auto"/>
                <w:kern w:val="0"/>
                <w:szCs w:val="21"/>
              </w:rPr>
              <w:t>节能清单产品：0.5分</w:t>
            </w:r>
          </w:p>
          <w:p w14:paraId="3ACF4F49">
            <w:pPr>
              <w:widowControl/>
              <w:jc w:val="center"/>
              <w:rPr>
                <w:rFonts w:ascii="宋体" w:hAnsi="宋体" w:cs="宋体"/>
                <w:color w:val="auto"/>
                <w:kern w:val="0"/>
                <w:szCs w:val="21"/>
              </w:rPr>
            </w:pPr>
          </w:p>
        </w:tc>
        <w:tc>
          <w:tcPr>
            <w:tcW w:w="5245" w:type="dxa"/>
            <w:noWrap w:val="0"/>
            <w:vAlign w:val="center"/>
          </w:tcPr>
          <w:p w14:paraId="7584B694">
            <w:pPr>
              <w:widowControl/>
              <w:spacing w:line="400" w:lineRule="exact"/>
              <w:jc w:val="left"/>
              <w:rPr>
                <w:rFonts w:hint="eastAsia" w:ascii="宋体" w:hAnsi="宋体" w:cs="宋体"/>
                <w:color w:val="auto"/>
                <w:kern w:val="0"/>
                <w:szCs w:val="21"/>
              </w:rPr>
            </w:pPr>
            <w:r>
              <w:rPr>
                <w:rFonts w:hint="eastAsia" w:ascii="宋体" w:hAnsi="宋体" w:cs="宋体"/>
                <w:color w:val="auto"/>
                <w:kern w:val="0"/>
                <w:szCs w:val="21"/>
              </w:rPr>
              <w:t>所投产品如为节能产品政府采购品目清单内非政府强制采购节能产品的，每有一项加0.5分，最多加0.5分。</w:t>
            </w:r>
          </w:p>
          <w:p w14:paraId="2C921BBE">
            <w:pPr>
              <w:widowControl/>
              <w:spacing w:line="400" w:lineRule="exact"/>
              <w:jc w:val="left"/>
              <w:rPr>
                <w:rFonts w:hint="eastAsia" w:ascii="宋体" w:hAnsi="宋体" w:cs="宋体"/>
                <w:color w:val="auto"/>
                <w:kern w:val="0"/>
                <w:szCs w:val="21"/>
              </w:rPr>
            </w:pPr>
            <w:r>
              <w:rPr>
                <w:rFonts w:hint="eastAsia" w:ascii="宋体" w:hAnsi="宋体" w:cs="宋体"/>
                <w:color w:val="auto"/>
                <w:kern w:val="0"/>
                <w:szCs w:val="21"/>
              </w:rPr>
              <w:t>投标人须在投标文件中附该产品经国家确定的认证机构出具的、处于有效期之内的《国家节能产品认证证书》复印件，否则评标委员会有权不予认可。清单可在中国政府采购网（http://www.ccgp.gov.cn/）查阅。  </w:t>
            </w:r>
          </w:p>
        </w:tc>
      </w:tr>
      <w:tr w14:paraId="3FF7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noWrap w:val="0"/>
            <w:vAlign w:val="center"/>
          </w:tcPr>
          <w:p w14:paraId="0B24F1B3">
            <w:pPr>
              <w:widowControl/>
              <w:spacing w:before="24" w:beforeLines="10" w:line="360" w:lineRule="auto"/>
              <w:jc w:val="center"/>
              <w:rPr>
                <w:rFonts w:hint="eastAsia" w:ascii="宋体" w:hAnsi="宋体" w:cs="宋体"/>
                <w:color w:val="auto"/>
                <w:kern w:val="0"/>
                <w:szCs w:val="21"/>
              </w:rPr>
            </w:pPr>
          </w:p>
        </w:tc>
        <w:tc>
          <w:tcPr>
            <w:tcW w:w="990" w:type="dxa"/>
            <w:gridSpan w:val="2"/>
            <w:vMerge w:val="continue"/>
            <w:noWrap w:val="0"/>
            <w:vAlign w:val="center"/>
          </w:tcPr>
          <w:p w14:paraId="5ABF69F7">
            <w:pPr>
              <w:widowControl/>
              <w:spacing w:before="24" w:beforeLines="10" w:line="360" w:lineRule="auto"/>
              <w:jc w:val="center"/>
              <w:rPr>
                <w:rFonts w:hint="eastAsia" w:ascii="宋体" w:hAnsi="宋体" w:cs="宋体"/>
                <w:color w:val="auto"/>
                <w:kern w:val="0"/>
                <w:szCs w:val="21"/>
              </w:rPr>
            </w:pPr>
          </w:p>
        </w:tc>
        <w:tc>
          <w:tcPr>
            <w:tcW w:w="2126" w:type="dxa"/>
            <w:noWrap w:val="0"/>
            <w:vAlign w:val="center"/>
          </w:tcPr>
          <w:p w14:paraId="31CB0EE2">
            <w:pPr>
              <w:widowControl/>
              <w:spacing w:line="360" w:lineRule="auto"/>
              <w:jc w:val="left"/>
              <w:rPr>
                <w:rFonts w:hint="eastAsia" w:ascii="宋体" w:hAnsi="宋体" w:cs="宋体"/>
                <w:color w:val="auto"/>
                <w:kern w:val="0"/>
                <w:szCs w:val="21"/>
              </w:rPr>
            </w:pPr>
            <w:r>
              <w:rPr>
                <w:rFonts w:hint="eastAsia" w:ascii="宋体" w:hAnsi="宋体" w:cs="宋体"/>
                <w:b/>
                <w:color w:val="auto"/>
                <w:kern w:val="0"/>
                <w:szCs w:val="21"/>
              </w:rPr>
              <w:t>环保清单产品：0.5分</w:t>
            </w:r>
          </w:p>
          <w:p w14:paraId="1E5D9C71">
            <w:pPr>
              <w:widowControl/>
              <w:jc w:val="center"/>
              <w:rPr>
                <w:rFonts w:hAnsi="宋体" w:cs="宋体"/>
                <w:b/>
                <w:color w:val="auto"/>
                <w:kern w:val="0"/>
              </w:rPr>
            </w:pPr>
          </w:p>
        </w:tc>
        <w:tc>
          <w:tcPr>
            <w:tcW w:w="5245" w:type="dxa"/>
            <w:noWrap w:val="0"/>
            <w:vAlign w:val="center"/>
          </w:tcPr>
          <w:p w14:paraId="7AD72786">
            <w:pPr>
              <w:widowControl/>
              <w:spacing w:line="400" w:lineRule="exact"/>
              <w:jc w:val="left"/>
              <w:rPr>
                <w:rFonts w:hint="eastAsia" w:ascii="宋体" w:hAnsi="宋体" w:cs="宋体"/>
                <w:color w:val="auto"/>
                <w:kern w:val="0"/>
                <w:szCs w:val="21"/>
              </w:rPr>
            </w:pPr>
            <w:r>
              <w:rPr>
                <w:rFonts w:hint="eastAsia" w:ascii="宋体" w:hAnsi="宋体" w:cs="宋体"/>
                <w:color w:val="auto"/>
                <w:kern w:val="0"/>
                <w:szCs w:val="21"/>
              </w:rPr>
              <w:t>所投产品如为环境标志产品政府采购品目清单内的产品，每有一项加0.5分，最多加0.5分。</w:t>
            </w:r>
          </w:p>
          <w:p w14:paraId="35940672">
            <w:pPr>
              <w:widowControl/>
              <w:spacing w:line="400" w:lineRule="exact"/>
              <w:jc w:val="left"/>
              <w:rPr>
                <w:rFonts w:hint="eastAsia" w:ascii="宋体" w:hAnsi="宋体" w:cs="宋体"/>
                <w:color w:val="auto"/>
                <w:szCs w:val="21"/>
              </w:rPr>
            </w:pPr>
            <w:r>
              <w:rPr>
                <w:rFonts w:hint="eastAsia" w:ascii="宋体" w:hAnsi="宋体" w:cs="宋体"/>
                <w:color w:val="auto"/>
                <w:kern w:val="0"/>
                <w:szCs w:val="21"/>
              </w:rPr>
              <w:t>投标人须在投标文件中附该产品经国家确定的认证机构出具的、处于有效期之内的《中国环境标志产品认证证书》复印件，否则评标委员会有权不予认可。清单可在中国政府采购网（</w:t>
            </w:r>
            <w:r>
              <w:rPr>
                <w:rFonts w:hint="eastAsia" w:ascii="宋体" w:hAnsi="宋体" w:cs="宋体"/>
                <w:color w:val="auto"/>
                <w:kern w:val="0"/>
                <w:szCs w:val="21"/>
              </w:rPr>
              <w:fldChar w:fldCharType="begin"/>
            </w:r>
            <w:r>
              <w:rPr>
                <w:rFonts w:hint="eastAsia" w:ascii="宋体" w:hAnsi="宋体" w:cs="宋体"/>
                <w:color w:val="auto"/>
                <w:kern w:val="0"/>
                <w:szCs w:val="21"/>
              </w:rPr>
              <w:instrText xml:space="preserve"> HYPERLINK "qq://txfile/" </w:instrText>
            </w:r>
            <w:r>
              <w:rPr>
                <w:rFonts w:hint="eastAsia" w:ascii="宋体" w:hAnsi="宋体" w:cs="宋体"/>
                <w:color w:val="auto"/>
                <w:kern w:val="0"/>
                <w:szCs w:val="21"/>
              </w:rPr>
              <w:fldChar w:fldCharType="separate"/>
            </w:r>
            <w:r>
              <w:rPr>
                <w:rFonts w:hint="eastAsia" w:ascii="宋体" w:hAnsi="宋体" w:cs="宋体"/>
                <w:color w:val="auto"/>
                <w:kern w:val="0"/>
                <w:szCs w:val="21"/>
              </w:rPr>
              <w:t>http://www.ccgp.gov.cn/</w:t>
            </w:r>
            <w:r>
              <w:rPr>
                <w:rFonts w:hint="eastAsia" w:ascii="宋体" w:hAnsi="宋体" w:cs="宋体"/>
                <w:color w:val="auto"/>
                <w:kern w:val="0"/>
                <w:szCs w:val="21"/>
              </w:rPr>
              <w:fldChar w:fldCharType="end"/>
            </w:r>
            <w:r>
              <w:rPr>
                <w:rFonts w:hint="eastAsia" w:ascii="宋体" w:hAnsi="宋体" w:cs="宋体"/>
                <w:color w:val="auto"/>
                <w:kern w:val="0"/>
                <w:szCs w:val="21"/>
              </w:rPr>
              <w:t>）查阅。   </w:t>
            </w:r>
          </w:p>
        </w:tc>
      </w:tr>
      <w:tr w14:paraId="1A75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1" w:type="dxa"/>
            <w:gridSpan w:val="5"/>
            <w:noWrap w:val="0"/>
            <w:vAlign w:val="center"/>
          </w:tcPr>
          <w:p w14:paraId="6A6B0538">
            <w:pPr>
              <w:pStyle w:val="26"/>
              <w:widowControl/>
              <w:spacing w:before="24" w:beforeLines="10" w:beforeAutospacing="0" w:after="0" w:afterAutospacing="0" w:line="360" w:lineRule="auto"/>
              <w:jc w:val="both"/>
              <w:rPr>
                <w:rFonts w:hint="eastAsia" w:ascii="宋体" w:hAnsi="宋体" w:cs="宋体"/>
                <w:color w:val="auto"/>
                <w:sz w:val="21"/>
                <w:szCs w:val="21"/>
              </w:rPr>
            </w:pPr>
            <w:r>
              <w:rPr>
                <w:rFonts w:hint="eastAsia" w:ascii="宋体" w:hAnsi="宋体" w:cs="宋体"/>
                <w:b/>
                <w:bCs/>
                <w:color w:val="auto"/>
                <w:sz w:val="21"/>
                <w:szCs w:val="21"/>
              </w:rPr>
              <w:t>注：</w:t>
            </w:r>
            <w:r>
              <w:rPr>
                <w:rFonts w:hint="eastAsia" w:ascii="宋体" w:hAnsi="宋体" w:cs="宋体"/>
                <w:color w:val="auto"/>
                <w:sz w:val="21"/>
                <w:szCs w:val="21"/>
              </w:rPr>
              <w:t>1. 提供相同品牌产品且通过资格审查、符合性审查的不同投标人参加同一包下投标的，按一家投标人计算，评审后得分最高的同品牌投标人获得中标人推荐资格；评审得分相同的，以投标报价低者获得中标人推荐资格，其他同品牌投标人不作为中标候选人。</w:t>
            </w:r>
          </w:p>
          <w:p w14:paraId="79E5E3A5">
            <w:pPr>
              <w:pStyle w:val="26"/>
              <w:widowControl/>
              <w:spacing w:before="24" w:beforeLines="10" w:beforeAutospacing="0" w:after="0" w:afterAutospacing="0" w:line="360" w:lineRule="auto"/>
              <w:ind w:firstLine="420" w:firstLineChars="200"/>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sz w:val="21"/>
                <w:szCs w:val="21"/>
                <w:highlight w:val="none"/>
                <w:lang w:val="en-US" w:eastAsia="zh-CN"/>
              </w:rPr>
              <w:t>非单一产品采购项目，招标文件中在第</w:t>
            </w:r>
            <w:r>
              <w:rPr>
                <w:rFonts w:hint="eastAsia" w:ascii="宋体" w:hAnsi="宋体" w:cs="宋体"/>
                <w:sz w:val="21"/>
                <w:szCs w:val="21"/>
                <w:highlight w:val="none"/>
                <w:u w:val="single"/>
                <w:lang w:val="en-US" w:eastAsia="zh-CN"/>
              </w:rPr>
              <w:t xml:space="preserve"> 六 </w:t>
            </w:r>
            <w:r>
              <w:rPr>
                <w:rFonts w:hint="eastAsia" w:ascii="宋体" w:hAnsi="宋体" w:cs="宋体"/>
                <w:sz w:val="21"/>
                <w:szCs w:val="21"/>
                <w:highlight w:val="none"/>
                <w:lang w:val="en-US" w:eastAsia="zh-CN"/>
              </w:rPr>
              <w:t>章中载明了核心产品，</w:t>
            </w:r>
            <w:r>
              <w:rPr>
                <w:rFonts w:hint="eastAsia" w:ascii="宋体" w:hAnsi="宋体" w:cs="宋体"/>
                <w:color w:val="auto"/>
                <w:sz w:val="21"/>
                <w:szCs w:val="21"/>
                <w:highlight w:val="none"/>
              </w:rPr>
              <w:t>核心产品提供相同品牌产品且通过资格审查、符合性审查的不同投标人参加同一包投标的，按一家投标人计算，评审后得分最高的同品牌投标人获得中标人推荐资格；评审得分相同的，以投标报价低者获得中标人推荐资格，其他同品牌投标人不作为中标候选人。</w:t>
            </w:r>
          </w:p>
          <w:p w14:paraId="6486B9A5">
            <w:pPr>
              <w:pStyle w:val="26"/>
              <w:widowControl/>
              <w:spacing w:before="24" w:beforeLines="10" w:beforeAutospacing="0" w:after="0" w:afterAutospacing="0" w:line="360" w:lineRule="auto"/>
              <w:ind w:firstLine="420" w:firstLineChars="200"/>
              <w:jc w:val="both"/>
              <w:rPr>
                <w:rFonts w:hint="eastAsia" w:ascii="宋体" w:hAnsi="宋体" w:cs="宋体"/>
                <w:color w:val="auto"/>
                <w:szCs w:val="21"/>
              </w:rPr>
            </w:pPr>
            <w:r>
              <w:rPr>
                <w:rFonts w:hint="eastAsia" w:ascii="宋体" w:hAnsi="宋体" w:cs="宋体"/>
                <w:color w:val="auto"/>
                <w:sz w:val="21"/>
                <w:szCs w:val="21"/>
              </w:rPr>
              <w:t>3. 多家投标人提供的核心产品品牌相同的，按前两款规定处理。</w:t>
            </w:r>
          </w:p>
        </w:tc>
      </w:tr>
    </w:tbl>
    <w:p w14:paraId="1E70229E">
      <w:pPr>
        <w:ind w:firstLine="422" w:firstLineChars="200"/>
        <w:rPr>
          <w:rFonts w:hint="eastAsia" w:ascii="宋体" w:hAnsi="宋体"/>
          <w:b/>
          <w:color w:val="auto"/>
          <w:szCs w:val="21"/>
        </w:rPr>
      </w:pPr>
    </w:p>
    <w:p w14:paraId="4E019887">
      <w:pPr>
        <w:pStyle w:val="4"/>
        <w:bidi w:val="0"/>
        <w:rPr>
          <w:rFonts w:hint="eastAsia"/>
          <w:color w:val="auto"/>
          <w:sz w:val="24"/>
          <w:szCs w:val="24"/>
        </w:rPr>
      </w:pPr>
      <w:bookmarkStart w:id="388" w:name="_Toc9836"/>
      <w:r>
        <w:rPr>
          <w:rFonts w:hint="eastAsia" w:cs="微软雅黑"/>
          <w:color w:val="auto"/>
          <w:kern w:val="0"/>
        </w:rPr>
        <w:br w:type="page"/>
      </w:r>
      <w:bookmarkStart w:id="389" w:name="_Toc20167"/>
      <w:bookmarkStart w:id="390" w:name="_Toc31999"/>
      <w:bookmarkStart w:id="391" w:name="_Toc30636"/>
      <w:bookmarkStart w:id="392" w:name="_Toc25637"/>
      <w:bookmarkStart w:id="393" w:name="_Toc31078"/>
      <w:bookmarkStart w:id="394" w:name="_Toc26522"/>
      <w:bookmarkStart w:id="395" w:name="_Toc13371"/>
      <w:bookmarkStart w:id="396" w:name="_Toc12476"/>
      <w:bookmarkStart w:id="397" w:name="_Toc3242"/>
      <w:r>
        <w:rPr>
          <w:rFonts w:hint="eastAsia" w:cs="微软雅黑"/>
          <w:color w:val="auto"/>
          <w:kern w:val="0"/>
          <w:lang w:val="en-US" w:eastAsia="zh-CN"/>
        </w:rPr>
        <w:t>1.</w:t>
      </w:r>
      <w:r>
        <w:rPr>
          <w:rFonts w:hint="eastAsia"/>
          <w:color w:val="auto"/>
          <w:sz w:val="24"/>
          <w:szCs w:val="24"/>
        </w:rPr>
        <w:t>评标办法</w:t>
      </w:r>
      <w:bookmarkEnd w:id="388"/>
      <w:bookmarkEnd w:id="389"/>
      <w:bookmarkEnd w:id="390"/>
      <w:bookmarkEnd w:id="391"/>
      <w:bookmarkEnd w:id="392"/>
      <w:bookmarkEnd w:id="393"/>
      <w:bookmarkEnd w:id="394"/>
      <w:bookmarkEnd w:id="395"/>
      <w:bookmarkEnd w:id="396"/>
      <w:bookmarkEnd w:id="397"/>
    </w:p>
    <w:p w14:paraId="0F051D29">
      <w:pPr>
        <w:autoSpaceDE w:val="0"/>
        <w:autoSpaceDN w:val="0"/>
        <w:adjustRightInd w:val="0"/>
        <w:spacing w:line="360" w:lineRule="auto"/>
        <w:ind w:right="-23" w:firstLine="420" w:firstLineChars="200"/>
        <w:jc w:val="left"/>
        <w:rPr>
          <w:rFonts w:hint="eastAsia" w:ascii="宋体" w:hAnsi="宋体" w:cs="宋体"/>
          <w:color w:val="auto"/>
          <w:kern w:val="0"/>
          <w:szCs w:val="21"/>
        </w:rPr>
      </w:pPr>
      <w:r>
        <w:rPr>
          <w:rFonts w:hint="eastAsia" w:ascii="宋体" w:hAnsi="宋体" w:cs="宋体"/>
          <w:color w:val="auto"/>
          <w:kern w:val="0"/>
          <w:szCs w:val="21"/>
        </w:rPr>
        <w:t>本次招标采用综合评分法评标，投标文件满足招标文件全部实质性要求，且按照评审因素的量化指标评审综合得分由高到低顺序推荐为中标候选人的评审方法。</w:t>
      </w:r>
    </w:p>
    <w:p w14:paraId="7FFBFD3F">
      <w:pPr>
        <w:pStyle w:val="4"/>
        <w:numPr>
          <w:ilvl w:val="-1"/>
          <w:numId w:val="0"/>
        </w:numPr>
        <w:rPr>
          <w:rFonts w:hint="eastAsia"/>
          <w:color w:val="auto"/>
          <w:sz w:val="24"/>
          <w:szCs w:val="24"/>
        </w:rPr>
      </w:pPr>
      <w:bookmarkStart w:id="398" w:name="_Toc30234"/>
      <w:bookmarkStart w:id="399" w:name="_Toc4003"/>
      <w:bookmarkStart w:id="400" w:name="_Toc6135"/>
      <w:bookmarkStart w:id="401" w:name="_Toc13454"/>
      <w:bookmarkStart w:id="402" w:name="_Toc26533"/>
      <w:bookmarkStart w:id="403" w:name="_Toc3406"/>
      <w:bookmarkStart w:id="404" w:name="_Toc17219"/>
      <w:bookmarkStart w:id="405" w:name="_Toc13023"/>
      <w:bookmarkStart w:id="406" w:name="_Toc30895"/>
      <w:bookmarkStart w:id="407" w:name="_Toc5920"/>
      <w:r>
        <w:rPr>
          <w:rFonts w:hint="eastAsia"/>
          <w:color w:val="auto"/>
          <w:sz w:val="24"/>
          <w:szCs w:val="24"/>
          <w:lang w:val="en-US" w:eastAsia="zh-CN"/>
        </w:rPr>
        <w:t>2.</w:t>
      </w:r>
      <w:r>
        <w:rPr>
          <w:rFonts w:hint="eastAsia"/>
          <w:color w:val="auto"/>
          <w:sz w:val="24"/>
          <w:szCs w:val="24"/>
        </w:rPr>
        <w:t>评审标准</w:t>
      </w:r>
      <w:bookmarkEnd w:id="398"/>
      <w:bookmarkEnd w:id="399"/>
      <w:bookmarkEnd w:id="400"/>
      <w:bookmarkEnd w:id="401"/>
      <w:bookmarkEnd w:id="402"/>
      <w:bookmarkEnd w:id="403"/>
      <w:bookmarkEnd w:id="404"/>
      <w:bookmarkEnd w:id="405"/>
      <w:bookmarkEnd w:id="406"/>
      <w:bookmarkEnd w:id="407"/>
    </w:p>
    <w:p w14:paraId="6F067219">
      <w:pPr>
        <w:pStyle w:val="4"/>
        <w:rPr>
          <w:rFonts w:hint="eastAsia"/>
          <w:color w:val="auto"/>
        </w:rPr>
      </w:pPr>
      <w:bookmarkStart w:id="408" w:name="_Toc2477"/>
      <w:bookmarkStart w:id="409" w:name="_Toc20701"/>
      <w:bookmarkStart w:id="410" w:name="_Toc12847"/>
      <w:bookmarkStart w:id="411" w:name="_Toc24699"/>
      <w:bookmarkStart w:id="412" w:name="_Toc14180"/>
      <w:bookmarkStart w:id="413" w:name="_Toc21567"/>
      <w:bookmarkStart w:id="414" w:name="_Toc4247"/>
      <w:bookmarkStart w:id="415" w:name="_Toc8479"/>
      <w:bookmarkStart w:id="416" w:name="_Toc21223"/>
      <w:bookmarkStart w:id="417" w:name="_Toc12758"/>
      <w:r>
        <w:rPr>
          <w:rFonts w:hint="eastAsia"/>
          <w:color w:val="auto"/>
        </w:rPr>
        <w:t>2.1 符合性评审</w:t>
      </w:r>
      <w:bookmarkEnd w:id="408"/>
      <w:bookmarkEnd w:id="409"/>
      <w:bookmarkEnd w:id="410"/>
      <w:bookmarkEnd w:id="411"/>
      <w:bookmarkEnd w:id="412"/>
      <w:bookmarkEnd w:id="413"/>
      <w:bookmarkEnd w:id="414"/>
      <w:bookmarkEnd w:id="415"/>
      <w:bookmarkEnd w:id="416"/>
      <w:bookmarkEnd w:id="417"/>
    </w:p>
    <w:p w14:paraId="539AB061">
      <w:pPr>
        <w:autoSpaceDE w:val="0"/>
        <w:autoSpaceDN w:val="0"/>
        <w:adjustRightInd w:val="0"/>
        <w:spacing w:line="360" w:lineRule="auto"/>
        <w:ind w:left="522" w:right="-23"/>
        <w:jc w:val="left"/>
        <w:rPr>
          <w:rFonts w:hint="eastAsia" w:ascii="宋体" w:hAnsi="宋体" w:cs="宋体"/>
          <w:color w:val="auto"/>
          <w:kern w:val="0"/>
          <w:szCs w:val="21"/>
        </w:rPr>
      </w:pPr>
      <w:r>
        <w:rPr>
          <w:rFonts w:hint="eastAsia" w:ascii="宋体" w:hAnsi="宋体" w:cs="宋体"/>
          <w:color w:val="auto"/>
          <w:kern w:val="0"/>
          <w:szCs w:val="21"/>
        </w:rPr>
        <w:t>符合性审查标准：见评标办法前附表。</w:t>
      </w:r>
    </w:p>
    <w:p w14:paraId="79F00F45">
      <w:pPr>
        <w:pStyle w:val="4"/>
        <w:rPr>
          <w:rFonts w:hint="eastAsia"/>
          <w:color w:val="auto"/>
        </w:rPr>
      </w:pPr>
      <w:bookmarkStart w:id="418" w:name="_Toc28336"/>
      <w:bookmarkStart w:id="419" w:name="_Toc29139"/>
      <w:bookmarkStart w:id="420" w:name="_Toc16256"/>
      <w:bookmarkStart w:id="421" w:name="_Toc7259"/>
      <w:bookmarkStart w:id="422" w:name="_Toc17735"/>
      <w:bookmarkStart w:id="423" w:name="_Toc5467"/>
      <w:bookmarkStart w:id="424" w:name="_Toc31651"/>
      <w:bookmarkStart w:id="425" w:name="_Toc27094"/>
      <w:bookmarkStart w:id="426" w:name="_Toc10856"/>
      <w:bookmarkStart w:id="427" w:name="_Toc6724"/>
      <w:r>
        <w:rPr>
          <w:rFonts w:hint="eastAsia"/>
          <w:color w:val="auto"/>
        </w:rPr>
        <w:t>2.2 分值构成与评分标准</w:t>
      </w:r>
      <w:bookmarkEnd w:id="418"/>
      <w:bookmarkEnd w:id="419"/>
      <w:bookmarkEnd w:id="420"/>
      <w:bookmarkEnd w:id="421"/>
      <w:bookmarkEnd w:id="422"/>
      <w:bookmarkEnd w:id="423"/>
      <w:bookmarkEnd w:id="424"/>
      <w:bookmarkEnd w:id="425"/>
      <w:bookmarkEnd w:id="426"/>
      <w:bookmarkEnd w:id="427"/>
    </w:p>
    <w:p w14:paraId="25B105DA">
      <w:pPr>
        <w:autoSpaceDE w:val="0"/>
        <w:autoSpaceDN w:val="0"/>
        <w:adjustRightInd w:val="0"/>
        <w:spacing w:line="360" w:lineRule="auto"/>
        <w:ind w:left="520" w:right="-20"/>
        <w:jc w:val="left"/>
        <w:rPr>
          <w:rFonts w:hint="eastAsia" w:ascii="宋体" w:hAnsi="宋体" w:cs="宋体"/>
          <w:color w:val="auto"/>
          <w:kern w:val="0"/>
          <w:szCs w:val="21"/>
        </w:rPr>
      </w:pPr>
      <w:r>
        <w:rPr>
          <w:rFonts w:hint="eastAsia" w:ascii="宋体" w:hAnsi="宋体" w:cs="宋体"/>
          <w:color w:val="auto"/>
          <w:kern w:val="0"/>
          <w:szCs w:val="21"/>
        </w:rPr>
        <w:t>2.2.1 分</w:t>
      </w:r>
      <w:r>
        <w:rPr>
          <w:rFonts w:hint="eastAsia" w:ascii="宋体" w:hAnsi="宋体" w:cs="宋体"/>
          <w:color w:val="auto"/>
          <w:spacing w:val="-2"/>
          <w:kern w:val="0"/>
          <w:szCs w:val="21"/>
        </w:rPr>
        <w:t>值</w:t>
      </w:r>
      <w:r>
        <w:rPr>
          <w:rFonts w:hint="eastAsia" w:ascii="宋体" w:hAnsi="宋体" w:cs="宋体"/>
          <w:color w:val="auto"/>
          <w:kern w:val="0"/>
          <w:szCs w:val="21"/>
        </w:rPr>
        <w:t>构成</w:t>
      </w:r>
    </w:p>
    <w:p w14:paraId="5AF1B7D4">
      <w:pPr>
        <w:numPr>
          <w:ilvl w:val="0"/>
          <w:numId w:val="15"/>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投标报价：见评标办法前附表；</w:t>
      </w:r>
    </w:p>
    <w:p w14:paraId="4FB35A8A">
      <w:pPr>
        <w:numPr>
          <w:ilvl w:val="0"/>
          <w:numId w:val="15"/>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技术部分：见评标办法前附表；</w:t>
      </w:r>
    </w:p>
    <w:p w14:paraId="5BC1C860">
      <w:pPr>
        <w:numPr>
          <w:ilvl w:val="0"/>
          <w:numId w:val="15"/>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lang w:eastAsia="zh-CN"/>
        </w:rPr>
        <w:t>综合部分</w:t>
      </w:r>
      <w:r>
        <w:rPr>
          <w:rFonts w:hint="eastAsia" w:ascii="宋体" w:hAnsi="宋体" w:cs="宋体"/>
          <w:color w:val="auto"/>
          <w:kern w:val="0"/>
          <w:szCs w:val="21"/>
        </w:rPr>
        <w:t>：见评标办法前附表；</w:t>
      </w:r>
    </w:p>
    <w:p w14:paraId="7FA4D29F">
      <w:pPr>
        <w:autoSpaceDE w:val="0"/>
        <w:autoSpaceDN w:val="0"/>
        <w:adjustRightInd w:val="0"/>
        <w:spacing w:before="7" w:line="360" w:lineRule="auto"/>
        <w:ind w:left="520" w:right="-20"/>
        <w:jc w:val="left"/>
        <w:rPr>
          <w:rFonts w:hint="eastAsia" w:ascii="宋体" w:hAnsi="宋体" w:cs="宋体"/>
          <w:color w:val="auto"/>
          <w:kern w:val="0"/>
          <w:szCs w:val="21"/>
        </w:rPr>
      </w:pPr>
      <w:r>
        <w:rPr>
          <w:rFonts w:hint="eastAsia" w:ascii="宋体" w:hAnsi="宋体" w:cs="宋体"/>
          <w:color w:val="auto"/>
          <w:kern w:val="0"/>
          <w:szCs w:val="21"/>
        </w:rPr>
        <w:t>2.2.2 评</w:t>
      </w:r>
      <w:r>
        <w:rPr>
          <w:rFonts w:hint="eastAsia" w:ascii="宋体" w:hAnsi="宋体" w:cs="宋体"/>
          <w:color w:val="auto"/>
          <w:spacing w:val="-2"/>
          <w:kern w:val="0"/>
          <w:szCs w:val="21"/>
        </w:rPr>
        <w:t>分</w:t>
      </w:r>
      <w:r>
        <w:rPr>
          <w:rFonts w:hint="eastAsia" w:ascii="宋体" w:hAnsi="宋体" w:cs="宋体"/>
          <w:color w:val="auto"/>
          <w:kern w:val="0"/>
          <w:szCs w:val="21"/>
        </w:rPr>
        <w:t>标准</w:t>
      </w:r>
    </w:p>
    <w:p w14:paraId="610A0ABC">
      <w:pPr>
        <w:numPr>
          <w:ilvl w:val="0"/>
          <w:numId w:val="16"/>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投标报价评分标准：见评标办法前附表；</w:t>
      </w:r>
    </w:p>
    <w:p w14:paraId="533769CC">
      <w:pPr>
        <w:numPr>
          <w:ilvl w:val="0"/>
          <w:numId w:val="16"/>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技术评分标准：见评标办法前附表；</w:t>
      </w:r>
    </w:p>
    <w:p w14:paraId="43D80647">
      <w:pPr>
        <w:numPr>
          <w:ilvl w:val="0"/>
          <w:numId w:val="16"/>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lang w:eastAsia="zh-CN"/>
        </w:rPr>
        <w:t>综合</w:t>
      </w:r>
      <w:r>
        <w:rPr>
          <w:rFonts w:hint="eastAsia" w:ascii="宋体" w:hAnsi="宋体" w:cs="宋体"/>
          <w:color w:val="auto"/>
          <w:kern w:val="0"/>
          <w:szCs w:val="21"/>
        </w:rPr>
        <w:t>评分标准：见评标办法前附表；</w:t>
      </w:r>
    </w:p>
    <w:p w14:paraId="645B6517">
      <w:pPr>
        <w:pStyle w:val="4"/>
        <w:numPr>
          <w:ilvl w:val="-1"/>
          <w:numId w:val="0"/>
        </w:numPr>
        <w:rPr>
          <w:rFonts w:hint="eastAsia"/>
          <w:color w:val="auto"/>
          <w:sz w:val="24"/>
          <w:szCs w:val="24"/>
        </w:rPr>
      </w:pPr>
      <w:bookmarkStart w:id="428" w:name="_Toc16356"/>
      <w:bookmarkStart w:id="429" w:name="_Toc28724"/>
      <w:bookmarkStart w:id="430" w:name="_Toc3820"/>
      <w:bookmarkStart w:id="431" w:name="_Toc21732"/>
      <w:bookmarkStart w:id="432" w:name="_Toc1740"/>
      <w:bookmarkStart w:id="433" w:name="_Toc26726"/>
      <w:bookmarkStart w:id="434" w:name="_Toc22175"/>
      <w:bookmarkStart w:id="435" w:name="_Toc5149"/>
      <w:bookmarkStart w:id="436" w:name="_Toc5605"/>
      <w:bookmarkStart w:id="437" w:name="_Toc4338"/>
      <w:r>
        <w:rPr>
          <w:rFonts w:hint="eastAsia"/>
          <w:color w:val="auto"/>
          <w:sz w:val="24"/>
          <w:szCs w:val="24"/>
          <w:lang w:val="en-US" w:eastAsia="zh-CN"/>
        </w:rPr>
        <w:t>3.</w:t>
      </w:r>
      <w:r>
        <w:rPr>
          <w:rFonts w:hint="eastAsia"/>
          <w:color w:val="auto"/>
          <w:sz w:val="24"/>
          <w:szCs w:val="24"/>
        </w:rPr>
        <w:t>评审程序</w:t>
      </w:r>
      <w:bookmarkEnd w:id="428"/>
      <w:bookmarkEnd w:id="429"/>
      <w:bookmarkEnd w:id="430"/>
      <w:bookmarkEnd w:id="431"/>
      <w:bookmarkEnd w:id="432"/>
      <w:bookmarkEnd w:id="433"/>
      <w:bookmarkEnd w:id="434"/>
      <w:bookmarkEnd w:id="435"/>
      <w:bookmarkEnd w:id="436"/>
      <w:bookmarkEnd w:id="437"/>
    </w:p>
    <w:p w14:paraId="53766BC0">
      <w:pPr>
        <w:pStyle w:val="4"/>
        <w:rPr>
          <w:rFonts w:hint="eastAsia"/>
          <w:color w:val="auto"/>
        </w:rPr>
      </w:pPr>
      <w:bookmarkStart w:id="438" w:name="_Toc9613"/>
      <w:bookmarkStart w:id="439" w:name="_Toc10682"/>
      <w:bookmarkStart w:id="440" w:name="_Toc5708"/>
      <w:bookmarkStart w:id="441" w:name="_Toc32083"/>
      <w:bookmarkStart w:id="442" w:name="_Toc9443"/>
      <w:bookmarkStart w:id="443" w:name="_Toc7036"/>
      <w:bookmarkStart w:id="444" w:name="_Toc18983"/>
      <w:bookmarkStart w:id="445" w:name="_Toc1654"/>
      <w:bookmarkStart w:id="446" w:name="_Toc17957"/>
      <w:bookmarkStart w:id="447" w:name="_Toc12080"/>
      <w:r>
        <w:rPr>
          <w:rFonts w:hint="eastAsia"/>
          <w:color w:val="auto"/>
        </w:rPr>
        <w:t>3.1 符合性审查</w:t>
      </w:r>
      <w:bookmarkEnd w:id="438"/>
      <w:bookmarkEnd w:id="439"/>
      <w:bookmarkEnd w:id="440"/>
      <w:bookmarkEnd w:id="441"/>
      <w:bookmarkEnd w:id="442"/>
      <w:bookmarkEnd w:id="443"/>
      <w:bookmarkEnd w:id="444"/>
      <w:bookmarkEnd w:id="445"/>
      <w:bookmarkEnd w:id="446"/>
      <w:bookmarkEnd w:id="447"/>
    </w:p>
    <w:p w14:paraId="7E15D75F">
      <w:pPr>
        <w:autoSpaceDE w:val="0"/>
        <w:autoSpaceDN w:val="0"/>
        <w:adjustRightInd w:val="0"/>
        <w:spacing w:line="360" w:lineRule="auto"/>
        <w:ind w:left="100" w:right="40" w:firstLine="420"/>
        <w:jc w:val="left"/>
        <w:rPr>
          <w:rFonts w:hint="eastAsia" w:ascii="宋体" w:hAnsi="宋体" w:cs="宋体"/>
          <w:b/>
          <w:color w:val="auto"/>
          <w:spacing w:val="-2"/>
          <w:kern w:val="0"/>
          <w:szCs w:val="21"/>
        </w:rPr>
      </w:pPr>
      <w:r>
        <w:rPr>
          <w:rFonts w:hint="eastAsia" w:ascii="宋体" w:hAnsi="宋体" w:cs="宋体"/>
          <w:color w:val="auto"/>
          <w:kern w:val="0"/>
          <w:szCs w:val="21"/>
        </w:rPr>
        <w:t>评</w:t>
      </w:r>
      <w:r>
        <w:rPr>
          <w:rFonts w:hint="eastAsia" w:ascii="宋体" w:hAnsi="宋体" w:cs="宋体"/>
          <w:color w:val="auto"/>
          <w:spacing w:val="-2"/>
          <w:kern w:val="0"/>
          <w:szCs w:val="21"/>
        </w:rPr>
        <w:t>标</w:t>
      </w:r>
      <w:r>
        <w:rPr>
          <w:rFonts w:hint="eastAsia" w:ascii="宋体" w:hAnsi="宋体" w:cs="宋体"/>
          <w:color w:val="auto"/>
          <w:kern w:val="0"/>
          <w:szCs w:val="21"/>
        </w:rPr>
        <w:t>委</w:t>
      </w:r>
      <w:r>
        <w:rPr>
          <w:rFonts w:hint="eastAsia" w:ascii="宋体" w:hAnsi="宋体" w:cs="宋体"/>
          <w:color w:val="auto"/>
          <w:spacing w:val="-2"/>
          <w:kern w:val="0"/>
          <w:szCs w:val="21"/>
        </w:rPr>
        <w:t>员</w:t>
      </w:r>
      <w:r>
        <w:rPr>
          <w:rFonts w:hint="eastAsia" w:ascii="宋体" w:hAnsi="宋体" w:cs="宋体"/>
          <w:color w:val="auto"/>
          <w:kern w:val="0"/>
          <w:szCs w:val="21"/>
        </w:rPr>
        <w:t>会</w:t>
      </w:r>
      <w:r>
        <w:rPr>
          <w:rFonts w:hint="eastAsia" w:ascii="宋体" w:hAnsi="宋体" w:cs="宋体"/>
          <w:color w:val="auto"/>
          <w:spacing w:val="-2"/>
          <w:kern w:val="0"/>
          <w:szCs w:val="21"/>
        </w:rPr>
        <w:t>依</w:t>
      </w:r>
      <w:r>
        <w:rPr>
          <w:rFonts w:hint="eastAsia" w:ascii="宋体" w:hAnsi="宋体" w:cs="宋体"/>
          <w:color w:val="auto"/>
          <w:kern w:val="0"/>
          <w:szCs w:val="21"/>
        </w:rPr>
        <w:t>据本</w:t>
      </w:r>
      <w:r>
        <w:rPr>
          <w:rFonts w:hint="eastAsia" w:ascii="宋体" w:hAnsi="宋体" w:cs="宋体"/>
          <w:color w:val="auto"/>
          <w:spacing w:val="-2"/>
          <w:kern w:val="0"/>
          <w:szCs w:val="21"/>
        </w:rPr>
        <w:t>章评标办法</w:t>
      </w:r>
      <w:r>
        <w:rPr>
          <w:rFonts w:hint="eastAsia" w:ascii="宋体" w:hAnsi="宋体" w:cs="宋体"/>
          <w:color w:val="auto"/>
          <w:kern w:val="0"/>
          <w:szCs w:val="21"/>
        </w:rPr>
        <w:t>前附表</w:t>
      </w:r>
      <w:r>
        <w:rPr>
          <w:rFonts w:hint="eastAsia" w:ascii="宋体" w:hAnsi="宋体" w:cs="宋体"/>
          <w:color w:val="auto"/>
          <w:spacing w:val="-2"/>
          <w:kern w:val="0"/>
          <w:szCs w:val="21"/>
        </w:rPr>
        <w:t>规</w:t>
      </w:r>
      <w:r>
        <w:rPr>
          <w:rFonts w:hint="eastAsia" w:ascii="宋体" w:hAnsi="宋体" w:cs="宋体"/>
          <w:color w:val="auto"/>
          <w:kern w:val="0"/>
          <w:szCs w:val="21"/>
        </w:rPr>
        <w:t>定</w:t>
      </w:r>
      <w:r>
        <w:rPr>
          <w:rFonts w:hint="eastAsia" w:ascii="宋体" w:hAnsi="宋体" w:cs="宋体"/>
          <w:color w:val="auto"/>
          <w:spacing w:val="-2"/>
          <w:kern w:val="0"/>
          <w:szCs w:val="21"/>
        </w:rPr>
        <w:t>的标</w:t>
      </w:r>
      <w:r>
        <w:rPr>
          <w:rFonts w:hint="eastAsia" w:ascii="宋体" w:hAnsi="宋体" w:cs="宋体"/>
          <w:color w:val="auto"/>
          <w:kern w:val="0"/>
          <w:szCs w:val="21"/>
        </w:rPr>
        <w:t>准，对</w:t>
      </w:r>
      <w:r>
        <w:rPr>
          <w:rFonts w:hint="eastAsia" w:ascii="宋体" w:hAnsi="宋体" w:cs="宋体"/>
          <w:color w:val="auto"/>
          <w:spacing w:val="-2"/>
          <w:kern w:val="0"/>
          <w:szCs w:val="21"/>
        </w:rPr>
        <w:t>符合资格的投标人的投标文件进行符合性审查，以确定其是否满足招标文件的实质性要求</w:t>
      </w:r>
      <w:r>
        <w:rPr>
          <w:rFonts w:hint="eastAsia" w:ascii="宋体" w:hAnsi="宋体" w:cs="宋体"/>
          <w:color w:val="auto"/>
          <w:kern w:val="0"/>
          <w:szCs w:val="21"/>
        </w:rPr>
        <w:t>，</w:t>
      </w:r>
      <w:r>
        <w:rPr>
          <w:rFonts w:hint="eastAsia" w:ascii="宋体" w:hAnsi="宋体" w:cs="宋体"/>
          <w:color w:val="auto"/>
          <w:spacing w:val="-2"/>
          <w:kern w:val="0"/>
          <w:szCs w:val="21"/>
        </w:rPr>
        <w:t>有</w:t>
      </w:r>
      <w:r>
        <w:rPr>
          <w:rFonts w:hint="eastAsia" w:ascii="宋体" w:hAnsi="宋体" w:cs="宋体"/>
          <w:color w:val="auto"/>
          <w:kern w:val="0"/>
          <w:szCs w:val="21"/>
        </w:rPr>
        <w:t>一</w:t>
      </w:r>
      <w:r>
        <w:rPr>
          <w:rFonts w:hint="eastAsia" w:ascii="宋体" w:hAnsi="宋体" w:cs="宋体"/>
          <w:color w:val="auto"/>
          <w:spacing w:val="-2"/>
          <w:kern w:val="0"/>
          <w:szCs w:val="21"/>
        </w:rPr>
        <w:t>项</w:t>
      </w:r>
      <w:r>
        <w:rPr>
          <w:rFonts w:hint="eastAsia" w:ascii="宋体" w:hAnsi="宋体" w:cs="宋体"/>
          <w:color w:val="auto"/>
          <w:kern w:val="0"/>
          <w:szCs w:val="21"/>
        </w:rPr>
        <w:t>不</w:t>
      </w:r>
      <w:r>
        <w:rPr>
          <w:rFonts w:hint="eastAsia" w:ascii="宋体" w:hAnsi="宋体" w:cs="宋体"/>
          <w:color w:val="auto"/>
          <w:spacing w:val="-2"/>
          <w:kern w:val="0"/>
          <w:szCs w:val="21"/>
        </w:rPr>
        <w:t>符</w:t>
      </w:r>
      <w:r>
        <w:rPr>
          <w:rFonts w:hint="eastAsia" w:ascii="宋体" w:hAnsi="宋体" w:cs="宋体"/>
          <w:color w:val="auto"/>
          <w:kern w:val="0"/>
          <w:szCs w:val="21"/>
        </w:rPr>
        <w:t>合评审</w:t>
      </w:r>
      <w:r>
        <w:rPr>
          <w:rFonts w:hint="eastAsia" w:ascii="宋体" w:hAnsi="宋体" w:cs="宋体"/>
          <w:color w:val="auto"/>
          <w:spacing w:val="-2"/>
          <w:kern w:val="0"/>
          <w:szCs w:val="21"/>
        </w:rPr>
        <w:t>标</w:t>
      </w:r>
      <w:r>
        <w:rPr>
          <w:rFonts w:hint="eastAsia" w:ascii="宋体" w:hAnsi="宋体" w:cs="宋体"/>
          <w:color w:val="auto"/>
          <w:kern w:val="0"/>
          <w:szCs w:val="21"/>
        </w:rPr>
        <w:t>准</w:t>
      </w:r>
      <w:r>
        <w:rPr>
          <w:rFonts w:hint="eastAsia" w:ascii="宋体" w:hAnsi="宋体" w:cs="宋体"/>
          <w:color w:val="auto"/>
          <w:spacing w:val="-2"/>
          <w:kern w:val="0"/>
          <w:szCs w:val="21"/>
        </w:rPr>
        <w:t>的</w:t>
      </w:r>
      <w:r>
        <w:rPr>
          <w:rFonts w:hint="eastAsia" w:ascii="宋体" w:hAnsi="宋体" w:cs="宋体"/>
          <w:color w:val="auto"/>
          <w:kern w:val="0"/>
          <w:szCs w:val="21"/>
        </w:rPr>
        <w:t>，</w:t>
      </w:r>
      <w:r>
        <w:rPr>
          <w:rFonts w:hint="eastAsia" w:ascii="宋体" w:hAnsi="宋体" w:cs="宋体"/>
          <w:color w:val="auto"/>
          <w:spacing w:val="-2"/>
          <w:kern w:val="0"/>
          <w:szCs w:val="21"/>
        </w:rPr>
        <w:t>评</w:t>
      </w:r>
      <w:r>
        <w:rPr>
          <w:rFonts w:hint="eastAsia" w:ascii="宋体" w:hAnsi="宋体" w:cs="宋体"/>
          <w:color w:val="auto"/>
          <w:kern w:val="0"/>
          <w:szCs w:val="21"/>
        </w:rPr>
        <w:t>标</w:t>
      </w:r>
      <w:r>
        <w:rPr>
          <w:rFonts w:hint="eastAsia" w:ascii="宋体" w:hAnsi="宋体" w:cs="宋体"/>
          <w:color w:val="auto"/>
          <w:spacing w:val="-2"/>
          <w:kern w:val="0"/>
          <w:szCs w:val="21"/>
        </w:rPr>
        <w:t>委</w:t>
      </w:r>
      <w:r>
        <w:rPr>
          <w:rFonts w:hint="eastAsia" w:ascii="宋体" w:hAnsi="宋体" w:cs="宋体"/>
          <w:color w:val="auto"/>
          <w:kern w:val="0"/>
          <w:szCs w:val="21"/>
        </w:rPr>
        <w:t>员</w:t>
      </w:r>
      <w:r>
        <w:rPr>
          <w:rFonts w:hint="eastAsia" w:ascii="宋体" w:hAnsi="宋体" w:cs="宋体"/>
          <w:color w:val="auto"/>
          <w:spacing w:val="-2"/>
          <w:kern w:val="0"/>
          <w:szCs w:val="21"/>
        </w:rPr>
        <w:t>会</w:t>
      </w:r>
      <w:r>
        <w:rPr>
          <w:rFonts w:hint="eastAsia" w:ascii="宋体" w:hAnsi="宋体" w:cs="宋体"/>
          <w:color w:val="auto"/>
          <w:kern w:val="0"/>
          <w:szCs w:val="21"/>
        </w:rPr>
        <w:t>应当</w:t>
      </w:r>
      <w:r>
        <w:rPr>
          <w:rFonts w:hint="eastAsia" w:ascii="宋体" w:hAnsi="宋体" w:cs="宋体"/>
          <w:color w:val="auto"/>
          <w:szCs w:val="21"/>
        </w:rPr>
        <w:t>认定其</w:t>
      </w:r>
      <w:r>
        <w:rPr>
          <w:rFonts w:hint="eastAsia" w:ascii="宋体" w:hAnsi="宋体" w:cs="宋体"/>
          <w:b/>
          <w:bCs/>
          <w:color w:val="auto"/>
          <w:szCs w:val="21"/>
        </w:rPr>
        <w:t>投标无效</w:t>
      </w:r>
      <w:r>
        <w:rPr>
          <w:rFonts w:hint="eastAsia" w:ascii="宋体" w:hAnsi="宋体" w:cs="宋体"/>
          <w:color w:val="auto"/>
          <w:spacing w:val="-2"/>
          <w:kern w:val="0"/>
          <w:szCs w:val="21"/>
        </w:rPr>
        <w:t>。</w:t>
      </w:r>
    </w:p>
    <w:p w14:paraId="78EA07B3">
      <w:pPr>
        <w:autoSpaceDE w:val="0"/>
        <w:autoSpaceDN w:val="0"/>
        <w:adjustRightInd w:val="0"/>
        <w:spacing w:before="40" w:line="360" w:lineRule="auto"/>
        <w:ind w:left="65" w:leftChars="31" w:right="140" w:firstLine="207" w:firstLineChars="98"/>
        <w:jc w:val="left"/>
        <w:rPr>
          <w:rFonts w:hint="eastAsia" w:ascii="宋体" w:hAnsi="宋体" w:cs="宋体"/>
          <w:b/>
          <w:color w:val="auto"/>
          <w:kern w:val="0"/>
          <w:szCs w:val="21"/>
        </w:rPr>
      </w:pPr>
      <w:r>
        <w:rPr>
          <w:rFonts w:hint="eastAsia" w:ascii="宋体" w:hAnsi="宋体" w:cs="宋体"/>
          <w:b/>
          <w:color w:val="auto"/>
          <w:kern w:val="0"/>
          <w:szCs w:val="21"/>
        </w:rPr>
        <w:t>3.1.1 投</w:t>
      </w:r>
      <w:r>
        <w:rPr>
          <w:rFonts w:hint="eastAsia" w:ascii="宋体" w:hAnsi="宋体" w:cs="宋体"/>
          <w:b/>
          <w:color w:val="auto"/>
          <w:spacing w:val="-2"/>
          <w:kern w:val="0"/>
          <w:szCs w:val="21"/>
        </w:rPr>
        <w:t>标</w:t>
      </w:r>
      <w:r>
        <w:rPr>
          <w:rFonts w:hint="eastAsia" w:ascii="宋体" w:hAnsi="宋体" w:cs="宋体"/>
          <w:b/>
          <w:color w:val="auto"/>
          <w:kern w:val="0"/>
          <w:szCs w:val="21"/>
        </w:rPr>
        <w:t>报</w:t>
      </w:r>
      <w:r>
        <w:rPr>
          <w:rFonts w:hint="eastAsia" w:ascii="宋体" w:hAnsi="宋体" w:cs="宋体"/>
          <w:b/>
          <w:color w:val="auto"/>
          <w:spacing w:val="-2"/>
          <w:kern w:val="0"/>
          <w:szCs w:val="21"/>
        </w:rPr>
        <w:t>价</w:t>
      </w:r>
      <w:r>
        <w:rPr>
          <w:rFonts w:hint="eastAsia" w:ascii="宋体" w:hAnsi="宋体" w:cs="宋体"/>
          <w:b/>
          <w:color w:val="auto"/>
          <w:kern w:val="0"/>
          <w:szCs w:val="21"/>
        </w:rPr>
        <w:t>有</w:t>
      </w:r>
      <w:r>
        <w:rPr>
          <w:rFonts w:hint="eastAsia" w:ascii="宋体" w:hAnsi="宋体" w:cs="宋体"/>
          <w:b/>
          <w:color w:val="auto"/>
          <w:spacing w:val="-2"/>
          <w:kern w:val="0"/>
          <w:szCs w:val="21"/>
        </w:rPr>
        <w:t>算</w:t>
      </w:r>
      <w:r>
        <w:rPr>
          <w:rFonts w:hint="eastAsia" w:ascii="宋体" w:hAnsi="宋体" w:cs="宋体"/>
          <w:b/>
          <w:color w:val="auto"/>
          <w:kern w:val="0"/>
          <w:szCs w:val="21"/>
        </w:rPr>
        <w:t>术</w:t>
      </w:r>
      <w:r>
        <w:rPr>
          <w:rFonts w:hint="eastAsia" w:ascii="宋体" w:hAnsi="宋体" w:cs="宋体"/>
          <w:b/>
          <w:color w:val="auto"/>
          <w:spacing w:val="-2"/>
          <w:kern w:val="0"/>
          <w:szCs w:val="21"/>
        </w:rPr>
        <w:t>错误</w:t>
      </w:r>
      <w:r>
        <w:rPr>
          <w:rFonts w:hint="eastAsia" w:ascii="宋体" w:hAnsi="宋体" w:cs="宋体"/>
          <w:b/>
          <w:color w:val="auto"/>
          <w:kern w:val="0"/>
          <w:szCs w:val="21"/>
        </w:rPr>
        <w:t>及其</w:t>
      </w:r>
      <w:r>
        <w:rPr>
          <w:rFonts w:hint="eastAsia" w:ascii="宋体" w:hAnsi="宋体" w:cs="宋体"/>
          <w:b/>
          <w:color w:val="auto"/>
          <w:spacing w:val="-2"/>
          <w:kern w:val="0"/>
          <w:szCs w:val="21"/>
        </w:rPr>
        <w:t>他</w:t>
      </w:r>
      <w:r>
        <w:rPr>
          <w:rFonts w:hint="eastAsia" w:ascii="宋体" w:hAnsi="宋体" w:cs="宋体"/>
          <w:b/>
          <w:color w:val="auto"/>
          <w:kern w:val="0"/>
          <w:szCs w:val="21"/>
        </w:rPr>
        <w:t>错</w:t>
      </w:r>
      <w:r>
        <w:rPr>
          <w:rFonts w:hint="eastAsia" w:ascii="宋体" w:hAnsi="宋体" w:cs="宋体"/>
          <w:b/>
          <w:color w:val="auto"/>
          <w:spacing w:val="-2"/>
          <w:kern w:val="0"/>
          <w:szCs w:val="21"/>
        </w:rPr>
        <w:t>误的</w:t>
      </w:r>
      <w:r>
        <w:rPr>
          <w:rFonts w:hint="eastAsia" w:ascii="宋体" w:hAnsi="宋体" w:cs="宋体"/>
          <w:b/>
          <w:color w:val="auto"/>
          <w:spacing w:val="-74"/>
          <w:kern w:val="0"/>
          <w:szCs w:val="21"/>
        </w:rPr>
        <w:t>，</w:t>
      </w:r>
      <w:r>
        <w:rPr>
          <w:rFonts w:hint="eastAsia" w:ascii="宋体" w:hAnsi="宋体" w:cs="宋体"/>
          <w:b/>
          <w:color w:val="auto"/>
          <w:spacing w:val="-2"/>
          <w:kern w:val="0"/>
          <w:szCs w:val="21"/>
        </w:rPr>
        <w:t>评</w:t>
      </w:r>
      <w:r>
        <w:rPr>
          <w:rFonts w:hint="eastAsia" w:ascii="宋体" w:hAnsi="宋体" w:cs="宋体"/>
          <w:b/>
          <w:color w:val="auto"/>
          <w:kern w:val="0"/>
          <w:szCs w:val="21"/>
        </w:rPr>
        <w:t>标</w:t>
      </w:r>
      <w:r>
        <w:rPr>
          <w:rFonts w:hint="eastAsia" w:ascii="宋体" w:hAnsi="宋体" w:cs="宋体"/>
          <w:b/>
          <w:color w:val="auto"/>
          <w:spacing w:val="-2"/>
          <w:kern w:val="0"/>
          <w:szCs w:val="21"/>
        </w:rPr>
        <w:t>委</w:t>
      </w:r>
      <w:r>
        <w:rPr>
          <w:rFonts w:hint="eastAsia" w:ascii="宋体" w:hAnsi="宋体" w:cs="宋体"/>
          <w:b/>
          <w:color w:val="auto"/>
          <w:kern w:val="0"/>
          <w:szCs w:val="21"/>
        </w:rPr>
        <w:t>员</w:t>
      </w:r>
      <w:r>
        <w:rPr>
          <w:rFonts w:hint="eastAsia" w:ascii="宋体" w:hAnsi="宋体" w:cs="宋体"/>
          <w:b/>
          <w:color w:val="auto"/>
          <w:spacing w:val="-2"/>
          <w:kern w:val="0"/>
          <w:szCs w:val="21"/>
        </w:rPr>
        <w:t>会</w:t>
      </w:r>
      <w:r>
        <w:rPr>
          <w:rFonts w:hint="eastAsia" w:ascii="宋体" w:hAnsi="宋体" w:cs="宋体"/>
          <w:b/>
          <w:color w:val="auto"/>
          <w:kern w:val="0"/>
          <w:szCs w:val="21"/>
        </w:rPr>
        <w:t>按以</w:t>
      </w:r>
      <w:r>
        <w:rPr>
          <w:rFonts w:hint="eastAsia" w:ascii="宋体" w:hAnsi="宋体" w:cs="宋体"/>
          <w:b/>
          <w:color w:val="auto"/>
          <w:spacing w:val="-2"/>
          <w:kern w:val="0"/>
          <w:szCs w:val="21"/>
        </w:rPr>
        <w:t>下</w:t>
      </w:r>
      <w:r>
        <w:rPr>
          <w:rFonts w:hint="eastAsia" w:ascii="宋体" w:hAnsi="宋体" w:cs="宋体"/>
          <w:b/>
          <w:color w:val="auto"/>
          <w:kern w:val="0"/>
          <w:szCs w:val="21"/>
        </w:rPr>
        <w:t>原</w:t>
      </w:r>
      <w:r>
        <w:rPr>
          <w:rFonts w:hint="eastAsia" w:ascii="宋体" w:hAnsi="宋体" w:cs="宋体"/>
          <w:b/>
          <w:color w:val="auto"/>
          <w:spacing w:val="-2"/>
          <w:kern w:val="0"/>
          <w:szCs w:val="21"/>
        </w:rPr>
        <w:t>则</w:t>
      </w:r>
      <w:r>
        <w:rPr>
          <w:rFonts w:hint="eastAsia" w:ascii="宋体" w:hAnsi="宋体" w:cs="宋体"/>
          <w:b/>
          <w:color w:val="auto"/>
          <w:kern w:val="0"/>
          <w:szCs w:val="21"/>
        </w:rPr>
        <w:t>要</w:t>
      </w:r>
      <w:r>
        <w:rPr>
          <w:rFonts w:hint="eastAsia" w:ascii="宋体" w:hAnsi="宋体" w:cs="宋体"/>
          <w:b/>
          <w:color w:val="auto"/>
          <w:spacing w:val="-2"/>
          <w:kern w:val="0"/>
          <w:szCs w:val="21"/>
        </w:rPr>
        <w:t>求</w:t>
      </w:r>
      <w:r>
        <w:rPr>
          <w:rFonts w:hint="eastAsia" w:ascii="宋体" w:hAnsi="宋体" w:cs="宋体"/>
          <w:b/>
          <w:color w:val="auto"/>
          <w:kern w:val="0"/>
          <w:szCs w:val="21"/>
        </w:rPr>
        <w:t>投</w:t>
      </w:r>
      <w:r>
        <w:rPr>
          <w:rFonts w:hint="eastAsia" w:ascii="宋体" w:hAnsi="宋体" w:cs="宋体"/>
          <w:b/>
          <w:color w:val="auto"/>
          <w:spacing w:val="-2"/>
          <w:kern w:val="0"/>
          <w:szCs w:val="21"/>
        </w:rPr>
        <w:t>标</w:t>
      </w:r>
      <w:r>
        <w:rPr>
          <w:rFonts w:hint="eastAsia" w:ascii="宋体" w:hAnsi="宋体" w:cs="宋体"/>
          <w:b/>
          <w:color w:val="auto"/>
          <w:kern w:val="0"/>
          <w:szCs w:val="21"/>
        </w:rPr>
        <w:t>人</w:t>
      </w:r>
      <w:r>
        <w:rPr>
          <w:rFonts w:hint="eastAsia" w:ascii="宋体" w:hAnsi="宋体" w:cs="宋体"/>
          <w:b/>
          <w:color w:val="auto"/>
          <w:spacing w:val="-2"/>
          <w:kern w:val="0"/>
          <w:szCs w:val="21"/>
        </w:rPr>
        <w:t>对</w:t>
      </w:r>
      <w:r>
        <w:rPr>
          <w:rFonts w:hint="eastAsia" w:ascii="宋体" w:hAnsi="宋体" w:cs="宋体"/>
          <w:b/>
          <w:color w:val="auto"/>
          <w:kern w:val="0"/>
          <w:szCs w:val="21"/>
        </w:rPr>
        <w:t>投标</w:t>
      </w:r>
      <w:r>
        <w:rPr>
          <w:rFonts w:hint="eastAsia" w:ascii="宋体" w:hAnsi="宋体" w:cs="宋体"/>
          <w:b/>
          <w:color w:val="auto"/>
          <w:spacing w:val="-2"/>
          <w:kern w:val="0"/>
          <w:szCs w:val="21"/>
        </w:rPr>
        <w:t>报</w:t>
      </w:r>
      <w:r>
        <w:rPr>
          <w:rFonts w:hint="eastAsia" w:ascii="宋体" w:hAnsi="宋体" w:cs="宋体"/>
          <w:b/>
          <w:color w:val="auto"/>
          <w:kern w:val="0"/>
          <w:szCs w:val="21"/>
        </w:rPr>
        <w:t>价进行修</w:t>
      </w:r>
      <w:r>
        <w:rPr>
          <w:rFonts w:hint="eastAsia" w:ascii="宋体" w:hAnsi="宋体" w:cs="宋体"/>
          <w:b/>
          <w:color w:val="auto"/>
          <w:spacing w:val="-2"/>
          <w:kern w:val="0"/>
          <w:szCs w:val="21"/>
        </w:rPr>
        <w:t>正</w:t>
      </w:r>
    </w:p>
    <w:p w14:paraId="668084FE">
      <w:pPr>
        <w:numPr>
          <w:ilvl w:val="0"/>
          <w:numId w:val="17"/>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投标文件中开标一览表（报价表）内容与投标文件中相应内容不一致的，以开标一览表（报价表）为准；</w:t>
      </w:r>
    </w:p>
    <w:p w14:paraId="66F22D6D">
      <w:pPr>
        <w:numPr>
          <w:ilvl w:val="0"/>
          <w:numId w:val="17"/>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大写金额和小写金额不一致的，以大写金额为准；</w:t>
      </w:r>
    </w:p>
    <w:p w14:paraId="27B1DF62">
      <w:pPr>
        <w:numPr>
          <w:ilvl w:val="0"/>
          <w:numId w:val="17"/>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单价金额小数点或者百分比有明显错位的，以开标一览表的总价为准，并修改单价；</w:t>
      </w:r>
    </w:p>
    <w:p w14:paraId="52C5B05C">
      <w:pPr>
        <w:numPr>
          <w:ilvl w:val="0"/>
          <w:numId w:val="17"/>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总价金额与按单价汇总金额不一致的，以单价金额计算结果为准。</w:t>
      </w:r>
    </w:p>
    <w:p w14:paraId="3B85DF53">
      <w:pPr>
        <w:numPr>
          <w:ilvl w:val="0"/>
          <w:numId w:val="17"/>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同时出现两种以上不一致的，按照前款规定的顺序修正。修正后的报价应当采用书面形式，并加盖公章，或者由法定代表人或其授权的代表签字，投标人不确认的，其</w:t>
      </w:r>
      <w:r>
        <w:rPr>
          <w:rFonts w:hint="eastAsia" w:ascii="宋体" w:hAnsi="宋体" w:cs="宋体"/>
          <w:b/>
          <w:bCs/>
          <w:color w:val="auto"/>
          <w:kern w:val="0"/>
          <w:szCs w:val="21"/>
        </w:rPr>
        <w:t>投标无效</w:t>
      </w:r>
      <w:r>
        <w:rPr>
          <w:rFonts w:hint="eastAsia" w:ascii="宋体" w:hAnsi="宋体" w:cs="宋体"/>
          <w:color w:val="auto"/>
          <w:kern w:val="0"/>
          <w:szCs w:val="21"/>
        </w:rPr>
        <w:t>。</w:t>
      </w:r>
    </w:p>
    <w:p w14:paraId="5D564211">
      <w:pPr>
        <w:pStyle w:val="4"/>
        <w:rPr>
          <w:rFonts w:hint="eastAsia"/>
          <w:color w:val="auto"/>
        </w:rPr>
      </w:pPr>
      <w:bookmarkStart w:id="448" w:name="_Toc12089"/>
      <w:bookmarkStart w:id="449" w:name="_Toc14399"/>
      <w:bookmarkStart w:id="450" w:name="_Toc1221"/>
      <w:bookmarkStart w:id="451" w:name="_Toc10132"/>
      <w:bookmarkStart w:id="452" w:name="_Toc24391"/>
      <w:bookmarkStart w:id="453" w:name="_Toc26213"/>
      <w:bookmarkStart w:id="454" w:name="_Toc30428"/>
      <w:bookmarkStart w:id="455" w:name="_Toc22449"/>
      <w:bookmarkStart w:id="456" w:name="_Toc13336"/>
      <w:bookmarkStart w:id="457" w:name="_Toc18705"/>
      <w:r>
        <w:rPr>
          <w:rFonts w:hint="eastAsia"/>
          <w:color w:val="auto"/>
        </w:rPr>
        <w:t>3.2 详细评审</w:t>
      </w:r>
      <w:bookmarkEnd w:id="448"/>
      <w:bookmarkEnd w:id="449"/>
      <w:bookmarkEnd w:id="450"/>
      <w:bookmarkEnd w:id="451"/>
      <w:bookmarkEnd w:id="452"/>
      <w:bookmarkEnd w:id="453"/>
      <w:bookmarkEnd w:id="454"/>
      <w:bookmarkEnd w:id="455"/>
      <w:bookmarkEnd w:id="456"/>
      <w:bookmarkEnd w:id="457"/>
    </w:p>
    <w:p w14:paraId="1A2D8CE4">
      <w:pPr>
        <w:autoSpaceDE w:val="0"/>
        <w:autoSpaceDN w:val="0"/>
        <w:adjustRightInd w:val="0"/>
        <w:spacing w:line="360" w:lineRule="auto"/>
        <w:ind w:left="520" w:right="-20"/>
        <w:jc w:val="left"/>
        <w:rPr>
          <w:rFonts w:hint="eastAsia" w:ascii="宋体" w:hAnsi="宋体" w:cs="宋体"/>
          <w:color w:val="auto"/>
          <w:kern w:val="0"/>
          <w:szCs w:val="21"/>
        </w:rPr>
      </w:pPr>
      <w:r>
        <w:rPr>
          <w:rFonts w:hint="eastAsia" w:ascii="宋体" w:hAnsi="宋体" w:cs="宋体"/>
          <w:color w:val="auto"/>
          <w:kern w:val="0"/>
          <w:szCs w:val="21"/>
        </w:rPr>
        <w:t>3.2.1 评</w:t>
      </w:r>
      <w:r>
        <w:rPr>
          <w:rFonts w:hint="eastAsia" w:ascii="宋体" w:hAnsi="宋体" w:cs="宋体"/>
          <w:color w:val="auto"/>
          <w:spacing w:val="-2"/>
          <w:kern w:val="0"/>
          <w:szCs w:val="21"/>
        </w:rPr>
        <w:t>标</w:t>
      </w:r>
      <w:r>
        <w:rPr>
          <w:rFonts w:hint="eastAsia" w:ascii="宋体" w:hAnsi="宋体" w:cs="宋体"/>
          <w:color w:val="auto"/>
          <w:kern w:val="0"/>
          <w:szCs w:val="21"/>
        </w:rPr>
        <w:t>委</w:t>
      </w:r>
      <w:r>
        <w:rPr>
          <w:rFonts w:hint="eastAsia" w:ascii="宋体" w:hAnsi="宋体" w:cs="宋体"/>
          <w:color w:val="auto"/>
          <w:spacing w:val="-2"/>
          <w:kern w:val="0"/>
          <w:szCs w:val="21"/>
        </w:rPr>
        <w:t>员</w:t>
      </w:r>
      <w:r>
        <w:rPr>
          <w:rFonts w:hint="eastAsia" w:ascii="宋体" w:hAnsi="宋体" w:cs="宋体"/>
          <w:color w:val="auto"/>
          <w:kern w:val="0"/>
          <w:szCs w:val="21"/>
        </w:rPr>
        <w:t>会</w:t>
      </w:r>
      <w:r>
        <w:rPr>
          <w:rFonts w:hint="eastAsia" w:ascii="宋体" w:hAnsi="宋体" w:cs="宋体"/>
          <w:color w:val="auto"/>
          <w:spacing w:val="-2"/>
          <w:kern w:val="0"/>
          <w:szCs w:val="21"/>
        </w:rPr>
        <w:t>按</w:t>
      </w:r>
      <w:r>
        <w:rPr>
          <w:rFonts w:hint="eastAsia" w:ascii="宋体" w:hAnsi="宋体" w:cs="宋体"/>
          <w:color w:val="auto"/>
          <w:kern w:val="0"/>
          <w:szCs w:val="21"/>
        </w:rPr>
        <w:t>本</w:t>
      </w:r>
      <w:r>
        <w:rPr>
          <w:rFonts w:hint="eastAsia" w:ascii="宋体" w:hAnsi="宋体" w:cs="宋体"/>
          <w:color w:val="auto"/>
          <w:spacing w:val="-2"/>
          <w:kern w:val="0"/>
          <w:szCs w:val="21"/>
        </w:rPr>
        <w:t>章</w:t>
      </w:r>
      <w:r>
        <w:rPr>
          <w:rFonts w:hint="eastAsia" w:ascii="宋体" w:hAnsi="宋体" w:cs="宋体"/>
          <w:color w:val="auto"/>
          <w:kern w:val="0"/>
          <w:szCs w:val="21"/>
        </w:rPr>
        <w:t>评标方法规</w:t>
      </w:r>
      <w:r>
        <w:rPr>
          <w:rFonts w:hint="eastAsia" w:ascii="宋体" w:hAnsi="宋体" w:cs="宋体"/>
          <w:color w:val="auto"/>
          <w:spacing w:val="-2"/>
          <w:kern w:val="0"/>
          <w:szCs w:val="21"/>
        </w:rPr>
        <w:t>定</w:t>
      </w:r>
      <w:r>
        <w:rPr>
          <w:rFonts w:hint="eastAsia" w:ascii="宋体" w:hAnsi="宋体" w:cs="宋体"/>
          <w:color w:val="auto"/>
          <w:kern w:val="0"/>
          <w:szCs w:val="21"/>
        </w:rPr>
        <w:t>的</w:t>
      </w:r>
      <w:r>
        <w:rPr>
          <w:rFonts w:hint="eastAsia" w:ascii="宋体" w:hAnsi="宋体" w:cs="宋体"/>
          <w:color w:val="auto"/>
          <w:spacing w:val="-2"/>
          <w:kern w:val="0"/>
          <w:szCs w:val="21"/>
        </w:rPr>
        <w:t>量</w:t>
      </w:r>
      <w:r>
        <w:rPr>
          <w:rFonts w:hint="eastAsia" w:ascii="宋体" w:hAnsi="宋体" w:cs="宋体"/>
          <w:color w:val="auto"/>
          <w:kern w:val="0"/>
          <w:szCs w:val="21"/>
        </w:rPr>
        <w:t>化</w:t>
      </w:r>
      <w:r>
        <w:rPr>
          <w:rFonts w:hint="eastAsia" w:ascii="宋体" w:hAnsi="宋体" w:cs="宋体"/>
          <w:color w:val="auto"/>
          <w:spacing w:val="-2"/>
          <w:kern w:val="0"/>
          <w:szCs w:val="21"/>
        </w:rPr>
        <w:t>因</w:t>
      </w:r>
      <w:r>
        <w:rPr>
          <w:rFonts w:hint="eastAsia" w:ascii="宋体" w:hAnsi="宋体" w:cs="宋体"/>
          <w:color w:val="auto"/>
          <w:kern w:val="0"/>
          <w:szCs w:val="21"/>
        </w:rPr>
        <w:t>素</w:t>
      </w:r>
      <w:r>
        <w:rPr>
          <w:rFonts w:hint="eastAsia" w:ascii="宋体" w:hAnsi="宋体" w:cs="宋体"/>
          <w:color w:val="auto"/>
          <w:spacing w:val="-2"/>
          <w:kern w:val="0"/>
          <w:szCs w:val="21"/>
        </w:rPr>
        <w:t>和</w:t>
      </w:r>
      <w:r>
        <w:rPr>
          <w:rFonts w:hint="eastAsia" w:ascii="宋体" w:hAnsi="宋体" w:cs="宋体"/>
          <w:color w:val="auto"/>
          <w:kern w:val="0"/>
          <w:szCs w:val="21"/>
        </w:rPr>
        <w:t>分值</w:t>
      </w:r>
      <w:r>
        <w:rPr>
          <w:rFonts w:hint="eastAsia" w:ascii="宋体" w:hAnsi="宋体" w:cs="宋体"/>
          <w:color w:val="auto"/>
          <w:spacing w:val="-2"/>
          <w:kern w:val="0"/>
          <w:szCs w:val="21"/>
        </w:rPr>
        <w:t>进</w:t>
      </w:r>
      <w:r>
        <w:rPr>
          <w:rFonts w:hint="eastAsia" w:ascii="宋体" w:hAnsi="宋体" w:cs="宋体"/>
          <w:color w:val="auto"/>
          <w:kern w:val="0"/>
          <w:szCs w:val="21"/>
        </w:rPr>
        <w:t>行</w:t>
      </w:r>
      <w:r>
        <w:rPr>
          <w:rFonts w:hint="eastAsia" w:ascii="宋体" w:hAnsi="宋体" w:cs="宋体"/>
          <w:color w:val="auto"/>
          <w:spacing w:val="-2"/>
          <w:kern w:val="0"/>
          <w:szCs w:val="21"/>
        </w:rPr>
        <w:t>打</w:t>
      </w:r>
      <w:r>
        <w:rPr>
          <w:rFonts w:hint="eastAsia" w:ascii="宋体" w:hAnsi="宋体" w:cs="宋体"/>
          <w:color w:val="auto"/>
          <w:kern w:val="0"/>
          <w:szCs w:val="21"/>
        </w:rPr>
        <w:t>分</w:t>
      </w:r>
      <w:r>
        <w:rPr>
          <w:rFonts w:hint="eastAsia" w:ascii="宋体" w:hAnsi="宋体" w:cs="宋体"/>
          <w:color w:val="auto"/>
          <w:spacing w:val="-108"/>
          <w:kern w:val="0"/>
          <w:szCs w:val="21"/>
        </w:rPr>
        <w:t>，</w:t>
      </w:r>
      <w:r>
        <w:rPr>
          <w:rFonts w:hint="eastAsia" w:ascii="宋体" w:hAnsi="宋体" w:cs="宋体"/>
          <w:color w:val="auto"/>
          <w:kern w:val="0"/>
          <w:szCs w:val="21"/>
        </w:rPr>
        <w:t>并</w:t>
      </w:r>
      <w:r>
        <w:rPr>
          <w:rFonts w:hint="eastAsia" w:ascii="宋体" w:hAnsi="宋体" w:cs="宋体"/>
          <w:color w:val="auto"/>
          <w:spacing w:val="-2"/>
          <w:kern w:val="0"/>
          <w:szCs w:val="21"/>
        </w:rPr>
        <w:t>计</w:t>
      </w:r>
      <w:r>
        <w:rPr>
          <w:rFonts w:hint="eastAsia" w:ascii="宋体" w:hAnsi="宋体" w:cs="宋体"/>
          <w:color w:val="auto"/>
          <w:kern w:val="0"/>
          <w:szCs w:val="21"/>
        </w:rPr>
        <w:t>算</w:t>
      </w:r>
      <w:r>
        <w:rPr>
          <w:rFonts w:hint="eastAsia" w:ascii="宋体" w:hAnsi="宋体" w:cs="宋体"/>
          <w:color w:val="auto"/>
          <w:spacing w:val="-2"/>
          <w:kern w:val="0"/>
          <w:szCs w:val="21"/>
        </w:rPr>
        <w:t>出综</w:t>
      </w:r>
      <w:r>
        <w:rPr>
          <w:rFonts w:hint="eastAsia" w:ascii="宋体" w:hAnsi="宋体" w:cs="宋体"/>
          <w:color w:val="auto"/>
          <w:kern w:val="0"/>
          <w:szCs w:val="21"/>
        </w:rPr>
        <w:t>合得</w:t>
      </w:r>
      <w:r>
        <w:rPr>
          <w:rFonts w:hint="eastAsia" w:ascii="宋体" w:hAnsi="宋体" w:cs="宋体"/>
          <w:color w:val="auto"/>
          <w:spacing w:val="-2"/>
          <w:kern w:val="0"/>
          <w:szCs w:val="21"/>
        </w:rPr>
        <w:t>分</w:t>
      </w:r>
      <w:r>
        <w:rPr>
          <w:rFonts w:hint="eastAsia" w:ascii="宋体" w:hAnsi="宋体" w:cs="宋体"/>
          <w:color w:val="auto"/>
          <w:kern w:val="0"/>
          <w:szCs w:val="21"/>
        </w:rPr>
        <w:t>。</w:t>
      </w:r>
    </w:p>
    <w:p w14:paraId="72B1FCC3">
      <w:pPr>
        <w:numPr>
          <w:ilvl w:val="0"/>
          <w:numId w:val="18"/>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按本章第 2.2.2（1）目规定的评审因素和分值对投标报价计算出得分A；</w:t>
      </w:r>
    </w:p>
    <w:p w14:paraId="0C104230">
      <w:pPr>
        <w:numPr>
          <w:ilvl w:val="0"/>
          <w:numId w:val="18"/>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按本章第2.2.2（2）目规定的评审因素和分值对技术部分计算出得分B；</w:t>
      </w:r>
    </w:p>
    <w:p w14:paraId="556777C3">
      <w:pPr>
        <w:numPr>
          <w:ilvl w:val="0"/>
          <w:numId w:val="18"/>
        </w:numPr>
        <w:autoSpaceDE w:val="0"/>
        <w:autoSpaceDN w:val="0"/>
        <w:adjustRightInd w:val="0"/>
        <w:spacing w:line="360" w:lineRule="auto"/>
        <w:ind w:left="0" w:right="40" w:firstLine="420" w:firstLineChars="200"/>
        <w:jc w:val="left"/>
        <w:rPr>
          <w:rFonts w:hint="eastAsia" w:ascii="宋体" w:hAnsi="宋体" w:cs="宋体"/>
          <w:color w:val="auto"/>
          <w:kern w:val="0"/>
          <w:szCs w:val="21"/>
        </w:rPr>
      </w:pPr>
      <w:r>
        <w:rPr>
          <w:rFonts w:hint="eastAsia" w:ascii="宋体" w:hAnsi="宋体" w:cs="宋体"/>
          <w:color w:val="auto"/>
          <w:kern w:val="0"/>
          <w:szCs w:val="21"/>
        </w:rPr>
        <w:t>按本章第2.2.2（3）目规定的评审因素和分值对</w:t>
      </w:r>
      <w:r>
        <w:rPr>
          <w:rFonts w:hint="eastAsia" w:ascii="宋体" w:hAnsi="宋体" w:cs="宋体"/>
          <w:color w:val="auto"/>
          <w:kern w:val="0"/>
          <w:szCs w:val="21"/>
          <w:lang w:eastAsia="zh-CN"/>
        </w:rPr>
        <w:t>综合部分</w:t>
      </w:r>
      <w:r>
        <w:rPr>
          <w:rFonts w:hint="eastAsia" w:ascii="宋体" w:hAnsi="宋体" w:cs="宋体"/>
          <w:color w:val="auto"/>
          <w:kern w:val="0"/>
          <w:szCs w:val="21"/>
        </w:rPr>
        <w:t>计算出得分C。</w:t>
      </w:r>
    </w:p>
    <w:p w14:paraId="6286CE54">
      <w:pPr>
        <w:autoSpaceDE w:val="0"/>
        <w:autoSpaceDN w:val="0"/>
        <w:adjustRightInd w:val="0"/>
        <w:spacing w:before="42" w:line="360" w:lineRule="auto"/>
        <w:ind w:left="520" w:right="-20"/>
        <w:jc w:val="left"/>
        <w:rPr>
          <w:rFonts w:hint="eastAsia" w:ascii="宋体" w:hAnsi="宋体" w:cs="宋体"/>
          <w:color w:val="auto"/>
          <w:kern w:val="0"/>
          <w:szCs w:val="21"/>
        </w:rPr>
      </w:pPr>
      <w:r>
        <w:rPr>
          <w:rFonts w:hint="eastAsia" w:ascii="宋体" w:hAnsi="宋体" w:cs="宋体"/>
          <w:color w:val="auto"/>
          <w:kern w:val="0"/>
          <w:szCs w:val="21"/>
        </w:rPr>
        <w:t>3.2.2</w:t>
      </w:r>
      <w:r>
        <w:rPr>
          <w:rFonts w:hint="eastAsia" w:ascii="宋体" w:hAnsi="宋体" w:cs="宋体"/>
          <w:color w:val="auto"/>
          <w:spacing w:val="51"/>
          <w:kern w:val="0"/>
          <w:szCs w:val="21"/>
        </w:rPr>
        <w:t xml:space="preserve"> </w:t>
      </w:r>
      <w:r>
        <w:rPr>
          <w:rFonts w:hint="eastAsia" w:ascii="宋体" w:hAnsi="宋体" w:cs="宋体"/>
          <w:color w:val="auto"/>
          <w:kern w:val="0"/>
          <w:szCs w:val="21"/>
        </w:rPr>
        <w:t>评</w:t>
      </w:r>
      <w:r>
        <w:rPr>
          <w:rFonts w:hint="eastAsia" w:ascii="宋体" w:hAnsi="宋体" w:cs="宋体"/>
          <w:color w:val="auto"/>
          <w:spacing w:val="-2"/>
          <w:kern w:val="0"/>
          <w:szCs w:val="21"/>
        </w:rPr>
        <w:t>分</w:t>
      </w:r>
      <w:r>
        <w:rPr>
          <w:rFonts w:hint="eastAsia" w:ascii="宋体" w:hAnsi="宋体" w:cs="宋体"/>
          <w:color w:val="auto"/>
          <w:kern w:val="0"/>
          <w:szCs w:val="21"/>
        </w:rPr>
        <w:t>分</w:t>
      </w:r>
      <w:r>
        <w:rPr>
          <w:rFonts w:hint="eastAsia" w:ascii="宋体" w:hAnsi="宋体" w:cs="宋体"/>
          <w:color w:val="auto"/>
          <w:spacing w:val="-2"/>
          <w:kern w:val="0"/>
          <w:szCs w:val="21"/>
        </w:rPr>
        <w:t>值</w:t>
      </w:r>
      <w:r>
        <w:rPr>
          <w:rFonts w:hint="eastAsia" w:ascii="宋体" w:hAnsi="宋体" w:cs="宋体"/>
          <w:color w:val="auto"/>
          <w:kern w:val="0"/>
          <w:szCs w:val="21"/>
        </w:rPr>
        <w:t>计</w:t>
      </w:r>
      <w:r>
        <w:rPr>
          <w:rFonts w:hint="eastAsia" w:ascii="宋体" w:hAnsi="宋体" w:cs="宋体"/>
          <w:color w:val="auto"/>
          <w:spacing w:val="-2"/>
          <w:kern w:val="0"/>
          <w:szCs w:val="21"/>
        </w:rPr>
        <w:t>算</w:t>
      </w:r>
      <w:r>
        <w:rPr>
          <w:rFonts w:hint="eastAsia" w:ascii="宋体" w:hAnsi="宋体" w:cs="宋体"/>
          <w:color w:val="auto"/>
          <w:kern w:val="0"/>
          <w:szCs w:val="21"/>
        </w:rPr>
        <w:t>保</w:t>
      </w:r>
      <w:r>
        <w:rPr>
          <w:rFonts w:hint="eastAsia" w:ascii="宋体" w:hAnsi="宋体" w:cs="宋体"/>
          <w:color w:val="auto"/>
          <w:spacing w:val="-2"/>
          <w:kern w:val="0"/>
          <w:szCs w:val="21"/>
        </w:rPr>
        <w:t>留小</w:t>
      </w:r>
      <w:r>
        <w:rPr>
          <w:rFonts w:hint="eastAsia" w:ascii="宋体" w:hAnsi="宋体" w:cs="宋体"/>
          <w:color w:val="auto"/>
          <w:kern w:val="0"/>
          <w:szCs w:val="21"/>
        </w:rPr>
        <w:t>数点</w:t>
      </w:r>
      <w:r>
        <w:rPr>
          <w:rFonts w:hint="eastAsia" w:ascii="宋体" w:hAnsi="宋体" w:cs="宋体"/>
          <w:color w:val="auto"/>
          <w:spacing w:val="-2"/>
          <w:kern w:val="0"/>
          <w:szCs w:val="21"/>
        </w:rPr>
        <w:t>后</w:t>
      </w:r>
      <w:r>
        <w:rPr>
          <w:rFonts w:hint="eastAsia" w:ascii="宋体" w:hAnsi="宋体" w:cs="宋体"/>
          <w:color w:val="auto"/>
          <w:kern w:val="0"/>
          <w:szCs w:val="21"/>
        </w:rPr>
        <w:t>两</w:t>
      </w:r>
      <w:r>
        <w:rPr>
          <w:rFonts w:hint="eastAsia" w:ascii="宋体" w:hAnsi="宋体" w:cs="宋体"/>
          <w:color w:val="auto"/>
          <w:spacing w:val="-2"/>
          <w:kern w:val="0"/>
          <w:szCs w:val="21"/>
        </w:rPr>
        <w:t>位</w:t>
      </w:r>
      <w:r>
        <w:rPr>
          <w:rFonts w:hint="eastAsia" w:ascii="宋体" w:hAnsi="宋体" w:cs="宋体"/>
          <w:color w:val="auto"/>
          <w:kern w:val="0"/>
          <w:szCs w:val="21"/>
        </w:rPr>
        <w:t>，</w:t>
      </w:r>
      <w:r>
        <w:rPr>
          <w:rFonts w:hint="eastAsia" w:ascii="宋体" w:hAnsi="宋体" w:cs="宋体"/>
          <w:color w:val="auto"/>
          <w:spacing w:val="-2"/>
          <w:kern w:val="0"/>
          <w:szCs w:val="21"/>
        </w:rPr>
        <w:t>小</w:t>
      </w:r>
      <w:r>
        <w:rPr>
          <w:rFonts w:hint="eastAsia" w:ascii="宋体" w:hAnsi="宋体" w:cs="宋体"/>
          <w:color w:val="auto"/>
          <w:kern w:val="0"/>
          <w:szCs w:val="21"/>
        </w:rPr>
        <w:t>数</w:t>
      </w:r>
      <w:r>
        <w:rPr>
          <w:rFonts w:hint="eastAsia" w:ascii="宋体" w:hAnsi="宋体" w:cs="宋体"/>
          <w:color w:val="auto"/>
          <w:spacing w:val="-2"/>
          <w:kern w:val="0"/>
          <w:szCs w:val="21"/>
        </w:rPr>
        <w:t>点</w:t>
      </w:r>
      <w:r>
        <w:rPr>
          <w:rFonts w:hint="eastAsia" w:ascii="宋体" w:hAnsi="宋体" w:cs="宋体"/>
          <w:color w:val="auto"/>
          <w:kern w:val="0"/>
          <w:szCs w:val="21"/>
        </w:rPr>
        <w:t>后</w:t>
      </w:r>
      <w:r>
        <w:rPr>
          <w:rFonts w:hint="eastAsia" w:ascii="宋体" w:hAnsi="宋体" w:cs="宋体"/>
          <w:color w:val="auto"/>
          <w:spacing w:val="-2"/>
          <w:kern w:val="0"/>
          <w:szCs w:val="21"/>
        </w:rPr>
        <w:t>第</w:t>
      </w:r>
      <w:r>
        <w:rPr>
          <w:rFonts w:hint="eastAsia" w:ascii="宋体" w:hAnsi="宋体" w:cs="宋体"/>
          <w:color w:val="auto"/>
          <w:kern w:val="0"/>
          <w:szCs w:val="21"/>
        </w:rPr>
        <w:t>三位</w:t>
      </w:r>
      <w:r>
        <w:rPr>
          <w:rFonts w:hint="eastAsia" w:ascii="宋体" w:hAnsi="宋体" w:cs="宋体"/>
          <w:color w:val="auto"/>
          <w:spacing w:val="-3"/>
          <w:kern w:val="0"/>
          <w:szCs w:val="21"/>
        </w:rPr>
        <w:t>“</w:t>
      </w:r>
      <w:r>
        <w:rPr>
          <w:rFonts w:hint="eastAsia" w:ascii="宋体" w:hAnsi="宋体" w:cs="宋体"/>
          <w:color w:val="auto"/>
          <w:kern w:val="0"/>
          <w:szCs w:val="21"/>
        </w:rPr>
        <w:t>四</w:t>
      </w:r>
      <w:r>
        <w:rPr>
          <w:rFonts w:hint="eastAsia" w:ascii="宋体" w:hAnsi="宋体" w:cs="宋体"/>
          <w:color w:val="auto"/>
          <w:spacing w:val="-2"/>
          <w:kern w:val="0"/>
          <w:szCs w:val="21"/>
        </w:rPr>
        <w:t>舍</w:t>
      </w:r>
      <w:r>
        <w:rPr>
          <w:rFonts w:hint="eastAsia" w:ascii="宋体" w:hAnsi="宋体" w:cs="宋体"/>
          <w:color w:val="auto"/>
          <w:kern w:val="0"/>
          <w:szCs w:val="21"/>
        </w:rPr>
        <w:t>五入</w:t>
      </w:r>
      <w:r>
        <w:rPr>
          <w:rFonts w:hint="eastAsia" w:ascii="宋体" w:hAnsi="宋体" w:cs="宋体"/>
          <w:color w:val="auto"/>
          <w:spacing w:val="-3"/>
          <w:kern w:val="0"/>
          <w:szCs w:val="21"/>
        </w:rPr>
        <w:t>”</w:t>
      </w:r>
      <w:r>
        <w:rPr>
          <w:rFonts w:hint="eastAsia" w:ascii="宋体" w:hAnsi="宋体" w:cs="宋体"/>
          <w:color w:val="auto"/>
          <w:kern w:val="0"/>
          <w:szCs w:val="21"/>
        </w:rPr>
        <w:t>。</w:t>
      </w:r>
    </w:p>
    <w:p w14:paraId="5B355BBC">
      <w:pPr>
        <w:autoSpaceDE w:val="0"/>
        <w:autoSpaceDN w:val="0"/>
        <w:adjustRightInd w:val="0"/>
        <w:spacing w:before="42" w:line="360" w:lineRule="auto"/>
        <w:ind w:left="520" w:right="-20"/>
        <w:jc w:val="left"/>
        <w:rPr>
          <w:rFonts w:hint="eastAsia" w:ascii="宋体" w:hAnsi="宋体" w:cs="宋体"/>
          <w:color w:val="auto"/>
          <w:kern w:val="0"/>
          <w:szCs w:val="21"/>
        </w:rPr>
      </w:pPr>
      <w:r>
        <w:rPr>
          <w:rFonts w:hint="eastAsia" w:ascii="宋体" w:hAnsi="宋体" w:cs="宋体"/>
          <w:color w:val="auto"/>
          <w:kern w:val="0"/>
          <w:szCs w:val="21"/>
        </w:rPr>
        <w:t>3.2.3</w:t>
      </w:r>
      <w:r>
        <w:rPr>
          <w:rFonts w:hint="eastAsia" w:ascii="宋体" w:hAnsi="宋体" w:cs="宋体"/>
          <w:color w:val="auto"/>
          <w:spacing w:val="51"/>
          <w:kern w:val="0"/>
          <w:szCs w:val="21"/>
        </w:rPr>
        <w:t xml:space="preserve"> </w:t>
      </w:r>
      <w:r>
        <w:rPr>
          <w:rFonts w:hint="eastAsia" w:ascii="宋体" w:hAnsi="宋体" w:cs="宋体"/>
          <w:color w:val="auto"/>
          <w:kern w:val="0"/>
          <w:szCs w:val="21"/>
        </w:rPr>
        <w:t>投</w:t>
      </w:r>
      <w:r>
        <w:rPr>
          <w:rFonts w:hint="eastAsia" w:ascii="宋体" w:hAnsi="宋体" w:cs="宋体"/>
          <w:color w:val="auto"/>
          <w:spacing w:val="-2"/>
          <w:kern w:val="0"/>
          <w:szCs w:val="21"/>
        </w:rPr>
        <w:t>标</w:t>
      </w:r>
      <w:r>
        <w:rPr>
          <w:rFonts w:hint="eastAsia" w:ascii="宋体" w:hAnsi="宋体" w:cs="宋体"/>
          <w:color w:val="auto"/>
          <w:kern w:val="0"/>
          <w:szCs w:val="21"/>
        </w:rPr>
        <w:t>人</w:t>
      </w:r>
      <w:r>
        <w:rPr>
          <w:rFonts w:hint="eastAsia" w:ascii="宋体" w:hAnsi="宋体" w:cs="宋体"/>
          <w:color w:val="auto"/>
          <w:spacing w:val="-2"/>
          <w:kern w:val="0"/>
          <w:szCs w:val="21"/>
        </w:rPr>
        <w:t>得</w:t>
      </w:r>
      <w:r>
        <w:rPr>
          <w:rFonts w:hint="eastAsia" w:ascii="宋体" w:hAnsi="宋体" w:cs="宋体"/>
          <w:color w:val="auto"/>
          <w:kern w:val="0"/>
          <w:szCs w:val="21"/>
        </w:rPr>
        <w:t>分</w:t>
      </w:r>
      <w:r>
        <w:rPr>
          <w:rFonts w:hint="eastAsia" w:ascii="宋体" w:hAnsi="宋体" w:cs="宋体"/>
          <w:color w:val="auto"/>
          <w:spacing w:val="-1"/>
          <w:kern w:val="0"/>
          <w:szCs w:val="21"/>
        </w:rPr>
        <w:t>=A</w:t>
      </w:r>
      <w:r>
        <w:rPr>
          <w:rFonts w:hint="eastAsia" w:ascii="宋体" w:hAnsi="宋体" w:cs="宋体"/>
          <w:color w:val="auto"/>
          <w:spacing w:val="1"/>
          <w:kern w:val="0"/>
          <w:szCs w:val="21"/>
        </w:rPr>
        <w:t>+</w:t>
      </w:r>
      <w:r>
        <w:rPr>
          <w:rFonts w:hint="eastAsia" w:ascii="宋体" w:hAnsi="宋体" w:cs="宋体"/>
          <w:color w:val="auto"/>
          <w:spacing w:val="-2"/>
          <w:kern w:val="0"/>
          <w:szCs w:val="21"/>
        </w:rPr>
        <w:t>B</w:t>
      </w:r>
      <w:r>
        <w:rPr>
          <w:rFonts w:hint="eastAsia" w:ascii="宋体" w:hAnsi="宋体" w:cs="宋体"/>
          <w:color w:val="auto"/>
          <w:spacing w:val="-1"/>
          <w:kern w:val="0"/>
          <w:szCs w:val="21"/>
        </w:rPr>
        <w:t>+</w:t>
      </w:r>
      <w:r>
        <w:rPr>
          <w:rFonts w:hint="eastAsia" w:ascii="宋体" w:hAnsi="宋体" w:cs="宋体"/>
          <w:color w:val="auto"/>
          <w:spacing w:val="-2"/>
          <w:kern w:val="0"/>
          <w:szCs w:val="21"/>
        </w:rPr>
        <w:t>C</w:t>
      </w:r>
      <w:r>
        <w:rPr>
          <w:rFonts w:hint="eastAsia" w:ascii="宋体" w:hAnsi="宋体" w:cs="宋体"/>
          <w:color w:val="auto"/>
          <w:kern w:val="0"/>
          <w:szCs w:val="21"/>
        </w:rPr>
        <w:t>。</w:t>
      </w:r>
    </w:p>
    <w:p w14:paraId="5A5D69C0">
      <w:pPr>
        <w:autoSpaceDE w:val="0"/>
        <w:autoSpaceDN w:val="0"/>
        <w:adjustRightInd w:val="0"/>
        <w:spacing w:before="40" w:line="360" w:lineRule="auto"/>
        <w:ind w:left="100" w:right="140" w:firstLine="420"/>
        <w:rPr>
          <w:rFonts w:hint="eastAsia" w:ascii="宋体" w:hAnsi="宋体" w:cs="宋体"/>
          <w:color w:val="auto"/>
          <w:kern w:val="0"/>
          <w:szCs w:val="21"/>
        </w:rPr>
      </w:pPr>
      <w:r>
        <w:rPr>
          <w:rFonts w:hint="eastAsia" w:ascii="宋体" w:hAnsi="宋体" w:cs="宋体"/>
          <w:color w:val="auto"/>
          <w:kern w:val="0"/>
          <w:szCs w:val="21"/>
        </w:rPr>
        <w:t>3.2.4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w:t>
      </w:r>
      <w:r>
        <w:rPr>
          <w:rFonts w:hint="eastAsia" w:ascii="宋体" w:hAnsi="宋体" w:cs="宋体"/>
          <w:b/>
          <w:bCs/>
          <w:color w:val="auto"/>
          <w:kern w:val="0"/>
          <w:szCs w:val="21"/>
        </w:rPr>
        <w:t>无效投标</w:t>
      </w:r>
      <w:r>
        <w:rPr>
          <w:rFonts w:hint="eastAsia" w:ascii="宋体" w:hAnsi="宋体" w:cs="宋体"/>
          <w:color w:val="auto"/>
          <w:kern w:val="0"/>
          <w:szCs w:val="21"/>
        </w:rPr>
        <w:t>处理。</w:t>
      </w:r>
    </w:p>
    <w:p w14:paraId="74838C6A">
      <w:pPr>
        <w:pStyle w:val="4"/>
        <w:rPr>
          <w:rFonts w:hint="eastAsia"/>
          <w:color w:val="auto"/>
        </w:rPr>
      </w:pPr>
      <w:bookmarkStart w:id="458" w:name="_Toc24367"/>
      <w:bookmarkStart w:id="459" w:name="_Toc11785"/>
      <w:bookmarkStart w:id="460" w:name="_Toc7845"/>
      <w:bookmarkStart w:id="461" w:name="_Toc18083"/>
      <w:bookmarkStart w:id="462" w:name="_Toc11722"/>
      <w:bookmarkStart w:id="463" w:name="_Toc2162"/>
      <w:bookmarkStart w:id="464" w:name="_Toc9150"/>
      <w:bookmarkStart w:id="465" w:name="_Toc5640"/>
      <w:bookmarkStart w:id="466" w:name="_Toc18381"/>
      <w:bookmarkStart w:id="467" w:name="_Toc6048"/>
      <w:r>
        <w:rPr>
          <w:rFonts w:hint="eastAsia"/>
          <w:color w:val="auto"/>
        </w:rPr>
        <w:t>3.3 投标文件的澄清</w:t>
      </w:r>
      <w:bookmarkEnd w:id="458"/>
      <w:bookmarkEnd w:id="459"/>
      <w:bookmarkEnd w:id="460"/>
      <w:bookmarkEnd w:id="461"/>
      <w:bookmarkEnd w:id="462"/>
      <w:bookmarkEnd w:id="463"/>
      <w:bookmarkEnd w:id="464"/>
      <w:bookmarkEnd w:id="465"/>
      <w:bookmarkEnd w:id="466"/>
      <w:bookmarkEnd w:id="467"/>
    </w:p>
    <w:p w14:paraId="2DEC75E3">
      <w:pPr>
        <w:autoSpaceDE w:val="0"/>
        <w:autoSpaceDN w:val="0"/>
        <w:adjustRightInd w:val="0"/>
        <w:spacing w:line="360" w:lineRule="auto"/>
        <w:ind w:left="100" w:right="139" w:firstLine="420"/>
        <w:rPr>
          <w:rFonts w:hint="eastAsia" w:ascii="宋体" w:hAnsi="宋体" w:cs="宋体"/>
          <w:color w:val="auto"/>
          <w:kern w:val="0"/>
          <w:szCs w:val="21"/>
        </w:rPr>
      </w:pPr>
      <w:r>
        <w:rPr>
          <w:rFonts w:hint="eastAsia" w:ascii="宋体" w:hAnsi="宋体" w:cs="宋体"/>
          <w:color w:val="auto"/>
          <w:kern w:val="0"/>
          <w:szCs w:val="21"/>
        </w:rPr>
        <w:t>3.3.1 在</w:t>
      </w:r>
      <w:r>
        <w:rPr>
          <w:rFonts w:hint="eastAsia" w:ascii="宋体" w:hAnsi="宋体" w:cs="宋体"/>
          <w:color w:val="auto"/>
          <w:spacing w:val="-2"/>
          <w:kern w:val="0"/>
          <w:szCs w:val="21"/>
        </w:rPr>
        <w:t>评</w:t>
      </w:r>
      <w:r>
        <w:rPr>
          <w:rFonts w:hint="eastAsia" w:ascii="宋体" w:hAnsi="宋体" w:cs="宋体"/>
          <w:color w:val="auto"/>
          <w:kern w:val="0"/>
          <w:szCs w:val="21"/>
        </w:rPr>
        <w:t>标</w:t>
      </w:r>
      <w:r>
        <w:rPr>
          <w:rFonts w:hint="eastAsia" w:ascii="宋体" w:hAnsi="宋体" w:cs="宋体"/>
          <w:color w:val="auto"/>
          <w:spacing w:val="-2"/>
          <w:kern w:val="0"/>
          <w:szCs w:val="21"/>
        </w:rPr>
        <w:t>过</w:t>
      </w:r>
      <w:r>
        <w:rPr>
          <w:rFonts w:hint="eastAsia" w:ascii="宋体" w:hAnsi="宋体" w:cs="宋体"/>
          <w:color w:val="auto"/>
          <w:kern w:val="0"/>
          <w:szCs w:val="21"/>
        </w:rPr>
        <w:t>程中</w:t>
      </w:r>
      <w:r>
        <w:rPr>
          <w:rFonts w:hint="eastAsia" w:ascii="宋体" w:hAnsi="宋体" w:cs="宋体"/>
          <w:color w:val="auto"/>
          <w:spacing w:val="-41"/>
          <w:kern w:val="0"/>
          <w:szCs w:val="21"/>
        </w:rPr>
        <w:t>，</w:t>
      </w:r>
      <w:r>
        <w:rPr>
          <w:rFonts w:hint="eastAsia" w:ascii="宋体" w:hAnsi="宋体" w:cs="宋体"/>
          <w:color w:val="auto"/>
          <w:kern w:val="0"/>
          <w:szCs w:val="21"/>
        </w:rPr>
        <w:t>评</w:t>
      </w:r>
      <w:r>
        <w:rPr>
          <w:rFonts w:hint="eastAsia" w:ascii="宋体" w:hAnsi="宋体" w:cs="宋体"/>
          <w:color w:val="auto"/>
          <w:spacing w:val="-2"/>
          <w:kern w:val="0"/>
          <w:szCs w:val="21"/>
        </w:rPr>
        <w:t>标</w:t>
      </w:r>
      <w:r>
        <w:rPr>
          <w:rFonts w:hint="eastAsia" w:ascii="宋体" w:hAnsi="宋体" w:cs="宋体"/>
          <w:color w:val="auto"/>
          <w:kern w:val="0"/>
          <w:szCs w:val="21"/>
        </w:rPr>
        <w:t>委员</w:t>
      </w:r>
      <w:r>
        <w:rPr>
          <w:rFonts w:hint="eastAsia" w:ascii="宋体" w:hAnsi="宋体" w:cs="宋体"/>
          <w:color w:val="auto"/>
          <w:spacing w:val="-2"/>
          <w:kern w:val="0"/>
          <w:szCs w:val="21"/>
        </w:rPr>
        <w:t>会</w:t>
      </w:r>
      <w:r>
        <w:rPr>
          <w:rFonts w:hint="eastAsia" w:ascii="宋体" w:hAnsi="宋体" w:cs="宋体"/>
          <w:color w:val="auto"/>
          <w:kern w:val="0"/>
          <w:szCs w:val="21"/>
        </w:rPr>
        <w:t>可</w:t>
      </w:r>
      <w:r>
        <w:rPr>
          <w:rFonts w:hint="eastAsia" w:ascii="宋体" w:hAnsi="宋体" w:cs="宋体"/>
          <w:color w:val="auto"/>
          <w:spacing w:val="-2"/>
          <w:kern w:val="0"/>
          <w:szCs w:val="21"/>
        </w:rPr>
        <w:t>以</w:t>
      </w:r>
      <w:r>
        <w:rPr>
          <w:rFonts w:hint="eastAsia" w:ascii="宋体" w:hAnsi="宋体" w:cs="宋体"/>
          <w:color w:val="auto"/>
          <w:kern w:val="0"/>
          <w:szCs w:val="21"/>
        </w:rPr>
        <w:t>书</w:t>
      </w:r>
      <w:r>
        <w:rPr>
          <w:rFonts w:hint="eastAsia" w:ascii="宋体" w:hAnsi="宋体" w:cs="宋体"/>
          <w:color w:val="auto"/>
          <w:spacing w:val="-2"/>
          <w:kern w:val="0"/>
          <w:szCs w:val="21"/>
        </w:rPr>
        <w:t>面</w:t>
      </w:r>
      <w:r>
        <w:rPr>
          <w:rFonts w:hint="eastAsia" w:ascii="宋体" w:hAnsi="宋体" w:cs="宋体"/>
          <w:color w:val="auto"/>
          <w:kern w:val="0"/>
          <w:szCs w:val="21"/>
        </w:rPr>
        <w:t>形</w:t>
      </w:r>
      <w:r>
        <w:rPr>
          <w:rFonts w:hint="eastAsia" w:ascii="宋体" w:hAnsi="宋体" w:cs="宋体"/>
          <w:color w:val="auto"/>
          <w:spacing w:val="-2"/>
          <w:kern w:val="0"/>
          <w:szCs w:val="21"/>
        </w:rPr>
        <w:t>式</w:t>
      </w:r>
      <w:r>
        <w:rPr>
          <w:rFonts w:hint="eastAsia" w:ascii="宋体" w:hAnsi="宋体" w:cs="宋体"/>
          <w:color w:val="auto"/>
          <w:kern w:val="0"/>
          <w:szCs w:val="21"/>
        </w:rPr>
        <w:t>要</w:t>
      </w:r>
      <w:r>
        <w:rPr>
          <w:rFonts w:hint="eastAsia" w:ascii="宋体" w:hAnsi="宋体" w:cs="宋体"/>
          <w:color w:val="auto"/>
          <w:spacing w:val="-2"/>
          <w:kern w:val="0"/>
          <w:szCs w:val="21"/>
        </w:rPr>
        <w:t>求</w:t>
      </w:r>
      <w:r>
        <w:rPr>
          <w:rFonts w:hint="eastAsia" w:ascii="宋体" w:hAnsi="宋体" w:cs="宋体"/>
          <w:color w:val="auto"/>
          <w:kern w:val="0"/>
          <w:szCs w:val="21"/>
        </w:rPr>
        <w:t>投标</w:t>
      </w:r>
      <w:r>
        <w:rPr>
          <w:rFonts w:hint="eastAsia" w:ascii="宋体" w:hAnsi="宋体" w:cs="宋体"/>
          <w:color w:val="auto"/>
          <w:spacing w:val="-2"/>
          <w:kern w:val="0"/>
          <w:szCs w:val="21"/>
        </w:rPr>
        <w:t>人</w:t>
      </w:r>
      <w:r>
        <w:rPr>
          <w:rFonts w:hint="eastAsia" w:ascii="宋体" w:hAnsi="宋体" w:cs="宋体"/>
          <w:color w:val="auto"/>
          <w:kern w:val="0"/>
          <w:szCs w:val="21"/>
        </w:rPr>
        <w:t>对</w:t>
      </w:r>
      <w:r>
        <w:rPr>
          <w:rFonts w:hint="eastAsia" w:ascii="宋体" w:hAnsi="宋体" w:cs="宋体"/>
          <w:color w:val="auto"/>
          <w:spacing w:val="-2"/>
          <w:kern w:val="0"/>
          <w:szCs w:val="21"/>
        </w:rPr>
        <w:t>投</w:t>
      </w:r>
      <w:r>
        <w:rPr>
          <w:rFonts w:hint="eastAsia" w:ascii="宋体" w:hAnsi="宋体" w:cs="宋体"/>
          <w:color w:val="auto"/>
          <w:kern w:val="0"/>
          <w:szCs w:val="21"/>
        </w:rPr>
        <w:t>标</w:t>
      </w:r>
      <w:r>
        <w:rPr>
          <w:rFonts w:hint="eastAsia" w:ascii="宋体" w:hAnsi="宋体" w:cs="宋体"/>
          <w:color w:val="auto"/>
          <w:spacing w:val="-2"/>
          <w:kern w:val="0"/>
          <w:szCs w:val="21"/>
        </w:rPr>
        <w:t>文</w:t>
      </w:r>
      <w:r>
        <w:rPr>
          <w:rFonts w:hint="eastAsia" w:ascii="宋体" w:hAnsi="宋体" w:cs="宋体"/>
          <w:color w:val="auto"/>
          <w:kern w:val="0"/>
          <w:szCs w:val="21"/>
        </w:rPr>
        <w:t>件</w:t>
      </w:r>
      <w:r>
        <w:rPr>
          <w:rFonts w:hint="eastAsia" w:ascii="宋体" w:hAnsi="宋体" w:cs="宋体"/>
          <w:color w:val="auto"/>
          <w:spacing w:val="-2"/>
          <w:kern w:val="0"/>
          <w:szCs w:val="21"/>
        </w:rPr>
        <w:t>中</w:t>
      </w:r>
      <w:r>
        <w:rPr>
          <w:rFonts w:hint="eastAsia" w:ascii="宋体" w:hAnsi="宋体" w:cs="宋体"/>
          <w:color w:val="auto"/>
          <w:kern w:val="0"/>
          <w:szCs w:val="21"/>
        </w:rPr>
        <w:t>含</w:t>
      </w:r>
      <w:r>
        <w:rPr>
          <w:rFonts w:hint="eastAsia" w:ascii="宋体" w:hAnsi="宋体" w:cs="宋体"/>
          <w:color w:val="auto"/>
          <w:spacing w:val="-2"/>
          <w:kern w:val="0"/>
          <w:szCs w:val="21"/>
        </w:rPr>
        <w:t>义</w:t>
      </w:r>
      <w:r>
        <w:rPr>
          <w:rFonts w:hint="eastAsia" w:ascii="宋体" w:hAnsi="宋体" w:cs="宋体"/>
          <w:color w:val="auto"/>
          <w:kern w:val="0"/>
          <w:szCs w:val="21"/>
        </w:rPr>
        <w:t>不明</w:t>
      </w:r>
      <w:r>
        <w:rPr>
          <w:rFonts w:hint="eastAsia" w:ascii="宋体" w:hAnsi="宋体" w:cs="宋体"/>
          <w:color w:val="auto"/>
          <w:spacing w:val="-2"/>
          <w:kern w:val="0"/>
          <w:szCs w:val="21"/>
        </w:rPr>
        <w:t>确</w:t>
      </w:r>
      <w:r>
        <w:rPr>
          <w:rFonts w:hint="eastAsia" w:ascii="宋体" w:hAnsi="宋体" w:cs="宋体"/>
          <w:color w:val="auto"/>
          <w:spacing w:val="-38"/>
          <w:kern w:val="0"/>
          <w:szCs w:val="21"/>
        </w:rPr>
        <w:t>、</w:t>
      </w:r>
      <w:r>
        <w:rPr>
          <w:rFonts w:hint="eastAsia" w:ascii="宋体" w:hAnsi="宋体" w:cs="宋体"/>
          <w:color w:val="auto"/>
          <w:spacing w:val="-2"/>
          <w:kern w:val="0"/>
          <w:szCs w:val="21"/>
        </w:rPr>
        <w:t>对</w:t>
      </w:r>
      <w:r>
        <w:rPr>
          <w:rFonts w:hint="eastAsia" w:ascii="宋体" w:hAnsi="宋体" w:cs="宋体"/>
          <w:color w:val="auto"/>
          <w:kern w:val="0"/>
          <w:szCs w:val="21"/>
        </w:rPr>
        <w:t>同类问题表述不一</w:t>
      </w:r>
      <w:r>
        <w:rPr>
          <w:rFonts w:hint="eastAsia" w:ascii="宋体" w:hAnsi="宋体" w:cs="宋体"/>
          <w:color w:val="auto"/>
          <w:spacing w:val="-2"/>
          <w:kern w:val="0"/>
          <w:szCs w:val="21"/>
        </w:rPr>
        <w:t>致</w:t>
      </w:r>
      <w:r>
        <w:rPr>
          <w:rFonts w:hint="eastAsia" w:ascii="宋体" w:hAnsi="宋体" w:cs="宋体"/>
          <w:color w:val="auto"/>
          <w:kern w:val="0"/>
          <w:szCs w:val="21"/>
        </w:rPr>
        <w:t>或者</w:t>
      </w:r>
      <w:r>
        <w:rPr>
          <w:rFonts w:hint="eastAsia" w:ascii="宋体" w:hAnsi="宋体" w:cs="宋体"/>
          <w:color w:val="auto"/>
          <w:spacing w:val="-2"/>
          <w:kern w:val="0"/>
          <w:szCs w:val="21"/>
        </w:rPr>
        <w:t>有</w:t>
      </w:r>
      <w:r>
        <w:rPr>
          <w:rFonts w:hint="eastAsia" w:ascii="宋体" w:hAnsi="宋体" w:cs="宋体"/>
          <w:color w:val="auto"/>
          <w:kern w:val="0"/>
          <w:szCs w:val="21"/>
        </w:rPr>
        <w:t>明显文字和计算</w:t>
      </w:r>
      <w:r>
        <w:rPr>
          <w:rFonts w:hint="eastAsia" w:ascii="宋体" w:hAnsi="宋体" w:cs="宋体"/>
          <w:color w:val="auto"/>
          <w:spacing w:val="-2"/>
          <w:kern w:val="0"/>
          <w:szCs w:val="21"/>
        </w:rPr>
        <w:t>错</w:t>
      </w:r>
      <w:r>
        <w:rPr>
          <w:rFonts w:hint="eastAsia" w:ascii="宋体" w:hAnsi="宋体" w:cs="宋体"/>
          <w:color w:val="auto"/>
          <w:kern w:val="0"/>
          <w:szCs w:val="21"/>
        </w:rPr>
        <w:t>误的</w:t>
      </w:r>
      <w:r>
        <w:rPr>
          <w:rFonts w:hint="eastAsia" w:ascii="宋体" w:hAnsi="宋体" w:cs="宋体"/>
          <w:color w:val="auto"/>
          <w:spacing w:val="-2"/>
          <w:kern w:val="0"/>
          <w:szCs w:val="21"/>
        </w:rPr>
        <w:t>内</w:t>
      </w:r>
      <w:r>
        <w:rPr>
          <w:rFonts w:hint="eastAsia" w:ascii="宋体" w:hAnsi="宋体" w:cs="宋体"/>
          <w:color w:val="auto"/>
          <w:kern w:val="0"/>
          <w:szCs w:val="21"/>
        </w:rPr>
        <w:t>容作必要的澄</w:t>
      </w:r>
      <w:r>
        <w:rPr>
          <w:rFonts w:hint="eastAsia" w:ascii="宋体" w:hAnsi="宋体" w:cs="宋体"/>
          <w:color w:val="auto"/>
          <w:spacing w:val="1"/>
          <w:kern w:val="0"/>
          <w:szCs w:val="21"/>
        </w:rPr>
        <w:t>清</w:t>
      </w:r>
      <w:r>
        <w:rPr>
          <w:rFonts w:hint="eastAsia" w:ascii="宋体" w:hAnsi="宋体" w:cs="宋体"/>
          <w:color w:val="auto"/>
          <w:spacing w:val="-2"/>
          <w:kern w:val="0"/>
          <w:szCs w:val="21"/>
        </w:rPr>
        <w:t>、</w:t>
      </w:r>
      <w:r>
        <w:rPr>
          <w:rFonts w:hint="eastAsia" w:ascii="宋体" w:hAnsi="宋体" w:cs="宋体"/>
          <w:color w:val="auto"/>
          <w:kern w:val="0"/>
          <w:szCs w:val="21"/>
        </w:rPr>
        <w:t>说明</w:t>
      </w:r>
      <w:r>
        <w:rPr>
          <w:rFonts w:hint="eastAsia" w:ascii="宋体" w:hAnsi="宋体" w:cs="宋体"/>
          <w:color w:val="auto"/>
          <w:spacing w:val="-2"/>
          <w:kern w:val="0"/>
          <w:szCs w:val="21"/>
        </w:rPr>
        <w:t>或</w:t>
      </w:r>
      <w:r>
        <w:rPr>
          <w:rFonts w:hint="eastAsia" w:ascii="宋体" w:hAnsi="宋体" w:cs="宋体"/>
          <w:color w:val="auto"/>
          <w:kern w:val="0"/>
          <w:szCs w:val="21"/>
        </w:rPr>
        <w:t>补正。澄</w:t>
      </w:r>
      <w:r>
        <w:rPr>
          <w:rFonts w:hint="eastAsia" w:ascii="宋体" w:hAnsi="宋体" w:cs="宋体"/>
          <w:color w:val="auto"/>
          <w:spacing w:val="1"/>
          <w:kern w:val="0"/>
          <w:szCs w:val="21"/>
        </w:rPr>
        <w:t>清</w:t>
      </w:r>
      <w:r>
        <w:rPr>
          <w:rFonts w:hint="eastAsia" w:ascii="宋体" w:hAnsi="宋体" w:cs="宋体"/>
          <w:color w:val="auto"/>
          <w:kern w:val="0"/>
          <w:szCs w:val="21"/>
        </w:rPr>
        <w:t>、</w:t>
      </w:r>
      <w:r>
        <w:rPr>
          <w:rFonts w:hint="eastAsia" w:ascii="宋体" w:hAnsi="宋体" w:cs="宋体"/>
          <w:color w:val="auto"/>
          <w:spacing w:val="-2"/>
          <w:kern w:val="0"/>
          <w:szCs w:val="21"/>
        </w:rPr>
        <w:t>说</w:t>
      </w:r>
      <w:r>
        <w:rPr>
          <w:rFonts w:hint="eastAsia" w:ascii="宋体" w:hAnsi="宋体" w:cs="宋体"/>
          <w:color w:val="auto"/>
          <w:kern w:val="0"/>
          <w:szCs w:val="21"/>
        </w:rPr>
        <w:t>明或补</w:t>
      </w:r>
      <w:r>
        <w:rPr>
          <w:rFonts w:hint="eastAsia" w:ascii="宋体" w:hAnsi="宋体" w:cs="宋体"/>
          <w:color w:val="auto"/>
          <w:spacing w:val="-2"/>
          <w:kern w:val="0"/>
          <w:szCs w:val="21"/>
        </w:rPr>
        <w:t>正</w:t>
      </w:r>
      <w:r>
        <w:rPr>
          <w:rFonts w:hint="eastAsia" w:ascii="宋体" w:hAnsi="宋体" w:cs="宋体"/>
          <w:color w:val="auto"/>
          <w:kern w:val="0"/>
          <w:szCs w:val="21"/>
        </w:rPr>
        <w:t>应</w:t>
      </w:r>
      <w:r>
        <w:rPr>
          <w:rFonts w:hint="eastAsia" w:ascii="宋体" w:hAnsi="宋体" w:cs="宋体"/>
          <w:color w:val="auto"/>
          <w:spacing w:val="-2"/>
          <w:kern w:val="0"/>
          <w:szCs w:val="21"/>
        </w:rPr>
        <w:t>以</w:t>
      </w:r>
      <w:r>
        <w:rPr>
          <w:rFonts w:hint="eastAsia" w:ascii="宋体" w:hAnsi="宋体" w:cs="宋体"/>
          <w:color w:val="auto"/>
          <w:kern w:val="0"/>
          <w:szCs w:val="21"/>
        </w:rPr>
        <w:t>书</w:t>
      </w:r>
      <w:r>
        <w:rPr>
          <w:rFonts w:hint="eastAsia" w:ascii="宋体" w:hAnsi="宋体" w:cs="宋体"/>
          <w:color w:val="auto"/>
          <w:spacing w:val="-2"/>
          <w:kern w:val="0"/>
          <w:szCs w:val="21"/>
        </w:rPr>
        <w:t>面</w:t>
      </w:r>
      <w:r>
        <w:rPr>
          <w:rFonts w:hint="eastAsia" w:ascii="宋体" w:hAnsi="宋体" w:cs="宋体"/>
          <w:color w:val="auto"/>
          <w:kern w:val="0"/>
          <w:szCs w:val="21"/>
        </w:rPr>
        <w:t>方</w:t>
      </w:r>
      <w:r>
        <w:rPr>
          <w:rFonts w:hint="eastAsia" w:ascii="宋体" w:hAnsi="宋体" w:cs="宋体"/>
          <w:color w:val="auto"/>
          <w:spacing w:val="-2"/>
          <w:kern w:val="0"/>
          <w:szCs w:val="21"/>
        </w:rPr>
        <w:t>式</w:t>
      </w:r>
      <w:r>
        <w:rPr>
          <w:rFonts w:hint="eastAsia" w:ascii="宋体" w:hAnsi="宋体" w:cs="宋体"/>
          <w:color w:val="auto"/>
          <w:kern w:val="0"/>
          <w:szCs w:val="21"/>
        </w:rPr>
        <w:t>进</w:t>
      </w:r>
      <w:r>
        <w:rPr>
          <w:rFonts w:hint="eastAsia" w:ascii="宋体" w:hAnsi="宋体" w:cs="宋体"/>
          <w:color w:val="auto"/>
          <w:spacing w:val="-2"/>
          <w:kern w:val="0"/>
          <w:szCs w:val="21"/>
        </w:rPr>
        <w:t>行</w:t>
      </w:r>
      <w:r>
        <w:rPr>
          <w:rFonts w:hint="eastAsia" w:ascii="宋体" w:hAnsi="宋体" w:cs="宋体"/>
          <w:color w:val="auto"/>
          <w:szCs w:val="21"/>
        </w:rPr>
        <w:t>，并加盖公章，或者由法定代表人或其授权的代表签字</w:t>
      </w:r>
      <w:r>
        <w:rPr>
          <w:rFonts w:hint="eastAsia" w:ascii="宋体" w:hAnsi="宋体" w:cs="宋体"/>
          <w:color w:val="auto"/>
          <w:kern w:val="0"/>
          <w:szCs w:val="21"/>
        </w:rPr>
        <w:t>。评</w:t>
      </w:r>
      <w:r>
        <w:rPr>
          <w:rFonts w:hint="eastAsia" w:ascii="宋体" w:hAnsi="宋体" w:cs="宋体"/>
          <w:color w:val="auto"/>
          <w:spacing w:val="-2"/>
          <w:kern w:val="0"/>
          <w:szCs w:val="21"/>
        </w:rPr>
        <w:t>标</w:t>
      </w:r>
      <w:r>
        <w:rPr>
          <w:rFonts w:hint="eastAsia" w:ascii="宋体" w:hAnsi="宋体" w:cs="宋体"/>
          <w:color w:val="auto"/>
          <w:kern w:val="0"/>
          <w:szCs w:val="21"/>
        </w:rPr>
        <w:t>委</w:t>
      </w:r>
      <w:r>
        <w:rPr>
          <w:rFonts w:hint="eastAsia" w:ascii="宋体" w:hAnsi="宋体" w:cs="宋体"/>
          <w:color w:val="auto"/>
          <w:spacing w:val="-2"/>
          <w:kern w:val="0"/>
          <w:szCs w:val="21"/>
        </w:rPr>
        <w:t>员</w:t>
      </w:r>
      <w:r>
        <w:rPr>
          <w:rFonts w:hint="eastAsia" w:ascii="宋体" w:hAnsi="宋体" w:cs="宋体"/>
          <w:color w:val="auto"/>
          <w:kern w:val="0"/>
          <w:szCs w:val="21"/>
        </w:rPr>
        <w:t>会</w:t>
      </w:r>
      <w:r>
        <w:rPr>
          <w:rFonts w:hint="eastAsia" w:ascii="宋体" w:hAnsi="宋体" w:cs="宋体"/>
          <w:color w:val="auto"/>
          <w:spacing w:val="-2"/>
          <w:kern w:val="0"/>
          <w:szCs w:val="21"/>
        </w:rPr>
        <w:t>不</w:t>
      </w:r>
      <w:r>
        <w:rPr>
          <w:rFonts w:hint="eastAsia" w:ascii="宋体" w:hAnsi="宋体" w:cs="宋体"/>
          <w:color w:val="auto"/>
          <w:kern w:val="0"/>
          <w:szCs w:val="21"/>
        </w:rPr>
        <w:t>接</w:t>
      </w:r>
      <w:r>
        <w:rPr>
          <w:rFonts w:hint="eastAsia" w:ascii="宋体" w:hAnsi="宋体" w:cs="宋体"/>
          <w:color w:val="auto"/>
          <w:spacing w:val="-2"/>
          <w:kern w:val="0"/>
          <w:szCs w:val="21"/>
        </w:rPr>
        <w:t>受</w:t>
      </w:r>
      <w:r>
        <w:rPr>
          <w:rFonts w:hint="eastAsia" w:ascii="宋体" w:hAnsi="宋体" w:cs="宋体"/>
          <w:color w:val="auto"/>
          <w:kern w:val="0"/>
          <w:szCs w:val="21"/>
        </w:rPr>
        <w:t>投</w:t>
      </w:r>
      <w:r>
        <w:rPr>
          <w:rFonts w:hint="eastAsia" w:ascii="宋体" w:hAnsi="宋体" w:cs="宋体"/>
          <w:color w:val="auto"/>
          <w:spacing w:val="-2"/>
          <w:kern w:val="0"/>
          <w:szCs w:val="21"/>
        </w:rPr>
        <w:t>标</w:t>
      </w:r>
      <w:r>
        <w:rPr>
          <w:rFonts w:hint="eastAsia" w:ascii="宋体" w:hAnsi="宋体" w:cs="宋体"/>
          <w:color w:val="auto"/>
          <w:kern w:val="0"/>
          <w:szCs w:val="21"/>
        </w:rPr>
        <w:t>人主</w:t>
      </w:r>
      <w:r>
        <w:rPr>
          <w:rFonts w:hint="eastAsia" w:ascii="宋体" w:hAnsi="宋体" w:cs="宋体"/>
          <w:color w:val="auto"/>
          <w:spacing w:val="-2"/>
          <w:kern w:val="0"/>
          <w:szCs w:val="21"/>
        </w:rPr>
        <w:t>动</w:t>
      </w:r>
      <w:r>
        <w:rPr>
          <w:rFonts w:hint="eastAsia" w:ascii="宋体" w:hAnsi="宋体" w:cs="宋体"/>
          <w:color w:val="auto"/>
          <w:kern w:val="0"/>
          <w:szCs w:val="21"/>
        </w:rPr>
        <w:t>提</w:t>
      </w:r>
      <w:r>
        <w:rPr>
          <w:rFonts w:hint="eastAsia" w:ascii="宋体" w:hAnsi="宋体" w:cs="宋体"/>
          <w:color w:val="auto"/>
          <w:spacing w:val="-2"/>
          <w:kern w:val="0"/>
          <w:szCs w:val="21"/>
        </w:rPr>
        <w:t>出</w:t>
      </w:r>
      <w:r>
        <w:rPr>
          <w:rFonts w:hint="eastAsia" w:ascii="宋体" w:hAnsi="宋体" w:cs="宋体"/>
          <w:color w:val="auto"/>
          <w:kern w:val="0"/>
          <w:szCs w:val="21"/>
        </w:rPr>
        <w:t>的</w:t>
      </w:r>
      <w:r>
        <w:rPr>
          <w:rFonts w:hint="eastAsia" w:ascii="宋体" w:hAnsi="宋体" w:cs="宋体"/>
          <w:color w:val="auto"/>
          <w:spacing w:val="-2"/>
          <w:kern w:val="0"/>
          <w:szCs w:val="21"/>
        </w:rPr>
        <w:t>澄</w:t>
      </w:r>
      <w:r>
        <w:rPr>
          <w:rFonts w:hint="eastAsia" w:ascii="宋体" w:hAnsi="宋体" w:cs="宋体"/>
          <w:color w:val="auto"/>
          <w:kern w:val="0"/>
          <w:szCs w:val="21"/>
        </w:rPr>
        <w:t>清</w:t>
      </w:r>
      <w:r>
        <w:rPr>
          <w:rFonts w:hint="eastAsia" w:ascii="宋体" w:hAnsi="宋体" w:cs="宋体"/>
          <w:color w:val="auto"/>
          <w:spacing w:val="-2"/>
          <w:kern w:val="0"/>
          <w:szCs w:val="21"/>
        </w:rPr>
        <w:t>、</w:t>
      </w:r>
      <w:r>
        <w:rPr>
          <w:rFonts w:hint="eastAsia" w:ascii="宋体" w:hAnsi="宋体" w:cs="宋体"/>
          <w:color w:val="auto"/>
          <w:kern w:val="0"/>
          <w:szCs w:val="21"/>
        </w:rPr>
        <w:t>说</w:t>
      </w:r>
      <w:r>
        <w:rPr>
          <w:rFonts w:hint="eastAsia" w:ascii="宋体" w:hAnsi="宋体" w:cs="宋体"/>
          <w:color w:val="auto"/>
          <w:spacing w:val="-2"/>
          <w:kern w:val="0"/>
          <w:szCs w:val="21"/>
        </w:rPr>
        <w:t>明</w:t>
      </w:r>
      <w:r>
        <w:rPr>
          <w:rFonts w:hint="eastAsia" w:ascii="宋体" w:hAnsi="宋体" w:cs="宋体"/>
          <w:color w:val="auto"/>
          <w:kern w:val="0"/>
          <w:szCs w:val="21"/>
        </w:rPr>
        <w:t>或补</w:t>
      </w:r>
      <w:r>
        <w:rPr>
          <w:rFonts w:hint="eastAsia" w:ascii="宋体" w:hAnsi="宋体" w:cs="宋体"/>
          <w:color w:val="auto"/>
          <w:spacing w:val="-2"/>
          <w:kern w:val="0"/>
          <w:szCs w:val="21"/>
        </w:rPr>
        <w:t>正</w:t>
      </w:r>
      <w:r>
        <w:rPr>
          <w:rFonts w:hint="eastAsia" w:ascii="宋体" w:hAnsi="宋体" w:cs="宋体"/>
          <w:color w:val="auto"/>
          <w:kern w:val="0"/>
          <w:szCs w:val="21"/>
        </w:rPr>
        <w:t>。</w:t>
      </w:r>
    </w:p>
    <w:p w14:paraId="06385C79">
      <w:pPr>
        <w:autoSpaceDE w:val="0"/>
        <w:autoSpaceDN w:val="0"/>
        <w:adjustRightInd w:val="0"/>
        <w:spacing w:before="10" w:line="360" w:lineRule="auto"/>
        <w:ind w:left="100" w:right="139" w:firstLine="420"/>
        <w:rPr>
          <w:rFonts w:hint="eastAsia" w:ascii="宋体" w:hAnsi="宋体" w:cs="宋体"/>
          <w:color w:val="auto"/>
          <w:kern w:val="0"/>
          <w:szCs w:val="21"/>
        </w:rPr>
      </w:pPr>
      <w:r>
        <w:rPr>
          <w:rFonts w:hint="eastAsia" w:ascii="宋体" w:hAnsi="宋体" w:cs="宋体"/>
          <w:color w:val="auto"/>
          <w:kern w:val="0"/>
          <w:szCs w:val="21"/>
        </w:rPr>
        <w:t>3.3.2 澄清</w:t>
      </w:r>
      <w:r>
        <w:rPr>
          <w:rFonts w:hint="eastAsia" w:ascii="宋体" w:hAnsi="宋体" w:cs="宋体"/>
          <w:color w:val="auto"/>
          <w:spacing w:val="-41"/>
          <w:kern w:val="0"/>
          <w:szCs w:val="21"/>
        </w:rPr>
        <w:t>、</w:t>
      </w:r>
      <w:r>
        <w:rPr>
          <w:rFonts w:hint="eastAsia" w:ascii="宋体" w:hAnsi="宋体" w:cs="宋体"/>
          <w:color w:val="auto"/>
          <w:kern w:val="0"/>
          <w:szCs w:val="21"/>
        </w:rPr>
        <w:t>说</w:t>
      </w:r>
      <w:r>
        <w:rPr>
          <w:rFonts w:hint="eastAsia" w:ascii="宋体" w:hAnsi="宋体" w:cs="宋体"/>
          <w:color w:val="auto"/>
          <w:spacing w:val="-2"/>
          <w:kern w:val="0"/>
          <w:szCs w:val="21"/>
        </w:rPr>
        <w:t>明</w:t>
      </w:r>
      <w:r>
        <w:rPr>
          <w:rFonts w:hint="eastAsia" w:ascii="宋体" w:hAnsi="宋体" w:cs="宋体"/>
          <w:color w:val="auto"/>
          <w:kern w:val="0"/>
          <w:szCs w:val="21"/>
        </w:rPr>
        <w:t>或</w:t>
      </w:r>
      <w:r>
        <w:rPr>
          <w:rFonts w:hint="eastAsia" w:ascii="宋体" w:hAnsi="宋体" w:cs="宋体"/>
          <w:color w:val="auto"/>
          <w:spacing w:val="-2"/>
          <w:kern w:val="0"/>
          <w:szCs w:val="21"/>
        </w:rPr>
        <w:t>补</w:t>
      </w:r>
      <w:r>
        <w:rPr>
          <w:rFonts w:hint="eastAsia" w:ascii="宋体" w:hAnsi="宋体" w:cs="宋体"/>
          <w:color w:val="auto"/>
          <w:kern w:val="0"/>
          <w:szCs w:val="21"/>
        </w:rPr>
        <w:t>正</w:t>
      </w:r>
      <w:r>
        <w:rPr>
          <w:rFonts w:hint="eastAsia" w:ascii="宋体" w:hAnsi="宋体" w:cs="宋体"/>
          <w:color w:val="auto"/>
          <w:spacing w:val="-2"/>
          <w:kern w:val="0"/>
          <w:szCs w:val="21"/>
        </w:rPr>
        <w:t>不</w:t>
      </w:r>
      <w:r>
        <w:rPr>
          <w:rFonts w:hint="eastAsia" w:ascii="宋体" w:hAnsi="宋体" w:cs="宋体"/>
          <w:color w:val="auto"/>
          <w:kern w:val="0"/>
          <w:szCs w:val="21"/>
        </w:rPr>
        <w:t>得超</w:t>
      </w:r>
      <w:r>
        <w:rPr>
          <w:rFonts w:hint="eastAsia" w:ascii="宋体" w:hAnsi="宋体" w:cs="宋体"/>
          <w:color w:val="auto"/>
          <w:spacing w:val="-2"/>
          <w:kern w:val="0"/>
          <w:szCs w:val="21"/>
        </w:rPr>
        <w:t>出</w:t>
      </w:r>
      <w:r>
        <w:rPr>
          <w:rFonts w:hint="eastAsia" w:ascii="宋体" w:hAnsi="宋体" w:cs="宋体"/>
          <w:color w:val="auto"/>
          <w:kern w:val="0"/>
          <w:szCs w:val="21"/>
        </w:rPr>
        <w:t>投</w:t>
      </w:r>
      <w:r>
        <w:rPr>
          <w:rFonts w:hint="eastAsia" w:ascii="宋体" w:hAnsi="宋体" w:cs="宋体"/>
          <w:color w:val="auto"/>
          <w:spacing w:val="-2"/>
          <w:kern w:val="0"/>
          <w:szCs w:val="21"/>
        </w:rPr>
        <w:t>标</w:t>
      </w:r>
      <w:r>
        <w:rPr>
          <w:rFonts w:hint="eastAsia" w:ascii="宋体" w:hAnsi="宋体" w:cs="宋体"/>
          <w:color w:val="auto"/>
          <w:kern w:val="0"/>
          <w:szCs w:val="21"/>
        </w:rPr>
        <w:t>文</w:t>
      </w:r>
      <w:r>
        <w:rPr>
          <w:rFonts w:hint="eastAsia" w:ascii="宋体" w:hAnsi="宋体" w:cs="宋体"/>
          <w:color w:val="auto"/>
          <w:spacing w:val="-2"/>
          <w:kern w:val="0"/>
          <w:szCs w:val="21"/>
        </w:rPr>
        <w:t>件</w:t>
      </w:r>
      <w:r>
        <w:rPr>
          <w:rFonts w:hint="eastAsia" w:ascii="宋体" w:hAnsi="宋体" w:cs="宋体"/>
          <w:color w:val="auto"/>
          <w:kern w:val="0"/>
          <w:szCs w:val="21"/>
        </w:rPr>
        <w:t>的</w:t>
      </w:r>
      <w:r>
        <w:rPr>
          <w:rFonts w:hint="eastAsia" w:ascii="宋体" w:hAnsi="宋体" w:cs="宋体"/>
          <w:color w:val="auto"/>
          <w:spacing w:val="-2"/>
          <w:kern w:val="0"/>
          <w:szCs w:val="21"/>
        </w:rPr>
        <w:t>范</w:t>
      </w:r>
      <w:r>
        <w:rPr>
          <w:rFonts w:hint="eastAsia" w:ascii="宋体" w:hAnsi="宋体" w:cs="宋体"/>
          <w:color w:val="auto"/>
          <w:kern w:val="0"/>
          <w:szCs w:val="21"/>
        </w:rPr>
        <w:t>围</w:t>
      </w:r>
      <w:r>
        <w:rPr>
          <w:rFonts w:hint="eastAsia" w:ascii="宋体" w:hAnsi="宋体" w:cs="宋体"/>
          <w:color w:val="auto"/>
          <w:spacing w:val="-2"/>
          <w:kern w:val="0"/>
          <w:szCs w:val="21"/>
        </w:rPr>
        <w:t>且</w:t>
      </w:r>
      <w:r>
        <w:rPr>
          <w:rFonts w:hint="eastAsia" w:ascii="宋体" w:hAnsi="宋体" w:cs="宋体"/>
          <w:color w:val="auto"/>
          <w:kern w:val="0"/>
          <w:szCs w:val="21"/>
        </w:rPr>
        <w:t>不得</w:t>
      </w:r>
      <w:r>
        <w:rPr>
          <w:rFonts w:hint="eastAsia" w:ascii="宋体" w:hAnsi="宋体" w:cs="宋体"/>
          <w:color w:val="auto"/>
          <w:spacing w:val="-2"/>
          <w:kern w:val="0"/>
          <w:szCs w:val="21"/>
        </w:rPr>
        <w:t>改</w:t>
      </w:r>
      <w:r>
        <w:rPr>
          <w:rFonts w:hint="eastAsia" w:ascii="宋体" w:hAnsi="宋体" w:cs="宋体"/>
          <w:color w:val="auto"/>
          <w:kern w:val="0"/>
          <w:szCs w:val="21"/>
        </w:rPr>
        <w:t>变</w:t>
      </w:r>
      <w:r>
        <w:rPr>
          <w:rFonts w:hint="eastAsia" w:ascii="宋体" w:hAnsi="宋体" w:cs="宋体"/>
          <w:color w:val="auto"/>
          <w:spacing w:val="-2"/>
          <w:kern w:val="0"/>
          <w:szCs w:val="21"/>
        </w:rPr>
        <w:t>投</w:t>
      </w:r>
      <w:r>
        <w:rPr>
          <w:rFonts w:hint="eastAsia" w:ascii="宋体" w:hAnsi="宋体" w:cs="宋体"/>
          <w:color w:val="auto"/>
          <w:kern w:val="0"/>
          <w:szCs w:val="21"/>
        </w:rPr>
        <w:t>标</w:t>
      </w:r>
      <w:r>
        <w:rPr>
          <w:rFonts w:hint="eastAsia" w:ascii="宋体" w:hAnsi="宋体" w:cs="宋体"/>
          <w:color w:val="auto"/>
          <w:spacing w:val="-2"/>
          <w:kern w:val="0"/>
          <w:szCs w:val="21"/>
        </w:rPr>
        <w:t>文</w:t>
      </w:r>
      <w:r>
        <w:rPr>
          <w:rFonts w:hint="eastAsia" w:ascii="宋体" w:hAnsi="宋体" w:cs="宋体"/>
          <w:color w:val="auto"/>
          <w:kern w:val="0"/>
          <w:szCs w:val="21"/>
        </w:rPr>
        <w:t>件</w:t>
      </w:r>
      <w:r>
        <w:rPr>
          <w:rFonts w:hint="eastAsia" w:ascii="宋体" w:hAnsi="宋体" w:cs="宋体"/>
          <w:color w:val="auto"/>
          <w:spacing w:val="-2"/>
          <w:kern w:val="0"/>
          <w:szCs w:val="21"/>
        </w:rPr>
        <w:t>的</w:t>
      </w:r>
      <w:r>
        <w:rPr>
          <w:rFonts w:hint="eastAsia" w:ascii="宋体" w:hAnsi="宋体" w:cs="宋体"/>
          <w:color w:val="auto"/>
          <w:kern w:val="0"/>
          <w:szCs w:val="21"/>
        </w:rPr>
        <w:t>实</w:t>
      </w:r>
      <w:r>
        <w:rPr>
          <w:rFonts w:hint="eastAsia" w:ascii="宋体" w:hAnsi="宋体" w:cs="宋体"/>
          <w:color w:val="auto"/>
          <w:spacing w:val="-2"/>
          <w:kern w:val="0"/>
          <w:szCs w:val="21"/>
        </w:rPr>
        <w:t>质</w:t>
      </w:r>
      <w:r>
        <w:rPr>
          <w:rFonts w:hint="eastAsia" w:ascii="宋体" w:hAnsi="宋体" w:cs="宋体"/>
          <w:color w:val="auto"/>
          <w:kern w:val="0"/>
          <w:szCs w:val="21"/>
        </w:rPr>
        <w:t>性内</w:t>
      </w:r>
      <w:r>
        <w:rPr>
          <w:rFonts w:hint="eastAsia" w:ascii="宋体" w:hAnsi="宋体" w:cs="宋体"/>
          <w:color w:val="auto"/>
          <w:spacing w:val="-2"/>
          <w:kern w:val="0"/>
          <w:szCs w:val="21"/>
        </w:rPr>
        <w:t>容</w:t>
      </w:r>
      <w:r>
        <w:rPr>
          <w:rFonts w:hint="eastAsia" w:ascii="宋体" w:hAnsi="宋体" w:cs="宋体"/>
          <w:color w:val="auto"/>
          <w:spacing w:val="-38"/>
          <w:kern w:val="0"/>
          <w:szCs w:val="21"/>
        </w:rPr>
        <w:t>，</w:t>
      </w:r>
      <w:r>
        <w:rPr>
          <w:rFonts w:hint="eastAsia" w:ascii="宋体" w:hAnsi="宋体" w:cs="宋体"/>
          <w:color w:val="auto"/>
          <w:spacing w:val="-2"/>
          <w:kern w:val="0"/>
          <w:szCs w:val="21"/>
        </w:rPr>
        <w:t>并</w:t>
      </w:r>
      <w:r>
        <w:rPr>
          <w:rFonts w:hint="eastAsia" w:ascii="宋体" w:hAnsi="宋体" w:cs="宋体"/>
          <w:color w:val="auto"/>
          <w:kern w:val="0"/>
          <w:szCs w:val="21"/>
        </w:rPr>
        <w:t>构成投</w:t>
      </w:r>
      <w:r>
        <w:rPr>
          <w:rFonts w:hint="eastAsia" w:ascii="宋体" w:hAnsi="宋体" w:cs="宋体"/>
          <w:color w:val="auto"/>
          <w:spacing w:val="-2"/>
          <w:kern w:val="0"/>
          <w:szCs w:val="21"/>
        </w:rPr>
        <w:t>标</w:t>
      </w:r>
      <w:r>
        <w:rPr>
          <w:rFonts w:hint="eastAsia" w:ascii="宋体" w:hAnsi="宋体" w:cs="宋体"/>
          <w:color w:val="auto"/>
          <w:kern w:val="0"/>
          <w:szCs w:val="21"/>
        </w:rPr>
        <w:t>文</w:t>
      </w:r>
      <w:r>
        <w:rPr>
          <w:rFonts w:hint="eastAsia" w:ascii="宋体" w:hAnsi="宋体" w:cs="宋体"/>
          <w:color w:val="auto"/>
          <w:spacing w:val="-2"/>
          <w:kern w:val="0"/>
          <w:szCs w:val="21"/>
        </w:rPr>
        <w:t>件</w:t>
      </w:r>
      <w:r>
        <w:rPr>
          <w:rFonts w:hint="eastAsia" w:ascii="宋体" w:hAnsi="宋体" w:cs="宋体"/>
          <w:color w:val="auto"/>
          <w:kern w:val="0"/>
          <w:szCs w:val="21"/>
        </w:rPr>
        <w:t>的</w:t>
      </w:r>
      <w:r>
        <w:rPr>
          <w:rFonts w:hint="eastAsia" w:ascii="宋体" w:hAnsi="宋体" w:cs="宋体"/>
          <w:color w:val="auto"/>
          <w:spacing w:val="-2"/>
          <w:kern w:val="0"/>
          <w:szCs w:val="21"/>
        </w:rPr>
        <w:t>组</w:t>
      </w:r>
      <w:r>
        <w:rPr>
          <w:rFonts w:hint="eastAsia" w:ascii="宋体" w:hAnsi="宋体" w:cs="宋体"/>
          <w:color w:val="auto"/>
          <w:kern w:val="0"/>
          <w:szCs w:val="21"/>
        </w:rPr>
        <w:t>成</w:t>
      </w:r>
      <w:r>
        <w:rPr>
          <w:rFonts w:hint="eastAsia" w:ascii="宋体" w:hAnsi="宋体" w:cs="宋体"/>
          <w:color w:val="auto"/>
          <w:spacing w:val="-2"/>
          <w:kern w:val="0"/>
          <w:szCs w:val="21"/>
        </w:rPr>
        <w:t>部</w:t>
      </w:r>
      <w:r>
        <w:rPr>
          <w:rFonts w:hint="eastAsia" w:ascii="宋体" w:hAnsi="宋体" w:cs="宋体"/>
          <w:color w:val="auto"/>
          <w:kern w:val="0"/>
          <w:szCs w:val="21"/>
        </w:rPr>
        <w:t>分。</w:t>
      </w:r>
    </w:p>
    <w:p w14:paraId="60D9A133">
      <w:pPr>
        <w:autoSpaceDE w:val="0"/>
        <w:autoSpaceDN w:val="0"/>
        <w:adjustRightInd w:val="0"/>
        <w:spacing w:before="11" w:line="360" w:lineRule="auto"/>
        <w:ind w:left="100" w:right="34" w:firstLine="420"/>
        <w:jc w:val="left"/>
        <w:rPr>
          <w:rFonts w:hint="eastAsia" w:ascii="宋体" w:hAnsi="宋体" w:cs="宋体"/>
          <w:color w:val="auto"/>
          <w:kern w:val="0"/>
          <w:szCs w:val="21"/>
        </w:rPr>
      </w:pPr>
      <w:r>
        <w:rPr>
          <w:rFonts w:hint="eastAsia" w:ascii="宋体" w:hAnsi="宋体" w:cs="宋体"/>
          <w:color w:val="auto"/>
          <w:kern w:val="0"/>
          <w:szCs w:val="21"/>
        </w:rPr>
        <w:t>3.3.3</w:t>
      </w:r>
      <w:r>
        <w:rPr>
          <w:rFonts w:hint="eastAsia" w:ascii="宋体" w:hAnsi="宋体" w:cs="宋体"/>
          <w:color w:val="auto"/>
          <w:spacing w:val="51"/>
          <w:kern w:val="0"/>
          <w:szCs w:val="21"/>
        </w:rPr>
        <w:t xml:space="preserve"> </w:t>
      </w:r>
      <w:r>
        <w:rPr>
          <w:rFonts w:hint="eastAsia" w:ascii="宋体" w:hAnsi="宋体" w:cs="宋体"/>
          <w:color w:val="auto"/>
          <w:kern w:val="0"/>
          <w:szCs w:val="21"/>
        </w:rPr>
        <w:t>评</w:t>
      </w:r>
      <w:r>
        <w:rPr>
          <w:rFonts w:hint="eastAsia" w:ascii="宋体" w:hAnsi="宋体" w:cs="宋体"/>
          <w:color w:val="auto"/>
          <w:spacing w:val="-2"/>
          <w:kern w:val="0"/>
          <w:szCs w:val="21"/>
        </w:rPr>
        <w:t>标</w:t>
      </w:r>
      <w:r>
        <w:rPr>
          <w:rFonts w:hint="eastAsia" w:ascii="宋体" w:hAnsi="宋体" w:cs="宋体"/>
          <w:color w:val="auto"/>
          <w:kern w:val="0"/>
          <w:szCs w:val="21"/>
        </w:rPr>
        <w:t>委</w:t>
      </w:r>
      <w:r>
        <w:rPr>
          <w:rFonts w:hint="eastAsia" w:ascii="宋体" w:hAnsi="宋体" w:cs="宋体"/>
          <w:color w:val="auto"/>
          <w:spacing w:val="-2"/>
          <w:kern w:val="0"/>
          <w:szCs w:val="21"/>
        </w:rPr>
        <w:t>员</w:t>
      </w:r>
      <w:r>
        <w:rPr>
          <w:rFonts w:hint="eastAsia" w:ascii="宋体" w:hAnsi="宋体" w:cs="宋体"/>
          <w:color w:val="auto"/>
          <w:kern w:val="0"/>
          <w:szCs w:val="21"/>
        </w:rPr>
        <w:t>会</w:t>
      </w:r>
      <w:r>
        <w:rPr>
          <w:rFonts w:hint="eastAsia" w:ascii="宋体" w:hAnsi="宋体" w:cs="宋体"/>
          <w:color w:val="auto"/>
          <w:spacing w:val="-2"/>
          <w:kern w:val="0"/>
          <w:szCs w:val="21"/>
        </w:rPr>
        <w:t>对</w:t>
      </w:r>
      <w:r>
        <w:rPr>
          <w:rFonts w:hint="eastAsia" w:ascii="宋体" w:hAnsi="宋体" w:cs="宋体"/>
          <w:color w:val="auto"/>
          <w:kern w:val="0"/>
          <w:szCs w:val="21"/>
        </w:rPr>
        <w:t>投</w:t>
      </w:r>
      <w:r>
        <w:rPr>
          <w:rFonts w:hint="eastAsia" w:ascii="宋体" w:hAnsi="宋体" w:cs="宋体"/>
          <w:color w:val="auto"/>
          <w:spacing w:val="-2"/>
          <w:kern w:val="0"/>
          <w:szCs w:val="21"/>
        </w:rPr>
        <w:t>标人</w:t>
      </w:r>
      <w:r>
        <w:rPr>
          <w:rFonts w:hint="eastAsia" w:ascii="宋体" w:hAnsi="宋体" w:cs="宋体"/>
          <w:color w:val="auto"/>
          <w:kern w:val="0"/>
          <w:szCs w:val="21"/>
        </w:rPr>
        <w:t>提交</w:t>
      </w:r>
      <w:r>
        <w:rPr>
          <w:rFonts w:hint="eastAsia" w:ascii="宋体" w:hAnsi="宋体" w:cs="宋体"/>
          <w:color w:val="auto"/>
          <w:spacing w:val="-2"/>
          <w:kern w:val="0"/>
          <w:szCs w:val="21"/>
        </w:rPr>
        <w:t>的</w:t>
      </w:r>
      <w:r>
        <w:rPr>
          <w:rFonts w:hint="eastAsia" w:ascii="宋体" w:hAnsi="宋体" w:cs="宋体"/>
          <w:color w:val="auto"/>
          <w:kern w:val="0"/>
          <w:szCs w:val="21"/>
        </w:rPr>
        <w:t>澄清</w:t>
      </w:r>
      <w:r>
        <w:rPr>
          <w:rFonts w:hint="eastAsia" w:ascii="宋体" w:hAnsi="宋体" w:cs="宋体"/>
          <w:color w:val="auto"/>
          <w:spacing w:val="-94"/>
          <w:kern w:val="0"/>
          <w:szCs w:val="21"/>
        </w:rPr>
        <w:t>、</w:t>
      </w:r>
      <w:r>
        <w:rPr>
          <w:rFonts w:hint="eastAsia" w:ascii="宋体" w:hAnsi="宋体" w:cs="宋体"/>
          <w:color w:val="auto"/>
          <w:kern w:val="0"/>
          <w:szCs w:val="21"/>
        </w:rPr>
        <w:t>说</w:t>
      </w:r>
      <w:r>
        <w:rPr>
          <w:rFonts w:hint="eastAsia" w:ascii="宋体" w:hAnsi="宋体" w:cs="宋体"/>
          <w:color w:val="auto"/>
          <w:spacing w:val="-2"/>
          <w:kern w:val="0"/>
          <w:szCs w:val="21"/>
        </w:rPr>
        <w:t>明</w:t>
      </w:r>
      <w:r>
        <w:rPr>
          <w:rFonts w:hint="eastAsia" w:ascii="宋体" w:hAnsi="宋体" w:cs="宋体"/>
          <w:color w:val="auto"/>
          <w:kern w:val="0"/>
          <w:szCs w:val="21"/>
        </w:rPr>
        <w:t>或</w:t>
      </w:r>
      <w:r>
        <w:rPr>
          <w:rFonts w:hint="eastAsia" w:ascii="宋体" w:hAnsi="宋体" w:cs="宋体"/>
          <w:color w:val="auto"/>
          <w:spacing w:val="-2"/>
          <w:kern w:val="0"/>
          <w:szCs w:val="21"/>
        </w:rPr>
        <w:t>补</w:t>
      </w:r>
      <w:r>
        <w:rPr>
          <w:rFonts w:hint="eastAsia" w:ascii="宋体" w:hAnsi="宋体" w:cs="宋体"/>
          <w:color w:val="auto"/>
          <w:kern w:val="0"/>
          <w:szCs w:val="21"/>
        </w:rPr>
        <w:t>正</w:t>
      </w:r>
      <w:r>
        <w:rPr>
          <w:rFonts w:hint="eastAsia" w:ascii="宋体" w:hAnsi="宋体" w:cs="宋体"/>
          <w:color w:val="auto"/>
          <w:spacing w:val="-2"/>
          <w:kern w:val="0"/>
          <w:szCs w:val="21"/>
        </w:rPr>
        <w:t>有</w:t>
      </w:r>
      <w:r>
        <w:rPr>
          <w:rFonts w:hint="eastAsia" w:ascii="宋体" w:hAnsi="宋体" w:cs="宋体"/>
          <w:color w:val="auto"/>
          <w:kern w:val="0"/>
          <w:szCs w:val="21"/>
        </w:rPr>
        <w:t>疑问的</w:t>
      </w:r>
      <w:r>
        <w:rPr>
          <w:rFonts w:hint="eastAsia" w:ascii="宋体" w:hAnsi="宋体" w:cs="宋体"/>
          <w:color w:val="auto"/>
          <w:spacing w:val="-94"/>
          <w:kern w:val="0"/>
          <w:szCs w:val="21"/>
        </w:rPr>
        <w:t>，</w:t>
      </w:r>
      <w:r>
        <w:rPr>
          <w:rFonts w:hint="eastAsia" w:ascii="宋体" w:hAnsi="宋体" w:cs="宋体"/>
          <w:color w:val="auto"/>
          <w:kern w:val="0"/>
          <w:szCs w:val="21"/>
        </w:rPr>
        <w:t>可</w:t>
      </w:r>
      <w:r>
        <w:rPr>
          <w:rFonts w:hint="eastAsia" w:ascii="宋体" w:hAnsi="宋体" w:cs="宋体"/>
          <w:color w:val="auto"/>
          <w:spacing w:val="-2"/>
          <w:kern w:val="0"/>
          <w:szCs w:val="21"/>
        </w:rPr>
        <w:t>以</w:t>
      </w:r>
      <w:r>
        <w:rPr>
          <w:rFonts w:hint="eastAsia" w:ascii="宋体" w:hAnsi="宋体" w:cs="宋体"/>
          <w:color w:val="auto"/>
          <w:kern w:val="0"/>
          <w:szCs w:val="21"/>
        </w:rPr>
        <w:t>要</w:t>
      </w:r>
      <w:r>
        <w:rPr>
          <w:rFonts w:hint="eastAsia" w:ascii="宋体" w:hAnsi="宋体" w:cs="宋体"/>
          <w:color w:val="auto"/>
          <w:spacing w:val="-2"/>
          <w:kern w:val="0"/>
          <w:szCs w:val="21"/>
        </w:rPr>
        <w:t>求</w:t>
      </w:r>
      <w:r>
        <w:rPr>
          <w:rFonts w:hint="eastAsia" w:ascii="宋体" w:hAnsi="宋体" w:cs="宋体"/>
          <w:color w:val="auto"/>
          <w:kern w:val="0"/>
          <w:szCs w:val="21"/>
        </w:rPr>
        <w:t>投</w:t>
      </w:r>
      <w:r>
        <w:rPr>
          <w:rFonts w:hint="eastAsia" w:ascii="宋体" w:hAnsi="宋体" w:cs="宋体"/>
          <w:color w:val="auto"/>
          <w:spacing w:val="-2"/>
          <w:kern w:val="0"/>
          <w:szCs w:val="21"/>
        </w:rPr>
        <w:t>标</w:t>
      </w:r>
      <w:r>
        <w:rPr>
          <w:rFonts w:hint="eastAsia" w:ascii="宋体" w:hAnsi="宋体" w:cs="宋体"/>
          <w:color w:val="auto"/>
          <w:kern w:val="0"/>
          <w:szCs w:val="21"/>
        </w:rPr>
        <w:t>人</w:t>
      </w:r>
      <w:r>
        <w:rPr>
          <w:rFonts w:hint="eastAsia" w:ascii="宋体" w:hAnsi="宋体" w:cs="宋体"/>
          <w:color w:val="auto"/>
          <w:spacing w:val="-2"/>
          <w:kern w:val="0"/>
          <w:szCs w:val="21"/>
        </w:rPr>
        <w:t>进</w:t>
      </w:r>
      <w:r>
        <w:rPr>
          <w:rFonts w:hint="eastAsia" w:ascii="宋体" w:hAnsi="宋体" w:cs="宋体"/>
          <w:color w:val="auto"/>
          <w:kern w:val="0"/>
          <w:szCs w:val="21"/>
        </w:rPr>
        <w:t>一步</w:t>
      </w:r>
      <w:r>
        <w:rPr>
          <w:rFonts w:hint="eastAsia" w:ascii="宋体" w:hAnsi="宋体" w:cs="宋体"/>
          <w:color w:val="auto"/>
          <w:spacing w:val="-2"/>
          <w:kern w:val="0"/>
          <w:szCs w:val="21"/>
        </w:rPr>
        <w:t>澄</w:t>
      </w:r>
      <w:r>
        <w:rPr>
          <w:rFonts w:hint="eastAsia" w:ascii="宋体" w:hAnsi="宋体" w:cs="宋体"/>
          <w:color w:val="auto"/>
          <w:kern w:val="0"/>
          <w:szCs w:val="21"/>
        </w:rPr>
        <w:t>清、说明</w:t>
      </w:r>
      <w:r>
        <w:rPr>
          <w:rFonts w:hint="eastAsia" w:ascii="宋体" w:hAnsi="宋体" w:cs="宋体"/>
          <w:color w:val="auto"/>
          <w:spacing w:val="-2"/>
          <w:kern w:val="0"/>
          <w:szCs w:val="21"/>
        </w:rPr>
        <w:t>或</w:t>
      </w:r>
      <w:r>
        <w:rPr>
          <w:rFonts w:hint="eastAsia" w:ascii="宋体" w:hAnsi="宋体" w:cs="宋体"/>
          <w:color w:val="auto"/>
          <w:kern w:val="0"/>
          <w:szCs w:val="21"/>
        </w:rPr>
        <w:t>补</w:t>
      </w:r>
      <w:r>
        <w:rPr>
          <w:rFonts w:hint="eastAsia" w:ascii="宋体" w:hAnsi="宋体" w:cs="宋体"/>
          <w:color w:val="auto"/>
          <w:spacing w:val="-3"/>
          <w:kern w:val="0"/>
          <w:szCs w:val="21"/>
        </w:rPr>
        <w:t>正</w:t>
      </w:r>
      <w:r>
        <w:rPr>
          <w:rFonts w:hint="eastAsia" w:ascii="宋体" w:hAnsi="宋体" w:cs="宋体"/>
          <w:color w:val="auto"/>
          <w:kern w:val="0"/>
          <w:szCs w:val="21"/>
        </w:rPr>
        <w:t>，</w:t>
      </w:r>
      <w:r>
        <w:rPr>
          <w:rFonts w:hint="eastAsia" w:ascii="宋体" w:hAnsi="宋体" w:cs="宋体"/>
          <w:color w:val="auto"/>
          <w:spacing w:val="-2"/>
          <w:kern w:val="0"/>
          <w:szCs w:val="21"/>
        </w:rPr>
        <w:t>直</w:t>
      </w:r>
      <w:r>
        <w:rPr>
          <w:rFonts w:hint="eastAsia" w:ascii="宋体" w:hAnsi="宋体" w:cs="宋体"/>
          <w:color w:val="auto"/>
          <w:kern w:val="0"/>
          <w:szCs w:val="21"/>
        </w:rPr>
        <w:t>至</w:t>
      </w:r>
      <w:r>
        <w:rPr>
          <w:rFonts w:hint="eastAsia" w:ascii="宋体" w:hAnsi="宋体" w:cs="宋体"/>
          <w:color w:val="auto"/>
          <w:spacing w:val="-2"/>
          <w:kern w:val="0"/>
          <w:szCs w:val="21"/>
        </w:rPr>
        <w:t>满</w:t>
      </w:r>
      <w:r>
        <w:rPr>
          <w:rFonts w:hint="eastAsia" w:ascii="宋体" w:hAnsi="宋体" w:cs="宋体"/>
          <w:color w:val="auto"/>
          <w:kern w:val="0"/>
          <w:szCs w:val="21"/>
        </w:rPr>
        <w:t>足</w:t>
      </w:r>
      <w:r>
        <w:rPr>
          <w:rFonts w:hint="eastAsia" w:ascii="宋体" w:hAnsi="宋体" w:cs="宋体"/>
          <w:color w:val="auto"/>
          <w:spacing w:val="-2"/>
          <w:kern w:val="0"/>
          <w:szCs w:val="21"/>
        </w:rPr>
        <w:t>评</w:t>
      </w:r>
      <w:r>
        <w:rPr>
          <w:rFonts w:hint="eastAsia" w:ascii="宋体" w:hAnsi="宋体" w:cs="宋体"/>
          <w:color w:val="auto"/>
          <w:kern w:val="0"/>
          <w:szCs w:val="21"/>
        </w:rPr>
        <w:t>标委</w:t>
      </w:r>
      <w:r>
        <w:rPr>
          <w:rFonts w:hint="eastAsia" w:ascii="宋体" w:hAnsi="宋体" w:cs="宋体"/>
          <w:color w:val="auto"/>
          <w:spacing w:val="-2"/>
          <w:kern w:val="0"/>
          <w:szCs w:val="21"/>
        </w:rPr>
        <w:t>员</w:t>
      </w:r>
      <w:r>
        <w:rPr>
          <w:rFonts w:hint="eastAsia" w:ascii="宋体" w:hAnsi="宋体" w:cs="宋体"/>
          <w:color w:val="auto"/>
          <w:kern w:val="0"/>
          <w:szCs w:val="21"/>
        </w:rPr>
        <w:t>会</w:t>
      </w:r>
      <w:r>
        <w:rPr>
          <w:rFonts w:hint="eastAsia" w:ascii="宋体" w:hAnsi="宋体" w:cs="宋体"/>
          <w:color w:val="auto"/>
          <w:spacing w:val="-2"/>
          <w:kern w:val="0"/>
          <w:szCs w:val="21"/>
        </w:rPr>
        <w:t>的</w:t>
      </w:r>
      <w:r>
        <w:rPr>
          <w:rFonts w:hint="eastAsia" w:ascii="宋体" w:hAnsi="宋体" w:cs="宋体"/>
          <w:color w:val="auto"/>
          <w:kern w:val="0"/>
          <w:szCs w:val="21"/>
        </w:rPr>
        <w:t>要</w:t>
      </w:r>
      <w:r>
        <w:rPr>
          <w:rFonts w:hint="eastAsia" w:ascii="宋体" w:hAnsi="宋体" w:cs="宋体"/>
          <w:color w:val="auto"/>
          <w:spacing w:val="-2"/>
          <w:kern w:val="0"/>
          <w:szCs w:val="21"/>
        </w:rPr>
        <w:t>求</w:t>
      </w:r>
      <w:r>
        <w:rPr>
          <w:rFonts w:hint="eastAsia" w:ascii="宋体" w:hAnsi="宋体" w:cs="宋体"/>
          <w:color w:val="auto"/>
          <w:kern w:val="0"/>
          <w:szCs w:val="21"/>
        </w:rPr>
        <w:t>。</w:t>
      </w:r>
    </w:p>
    <w:p w14:paraId="588F5637">
      <w:pPr>
        <w:pStyle w:val="4"/>
        <w:rPr>
          <w:rFonts w:hint="eastAsia"/>
          <w:b w:val="0"/>
          <w:color w:val="auto"/>
          <w:spacing w:val="-2"/>
          <w:kern w:val="0"/>
        </w:rPr>
      </w:pPr>
      <w:bookmarkStart w:id="468" w:name="_Toc10336"/>
      <w:bookmarkStart w:id="469" w:name="_Toc19756"/>
      <w:bookmarkStart w:id="470" w:name="_Toc28041"/>
      <w:bookmarkStart w:id="471" w:name="_Toc12108"/>
      <w:bookmarkStart w:id="472" w:name="_Toc25852"/>
      <w:bookmarkStart w:id="473" w:name="_Toc7956"/>
      <w:bookmarkStart w:id="474" w:name="_Toc12060"/>
      <w:bookmarkStart w:id="475" w:name="_Toc27845"/>
      <w:bookmarkStart w:id="476" w:name="_Toc19426"/>
      <w:bookmarkStart w:id="477" w:name="_Toc25857"/>
      <w:r>
        <w:rPr>
          <w:rFonts w:hint="eastAsia"/>
          <w:color w:val="auto"/>
        </w:rPr>
        <w:t>3.4 评标结果</w:t>
      </w:r>
      <w:bookmarkEnd w:id="468"/>
      <w:bookmarkEnd w:id="469"/>
      <w:bookmarkEnd w:id="470"/>
      <w:bookmarkEnd w:id="471"/>
      <w:bookmarkEnd w:id="472"/>
      <w:bookmarkEnd w:id="473"/>
      <w:bookmarkEnd w:id="474"/>
      <w:bookmarkEnd w:id="475"/>
      <w:bookmarkEnd w:id="476"/>
      <w:bookmarkEnd w:id="477"/>
    </w:p>
    <w:p w14:paraId="69440271">
      <w:pPr>
        <w:autoSpaceDE w:val="0"/>
        <w:autoSpaceDN w:val="0"/>
        <w:adjustRightInd w:val="0"/>
        <w:spacing w:line="360" w:lineRule="auto"/>
        <w:ind w:left="100" w:right="142" w:firstLine="420"/>
        <w:rPr>
          <w:rFonts w:hint="eastAsia" w:ascii="宋体" w:hAnsi="宋体" w:cs="宋体"/>
          <w:color w:val="auto"/>
          <w:kern w:val="0"/>
          <w:szCs w:val="21"/>
        </w:rPr>
      </w:pPr>
      <w:r>
        <w:rPr>
          <w:rFonts w:hint="eastAsia" w:ascii="宋体" w:hAnsi="宋体" w:cs="宋体"/>
          <w:color w:val="auto"/>
          <w:spacing w:val="-2"/>
          <w:kern w:val="0"/>
          <w:szCs w:val="21"/>
        </w:rPr>
        <w:t>3.4.1 除采购人授权直接确定中标人外，评标委员会按照各评委综合评分的算术平均值得分由</w:t>
      </w:r>
      <w:r>
        <w:rPr>
          <w:rFonts w:hint="eastAsia" w:ascii="宋体" w:hAnsi="宋体" w:cs="宋体"/>
          <w:color w:val="auto"/>
          <w:kern w:val="0"/>
          <w:szCs w:val="21"/>
        </w:rPr>
        <w:t>高</w:t>
      </w:r>
      <w:r>
        <w:rPr>
          <w:rFonts w:hint="eastAsia" w:ascii="宋体" w:hAnsi="宋体" w:cs="宋体"/>
          <w:color w:val="auto"/>
          <w:spacing w:val="-2"/>
          <w:kern w:val="0"/>
          <w:szCs w:val="21"/>
        </w:rPr>
        <w:t>到</w:t>
      </w:r>
      <w:r>
        <w:rPr>
          <w:rFonts w:hint="eastAsia" w:ascii="宋体" w:hAnsi="宋体" w:cs="宋体"/>
          <w:color w:val="auto"/>
          <w:kern w:val="0"/>
          <w:szCs w:val="21"/>
        </w:rPr>
        <w:t>低的顺</w:t>
      </w:r>
      <w:r>
        <w:rPr>
          <w:rFonts w:hint="eastAsia" w:ascii="宋体" w:hAnsi="宋体" w:cs="宋体"/>
          <w:color w:val="auto"/>
          <w:spacing w:val="-2"/>
          <w:kern w:val="0"/>
          <w:szCs w:val="21"/>
        </w:rPr>
        <w:t>序</w:t>
      </w:r>
      <w:r>
        <w:rPr>
          <w:rFonts w:hint="eastAsia" w:ascii="宋体" w:hAnsi="宋体" w:cs="宋体"/>
          <w:color w:val="auto"/>
          <w:kern w:val="0"/>
          <w:szCs w:val="21"/>
        </w:rPr>
        <w:t>推</w:t>
      </w:r>
      <w:r>
        <w:rPr>
          <w:rFonts w:hint="eastAsia" w:ascii="宋体" w:hAnsi="宋体" w:cs="宋体"/>
          <w:color w:val="auto"/>
          <w:spacing w:val="-2"/>
          <w:kern w:val="0"/>
          <w:szCs w:val="21"/>
        </w:rPr>
        <w:t>荐3名</w:t>
      </w:r>
      <w:r>
        <w:rPr>
          <w:rFonts w:hint="eastAsia" w:ascii="宋体" w:hAnsi="宋体" w:cs="宋体"/>
          <w:color w:val="auto"/>
          <w:kern w:val="0"/>
          <w:szCs w:val="21"/>
        </w:rPr>
        <w:t>中</w:t>
      </w:r>
      <w:r>
        <w:rPr>
          <w:rFonts w:hint="eastAsia" w:ascii="宋体" w:hAnsi="宋体" w:cs="宋体"/>
          <w:color w:val="auto"/>
          <w:spacing w:val="-2"/>
          <w:kern w:val="0"/>
          <w:szCs w:val="21"/>
        </w:rPr>
        <w:t>标</w:t>
      </w:r>
      <w:r>
        <w:rPr>
          <w:rFonts w:hint="eastAsia" w:ascii="宋体" w:hAnsi="宋体" w:cs="宋体"/>
          <w:color w:val="auto"/>
          <w:kern w:val="0"/>
          <w:szCs w:val="21"/>
        </w:rPr>
        <w:t>候</w:t>
      </w:r>
      <w:r>
        <w:rPr>
          <w:rFonts w:hint="eastAsia" w:ascii="宋体" w:hAnsi="宋体" w:cs="宋体"/>
          <w:color w:val="auto"/>
          <w:spacing w:val="-2"/>
          <w:kern w:val="0"/>
          <w:szCs w:val="21"/>
        </w:rPr>
        <w:t>选</w:t>
      </w:r>
      <w:r>
        <w:rPr>
          <w:rFonts w:hint="eastAsia" w:ascii="宋体" w:hAnsi="宋体" w:cs="宋体"/>
          <w:color w:val="auto"/>
          <w:kern w:val="0"/>
          <w:szCs w:val="21"/>
        </w:rPr>
        <w:t>人</w:t>
      </w:r>
      <w:r>
        <w:rPr>
          <w:rFonts w:hint="eastAsia" w:ascii="宋体" w:hAnsi="宋体" w:cs="宋体"/>
          <w:color w:val="auto"/>
          <w:spacing w:val="-2"/>
          <w:kern w:val="0"/>
          <w:szCs w:val="21"/>
        </w:rPr>
        <w:t>，</w:t>
      </w:r>
      <w:r>
        <w:rPr>
          <w:rFonts w:hint="eastAsia" w:ascii="宋体" w:hAnsi="宋体" w:cs="宋体"/>
          <w:color w:val="auto"/>
          <w:szCs w:val="21"/>
        </w:rPr>
        <w:t>得分相同的，按投标报价由低到高顺序排列。得分且投标报价相同的并列。投标文件满足招标文件全部实质性要求，且按照评审因素的量化指标评审得分最高的投标人为排名</w:t>
      </w:r>
      <w:r>
        <w:rPr>
          <w:rFonts w:hint="eastAsia" w:ascii="宋体" w:hAnsi="宋体" w:cs="宋体"/>
          <w:color w:val="auto"/>
          <w:spacing w:val="-2"/>
          <w:kern w:val="0"/>
          <w:szCs w:val="21"/>
        </w:rPr>
        <w:t>第一</w:t>
      </w:r>
      <w:r>
        <w:rPr>
          <w:rFonts w:hint="eastAsia" w:ascii="宋体" w:hAnsi="宋体" w:cs="宋体"/>
          <w:color w:val="auto"/>
          <w:szCs w:val="21"/>
        </w:rPr>
        <w:t>的中标候选人。</w:t>
      </w:r>
    </w:p>
    <w:p w14:paraId="5AF70CA0">
      <w:pPr>
        <w:autoSpaceDE w:val="0"/>
        <w:autoSpaceDN w:val="0"/>
        <w:adjustRightInd w:val="0"/>
        <w:spacing w:before="40" w:line="360" w:lineRule="auto"/>
        <w:ind w:left="100" w:right="140" w:firstLine="420"/>
        <w:rPr>
          <w:rFonts w:hint="eastAsia" w:ascii="宋体" w:hAnsi="宋体" w:cs="宋体"/>
          <w:color w:val="auto"/>
          <w:kern w:val="0"/>
          <w:szCs w:val="21"/>
        </w:rPr>
        <w:sectPr>
          <w:headerReference r:id="rId3" w:type="default"/>
          <w:footerReference r:id="rId4" w:type="default"/>
          <w:pgSz w:w="11906" w:h="16838"/>
          <w:pgMar w:top="1417" w:right="1417" w:bottom="1417" w:left="1417" w:header="777" w:footer="641" w:gutter="0"/>
          <w:pgNumType w:start="1"/>
          <w:cols w:space="720" w:num="1"/>
          <w:titlePg/>
          <w:docGrid w:linePitch="1" w:charSpace="0"/>
        </w:sectPr>
      </w:pPr>
      <w:r>
        <w:rPr>
          <w:rFonts w:hint="eastAsia" w:ascii="宋体" w:hAnsi="宋体" w:cs="宋体"/>
          <w:color w:val="auto"/>
          <w:kern w:val="0"/>
          <w:szCs w:val="21"/>
        </w:rPr>
        <w:t>3.4.2</w:t>
      </w:r>
      <w:r>
        <w:rPr>
          <w:rFonts w:hint="eastAsia" w:ascii="宋体" w:hAnsi="宋体" w:cs="宋体"/>
          <w:color w:val="auto"/>
          <w:spacing w:val="51"/>
          <w:kern w:val="0"/>
          <w:szCs w:val="21"/>
        </w:rPr>
        <w:t xml:space="preserve"> </w:t>
      </w:r>
      <w:r>
        <w:rPr>
          <w:rFonts w:hint="eastAsia" w:ascii="宋体" w:hAnsi="宋体" w:cs="宋体"/>
          <w:color w:val="auto"/>
          <w:kern w:val="0"/>
          <w:szCs w:val="21"/>
        </w:rPr>
        <w:t>评</w:t>
      </w:r>
      <w:r>
        <w:rPr>
          <w:rFonts w:hint="eastAsia" w:ascii="宋体" w:hAnsi="宋体" w:cs="宋体"/>
          <w:color w:val="auto"/>
          <w:spacing w:val="-2"/>
          <w:kern w:val="0"/>
          <w:szCs w:val="21"/>
        </w:rPr>
        <w:t>标</w:t>
      </w:r>
      <w:r>
        <w:rPr>
          <w:rFonts w:hint="eastAsia" w:ascii="宋体" w:hAnsi="宋体" w:cs="宋体"/>
          <w:color w:val="auto"/>
          <w:kern w:val="0"/>
          <w:szCs w:val="21"/>
        </w:rPr>
        <w:t>委</w:t>
      </w:r>
      <w:r>
        <w:rPr>
          <w:rFonts w:hint="eastAsia" w:ascii="宋体" w:hAnsi="宋体" w:cs="宋体"/>
          <w:color w:val="auto"/>
          <w:spacing w:val="-2"/>
          <w:kern w:val="0"/>
          <w:szCs w:val="21"/>
        </w:rPr>
        <w:t>员</w:t>
      </w:r>
      <w:r>
        <w:rPr>
          <w:rFonts w:hint="eastAsia" w:ascii="宋体" w:hAnsi="宋体" w:cs="宋体"/>
          <w:color w:val="auto"/>
          <w:kern w:val="0"/>
          <w:szCs w:val="21"/>
        </w:rPr>
        <w:t>会</w:t>
      </w:r>
      <w:r>
        <w:rPr>
          <w:rFonts w:hint="eastAsia" w:ascii="宋体" w:hAnsi="宋体" w:cs="宋体"/>
          <w:color w:val="auto"/>
          <w:spacing w:val="-2"/>
          <w:kern w:val="0"/>
          <w:szCs w:val="21"/>
        </w:rPr>
        <w:t>完</w:t>
      </w:r>
      <w:r>
        <w:rPr>
          <w:rFonts w:hint="eastAsia" w:ascii="宋体" w:hAnsi="宋体" w:cs="宋体"/>
          <w:color w:val="auto"/>
          <w:kern w:val="0"/>
          <w:szCs w:val="21"/>
        </w:rPr>
        <w:t>成</w:t>
      </w:r>
      <w:r>
        <w:rPr>
          <w:rFonts w:hint="eastAsia" w:ascii="宋体" w:hAnsi="宋体" w:cs="宋体"/>
          <w:color w:val="auto"/>
          <w:spacing w:val="-2"/>
          <w:kern w:val="0"/>
          <w:szCs w:val="21"/>
        </w:rPr>
        <w:t>评标</w:t>
      </w:r>
      <w:r>
        <w:rPr>
          <w:rFonts w:hint="eastAsia" w:ascii="宋体" w:hAnsi="宋体" w:cs="宋体"/>
          <w:color w:val="auto"/>
          <w:kern w:val="0"/>
          <w:szCs w:val="21"/>
        </w:rPr>
        <w:t>后，</w:t>
      </w:r>
      <w:r>
        <w:rPr>
          <w:rFonts w:hint="eastAsia" w:ascii="宋体" w:hAnsi="宋体" w:cs="宋体"/>
          <w:color w:val="auto"/>
          <w:spacing w:val="-2"/>
          <w:kern w:val="0"/>
          <w:szCs w:val="21"/>
        </w:rPr>
        <w:t>应</w:t>
      </w:r>
      <w:r>
        <w:rPr>
          <w:rFonts w:hint="eastAsia" w:ascii="宋体" w:hAnsi="宋体" w:cs="宋体"/>
          <w:color w:val="auto"/>
          <w:kern w:val="0"/>
          <w:szCs w:val="21"/>
        </w:rPr>
        <w:t>当</w:t>
      </w:r>
      <w:r>
        <w:rPr>
          <w:rFonts w:hint="eastAsia" w:ascii="宋体" w:hAnsi="宋体" w:cs="宋体"/>
          <w:color w:val="auto"/>
          <w:spacing w:val="-2"/>
          <w:kern w:val="0"/>
          <w:szCs w:val="21"/>
        </w:rPr>
        <w:t>向</w:t>
      </w:r>
      <w:r>
        <w:rPr>
          <w:rFonts w:hint="eastAsia" w:ascii="宋体" w:hAnsi="宋体" w:cs="宋体"/>
          <w:color w:val="auto"/>
          <w:kern w:val="0"/>
          <w:szCs w:val="21"/>
        </w:rPr>
        <w:t>采购人</w:t>
      </w:r>
      <w:r>
        <w:rPr>
          <w:rFonts w:hint="eastAsia" w:ascii="宋体" w:hAnsi="宋体" w:cs="宋体"/>
          <w:color w:val="auto"/>
          <w:spacing w:val="-2"/>
          <w:kern w:val="0"/>
          <w:szCs w:val="21"/>
        </w:rPr>
        <w:t>提</w:t>
      </w:r>
      <w:r>
        <w:rPr>
          <w:rFonts w:hint="eastAsia" w:ascii="宋体" w:hAnsi="宋体" w:cs="宋体"/>
          <w:color w:val="auto"/>
          <w:kern w:val="0"/>
          <w:szCs w:val="21"/>
        </w:rPr>
        <w:t>交</w:t>
      </w:r>
      <w:r>
        <w:rPr>
          <w:rFonts w:hint="eastAsia" w:ascii="宋体" w:hAnsi="宋体" w:cs="宋体"/>
          <w:color w:val="auto"/>
          <w:spacing w:val="-2"/>
          <w:kern w:val="0"/>
          <w:szCs w:val="21"/>
        </w:rPr>
        <w:t>书</w:t>
      </w:r>
      <w:r>
        <w:rPr>
          <w:rFonts w:hint="eastAsia" w:ascii="宋体" w:hAnsi="宋体" w:cs="宋体"/>
          <w:color w:val="auto"/>
          <w:kern w:val="0"/>
          <w:szCs w:val="21"/>
        </w:rPr>
        <w:t>面评</w:t>
      </w:r>
      <w:r>
        <w:rPr>
          <w:rFonts w:hint="eastAsia" w:ascii="宋体" w:hAnsi="宋体" w:cs="宋体"/>
          <w:color w:val="auto"/>
          <w:spacing w:val="-2"/>
          <w:kern w:val="0"/>
          <w:szCs w:val="21"/>
        </w:rPr>
        <w:t>标</w:t>
      </w:r>
      <w:r>
        <w:rPr>
          <w:rFonts w:hint="eastAsia" w:ascii="宋体" w:hAnsi="宋体" w:cs="宋体"/>
          <w:color w:val="auto"/>
          <w:kern w:val="0"/>
          <w:szCs w:val="21"/>
        </w:rPr>
        <w:t>报</w:t>
      </w:r>
      <w:r>
        <w:rPr>
          <w:rFonts w:hint="eastAsia" w:ascii="宋体" w:hAnsi="宋体" w:cs="宋体"/>
          <w:color w:val="auto"/>
          <w:spacing w:val="-2"/>
          <w:kern w:val="0"/>
          <w:szCs w:val="21"/>
        </w:rPr>
        <w:t>告</w:t>
      </w:r>
      <w:r>
        <w:rPr>
          <w:rFonts w:hint="eastAsia" w:ascii="宋体" w:hAnsi="宋体" w:cs="宋体"/>
          <w:color w:val="auto"/>
          <w:kern w:val="0"/>
          <w:szCs w:val="21"/>
        </w:rPr>
        <w:t>和</w:t>
      </w:r>
      <w:r>
        <w:rPr>
          <w:rFonts w:hint="eastAsia" w:ascii="宋体" w:hAnsi="宋体" w:cs="宋体"/>
          <w:color w:val="auto"/>
          <w:spacing w:val="-2"/>
          <w:kern w:val="0"/>
          <w:szCs w:val="21"/>
        </w:rPr>
        <w:t>中</w:t>
      </w:r>
      <w:r>
        <w:rPr>
          <w:rFonts w:hint="eastAsia" w:ascii="宋体" w:hAnsi="宋体" w:cs="宋体"/>
          <w:color w:val="auto"/>
          <w:kern w:val="0"/>
          <w:szCs w:val="21"/>
        </w:rPr>
        <w:t>标</w:t>
      </w:r>
      <w:r>
        <w:rPr>
          <w:rFonts w:hint="eastAsia" w:ascii="宋体" w:hAnsi="宋体" w:cs="宋体"/>
          <w:color w:val="auto"/>
          <w:spacing w:val="-2"/>
          <w:kern w:val="0"/>
          <w:szCs w:val="21"/>
        </w:rPr>
        <w:t>候</w:t>
      </w:r>
      <w:r>
        <w:rPr>
          <w:rFonts w:hint="eastAsia" w:ascii="宋体" w:hAnsi="宋体" w:cs="宋体"/>
          <w:color w:val="auto"/>
          <w:kern w:val="0"/>
          <w:szCs w:val="21"/>
        </w:rPr>
        <w:t>选</w:t>
      </w:r>
      <w:r>
        <w:rPr>
          <w:rFonts w:hint="eastAsia" w:ascii="宋体" w:hAnsi="宋体" w:cs="宋体"/>
          <w:color w:val="auto"/>
          <w:spacing w:val="-2"/>
          <w:kern w:val="0"/>
          <w:szCs w:val="21"/>
        </w:rPr>
        <w:t>人</w:t>
      </w:r>
      <w:r>
        <w:rPr>
          <w:rFonts w:hint="eastAsia" w:ascii="宋体" w:hAnsi="宋体" w:cs="宋体"/>
          <w:color w:val="auto"/>
          <w:kern w:val="0"/>
          <w:szCs w:val="21"/>
        </w:rPr>
        <w:t>名单。</w:t>
      </w:r>
    </w:p>
    <w:p w14:paraId="27D40E64">
      <w:pPr>
        <w:rPr>
          <w:rFonts w:hint="eastAsia"/>
          <w:color w:val="auto"/>
        </w:rPr>
      </w:pPr>
    </w:p>
    <w:bookmarkEnd w:id="366"/>
    <w:bookmarkEnd w:id="367"/>
    <w:bookmarkEnd w:id="368"/>
    <w:bookmarkEnd w:id="369"/>
    <w:bookmarkEnd w:id="370"/>
    <w:bookmarkEnd w:id="371"/>
    <w:bookmarkEnd w:id="372"/>
    <w:bookmarkEnd w:id="373"/>
    <w:bookmarkEnd w:id="374"/>
    <w:bookmarkEnd w:id="375"/>
    <w:bookmarkEnd w:id="376"/>
    <w:p w14:paraId="6BFB1466">
      <w:pPr>
        <w:pStyle w:val="2"/>
        <w:numPr>
          <w:ilvl w:val="0"/>
          <w:numId w:val="19"/>
        </w:numPr>
        <w:rPr>
          <w:rFonts w:hint="eastAsia" w:ascii="宋体" w:hAnsi="宋体"/>
          <w:color w:val="auto"/>
          <w:szCs w:val="32"/>
        </w:rPr>
      </w:pPr>
      <w:bookmarkStart w:id="478" w:name="_Toc312133549"/>
      <w:r>
        <w:rPr>
          <w:rFonts w:hint="eastAsia" w:ascii="宋体" w:hAnsi="宋体"/>
          <w:color w:val="auto"/>
          <w:szCs w:val="32"/>
        </w:rPr>
        <w:t xml:space="preserve">  </w:t>
      </w:r>
      <w:bookmarkStart w:id="479" w:name="_Toc24811"/>
      <w:r>
        <w:rPr>
          <w:rFonts w:hint="eastAsia" w:ascii="宋体" w:hAnsi="宋体"/>
          <w:color w:val="auto"/>
          <w:szCs w:val="32"/>
        </w:rPr>
        <w:t>合同</w:t>
      </w:r>
      <w:bookmarkEnd w:id="479"/>
    </w:p>
    <w:bookmarkEnd w:id="478"/>
    <w:p w14:paraId="7CB544CA">
      <w:pPr>
        <w:jc w:val="center"/>
        <w:rPr>
          <w:rFonts w:hint="eastAsia"/>
          <w:b/>
          <w:sz w:val="36"/>
          <w:szCs w:val="36"/>
        </w:rPr>
      </w:pPr>
      <w:r>
        <w:rPr>
          <w:rFonts w:hint="eastAsia"/>
          <w:b/>
          <w:sz w:val="36"/>
          <w:szCs w:val="36"/>
        </w:rPr>
        <w:t>销售合同</w:t>
      </w:r>
    </w:p>
    <w:p w14:paraId="3894F5B5">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rPr>
        <w:t>买方(甲方)：</w:t>
      </w:r>
      <w:r>
        <w:rPr>
          <w:rFonts w:hint="eastAsia" w:asciiTheme="minorEastAsia" w:hAnsiTheme="minorEastAsia" w:eastAsiaTheme="minorEastAsia" w:cstheme="minorEastAsia"/>
          <w:kern w:val="0"/>
          <w:sz w:val="21"/>
          <w:szCs w:val="21"/>
          <w:u w:val="single"/>
          <w:lang w:eastAsia="zh-CN"/>
        </w:rPr>
        <w:t>尉氏县中心医院（尉氏县第三医共体总医院）</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eastAsiaTheme="minorEastAsia" w:cstheme="minorEastAsia"/>
          <w:kern w:val="0"/>
          <w:sz w:val="21"/>
          <w:szCs w:val="21"/>
        </w:rPr>
        <w:t xml:space="preserve">   </w:t>
      </w:r>
      <w:r>
        <w:rPr>
          <w:rFonts w:hint="eastAsia" w:asciiTheme="minorEastAsia" w:hAnsiTheme="minorEastAsia" w:eastAsiaTheme="minorEastAsia" w:cstheme="minorEastAsia"/>
          <w:sz w:val="21"/>
          <w:szCs w:val="21"/>
        </w:rPr>
        <w:t xml:space="preserve"> </w:t>
      </w:r>
    </w:p>
    <w:p w14:paraId="7FEF69F2">
      <w:pPr>
        <w:spacing w:line="36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卖方(乙方)：</w:t>
      </w:r>
    </w:p>
    <w:p w14:paraId="120D3E9D">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签订时间：</w:t>
      </w:r>
      <w:r>
        <w:rPr>
          <w:rFonts w:hint="eastAsia" w:asciiTheme="minorEastAsia" w:hAnsiTheme="minorEastAsia" w:eastAsiaTheme="minorEastAsia" w:cstheme="minorEastAsia"/>
          <w:sz w:val="21"/>
          <w:szCs w:val="21"/>
          <w:lang w:val="en-US" w:eastAsia="zh-CN"/>
        </w:rPr>
        <w:t>2025</w:t>
      </w:r>
      <w:r>
        <w:rPr>
          <w:rFonts w:hint="eastAsia" w:asciiTheme="minorEastAsia" w:hAnsiTheme="minorEastAsia" w:eastAsiaTheme="minorEastAsia" w:cstheme="minorEastAsia"/>
          <w:sz w:val="21"/>
          <w:szCs w:val="21"/>
        </w:rPr>
        <w:t xml:space="preserve">年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月   日</w:t>
      </w:r>
    </w:p>
    <w:p w14:paraId="50A09AF0">
      <w:pPr>
        <w:widowControl/>
        <w:spacing w:line="360" w:lineRule="auto"/>
        <w:jc w:val="lef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经买、卖双方友好协商，就</w:t>
      </w:r>
      <w:r>
        <w:rPr>
          <w:rFonts w:hint="eastAsia" w:asciiTheme="minorEastAsia" w:hAnsiTheme="minorEastAsia" w:eastAsiaTheme="minorEastAsia" w:cstheme="minorEastAsia"/>
          <w:kern w:val="0"/>
          <w:sz w:val="21"/>
          <w:szCs w:val="21"/>
          <w:u w:val="single"/>
          <w:lang w:val="en-US" w:eastAsia="zh-CN"/>
        </w:rPr>
        <w:t xml:space="preserve">  </w:t>
      </w:r>
      <w:r>
        <w:rPr>
          <w:rFonts w:hint="eastAsia" w:asciiTheme="minorEastAsia" w:hAnsiTheme="minorEastAsia" w:eastAsiaTheme="minorEastAsia" w:cstheme="minorEastAsia"/>
          <w:kern w:val="0"/>
          <w:sz w:val="21"/>
          <w:szCs w:val="21"/>
          <w:u w:val="single"/>
          <w:lang w:eastAsia="zh-CN"/>
        </w:rPr>
        <w:t>尉氏县中心医院（尉氏县第三医共体总医院）儿童康复设备一批采购项目</w:t>
      </w:r>
      <w:r>
        <w:rPr>
          <w:rFonts w:hint="eastAsia" w:asciiTheme="minorEastAsia" w:hAnsiTheme="minorEastAsia" w:eastAsiaTheme="minorEastAsia" w:cstheme="minorEastAsia"/>
          <w:kern w:val="0"/>
          <w:sz w:val="21"/>
          <w:szCs w:val="21"/>
          <w:u w:val="single"/>
          <w:lang w:val="en-US" w:eastAsia="zh-CN"/>
        </w:rPr>
        <w:t xml:space="preserve"> </w:t>
      </w:r>
      <w:r>
        <w:rPr>
          <w:rFonts w:hint="eastAsia" w:asciiTheme="minorEastAsia" w:hAnsiTheme="minorEastAsia" w:eastAsiaTheme="minorEastAsia" w:cstheme="minorEastAsia"/>
          <w:kern w:val="0"/>
          <w:sz w:val="21"/>
          <w:szCs w:val="21"/>
        </w:rPr>
        <w:t>有关事宜达成如下协议：</w:t>
      </w:r>
    </w:p>
    <w:p w14:paraId="7E33CCE7">
      <w:pPr>
        <w:widowControl/>
        <w:spacing w:line="360" w:lineRule="auto"/>
        <w:ind w:left="1653" w:hanging="1446" w:hangingChars="686"/>
        <w:jc w:val="left"/>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一、产品明细</w:t>
      </w:r>
    </w:p>
    <w:tbl>
      <w:tblPr>
        <w:tblStyle w:val="29"/>
        <w:tblW w:w="10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2146"/>
        <w:gridCol w:w="1664"/>
        <w:gridCol w:w="1201"/>
        <w:gridCol w:w="1222"/>
        <w:gridCol w:w="592"/>
        <w:gridCol w:w="1216"/>
        <w:gridCol w:w="1215"/>
        <w:gridCol w:w="794"/>
      </w:tblGrid>
      <w:tr w14:paraId="210C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95" w:type="dxa"/>
            <w:noWrap w:val="0"/>
            <w:vAlign w:val="center"/>
          </w:tcPr>
          <w:p w14:paraId="5961AA55">
            <w:pPr>
              <w:widowControl/>
              <w:spacing w:line="360" w:lineRule="auto"/>
              <w:jc w:val="center"/>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sz w:val="21"/>
                <w:szCs w:val="21"/>
                <w:lang w:bidi="ar"/>
              </w:rPr>
              <w:t>序号</w:t>
            </w:r>
          </w:p>
        </w:tc>
        <w:tc>
          <w:tcPr>
            <w:tcW w:w="2146" w:type="dxa"/>
            <w:noWrap w:val="0"/>
            <w:vAlign w:val="center"/>
          </w:tcPr>
          <w:p w14:paraId="6DD11749">
            <w:pPr>
              <w:widowControl/>
              <w:spacing w:line="360" w:lineRule="auto"/>
              <w:jc w:val="center"/>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sz w:val="21"/>
                <w:szCs w:val="21"/>
                <w:lang w:bidi="ar"/>
              </w:rPr>
              <w:t>产品名称</w:t>
            </w:r>
          </w:p>
        </w:tc>
        <w:tc>
          <w:tcPr>
            <w:tcW w:w="1664" w:type="dxa"/>
            <w:noWrap w:val="0"/>
            <w:vAlign w:val="center"/>
          </w:tcPr>
          <w:p w14:paraId="517AE08A">
            <w:pPr>
              <w:widowControl/>
              <w:spacing w:line="360" w:lineRule="auto"/>
              <w:jc w:val="center"/>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sz w:val="21"/>
                <w:szCs w:val="21"/>
                <w:lang w:bidi="ar"/>
              </w:rPr>
              <w:t>品牌</w:t>
            </w:r>
          </w:p>
        </w:tc>
        <w:tc>
          <w:tcPr>
            <w:tcW w:w="1201" w:type="dxa"/>
            <w:noWrap w:val="0"/>
            <w:vAlign w:val="center"/>
          </w:tcPr>
          <w:p w14:paraId="2029C3C5">
            <w:pPr>
              <w:widowControl/>
              <w:spacing w:line="360" w:lineRule="auto"/>
              <w:jc w:val="center"/>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sz w:val="21"/>
                <w:szCs w:val="21"/>
                <w:lang w:bidi="ar"/>
              </w:rPr>
              <w:t>产地</w:t>
            </w:r>
          </w:p>
        </w:tc>
        <w:tc>
          <w:tcPr>
            <w:tcW w:w="1222" w:type="dxa"/>
            <w:noWrap w:val="0"/>
            <w:vAlign w:val="center"/>
          </w:tcPr>
          <w:p w14:paraId="266D16E9">
            <w:pPr>
              <w:widowControl/>
              <w:spacing w:line="360" w:lineRule="auto"/>
              <w:jc w:val="center"/>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sz w:val="21"/>
                <w:szCs w:val="21"/>
                <w:lang w:bidi="ar"/>
              </w:rPr>
              <w:t>型号/规格</w:t>
            </w:r>
          </w:p>
        </w:tc>
        <w:tc>
          <w:tcPr>
            <w:tcW w:w="592" w:type="dxa"/>
            <w:noWrap w:val="0"/>
            <w:vAlign w:val="center"/>
          </w:tcPr>
          <w:p w14:paraId="1119B527">
            <w:pPr>
              <w:widowControl/>
              <w:spacing w:line="360" w:lineRule="auto"/>
              <w:jc w:val="center"/>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sz w:val="21"/>
                <w:szCs w:val="21"/>
                <w:lang w:bidi="ar"/>
              </w:rPr>
              <w:t>数量</w:t>
            </w:r>
          </w:p>
        </w:tc>
        <w:tc>
          <w:tcPr>
            <w:tcW w:w="1216" w:type="dxa"/>
            <w:noWrap w:val="0"/>
            <w:vAlign w:val="center"/>
          </w:tcPr>
          <w:p w14:paraId="5C351139">
            <w:pPr>
              <w:widowControl/>
              <w:spacing w:line="360" w:lineRule="auto"/>
              <w:jc w:val="center"/>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sz w:val="21"/>
                <w:szCs w:val="21"/>
                <w:lang w:bidi="ar"/>
              </w:rPr>
              <w:t>单价（元）</w:t>
            </w:r>
          </w:p>
        </w:tc>
        <w:tc>
          <w:tcPr>
            <w:tcW w:w="1215" w:type="dxa"/>
            <w:noWrap w:val="0"/>
            <w:vAlign w:val="center"/>
          </w:tcPr>
          <w:p w14:paraId="38D5AEDC">
            <w:pPr>
              <w:widowControl/>
              <w:spacing w:line="360" w:lineRule="auto"/>
              <w:jc w:val="center"/>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sz w:val="21"/>
                <w:szCs w:val="21"/>
                <w:lang w:bidi="ar"/>
              </w:rPr>
              <w:t>总价（元）</w:t>
            </w:r>
          </w:p>
        </w:tc>
        <w:tc>
          <w:tcPr>
            <w:tcW w:w="794" w:type="dxa"/>
            <w:noWrap w:val="0"/>
            <w:vAlign w:val="center"/>
          </w:tcPr>
          <w:p w14:paraId="0F00FF7C">
            <w:pPr>
              <w:widowControl/>
              <w:spacing w:line="360" w:lineRule="auto"/>
              <w:jc w:val="center"/>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sz w:val="21"/>
                <w:szCs w:val="21"/>
                <w:lang w:bidi="ar"/>
              </w:rPr>
              <w:t>备注</w:t>
            </w:r>
          </w:p>
        </w:tc>
      </w:tr>
      <w:tr w14:paraId="13D6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795" w:type="dxa"/>
            <w:noWrap w:val="0"/>
            <w:vAlign w:val="center"/>
          </w:tcPr>
          <w:p w14:paraId="7E2D4C5D">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p>
        </w:tc>
        <w:tc>
          <w:tcPr>
            <w:tcW w:w="2146" w:type="dxa"/>
            <w:noWrap w:val="0"/>
            <w:vAlign w:val="center"/>
          </w:tcPr>
          <w:p w14:paraId="08B103DB">
            <w:pPr>
              <w:widowControl/>
              <w:spacing w:line="360" w:lineRule="auto"/>
              <w:jc w:val="center"/>
              <w:textAlignment w:val="center"/>
              <w:rPr>
                <w:rFonts w:hint="eastAsia" w:asciiTheme="minorEastAsia" w:hAnsiTheme="minorEastAsia" w:eastAsiaTheme="minorEastAsia" w:cstheme="minorEastAsia"/>
                <w:color w:val="000000"/>
                <w:sz w:val="21"/>
                <w:szCs w:val="21"/>
                <w:lang w:eastAsia="zh-CN" w:bidi="ar"/>
              </w:rPr>
            </w:pPr>
          </w:p>
        </w:tc>
        <w:tc>
          <w:tcPr>
            <w:tcW w:w="1664" w:type="dxa"/>
            <w:noWrap w:val="0"/>
            <w:vAlign w:val="center"/>
          </w:tcPr>
          <w:p w14:paraId="65F8776B">
            <w:pPr>
              <w:widowControl/>
              <w:spacing w:line="360" w:lineRule="auto"/>
              <w:jc w:val="center"/>
              <w:textAlignment w:val="center"/>
              <w:rPr>
                <w:rFonts w:hint="eastAsia" w:asciiTheme="minorEastAsia" w:hAnsiTheme="minorEastAsia" w:eastAsiaTheme="minorEastAsia" w:cstheme="minorEastAsia"/>
                <w:color w:val="000000"/>
                <w:sz w:val="21"/>
                <w:szCs w:val="21"/>
                <w:lang w:eastAsia="zh-CN" w:bidi="ar"/>
              </w:rPr>
            </w:pPr>
          </w:p>
        </w:tc>
        <w:tc>
          <w:tcPr>
            <w:tcW w:w="1201" w:type="dxa"/>
            <w:noWrap w:val="0"/>
            <w:vAlign w:val="center"/>
          </w:tcPr>
          <w:p w14:paraId="442DA7F6">
            <w:pPr>
              <w:widowControl/>
              <w:spacing w:line="360" w:lineRule="auto"/>
              <w:jc w:val="center"/>
              <w:textAlignment w:val="center"/>
              <w:rPr>
                <w:rFonts w:hint="eastAsia" w:asciiTheme="minorEastAsia" w:hAnsiTheme="minorEastAsia" w:eastAsiaTheme="minorEastAsia" w:cstheme="minorEastAsia"/>
                <w:color w:val="000000"/>
                <w:sz w:val="21"/>
                <w:szCs w:val="21"/>
                <w:lang w:eastAsia="zh-CN" w:bidi="ar"/>
              </w:rPr>
            </w:pPr>
          </w:p>
        </w:tc>
        <w:tc>
          <w:tcPr>
            <w:tcW w:w="1222" w:type="dxa"/>
            <w:noWrap w:val="0"/>
            <w:vAlign w:val="center"/>
          </w:tcPr>
          <w:p w14:paraId="5ECACFCC">
            <w:pPr>
              <w:widowControl/>
              <w:spacing w:line="360" w:lineRule="auto"/>
              <w:jc w:val="center"/>
              <w:textAlignment w:val="center"/>
              <w:rPr>
                <w:rFonts w:hint="eastAsia" w:asciiTheme="minorEastAsia" w:hAnsiTheme="minorEastAsia" w:eastAsiaTheme="minorEastAsia" w:cstheme="minorEastAsia"/>
                <w:color w:val="000000"/>
                <w:sz w:val="21"/>
                <w:szCs w:val="21"/>
                <w:lang w:val="en-US" w:eastAsia="zh-CN" w:bidi="ar"/>
              </w:rPr>
            </w:pPr>
            <w:r>
              <w:rPr>
                <w:rFonts w:hint="eastAsia" w:asciiTheme="minorEastAsia" w:hAnsiTheme="minorEastAsia" w:eastAsiaTheme="minorEastAsia" w:cstheme="minorEastAsia"/>
                <w:color w:val="000000"/>
                <w:sz w:val="21"/>
                <w:szCs w:val="21"/>
                <w:lang w:val="en-US" w:eastAsia="zh-CN" w:bidi="ar"/>
              </w:rPr>
              <w:t xml:space="preserve"> </w:t>
            </w:r>
          </w:p>
        </w:tc>
        <w:tc>
          <w:tcPr>
            <w:tcW w:w="592" w:type="dxa"/>
            <w:noWrap w:val="0"/>
            <w:vAlign w:val="center"/>
          </w:tcPr>
          <w:p w14:paraId="67ACFA6B">
            <w:pPr>
              <w:widowControl/>
              <w:spacing w:line="360" w:lineRule="auto"/>
              <w:jc w:val="center"/>
              <w:textAlignment w:val="center"/>
              <w:rPr>
                <w:rFonts w:hint="eastAsia" w:asciiTheme="minorEastAsia" w:hAnsiTheme="minorEastAsia" w:eastAsiaTheme="minorEastAsia" w:cstheme="minorEastAsia"/>
                <w:color w:val="000000"/>
                <w:sz w:val="21"/>
                <w:szCs w:val="21"/>
                <w:lang w:val="en-US" w:eastAsia="zh-CN" w:bidi="ar"/>
              </w:rPr>
            </w:pPr>
            <w:r>
              <w:rPr>
                <w:rFonts w:hint="eastAsia" w:asciiTheme="minorEastAsia" w:hAnsiTheme="minorEastAsia" w:eastAsiaTheme="minorEastAsia" w:cstheme="minorEastAsia"/>
                <w:color w:val="000000"/>
                <w:sz w:val="21"/>
                <w:szCs w:val="21"/>
                <w:lang w:val="en-US" w:eastAsia="zh-CN" w:bidi="ar"/>
              </w:rPr>
              <w:t xml:space="preserve"> </w:t>
            </w:r>
          </w:p>
        </w:tc>
        <w:tc>
          <w:tcPr>
            <w:tcW w:w="1216" w:type="dxa"/>
            <w:noWrap w:val="0"/>
            <w:vAlign w:val="center"/>
          </w:tcPr>
          <w:p w14:paraId="717234C7">
            <w:pPr>
              <w:widowControl/>
              <w:spacing w:line="360" w:lineRule="auto"/>
              <w:jc w:val="center"/>
              <w:textAlignment w:val="center"/>
              <w:rPr>
                <w:rFonts w:hint="eastAsia" w:asciiTheme="minorEastAsia" w:hAnsiTheme="minorEastAsia" w:eastAsiaTheme="minorEastAsia" w:cstheme="minorEastAsia"/>
                <w:color w:val="000000"/>
                <w:sz w:val="21"/>
                <w:szCs w:val="21"/>
                <w:lang w:val="en-US" w:eastAsia="zh-CN" w:bidi="ar"/>
              </w:rPr>
            </w:pPr>
            <w:r>
              <w:rPr>
                <w:rFonts w:hint="eastAsia" w:asciiTheme="minorEastAsia" w:hAnsiTheme="minorEastAsia" w:eastAsiaTheme="minorEastAsia" w:cstheme="minorEastAsia"/>
                <w:sz w:val="21"/>
                <w:szCs w:val="21"/>
                <w:lang w:val="en-US" w:eastAsia="zh-CN"/>
              </w:rPr>
              <w:t xml:space="preserve"> </w:t>
            </w:r>
          </w:p>
        </w:tc>
        <w:tc>
          <w:tcPr>
            <w:tcW w:w="1215" w:type="dxa"/>
            <w:noWrap w:val="0"/>
            <w:vAlign w:val="center"/>
          </w:tcPr>
          <w:p w14:paraId="16DC7738">
            <w:pPr>
              <w:widowControl/>
              <w:spacing w:line="360" w:lineRule="auto"/>
              <w:jc w:val="center"/>
              <w:textAlignment w:val="center"/>
              <w:rPr>
                <w:rFonts w:hint="eastAsia" w:asciiTheme="minorEastAsia" w:hAnsiTheme="minorEastAsia" w:eastAsiaTheme="minorEastAsia" w:cstheme="minorEastAsia"/>
                <w:color w:val="000000"/>
                <w:sz w:val="21"/>
                <w:szCs w:val="21"/>
                <w:lang w:val="en-US" w:eastAsia="zh-CN" w:bidi="ar"/>
              </w:rPr>
            </w:pPr>
            <w:r>
              <w:rPr>
                <w:rFonts w:hint="eastAsia" w:asciiTheme="minorEastAsia" w:hAnsiTheme="minorEastAsia" w:eastAsiaTheme="minorEastAsia" w:cstheme="minorEastAsia"/>
                <w:sz w:val="21"/>
                <w:szCs w:val="21"/>
                <w:lang w:val="en-US" w:eastAsia="zh-CN"/>
              </w:rPr>
              <w:t xml:space="preserve"> </w:t>
            </w:r>
          </w:p>
        </w:tc>
        <w:tc>
          <w:tcPr>
            <w:tcW w:w="794" w:type="dxa"/>
            <w:noWrap w:val="0"/>
            <w:vAlign w:val="center"/>
          </w:tcPr>
          <w:p w14:paraId="644956B7">
            <w:pPr>
              <w:widowControl/>
              <w:spacing w:line="360" w:lineRule="auto"/>
              <w:jc w:val="center"/>
              <w:textAlignment w:val="center"/>
              <w:rPr>
                <w:rFonts w:hint="eastAsia" w:asciiTheme="minorEastAsia" w:hAnsiTheme="minorEastAsia" w:eastAsiaTheme="minorEastAsia" w:cstheme="minorEastAsia"/>
                <w:color w:val="000000"/>
                <w:sz w:val="21"/>
                <w:szCs w:val="21"/>
                <w:lang w:bidi="ar"/>
              </w:rPr>
            </w:pPr>
          </w:p>
        </w:tc>
      </w:tr>
      <w:tr w14:paraId="3D2C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exact"/>
          <w:jc w:val="center"/>
        </w:trPr>
        <w:tc>
          <w:tcPr>
            <w:tcW w:w="10845" w:type="dxa"/>
            <w:gridSpan w:val="9"/>
            <w:noWrap w:val="0"/>
            <w:vAlign w:val="top"/>
          </w:tcPr>
          <w:p w14:paraId="6AD084C5">
            <w:pPr>
              <w:widowControl/>
              <w:spacing w:line="360" w:lineRule="auto"/>
              <w:ind w:firstLine="420" w:firstLineChars="200"/>
              <w:jc w:val="left"/>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sz w:val="21"/>
                <w:szCs w:val="21"/>
                <w:lang w:bidi="ar"/>
              </w:rPr>
              <w:t>以上单价含以上价</w:t>
            </w:r>
            <w:r>
              <w:rPr>
                <w:rFonts w:hint="eastAsia" w:asciiTheme="minorEastAsia" w:hAnsiTheme="minorEastAsia" w:eastAsiaTheme="minorEastAsia" w:cstheme="minorEastAsia"/>
                <w:color w:val="000000"/>
                <w:sz w:val="21"/>
                <w:szCs w:val="21"/>
                <w:lang w:eastAsia="zh-CN" w:bidi="ar"/>
              </w:rPr>
              <w:t>格</w:t>
            </w:r>
            <w:r>
              <w:rPr>
                <w:rFonts w:hint="eastAsia" w:asciiTheme="minorEastAsia" w:hAnsiTheme="minorEastAsia" w:eastAsiaTheme="minorEastAsia" w:cstheme="minorEastAsia"/>
                <w:color w:val="000000"/>
                <w:sz w:val="21"/>
                <w:szCs w:val="21"/>
                <w:lang w:bidi="ar"/>
              </w:rPr>
              <w:t>含税、运输费、装卸费用、搬运上楼费、安装调试培训费等全部费用，</w:t>
            </w:r>
            <w:r>
              <w:rPr>
                <w:rFonts w:hint="eastAsia" w:asciiTheme="minorEastAsia" w:hAnsiTheme="minorEastAsia" w:eastAsiaTheme="minorEastAsia" w:cstheme="minorEastAsia"/>
                <w:sz w:val="21"/>
                <w:szCs w:val="21"/>
              </w:rPr>
              <w:t>合同总价为：</w:t>
            </w:r>
            <w:r>
              <w:rPr>
                <w:rFonts w:hint="eastAsia" w:asciiTheme="minorEastAsia" w:hAnsiTheme="minorEastAsia" w:eastAsiaTheme="minorEastAsia" w:cstheme="minorEastAsia"/>
                <w:bCs/>
                <w:sz w:val="21"/>
                <w:szCs w:val="21"/>
                <w:u w:val="single"/>
              </w:rPr>
              <w:t>¥：</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rPr>
              <w:t>（大写：</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rPr>
              <w:t>）。</w:t>
            </w:r>
          </w:p>
        </w:tc>
      </w:tr>
    </w:tbl>
    <w:p w14:paraId="4630ED82">
      <w:pPr>
        <w:spacing w:line="360" w:lineRule="auto"/>
        <w:rPr>
          <w:rFonts w:hint="default"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二、包装标准、要求及费用承担</w:t>
      </w:r>
    </w:p>
    <w:p w14:paraId="72C881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1.乙方</w:t>
      </w:r>
      <w:r>
        <w:rPr>
          <w:rFonts w:hint="eastAsia" w:ascii="宋体" w:hAnsi="宋体" w:cs="宋体"/>
          <w:sz w:val="21"/>
          <w:szCs w:val="21"/>
          <w:lang w:val="en-US" w:eastAsia="zh-CN"/>
        </w:rPr>
        <w:t>提供</w:t>
      </w:r>
      <w:r>
        <w:rPr>
          <w:rFonts w:hint="eastAsia" w:ascii="宋体" w:hAnsi="宋体" w:eastAsia="宋体" w:cs="宋体"/>
          <w:sz w:val="21"/>
          <w:szCs w:val="21"/>
          <w:lang w:val="zh-CN"/>
        </w:rPr>
        <w:t>制造商原厂包</w:t>
      </w:r>
      <w:r>
        <w:rPr>
          <w:rFonts w:hint="eastAsia" w:ascii="宋体" w:hAnsi="宋体" w:eastAsia="宋体" w:cs="宋体"/>
          <w:sz w:val="21"/>
          <w:szCs w:val="21"/>
        </w:rPr>
        <w:t>装，包装费用由乙方承担，但货物包装应符合国家法律、法规及规范性文件的规定。</w:t>
      </w:r>
    </w:p>
    <w:p w14:paraId="26FF9B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480" w:name="_Hlk121838329"/>
      <w:r>
        <w:rPr>
          <w:rFonts w:hint="eastAsia" w:ascii="宋体" w:hAnsi="宋体" w:eastAsia="宋体" w:cs="宋体"/>
          <w:sz w:val="21"/>
          <w:szCs w:val="21"/>
        </w:rPr>
        <w:t>2.乙方应提供货物运至合同规定的最终目的地所需要的包装，以防止货物在转运中损坏。乙方应承担包装或其防护措施不妥而引起货物锈蚀、损坏和丢失的任何损失的责任及费用。如运输完毕后，包装需要返还的，由乙方自行负责并承担全部费用。</w:t>
      </w:r>
    </w:p>
    <w:p w14:paraId="7B3A21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sz w:val="21"/>
          <w:szCs w:val="21"/>
        </w:rPr>
      </w:pPr>
      <w:r>
        <w:rPr>
          <w:rFonts w:hint="eastAsia" w:ascii="宋体" w:hAnsi="宋体" w:eastAsia="宋体" w:cs="宋体"/>
          <w:sz w:val="21"/>
          <w:szCs w:val="21"/>
        </w:rPr>
        <w:t>3.对属医疗器械或消毒产品管理的产品，乙方提供的全部产品的包装上必须有符合《医疗器械说明书和标签管理规定》《消毒产品标签说明书通用要求》等国家规定的中文标识、中文警示说明、图形、符号以及其他相关内容，否则，以不合格产品处理。</w:t>
      </w:r>
      <w:bookmarkEnd w:id="480"/>
    </w:p>
    <w:p w14:paraId="20B0A1E7">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lang w:val="en-US" w:eastAsia="zh-CN"/>
        </w:rPr>
        <w:t>三</w:t>
      </w:r>
      <w:r>
        <w:rPr>
          <w:rFonts w:hint="eastAsia" w:asciiTheme="minorEastAsia" w:hAnsiTheme="minorEastAsia" w:eastAsiaTheme="minorEastAsia" w:cstheme="minorEastAsia"/>
          <w:b/>
          <w:sz w:val="21"/>
          <w:szCs w:val="21"/>
        </w:rPr>
        <w:t>、付款方式和期限</w:t>
      </w:r>
    </w:p>
    <w:p w14:paraId="69400208">
      <w:pPr>
        <w:spacing w:line="360" w:lineRule="auto"/>
        <w:ind w:firstLine="420" w:firstLineChars="200"/>
        <w:textAlignment w:val="baseline"/>
        <w:rPr>
          <w:rStyle w:val="53"/>
          <w:rFonts w:hint="eastAsia" w:asciiTheme="minorEastAsia" w:hAnsiTheme="minorEastAsia" w:eastAsiaTheme="minorEastAsia" w:cstheme="minorEastAsia"/>
          <w:sz w:val="21"/>
          <w:szCs w:val="21"/>
          <w:lang w:val="zh-CN"/>
        </w:rPr>
      </w:pPr>
      <w:r>
        <w:rPr>
          <w:rStyle w:val="53"/>
          <w:rFonts w:hint="eastAsia" w:asciiTheme="minorEastAsia" w:hAnsiTheme="minorEastAsia" w:eastAsiaTheme="minorEastAsia" w:cstheme="minorEastAsia"/>
          <w:sz w:val="21"/>
          <w:szCs w:val="21"/>
          <w:lang w:val="zh-CN"/>
        </w:rPr>
        <w:t>1、结算依据：合同、卖方销售</w:t>
      </w:r>
      <w:r>
        <w:rPr>
          <w:rStyle w:val="53"/>
          <w:rFonts w:hint="eastAsia" w:asciiTheme="minorEastAsia" w:hAnsiTheme="minorEastAsia" w:eastAsiaTheme="minorEastAsia" w:cstheme="minorEastAsia"/>
          <w:sz w:val="21"/>
          <w:szCs w:val="21"/>
          <w:lang w:val="en-US"/>
        </w:rPr>
        <w:t>全额</w:t>
      </w:r>
      <w:r>
        <w:rPr>
          <w:rStyle w:val="53"/>
          <w:rFonts w:hint="eastAsia" w:asciiTheme="minorEastAsia" w:hAnsiTheme="minorEastAsia" w:eastAsiaTheme="minorEastAsia" w:cstheme="minorEastAsia"/>
          <w:sz w:val="21"/>
          <w:szCs w:val="21"/>
          <w:lang w:val="zh-CN"/>
        </w:rPr>
        <w:t>发票、买方出具的验收报告。</w:t>
      </w:r>
    </w:p>
    <w:p w14:paraId="6C694F47">
      <w:pPr>
        <w:spacing w:line="360" w:lineRule="auto"/>
        <w:ind w:firstLine="420" w:firstLineChars="200"/>
        <w:textAlignment w:val="baseline"/>
        <w:rPr>
          <w:rStyle w:val="53"/>
          <w:rFonts w:hint="eastAsia" w:asciiTheme="minorEastAsia" w:hAnsiTheme="minorEastAsia" w:eastAsiaTheme="minorEastAsia" w:cstheme="minorEastAsia"/>
          <w:sz w:val="21"/>
          <w:szCs w:val="21"/>
          <w:lang w:val="zh-CN"/>
        </w:rPr>
      </w:pPr>
      <w:r>
        <w:rPr>
          <w:rStyle w:val="53"/>
          <w:rFonts w:hint="eastAsia" w:asciiTheme="minorEastAsia" w:hAnsiTheme="minorEastAsia" w:eastAsiaTheme="minorEastAsia" w:cstheme="minorEastAsia"/>
          <w:sz w:val="21"/>
          <w:szCs w:val="21"/>
          <w:lang w:val="zh-CN"/>
        </w:rPr>
        <w:t>2、结算方式：</w:t>
      </w:r>
    </w:p>
    <w:p w14:paraId="3D6261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70C0"/>
          <w:sz w:val="21"/>
          <w:szCs w:val="21"/>
          <w:lang w:val="en-US" w:eastAsia="zh-CN"/>
        </w:rPr>
      </w:pPr>
      <w:r>
        <w:rPr>
          <w:rFonts w:hint="eastAsia" w:ascii="宋体" w:hAnsi="宋体" w:eastAsia="宋体" w:cs="宋体"/>
          <w:sz w:val="21"/>
          <w:szCs w:val="21"/>
          <w:lang w:eastAsia="zh-CN"/>
        </w:rPr>
        <w:t>（1）采购资金的支付方式、时间（付款方式）：乙方安装调试完毕且经甲方正式验收合格并正常使用后，支付合同总价款的30%；安装调试验收合格半年之后使用过程中无质量问题，支付合同总价款的60%，两年后支付合同总价款的10%。</w:t>
      </w:r>
    </w:p>
    <w:p w14:paraId="7BF45BEC">
      <w:pPr>
        <w:widowControl/>
        <w:spacing w:line="36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lang w:eastAsia="zh-CN"/>
        </w:rPr>
        <w:t>合同签署</w:t>
      </w:r>
      <w:r>
        <w:rPr>
          <w:rFonts w:hint="eastAsia" w:asciiTheme="minorEastAsia" w:hAnsiTheme="minorEastAsia" w:eastAsiaTheme="minorEastAsia" w:cstheme="minorEastAsia"/>
          <w:sz w:val="21"/>
          <w:szCs w:val="21"/>
        </w:rPr>
        <w:t>后，卖方应按照合同约定时间将全部设备运送至买方指定地点完成安装调试并经买方验收合格。</w:t>
      </w:r>
    </w:p>
    <w:p w14:paraId="53B29657">
      <w:pPr>
        <w:widowControl/>
        <w:spacing w:line="360" w:lineRule="auto"/>
        <w:ind w:firstLine="420" w:firstLineChars="200"/>
        <w:textAlignment w:val="baseline"/>
        <w:rPr>
          <w:rStyle w:val="53"/>
          <w:rFonts w:hint="eastAsia" w:asciiTheme="minorEastAsia" w:hAnsiTheme="minorEastAsia" w:eastAsiaTheme="minorEastAsia" w:cstheme="minorEastAsia"/>
          <w:sz w:val="21"/>
          <w:szCs w:val="21"/>
          <w:lang w:val="zh-CN"/>
        </w:rPr>
      </w:pPr>
      <w:r>
        <w:rPr>
          <w:rStyle w:val="53"/>
          <w:rFonts w:hint="eastAsia" w:asciiTheme="minorEastAsia" w:hAnsiTheme="minorEastAsia" w:eastAsiaTheme="minorEastAsia" w:cstheme="minorEastAsia"/>
          <w:sz w:val="21"/>
          <w:szCs w:val="21"/>
        </w:rPr>
        <w:t>3、</w:t>
      </w:r>
      <w:r>
        <w:rPr>
          <w:rStyle w:val="53"/>
          <w:rFonts w:hint="eastAsia" w:asciiTheme="minorEastAsia" w:hAnsiTheme="minorEastAsia" w:eastAsiaTheme="minorEastAsia" w:cstheme="minorEastAsia"/>
          <w:sz w:val="21"/>
          <w:szCs w:val="21"/>
          <w:lang w:val="zh-CN"/>
        </w:rPr>
        <w:t>除卖方</w:t>
      </w:r>
      <w:r>
        <w:rPr>
          <w:rStyle w:val="53"/>
          <w:rFonts w:hint="eastAsia" w:asciiTheme="minorEastAsia" w:hAnsiTheme="minorEastAsia" w:eastAsiaTheme="minorEastAsia" w:cstheme="minorEastAsia"/>
          <w:sz w:val="21"/>
          <w:szCs w:val="21"/>
          <w:lang w:val="en-US"/>
        </w:rPr>
        <w:t>另有书面申请</w:t>
      </w:r>
      <w:r>
        <w:rPr>
          <w:rStyle w:val="53"/>
          <w:rFonts w:hint="eastAsia" w:asciiTheme="minorEastAsia" w:hAnsiTheme="minorEastAsia" w:eastAsiaTheme="minorEastAsia" w:cstheme="minorEastAsia"/>
          <w:sz w:val="21"/>
          <w:szCs w:val="21"/>
          <w:lang w:val="zh-CN"/>
        </w:rPr>
        <w:t>，买方应将所有款项汇入以下指定帐号，否则视为买方未支付货款。</w:t>
      </w:r>
    </w:p>
    <w:p w14:paraId="7A34F690">
      <w:pPr>
        <w:widowControl/>
        <w:spacing w:line="360" w:lineRule="auto"/>
        <w:ind w:firstLine="420" w:firstLineChars="200"/>
        <w:textAlignment w:val="baseline"/>
        <w:rPr>
          <w:rStyle w:val="53"/>
          <w:rFonts w:hint="eastAsia" w:asciiTheme="minorEastAsia" w:hAnsiTheme="minorEastAsia" w:eastAsiaTheme="minorEastAsia" w:cstheme="minorEastAsia"/>
          <w:sz w:val="21"/>
          <w:szCs w:val="21"/>
          <w:lang w:val="zh-CN" w:eastAsia="zh-CN"/>
        </w:rPr>
      </w:pPr>
      <w:r>
        <w:rPr>
          <w:rStyle w:val="53"/>
          <w:rFonts w:hint="eastAsia" w:asciiTheme="minorEastAsia" w:hAnsiTheme="minorEastAsia" w:eastAsiaTheme="minorEastAsia" w:cstheme="minorEastAsia"/>
          <w:sz w:val="21"/>
          <w:szCs w:val="21"/>
          <w:lang w:val="en-US" w:eastAsia="zh-CN"/>
        </w:rPr>
        <w:t>4、卖方指定收款账户如下：</w:t>
      </w:r>
    </w:p>
    <w:p w14:paraId="784B6D65">
      <w:pPr>
        <w:spacing w:line="360" w:lineRule="auto"/>
        <w:ind w:firstLine="105" w:firstLineChars="50"/>
        <w:textAlignment w:val="baseline"/>
        <w:rPr>
          <w:rStyle w:val="53"/>
          <w:rFonts w:hint="eastAsia" w:asciiTheme="minorEastAsia" w:hAnsiTheme="minorEastAsia" w:eastAsiaTheme="minorEastAsia" w:cstheme="minorEastAsia"/>
          <w:b/>
          <w:bCs/>
          <w:color w:val="000000"/>
          <w:sz w:val="21"/>
          <w:szCs w:val="21"/>
        </w:rPr>
      </w:pPr>
      <w:r>
        <w:rPr>
          <w:rStyle w:val="53"/>
          <w:rFonts w:hint="eastAsia" w:asciiTheme="minorEastAsia" w:hAnsiTheme="minorEastAsia" w:eastAsiaTheme="minorEastAsia" w:cstheme="minorEastAsia"/>
          <w:b/>
          <w:bCs/>
          <w:color w:val="000000"/>
          <w:sz w:val="21"/>
          <w:szCs w:val="21"/>
        </w:rPr>
        <w:t>开户名称：</w:t>
      </w:r>
      <w:r>
        <w:rPr>
          <w:rStyle w:val="53"/>
          <w:rFonts w:hint="eastAsia" w:asciiTheme="minorEastAsia" w:hAnsiTheme="minorEastAsia" w:eastAsiaTheme="minorEastAsia" w:cstheme="minorEastAsia"/>
          <w:color w:val="000000"/>
          <w:sz w:val="21"/>
          <w:szCs w:val="21"/>
          <w:u w:val="single"/>
        </w:rPr>
        <w:t xml:space="preserve"> </w:t>
      </w:r>
      <w:r>
        <w:rPr>
          <w:rFonts w:hint="eastAsia" w:asciiTheme="minorEastAsia" w:hAnsiTheme="minorEastAsia" w:eastAsiaTheme="minorEastAsia" w:cstheme="minorEastAsia"/>
          <w:kern w:val="0"/>
          <w:sz w:val="21"/>
          <w:szCs w:val="21"/>
          <w:u w:val="single"/>
          <w:lang w:val="en-US" w:eastAsia="zh-CN"/>
        </w:rPr>
        <w:t xml:space="preserve">                             </w:t>
      </w:r>
      <w:r>
        <w:rPr>
          <w:rStyle w:val="53"/>
          <w:rFonts w:hint="eastAsia" w:asciiTheme="minorEastAsia" w:hAnsiTheme="minorEastAsia" w:eastAsiaTheme="minorEastAsia" w:cstheme="minorEastAsia"/>
          <w:b/>
          <w:bCs/>
          <w:color w:val="000000"/>
          <w:sz w:val="21"/>
          <w:szCs w:val="21"/>
        </w:rPr>
        <w:t xml:space="preserve">    </w:t>
      </w:r>
    </w:p>
    <w:p w14:paraId="09787A4A">
      <w:pPr>
        <w:spacing w:line="360" w:lineRule="auto"/>
        <w:ind w:firstLine="105" w:firstLineChars="50"/>
        <w:textAlignment w:val="baseline"/>
        <w:rPr>
          <w:rStyle w:val="53"/>
          <w:rFonts w:hint="eastAsia" w:asciiTheme="minorEastAsia" w:hAnsiTheme="minorEastAsia" w:eastAsiaTheme="minorEastAsia" w:cstheme="minorEastAsia"/>
          <w:b/>
          <w:bCs/>
          <w:color w:val="000000"/>
          <w:sz w:val="21"/>
          <w:szCs w:val="21"/>
          <w:u w:val="single"/>
          <w:lang w:val="en-US"/>
        </w:rPr>
      </w:pPr>
      <w:r>
        <w:rPr>
          <w:rStyle w:val="53"/>
          <w:rFonts w:hint="eastAsia" w:asciiTheme="minorEastAsia" w:hAnsiTheme="minorEastAsia" w:eastAsiaTheme="minorEastAsia" w:cstheme="minorEastAsia"/>
          <w:b/>
          <w:bCs/>
          <w:color w:val="000000"/>
          <w:sz w:val="21"/>
          <w:szCs w:val="21"/>
        </w:rPr>
        <w:t>开户银行：</w:t>
      </w:r>
      <w:r>
        <w:rPr>
          <w:rStyle w:val="53"/>
          <w:rFonts w:hint="eastAsia" w:asciiTheme="minorEastAsia" w:hAnsiTheme="minorEastAsia" w:eastAsiaTheme="minorEastAsia" w:cstheme="minorEastAsia"/>
          <w:color w:val="000000"/>
          <w:sz w:val="21"/>
          <w:szCs w:val="21"/>
          <w:u w:val="single"/>
        </w:rPr>
        <w:t xml:space="preserve"> </w:t>
      </w:r>
      <w:r>
        <w:rPr>
          <w:rStyle w:val="53"/>
          <w:rFonts w:hint="eastAsia" w:asciiTheme="minorEastAsia" w:hAnsiTheme="minorEastAsia" w:eastAsiaTheme="minorEastAsia" w:cstheme="minorEastAsia"/>
          <w:color w:val="000000"/>
          <w:sz w:val="21"/>
          <w:szCs w:val="21"/>
          <w:u w:val="single"/>
          <w:lang w:val="en-US"/>
        </w:rPr>
        <w:t xml:space="preserve">                </w:t>
      </w:r>
      <w:r>
        <w:rPr>
          <w:rStyle w:val="53"/>
          <w:rFonts w:hint="eastAsia" w:asciiTheme="minorEastAsia" w:hAnsiTheme="minorEastAsia" w:eastAsiaTheme="minorEastAsia" w:cstheme="minorEastAsia"/>
          <w:b/>
          <w:bCs/>
          <w:color w:val="000000"/>
          <w:sz w:val="21"/>
          <w:szCs w:val="21"/>
        </w:rPr>
        <w:t>账    号：</w:t>
      </w:r>
      <w:r>
        <w:rPr>
          <w:rStyle w:val="53"/>
          <w:rFonts w:hint="eastAsia" w:asciiTheme="minorEastAsia" w:hAnsiTheme="minorEastAsia" w:eastAsiaTheme="minorEastAsia" w:cstheme="minorEastAsia"/>
          <w:color w:val="000000"/>
          <w:sz w:val="21"/>
          <w:szCs w:val="21"/>
          <w:u w:val="single"/>
          <w:lang w:val="en-US"/>
        </w:rPr>
        <w:t xml:space="preserve">                </w:t>
      </w:r>
    </w:p>
    <w:p w14:paraId="2204E9C4">
      <w:pPr>
        <w:spacing w:line="360" w:lineRule="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四</w:t>
      </w:r>
      <w:r>
        <w:rPr>
          <w:rFonts w:hint="eastAsia" w:asciiTheme="minorEastAsia" w:hAnsiTheme="minorEastAsia" w:eastAsiaTheme="minorEastAsia" w:cstheme="minorEastAsia"/>
          <w:b/>
          <w:sz w:val="21"/>
          <w:szCs w:val="21"/>
        </w:rPr>
        <w:t>、交货方式和交货地点</w:t>
      </w:r>
    </w:p>
    <w:p w14:paraId="3257C91B">
      <w:pPr>
        <w:spacing w:line="360" w:lineRule="auto"/>
        <w:ind w:firstLine="420" w:firstLineChars="200"/>
        <w:rPr>
          <w:rFonts w:hint="eastAsia" w:asciiTheme="minorEastAsia" w:hAnsiTheme="minorEastAsia" w:eastAsiaTheme="minorEastAsia" w:cstheme="minorEastAsia"/>
          <w:bCs/>
          <w:sz w:val="21"/>
          <w:szCs w:val="21"/>
          <w:lang w:val="zh-CN"/>
        </w:rPr>
      </w:pPr>
      <w:r>
        <w:rPr>
          <w:rFonts w:hint="eastAsia" w:asciiTheme="minorEastAsia" w:hAnsiTheme="minorEastAsia" w:eastAsiaTheme="minorEastAsia" w:cstheme="minorEastAsia"/>
          <w:bCs/>
          <w:sz w:val="21"/>
          <w:szCs w:val="21"/>
          <w:lang w:val="zh-CN"/>
        </w:rPr>
        <w:t>1、</w:t>
      </w:r>
      <w:r>
        <w:rPr>
          <w:rFonts w:hint="eastAsia" w:asciiTheme="minorEastAsia" w:hAnsiTheme="minorEastAsia" w:eastAsiaTheme="minorEastAsia" w:cstheme="minorEastAsia"/>
          <w:bCs/>
          <w:sz w:val="21"/>
          <w:szCs w:val="21"/>
        </w:rPr>
        <w:t>卖方于</w:t>
      </w:r>
      <w:r>
        <w:rPr>
          <w:rFonts w:hint="eastAsia" w:asciiTheme="minorEastAsia" w:hAnsiTheme="minorEastAsia" w:eastAsiaTheme="minorEastAsia" w:cstheme="minorEastAsia"/>
          <w:bCs/>
          <w:sz w:val="21"/>
          <w:szCs w:val="21"/>
          <w:lang w:eastAsia="zh-CN"/>
        </w:rPr>
        <w:t>接到医院通知且场地符合条件后</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bCs/>
          <w:color w:val="000000"/>
          <w:sz w:val="21"/>
          <w:szCs w:val="21"/>
          <w:u w:val="single"/>
          <w:lang w:val="en-US" w:eastAsia="zh-CN"/>
        </w:rPr>
        <w:t xml:space="preserve">   </w:t>
      </w:r>
      <w:r>
        <w:rPr>
          <w:rFonts w:hint="eastAsia" w:asciiTheme="minorEastAsia" w:hAnsiTheme="minorEastAsia" w:eastAsiaTheme="minorEastAsia" w:cstheme="minorEastAsia"/>
          <w:bCs/>
          <w:sz w:val="21"/>
          <w:szCs w:val="21"/>
        </w:rPr>
        <w:t>日</w:t>
      </w:r>
      <w:r>
        <w:rPr>
          <w:rFonts w:hint="eastAsia" w:asciiTheme="minorEastAsia" w:hAnsiTheme="minorEastAsia" w:eastAsiaTheme="minorEastAsia" w:cstheme="minorEastAsia"/>
          <w:bCs/>
          <w:sz w:val="21"/>
          <w:szCs w:val="21"/>
          <w:lang w:val="zh-CN"/>
        </w:rPr>
        <w:t>内交货(如有特殊情况，以买方通知送货时间为准)。</w:t>
      </w:r>
      <w:r>
        <w:rPr>
          <w:rFonts w:hint="eastAsia" w:asciiTheme="minorEastAsia" w:hAnsiTheme="minorEastAsia" w:eastAsiaTheme="minorEastAsia" w:cstheme="minorEastAsia"/>
          <w:bCs/>
          <w:sz w:val="21"/>
          <w:szCs w:val="21"/>
        </w:rPr>
        <w:t>卖方</w:t>
      </w:r>
      <w:r>
        <w:rPr>
          <w:rFonts w:hint="eastAsia" w:asciiTheme="minorEastAsia" w:hAnsiTheme="minorEastAsia" w:eastAsiaTheme="minorEastAsia" w:cstheme="minorEastAsia"/>
          <w:bCs/>
          <w:sz w:val="21"/>
          <w:szCs w:val="21"/>
          <w:lang w:val="zh-CN"/>
        </w:rPr>
        <w:t>完成产品安装、调试等工作，并经买方验收合格后视为</w:t>
      </w:r>
      <w:r>
        <w:rPr>
          <w:rFonts w:hint="eastAsia" w:asciiTheme="minorEastAsia" w:hAnsiTheme="minorEastAsia" w:eastAsiaTheme="minorEastAsia" w:cstheme="minorEastAsia"/>
          <w:bCs/>
          <w:sz w:val="21"/>
          <w:szCs w:val="21"/>
        </w:rPr>
        <w:t>卖方</w:t>
      </w:r>
      <w:r>
        <w:rPr>
          <w:rFonts w:hint="eastAsia" w:asciiTheme="minorEastAsia" w:hAnsiTheme="minorEastAsia" w:eastAsiaTheme="minorEastAsia" w:cstheme="minorEastAsia"/>
          <w:bCs/>
          <w:sz w:val="21"/>
          <w:szCs w:val="21"/>
          <w:lang w:val="zh-CN"/>
        </w:rPr>
        <w:t>交货。</w:t>
      </w:r>
    </w:p>
    <w:p w14:paraId="7B946B1D">
      <w:pPr>
        <w:spacing w:line="360" w:lineRule="auto"/>
        <w:ind w:firstLine="420" w:firstLineChars="200"/>
        <w:rPr>
          <w:rFonts w:hint="eastAsia" w:asciiTheme="minorEastAsia" w:hAnsiTheme="minorEastAsia" w:eastAsiaTheme="minorEastAsia" w:cstheme="minorEastAsia"/>
          <w:bCs/>
          <w:sz w:val="21"/>
          <w:szCs w:val="21"/>
          <w:lang w:val="zh-CN"/>
        </w:rPr>
      </w:pPr>
      <w:r>
        <w:rPr>
          <w:rFonts w:hint="eastAsia" w:asciiTheme="minorEastAsia" w:hAnsiTheme="minorEastAsia" w:eastAsiaTheme="minorEastAsia" w:cstheme="minorEastAsia"/>
          <w:bCs/>
          <w:sz w:val="21"/>
          <w:szCs w:val="21"/>
          <w:lang w:val="zh-CN"/>
        </w:rPr>
        <w:t>2、交货地点:</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bCs/>
          <w:sz w:val="21"/>
          <w:szCs w:val="21"/>
          <w:u w:val="single"/>
          <w:lang w:val="en-US"/>
        </w:rPr>
        <w:t>买方指定地点</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bCs/>
          <w:sz w:val="21"/>
          <w:szCs w:val="21"/>
          <w:lang w:val="zh-CN"/>
        </w:rPr>
        <w:t>。设备的运费及装卸费用由</w:t>
      </w:r>
      <w:r>
        <w:rPr>
          <w:rFonts w:hint="eastAsia" w:asciiTheme="minorEastAsia" w:hAnsiTheme="minorEastAsia" w:eastAsiaTheme="minorEastAsia" w:cstheme="minorEastAsia"/>
          <w:bCs/>
          <w:sz w:val="21"/>
          <w:szCs w:val="21"/>
        </w:rPr>
        <w:t>卖方</w:t>
      </w:r>
      <w:r>
        <w:rPr>
          <w:rFonts w:hint="eastAsia" w:asciiTheme="minorEastAsia" w:hAnsiTheme="minorEastAsia" w:eastAsiaTheme="minorEastAsia" w:cstheme="minorEastAsia"/>
          <w:bCs/>
          <w:sz w:val="21"/>
          <w:szCs w:val="21"/>
          <w:lang w:val="zh-CN"/>
        </w:rPr>
        <w:t>承担。</w:t>
      </w:r>
    </w:p>
    <w:p w14:paraId="50FB17D2">
      <w:pPr>
        <w:spacing w:line="360" w:lineRule="auto"/>
        <w:ind w:left="700" w:hanging="7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五</w:t>
      </w:r>
      <w:r>
        <w:rPr>
          <w:rFonts w:hint="eastAsia" w:asciiTheme="minorEastAsia" w:hAnsiTheme="minorEastAsia" w:eastAsiaTheme="minorEastAsia" w:cstheme="minorEastAsia"/>
          <w:b/>
          <w:bCs/>
          <w:sz w:val="21"/>
          <w:szCs w:val="21"/>
        </w:rPr>
        <w:t>、安装调试与培训及验收方式</w:t>
      </w:r>
    </w:p>
    <w:p w14:paraId="138180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481" w:name="_Hlk121826345"/>
      <w:r>
        <w:rPr>
          <w:rFonts w:hint="eastAsia" w:ascii="宋体" w:hAnsi="宋体" w:eastAsia="宋体" w:cs="宋体"/>
          <w:sz w:val="21"/>
          <w:szCs w:val="21"/>
        </w:rPr>
        <w:t>1.初步验收</w:t>
      </w:r>
    </w:p>
    <w:p w14:paraId="16389D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1.1乙方交付的产品应当符合本合同第二条约定的质量标准；除上述标准外，乙方在向甲方交货时一并提供该批次产品的质量合格证明文件。</w:t>
      </w:r>
    </w:p>
    <w:p w14:paraId="6F6B77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1.2本合同项下设备由乙方运至甲方交货地点后，甲方与乙方代表人员现场共同依据采购合同和货物装箱清单进行到货的初步验收。在核对包装箱数量无误及外包装无损伤后，开箱查验设备和配套附件的数量、外观、标签标识等，甲、乙双方确认无误且经甲方同意后，乙方开始就位、安装。若装箱数量与装箱清单不符或设备有损坏，乙方应在20日内补足和更换。</w:t>
      </w:r>
    </w:p>
    <w:bookmarkEnd w:id="481"/>
    <w:p w14:paraId="2BE80D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2.乙方在接到甲方的安装、调试通知后，按本合同约定的期限将设备安装、调试完毕。</w:t>
      </w:r>
    </w:p>
    <w:p w14:paraId="50B0CC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3.经安装调试，设备运行正常，乙方提出验收申请后，甲方于5个工作日内组织正式验收。经甲方验收验证，设备的功能、性能、配置要求符合本合同以及临床诊疗的要求</w:t>
      </w:r>
      <w:bookmarkStart w:id="482" w:name="_Hlk121826390"/>
      <w:r>
        <w:rPr>
          <w:rFonts w:hint="eastAsia" w:ascii="宋体" w:hAnsi="宋体" w:eastAsia="宋体" w:cs="宋体"/>
          <w:sz w:val="21"/>
          <w:szCs w:val="21"/>
        </w:rPr>
        <w:t>，甲方出具验收合格的书面文件，</w:t>
      </w:r>
      <w:bookmarkEnd w:id="482"/>
      <w:r>
        <w:rPr>
          <w:rFonts w:hint="eastAsia" w:ascii="宋体" w:hAnsi="宋体" w:eastAsia="宋体" w:cs="宋体"/>
          <w:sz w:val="21"/>
          <w:szCs w:val="21"/>
        </w:rPr>
        <w:t>方为正式验收合格。</w:t>
      </w:r>
    </w:p>
    <w:p w14:paraId="465692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4.若乙方安装设备需要向相关行政机关办理审批、验收等手续的，由乙方负责办理并承担费用，且由相关行政机关审批、验收通过并经甲方最终验收合格后，方为最终验收合格。</w:t>
      </w:r>
    </w:p>
    <w:p w14:paraId="632D2B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如果乙方提供的产品不能通过验收，甲方有权选择要求乙方整改，乙方应当于收到甲方通知后20日内免费整改完毕并承担逾期交付的违约责任。甲方亦有权退货和解除本合同，乙方负责无条件退货并自行将设备运回，相关费用由乙方自行承担，同时乙方需按合同签约总价款的10%向甲方支付违约金，并赔偿因此给甲方造成的损失赔偿责任。</w:t>
      </w:r>
    </w:p>
    <w:p w14:paraId="767370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6.如由于乙方设备质量原因导致设备在安装、调试、使用过程中造成人身或财产损害，由乙方承担全部损害赔偿责任，甲方事先对外承担责任的，甲方有权向乙方全额追偿。</w:t>
      </w:r>
    </w:p>
    <w:p w14:paraId="51D9DFB0">
      <w:pPr>
        <w:spacing w:line="360" w:lineRule="auto"/>
        <w:rPr>
          <w:rFonts w:hint="eastAsia" w:ascii="宋体" w:hAnsi="宋体" w:eastAsia="宋体" w:cs="宋体"/>
          <w:sz w:val="21"/>
          <w:szCs w:val="21"/>
        </w:rPr>
      </w:pPr>
      <w:r>
        <w:rPr>
          <w:rFonts w:hint="eastAsia" w:ascii="宋体" w:hAnsi="宋体" w:eastAsia="宋体" w:cs="宋体"/>
          <w:sz w:val="21"/>
          <w:szCs w:val="21"/>
        </w:rPr>
        <w:t>7.甲方对产品进行的初步验收、正式验收，均不视为甲方对乙方所提供产品质量的认可，并不能减轻或免除乙方对所供货物应承担的任何质量责任或违约责任。</w:t>
      </w:r>
    </w:p>
    <w:p w14:paraId="5590DBE4">
      <w:pPr>
        <w:spacing w:line="360" w:lineRule="auto"/>
        <w:rPr>
          <w:rFonts w:hint="eastAsia" w:asciiTheme="minorEastAsia" w:hAnsiTheme="minorEastAsia" w:eastAsiaTheme="minorEastAsia" w:cstheme="minorEastAsia"/>
          <w:b/>
          <w:bCs/>
          <w:sz w:val="21"/>
          <w:szCs w:val="21"/>
          <w:lang w:val="zh-CN"/>
        </w:rPr>
      </w:pPr>
      <w:r>
        <w:rPr>
          <w:rFonts w:hint="eastAsia" w:asciiTheme="minorEastAsia" w:hAnsiTheme="minorEastAsia" w:eastAsiaTheme="minorEastAsia" w:cstheme="minorEastAsia"/>
          <w:b/>
          <w:bCs/>
          <w:sz w:val="21"/>
          <w:szCs w:val="21"/>
          <w:lang w:val="en-US" w:eastAsia="zh-CN"/>
        </w:rPr>
        <w:t>六</w:t>
      </w:r>
      <w:r>
        <w:rPr>
          <w:rFonts w:hint="eastAsia" w:asciiTheme="minorEastAsia" w:hAnsiTheme="minorEastAsia" w:eastAsiaTheme="minorEastAsia" w:cstheme="minorEastAsia"/>
          <w:b/>
          <w:bCs/>
          <w:sz w:val="21"/>
          <w:szCs w:val="21"/>
          <w:lang w:val="zh-CN"/>
        </w:rPr>
        <w:t>、产品的质量要求</w:t>
      </w:r>
    </w:p>
    <w:p w14:paraId="207BD6F3">
      <w:pPr>
        <w:numPr>
          <w:ilvl w:val="0"/>
          <w:numId w:val="0"/>
        </w:numPr>
        <w:spacing w:line="360" w:lineRule="auto"/>
        <w:ind w:firstLine="420" w:firstLineChars="20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本合同产品的质量必须符合国家、行业相关标准及产品技术要求，同时需符合本合同约定标准或甲方要求。乙方安装的质量标准应当符合国家、行业或地方的规范标准和操作规程，同时还应符合厂家的安装要求。</w:t>
      </w:r>
    </w:p>
    <w:p w14:paraId="7CD156BB">
      <w:pPr>
        <w:numPr>
          <w:ilvl w:val="0"/>
          <w:numId w:val="0"/>
        </w:numPr>
        <w:spacing w:line="360" w:lineRule="auto"/>
        <w:ind w:firstLine="420" w:firstLineChars="20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乙方应保证合同项下所供货物是本合同约定的品牌原厂生产、包装、全新、无瑕疵、未使用过的产品，并提供该产品的合格证明文件。乙方进一步保证，合同项下提供的全部货物没有设计、材料或工艺上的缺陷，并且没有因乙方的故意或疏忽而产生的缺陷，这些缺陷是所供货物在国家现行条件下正常使用可能对甲方（包括第三方）及其财产产生实际或者潜在危害后果的。</w:t>
      </w:r>
    </w:p>
    <w:p w14:paraId="78802470">
      <w:pPr>
        <w:numPr>
          <w:ilvl w:val="0"/>
          <w:numId w:val="0"/>
        </w:numPr>
        <w:spacing w:line="360" w:lineRule="auto"/>
        <w:ind w:firstLine="420" w:firstLineChars="20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3.乙方须提供该产品的合格证明文件，进口产品还须提供报关和商检证明材料，其配置应完全符合本合同约定要求，其质量标准不低于投标（响应）文件所承诺的标准。</w:t>
      </w:r>
    </w:p>
    <w:p w14:paraId="5492DC21">
      <w:pPr>
        <w:numPr>
          <w:ilvl w:val="0"/>
          <w:numId w:val="0"/>
        </w:numPr>
        <w:spacing w:line="360" w:lineRule="auto"/>
        <w:ind w:firstLine="420" w:firstLineChars="20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4.乙方对本合同约定的质保期</w:t>
      </w:r>
      <w:r>
        <w:rPr>
          <w:rFonts w:hint="eastAsia" w:asciiTheme="minorEastAsia" w:hAnsiTheme="minorEastAsia" w:eastAsiaTheme="minorEastAsia" w:cstheme="minorEastAsia"/>
          <w:sz w:val="21"/>
          <w:szCs w:val="21"/>
          <w:lang w:val="en-US" w:eastAsia="zh-CN"/>
        </w:rPr>
        <w:t>【】年</w:t>
      </w:r>
      <w:r>
        <w:rPr>
          <w:rFonts w:hint="eastAsia" w:asciiTheme="minorEastAsia" w:hAnsiTheme="minorEastAsia" w:eastAsiaTheme="minorEastAsia" w:cstheme="minorEastAsia"/>
          <w:sz w:val="21"/>
          <w:szCs w:val="21"/>
        </w:rPr>
        <w:t>（质保证明须由生产企业或其在国内的一级代理企业出具）。质保时间自设备安装调试完成交付甲方并经甲方正式验收合格之日起计算。如产品使用说明书中约定的质量责任保证期限长于上述免费保修期限的，按照该产品的使用说明书中声明的质量责任保证期限为准。</w:t>
      </w:r>
    </w:p>
    <w:p w14:paraId="5A49528A">
      <w:pPr>
        <w:spacing w:line="360" w:lineRule="auto"/>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lang w:val="zh-CN"/>
        </w:rPr>
        <w:t>、卖方的售后服务电话为：</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zh-CN"/>
        </w:rPr>
        <w:t>。</w:t>
      </w:r>
    </w:p>
    <w:p w14:paraId="5AF32481">
      <w:pPr>
        <w:spacing w:line="360" w:lineRule="auto"/>
        <w:ind w:left="472" w:hanging="413" w:hangingChars="196"/>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七、售后服务</w:t>
      </w:r>
    </w:p>
    <w:p w14:paraId="76B178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483" w:name="_Hlk129451527"/>
      <w:r>
        <w:rPr>
          <w:rFonts w:hint="eastAsia" w:ascii="宋体" w:hAnsi="宋体" w:eastAsia="宋体" w:cs="宋体"/>
          <w:sz w:val="21"/>
          <w:szCs w:val="21"/>
        </w:rPr>
        <w:t>1.乙方负责对本合同项下设备进行终身维护维修服务：</w:t>
      </w:r>
    </w:p>
    <w:p w14:paraId="09577C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u w:val="single"/>
        </w:rPr>
        <w:t>乙方负责免费对所供产品每6个月进行一次维护保养服务，并向甲方提供维护保养报告；</w:t>
      </w:r>
      <w:r>
        <w:rPr>
          <w:rFonts w:hint="eastAsia" w:ascii="宋体" w:hAnsi="宋体" w:eastAsia="宋体" w:cs="宋体"/>
          <w:sz w:val="21"/>
          <w:szCs w:val="21"/>
        </w:rPr>
        <w:t>维护保养服务包括对设备进行清洁、性能测试及校准、必要的机械或电气检查、以及按产品说明书要求保证设备正常运行的其它维护维修。</w:t>
      </w:r>
    </w:p>
    <w:p w14:paraId="716FE7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（2）对甲方电话或传真咨询系统等通报的使用中的各种问题，乙方应及时进行回复处理，力争电话或其它通信方式解决，最迟答复时间不超过2小时，若需到现场处理，乙方应在24小时内到达甲方现场，</w:t>
      </w:r>
      <w:bookmarkStart w:id="484" w:name="_Hlk121826425"/>
      <w:r>
        <w:rPr>
          <w:rFonts w:hint="eastAsia" w:ascii="宋体" w:hAnsi="宋体" w:eastAsia="宋体" w:cs="宋体"/>
          <w:sz w:val="21"/>
          <w:szCs w:val="21"/>
        </w:rPr>
        <w:t>并在48小时内修复故障</w:t>
      </w:r>
      <w:bookmarkEnd w:id="484"/>
      <w:r>
        <w:rPr>
          <w:rFonts w:hint="eastAsia" w:ascii="宋体" w:hAnsi="宋体" w:eastAsia="宋体" w:cs="宋体"/>
          <w:sz w:val="21"/>
          <w:szCs w:val="21"/>
        </w:rPr>
        <w:t>；如在</w:t>
      </w:r>
      <w:r>
        <w:rPr>
          <w:rFonts w:hint="eastAsia" w:ascii="宋体" w:hAnsi="宋体" w:eastAsia="宋体" w:cs="宋体"/>
          <w:sz w:val="21"/>
          <w:szCs w:val="21"/>
          <w:lang w:val="en-US" w:eastAsia="zh-CN"/>
        </w:rPr>
        <w:t>2</w:t>
      </w:r>
      <w:r>
        <w:rPr>
          <w:rFonts w:hint="eastAsia" w:ascii="宋体" w:hAnsi="宋体" w:eastAsia="宋体" w:cs="宋体"/>
          <w:sz w:val="21"/>
          <w:szCs w:val="21"/>
        </w:rPr>
        <w:t>个工作日无法修复的，乙方应向甲方提供并安装备用设备和配件，以保证甲方正常使用。</w:t>
      </w:r>
    </w:p>
    <w:p w14:paraId="231A2C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u w:val="single"/>
          <w:lang w:eastAsia="zh-CN"/>
        </w:rPr>
      </w:pPr>
      <w:r>
        <w:rPr>
          <w:rFonts w:hint="eastAsia" w:ascii="宋体" w:hAnsi="宋体" w:eastAsia="宋体" w:cs="宋体"/>
          <w:sz w:val="21"/>
          <w:szCs w:val="21"/>
        </w:rPr>
        <w:t>（3）质保期内，若乙方在规定的时间内不履行维护维修义务，甲方有权聘请第三方相关维修人员对设备进行维护维修，并有权向乙方追偿因此产生的全部费用，乙方质保/保修责任不发生转移，所产生的费用由乙方承担，乙方同意认可甲方自行处理或者委托第三方处理的费用有可能会高于乙方自行处理费用</w:t>
      </w:r>
      <w:r>
        <w:rPr>
          <w:rFonts w:hint="eastAsia" w:ascii="宋体" w:hAnsi="宋体" w:eastAsia="宋体" w:cs="宋体"/>
          <w:sz w:val="21"/>
          <w:szCs w:val="21"/>
          <w:u w:val="none"/>
          <w:lang w:eastAsia="zh-CN"/>
        </w:rPr>
        <w:t>。</w:t>
      </w:r>
    </w:p>
    <w:p w14:paraId="3937B6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u w:val="single"/>
          <w:lang w:val="en-US" w:eastAsia="zh-CN"/>
        </w:rPr>
        <w:t>4</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u w:val="single"/>
        </w:rPr>
        <w:t>必须为甲方提供原厂全新备件及保养耗材、保障整机性能完好，一旦发现更换的非原厂全新零备件，</w:t>
      </w:r>
      <w:r>
        <w:rPr>
          <w:rFonts w:hint="eastAsia" w:ascii="宋体" w:hAnsi="宋体" w:eastAsia="宋体" w:cs="宋体"/>
          <w:color w:val="auto"/>
          <w:sz w:val="21"/>
          <w:szCs w:val="21"/>
          <w:u w:val="single"/>
          <w:lang w:val="en-US" w:eastAsia="zh-CN"/>
        </w:rPr>
        <w:t>需立即更</w:t>
      </w:r>
      <w:r>
        <w:rPr>
          <w:rFonts w:hint="eastAsia" w:ascii="宋体" w:hAnsi="宋体" w:eastAsia="宋体" w:cs="宋体"/>
          <w:color w:val="auto"/>
          <w:sz w:val="21"/>
          <w:szCs w:val="21"/>
          <w:u w:val="single"/>
        </w:rPr>
        <w:t>换为原厂全新零备件</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u w:val="single"/>
        </w:rPr>
        <w:t>并需继续履行保修义务。</w:t>
      </w:r>
    </w:p>
    <w:p w14:paraId="484B3C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乙方负责免费对甲方系统操作人员进行培训，保证甲方人员掌握设备的使用和保养。乙方应对甲方操作及维修人员进行包括工作原理、主要部件、使用注意事项、维护、操作要领等知识和技术培训，并提供相关技术资料和维修手册等。培训的内容、时间、地点、人员等由甲方确定。</w:t>
      </w:r>
    </w:p>
    <w:p w14:paraId="7A64E2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3.乙方应保证经维修后的设备技术和安全指标必须符合该设备经审批备案的产品技术要求。</w:t>
      </w:r>
    </w:p>
    <w:p w14:paraId="225DD5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4.质保期内，因产品质量问题导致设备维修次数累计超过三次或不能正常使用时间累计超过60天，乙方须无条件免费将该设备更换为同品牌同类型同功能的新设备。</w:t>
      </w:r>
    </w:p>
    <w:p w14:paraId="1DDC0D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5.质保期届满后，乙方上门服务仅收取零配件成本费用。</w:t>
      </w:r>
    </w:p>
    <w:bookmarkEnd w:id="483"/>
    <w:p w14:paraId="089E68D0">
      <w:pPr>
        <w:spacing w:line="360" w:lineRule="auto"/>
        <w:ind w:left="472" w:hanging="413" w:hangingChars="196"/>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八、违约责任</w:t>
      </w:r>
    </w:p>
    <w:p w14:paraId="2B956C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bookmarkStart w:id="485" w:name="_Hlk121839376"/>
      <w:r>
        <w:rPr>
          <w:rFonts w:hint="eastAsia" w:ascii="宋体" w:hAnsi="宋体" w:eastAsia="宋体" w:cs="宋体"/>
          <w:color w:val="auto"/>
          <w:sz w:val="21"/>
          <w:szCs w:val="21"/>
        </w:rPr>
        <w:t>1.本合同项下任何一方未能履行其在本合同中所订立之具体义务或承诺，所做出的声明、保证失实或严重有误，则该方应被视为违约；凡本合同相应条款对单项违约责任有约定的，从其约定。违约方承担违约责任后，除本合同被终止、撤销或者解除外，不免除违约方继续履行本合同的义务。</w:t>
      </w:r>
    </w:p>
    <w:p w14:paraId="0FEB58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如果乙方不存在本合同约定的违约行为，甲方应根据合同约定的付款方式和付款时间及时付款，如不能按合同约定期限付款，每逾期一日，应按照应付未付款项为基数以全国银行间同业拆借中心公布的一年期LPR为标准承担违约金，违约金最高不超过本合同总价款的5%。</w:t>
      </w:r>
    </w:p>
    <w:bookmarkEnd w:id="485"/>
    <w:p w14:paraId="0E6FAC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乙方应根据合同约定的交货期限按时交货或安装调试完成并通过甲方验收，如不能按合同约定交货或安装调试完成的：每逾期一日，向甲方支付本合同总价款的0.4‰的违约金；逾期满20日，甲方有权选择退货并解除本合同，乙方除应退还甲方已经支付的全部货款外，还应按合同总价款的10%向甲方支付违约金。</w:t>
      </w:r>
    </w:p>
    <w:p w14:paraId="3F3805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bookmarkStart w:id="486" w:name="_Hlk121826866"/>
      <w:r>
        <w:rPr>
          <w:rFonts w:hint="eastAsia" w:ascii="宋体" w:hAnsi="宋体" w:eastAsia="宋体" w:cs="宋体"/>
          <w:color w:val="auto"/>
          <w:sz w:val="21"/>
          <w:szCs w:val="21"/>
        </w:rPr>
        <w:t>4.如乙方设备功能配置、质量、安装及售后等未达到本合同约定要求（包括但不限于生产厂家或品牌、规格型号、外观、产品资质、合格证明、功能配置、质量等）或乙方存在任何违反本合同的违约行为时，甲方有权选择解除本合同，乙方除应一次性退还甲方已经支付的货款外，还应按合同总价款的10%向甲方支付违约金，在乙方退清货款后自行将设备运回，相关费用由乙方自行承担。</w:t>
      </w:r>
    </w:p>
    <w:p w14:paraId="669ABD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u w:val="single"/>
          <w:lang w:val="en-US" w:eastAsia="zh-CN"/>
        </w:rPr>
      </w:pPr>
      <w:r>
        <w:rPr>
          <w:rFonts w:hint="eastAsia" w:ascii="宋体" w:hAnsi="宋体" w:eastAsia="宋体" w:cs="宋体"/>
          <w:color w:val="auto"/>
          <w:sz w:val="21"/>
          <w:szCs w:val="21"/>
          <w:u w:val="single"/>
          <w:lang w:val="en-US" w:eastAsia="zh-CN"/>
        </w:rPr>
        <w:t>5.若乙方未按合同约定提供维护维修义务或未按规定</w:t>
      </w:r>
      <w:r>
        <w:rPr>
          <w:rFonts w:hint="eastAsia" w:ascii="宋体" w:hAnsi="宋体" w:eastAsia="宋体" w:cs="宋体"/>
          <w:color w:val="auto"/>
          <w:sz w:val="21"/>
          <w:szCs w:val="21"/>
          <w:u w:val="single"/>
        </w:rPr>
        <w:t>提供原厂全新备件及保养耗材</w:t>
      </w:r>
      <w:r>
        <w:rPr>
          <w:rFonts w:hint="eastAsia" w:ascii="宋体" w:hAnsi="宋体" w:eastAsia="宋体" w:cs="宋体"/>
          <w:color w:val="auto"/>
          <w:sz w:val="21"/>
          <w:szCs w:val="21"/>
          <w:u w:val="single"/>
          <w:lang w:val="en-US" w:eastAsia="zh-CN"/>
        </w:rPr>
        <w:t>的，除应履行第六条第1款（3）和（4）的义务外，还应</w:t>
      </w:r>
      <w:r>
        <w:rPr>
          <w:rFonts w:hint="eastAsia" w:ascii="宋体" w:hAnsi="宋体" w:eastAsia="宋体" w:cs="宋体"/>
          <w:color w:val="auto"/>
          <w:sz w:val="21"/>
          <w:szCs w:val="21"/>
          <w:u w:val="single"/>
        </w:rPr>
        <w:t>按合同总价款的10%向甲方支付违约金。</w:t>
      </w:r>
    </w:p>
    <w:p w14:paraId="48E08E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.若本合同产品对甲方或第三方造成人身或财产损害的，乙方应承担全部赔偿责任。</w:t>
      </w:r>
    </w:p>
    <w:p w14:paraId="070212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本合同生效后，如任何一方违约，违约方除了承担违约金之外，还要承担守约方向违约方追究违约责任所支付的一切费用，包括但不限于律师费、诉讼费、保全费、公告费、诉讼责任保险费、鉴定费、差旅费等。</w:t>
      </w:r>
    </w:p>
    <w:bookmarkEnd w:id="486"/>
    <w:p w14:paraId="603B0D8A">
      <w:pPr>
        <w:spacing w:line="360" w:lineRule="auto"/>
        <w:ind w:left="472" w:hanging="413" w:hangingChars="196"/>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九</w:t>
      </w:r>
      <w:r>
        <w:rPr>
          <w:rFonts w:hint="eastAsia" w:asciiTheme="minorEastAsia" w:hAnsiTheme="minorEastAsia" w:eastAsiaTheme="minorEastAsia" w:cstheme="minorEastAsia"/>
          <w:b/>
          <w:sz w:val="21"/>
          <w:szCs w:val="21"/>
        </w:rPr>
        <w:t>、提出异议的时间和方法</w:t>
      </w:r>
    </w:p>
    <w:p w14:paraId="64AB07CB">
      <w:pPr>
        <w:spacing w:line="360" w:lineRule="auto"/>
        <w:ind w:firstLine="420" w:firstLineChars="200"/>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1、买方如发现货物的品种、型号、规格、质量不符合约定的，应在妥善保管货物的同时，自交货之日起一月内向卖方提出书面异议。</w:t>
      </w:r>
    </w:p>
    <w:p w14:paraId="6C83BB69">
      <w:pPr>
        <w:spacing w:line="360" w:lineRule="auto"/>
        <w:ind w:firstLine="420" w:firstLineChars="200"/>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2、卖方在接到买方书面异议后，应在24小时内作出处理并予以书面说明。</w:t>
      </w:r>
    </w:p>
    <w:p w14:paraId="33AF517A">
      <w:pPr>
        <w:spacing w:line="360" w:lineRule="auto"/>
        <w:ind w:firstLine="420" w:firstLineChars="200"/>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3、买方因违章操作、保管保养不善等自身因素造成质量问题的，不得提出异议。</w:t>
      </w:r>
    </w:p>
    <w:p w14:paraId="7AD8AF66">
      <w:pPr>
        <w:spacing w:line="360" w:lineRule="auto"/>
        <w:ind w:right="-161"/>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十</w:t>
      </w:r>
      <w:r>
        <w:rPr>
          <w:rFonts w:hint="eastAsia" w:asciiTheme="minorEastAsia" w:hAnsiTheme="minorEastAsia" w:eastAsiaTheme="minorEastAsia" w:cstheme="minorEastAsia"/>
          <w:b/>
          <w:sz w:val="21"/>
          <w:szCs w:val="21"/>
        </w:rPr>
        <w:t>、不可抗力</w:t>
      </w:r>
    </w:p>
    <w:p w14:paraId="7D166846">
      <w:pPr>
        <w:spacing w:line="360" w:lineRule="auto"/>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zh-CN"/>
        </w:rPr>
        <w:t>任何一方由于不可抗力原因无法履行合同时，应在不可抗力事件结束后1天内向对方通报，以减轻可能给对方造成的损失；在取得有关机构的不可抗力证明或双方谅解确认后，允许延期履行或修订合同，并视情况免于承担部分或全部的违约责任。</w:t>
      </w:r>
    </w:p>
    <w:p w14:paraId="63B364DD">
      <w:pPr>
        <w:spacing w:line="360" w:lineRule="auto"/>
        <w:ind w:right="-161"/>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十</w:t>
      </w:r>
      <w:r>
        <w:rPr>
          <w:rFonts w:hint="eastAsia" w:asciiTheme="minorEastAsia" w:hAnsiTheme="minorEastAsia" w:eastAsiaTheme="minorEastAsia" w:cstheme="minorEastAsia"/>
          <w:b/>
          <w:sz w:val="21"/>
          <w:szCs w:val="21"/>
          <w:lang w:val="en-US" w:eastAsia="zh-CN"/>
        </w:rPr>
        <w:t>一</w:t>
      </w:r>
      <w:r>
        <w:rPr>
          <w:rFonts w:hint="eastAsia" w:asciiTheme="minorEastAsia" w:hAnsiTheme="minorEastAsia" w:eastAsiaTheme="minorEastAsia" w:cstheme="minorEastAsia"/>
          <w:b/>
          <w:sz w:val="21"/>
          <w:szCs w:val="21"/>
        </w:rPr>
        <w:t>、争议的解决</w:t>
      </w:r>
    </w:p>
    <w:p w14:paraId="32BEE9EA">
      <w:pPr>
        <w:spacing w:line="360" w:lineRule="auto"/>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color w:val="0000FF"/>
          <w:sz w:val="21"/>
          <w:szCs w:val="21"/>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zh-CN"/>
        </w:rPr>
        <w:t>1、本合同签属地：开封市尉氏县。执行本合同发生争议，由买、卖双方协商解决。协商不成，双方任意一方有权向合同签署所在地人民法院提起诉讼。</w:t>
      </w:r>
    </w:p>
    <w:p w14:paraId="37F9A351">
      <w:pPr>
        <w:spacing w:line="360" w:lineRule="auto"/>
        <w:ind w:right="-161" w:firstLine="420" w:firstLineChars="200"/>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2、因货物质量问题发生的争议，统一质量技术监督局鉴定，其鉴定为最终鉴定。货物符合质量技术标准的，鉴定费由买方承担；货物不符合质量技术标准的，鉴定费由卖方承担。</w:t>
      </w:r>
    </w:p>
    <w:p w14:paraId="0C82F16A">
      <w:pPr>
        <w:spacing w:line="360" w:lineRule="auto"/>
        <w:ind w:right="-161"/>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十</w:t>
      </w:r>
      <w:r>
        <w:rPr>
          <w:rFonts w:hint="eastAsia" w:asciiTheme="minorEastAsia" w:hAnsiTheme="minorEastAsia" w:eastAsiaTheme="minorEastAsia" w:cstheme="minorEastAsia"/>
          <w:b/>
          <w:sz w:val="21"/>
          <w:szCs w:val="21"/>
          <w:lang w:val="en-US" w:eastAsia="zh-CN"/>
        </w:rPr>
        <w:t>二</w:t>
      </w:r>
      <w:r>
        <w:rPr>
          <w:rFonts w:hint="eastAsia" w:asciiTheme="minorEastAsia" w:hAnsiTheme="minorEastAsia" w:eastAsiaTheme="minorEastAsia" w:cstheme="minorEastAsia"/>
          <w:b/>
          <w:sz w:val="21"/>
          <w:szCs w:val="21"/>
        </w:rPr>
        <w:t>、其它</w:t>
      </w:r>
    </w:p>
    <w:p w14:paraId="3C65BB21">
      <w:pPr>
        <w:widowControl/>
        <w:spacing w:line="360" w:lineRule="auto"/>
        <w:ind w:firstLine="420" w:firstLineChars="200"/>
        <w:jc w:val="lef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1、本合同经</w:t>
      </w:r>
      <w:r>
        <w:rPr>
          <w:rFonts w:hint="eastAsia" w:asciiTheme="minorEastAsia" w:hAnsiTheme="minorEastAsia" w:eastAsiaTheme="minorEastAsia" w:cstheme="minorEastAsia"/>
          <w:kern w:val="0"/>
          <w:sz w:val="21"/>
          <w:szCs w:val="21"/>
          <w:lang w:val="zh-CN"/>
        </w:rPr>
        <w:t>买、卖</w:t>
      </w:r>
      <w:r>
        <w:rPr>
          <w:rFonts w:hint="eastAsia" w:asciiTheme="minorEastAsia" w:hAnsiTheme="minorEastAsia" w:eastAsiaTheme="minorEastAsia" w:cstheme="minorEastAsia"/>
          <w:kern w:val="0"/>
          <w:sz w:val="21"/>
          <w:szCs w:val="21"/>
        </w:rPr>
        <w:t>双方法人代表人或授权代理人签字盖章后生效。</w:t>
      </w:r>
    </w:p>
    <w:p w14:paraId="67B65D93">
      <w:pPr>
        <w:widowControl/>
        <w:spacing w:line="360" w:lineRule="auto"/>
        <w:ind w:firstLine="420" w:firstLineChars="200"/>
        <w:jc w:val="lef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2、本合同一式</w:t>
      </w:r>
      <w:r>
        <w:rPr>
          <w:rFonts w:hint="eastAsia" w:asciiTheme="minorEastAsia" w:hAnsiTheme="minorEastAsia" w:eastAsiaTheme="minorEastAsia" w:cstheme="minorEastAsia"/>
          <w:kern w:val="0"/>
          <w:sz w:val="21"/>
          <w:szCs w:val="21"/>
          <w:lang w:val="en-US" w:eastAsia="zh-CN"/>
        </w:rPr>
        <w:t>肆</w:t>
      </w:r>
      <w:r>
        <w:rPr>
          <w:rFonts w:hint="eastAsia" w:asciiTheme="minorEastAsia" w:hAnsiTheme="minorEastAsia" w:eastAsiaTheme="minorEastAsia" w:cstheme="minorEastAsia"/>
          <w:kern w:val="0"/>
          <w:sz w:val="21"/>
          <w:szCs w:val="21"/>
        </w:rPr>
        <w:t>份：买方执</w:t>
      </w:r>
      <w:r>
        <w:rPr>
          <w:rFonts w:hint="eastAsia" w:asciiTheme="minorEastAsia" w:hAnsiTheme="minorEastAsia" w:eastAsiaTheme="minorEastAsia" w:cstheme="minorEastAsia"/>
          <w:kern w:val="0"/>
          <w:sz w:val="21"/>
          <w:szCs w:val="21"/>
          <w:lang w:val="en-US" w:eastAsia="zh-CN"/>
        </w:rPr>
        <w:t>叁</w:t>
      </w:r>
      <w:r>
        <w:rPr>
          <w:rFonts w:hint="eastAsia" w:asciiTheme="minorEastAsia" w:hAnsiTheme="minorEastAsia" w:eastAsiaTheme="minorEastAsia" w:cstheme="minorEastAsia"/>
          <w:kern w:val="0"/>
          <w:sz w:val="21"/>
          <w:szCs w:val="21"/>
        </w:rPr>
        <w:t>份，卖方执</w:t>
      </w:r>
      <w:r>
        <w:rPr>
          <w:rFonts w:hint="eastAsia" w:asciiTheme="minorEastAsia" w:hAnsiTheme="minorEastAsia" w:eastAsiaTheme="minorEastAsia" w:cstheme="minorEastAsia"/>
          <w:kern w:val="0"/>
          <w:sz w:val="21"/>
          <w:szCs w:val="21"/>
          <w:lang w:eastAsia="zh-CN"/>
        </w:rPr>
        <w:t>壹</w:t>
      </w:r>
      <w:r>
        <w:rPr>
          <w:rFonts w:hint="eastAsia" w:asciiTheme="minorEastAsia" w:hAnsiTheme="minorEastAsia" w:eastAsiaTheme="minorEastAsia" w:cstheme="minorEastAsia"/>
          <w:kern w:val="0"/>
          <w:sz w:val="21"/>
          <w:szCs w:val="21"/>
        </w:rPr>
        <w:t>份，具有同等法律效力。</w:t>
      </w:r>
    </w:p>
    <w:p w14:paraId="25A38884">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买方：</w:t>
      </w:r>
      <w:r>
        <w:rPr>
          <w:rFonts w:hint="eastAsia" w:asciiTheme="minorEastAsia" w:hAnsiTheme="minorEastAsia" w:eastAsiaTheme="minorEastAsia" w:cstheme="minorEastAsia"/>
          <w:kern w:val="0"/>
          <w:sz w:val="21"/>
          <w:szCs w:val="21"/>
        </w:rPr>
        <w:t xml:space="preserve"> </w:t>
      </w:r>
      <w:r>
        <w:rPr>
          <w:rFonts w:hint="eastAsia" w:asciiTheme="minorEastAsia" w:hAnsiTheme="minorEastAsia" w:eastAsiaTheme="minorEastAsia" w:cstheme="minorEastAsia"/>
          <w:kern w:val="0"/>
          <w:sz w:val="21"/>
          <w:szCs w:val="21"/>
          <w:lang w:val="en-US" w:eastAsia="zh-CN"/>
        </w:rPr>
        <w:t xml:space="preserve">                          </w:t>
      </w:r>
      <w:r>
        <w:rPr>
          <w:rFonts w:hint="eastAsia" w:asciiTheme="minorEastAsia" w:hAnsiTheme="minorEastAsia" w:eastAsiaTheme="minorEastAsia" w:cstheme="minorEastAsia"/>
          <w:sz w:val="21"/>
          <w:szCs w:val="21"/>
        </w:rPr>
        <w:t xml:space="preserve">        卖方： </w:t>
      </w:r>
    </w:p>
    <w:p w14:paraId="4D778C7D">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委托人（签字）：                         委托人（签字）：</w:t>
      </w:r>
    </w:p>
    <w:p w14:paraId="60C19CE0">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1"/>
          <w:szCs w:val="21"/>
        </w:rPr>
        <w:t>签约日期：    年    月    日             签约日期：     年     月    日</w:t>
      </w:r>
    </w:p>
    <w:p w14:paraId="0832AE7D">
      <w:pPr>
        <w:rPr>
          <w:rFonts w:hint="eastAsia"/>
        </w:rPr>
      </w:pPr>
    </w:p>
    <w:p w14:paraId="6B599FDA">
      <w:r>
        <w:rPr>
          <w:rFonts w:hint="eastAsia"/>
        </w:rPr>
        <w:t>(本合同为参考格式，以最终签订合同为准 )</w:t>
      </w:r>
    </w:p>
    <w:p w14:paraId="401BDD73">
      <w:pPr>
        <w:pStyle w:val="2"/>
        <w:numPr>
          <w:ilvl w:val="0"/>
          <w:numId w:val="19"/>
        </w:numPr>
        <w:rPr>
          <w:rFonts w:hint="eastAsia" w:ascii="宋体" w:hAnsi="宋体"/>
          <w:color w:val="auto"/>
          <w:szCs w:val="32"/>
        </w:rPr>
      </w:pPr>
      <w:r>
        <w:rPr>
          <w:rFonts w:hint="eastAsia" w:ascii="宋体" w:hAnsi="宋体"/>
          <w:color w:val="auto"/>
          <w:szCs w:val="32"/>
        </w:rPr>
        <w:t xml:space="preserve">  </w:t>
      </w:r>
      <w:bookmarkStart w:id="487" w:name="_Toc3463"/>
      <w:r>
        <w:rPr>
          <w:rFonts w:hint="eastAsia" w:ascii="宋体" w:hAnsi="宋体"/>
          <w:color w:val="auto"/>
          <w:szCs w:val="32"/>
        </w:rPr>
        <w:t>招标项目需求及技术要求</w:t>
      </w:r>
      <w:bookmarkEnd w:id="487"/>
    </w:p>
    <w:p w14:paraId="5B17F907">
      <w:pPr>
        <w:widowControl/>
        <w:snapToGrid w:val="0"/>
        <w:spacing w:line="360" w:lineRule="auto"/>
        <w:ind w:firstLine="422" w:firstLineChars="200"/>
        <w:jc w:val="center"/>
        <w:rPr>
          <w:rFonts w:hint="eastAsia" w:asciiTheme="minorEastAsia" w:hAnsiTheme="minorEastAsia" w:eastAsiaTheme="minorEastAsia" w:cstheme="minorEastAsia"/>
          <w:b/>
          <w:bCs/>
          <w:szCs w:val="24"/>
          <w:highlight w:val="green"/>
          <w:lang w:val="en-US" w:eastAsia="zh-CN"/>
        </w:rPr>
      </w:pPr>
    </w:p>
    <w:p w14:paraId="2664A9AF">
      <w:pPr>
        <w:widowControl/>
        <w:snapToGrid w:val="0"/>
        <w:spacing w:line="360" w:lineRule="auto"/>
        <w:ind w:firstLine="422" w:firstLineChars="200"/>
        <w:rPr>
          <w:rFonts w:hint="eastAsia" w:asciiTheme="minorEastAsia" w:hAnsiTheme="minorEastAsia" w:eastAsiaTheme="minorEastAsia" w:cstheme="minorEastAsia"/>
          <w:b/>
          <w:bCs/>
          <w:szCs w:val="24"/>
        </w:rPr>
      </w:pPr>
    </w:p>
    <w:p w14:paraId="6978F052">
      <w:pPr>
        <w:widowControl/>
        <w:snapToGrid w:val="0"/>
        <w:spacing w:line="360" w:lineRule="auto"/>
        <w:ind w:firstLine="422" w:firstLineChars="20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b/>
          <w:bCs/>
          <w:szCs w:val="24"/>
        </w:rPr>
        <w:t>一、商务要求</w:t>
      </w:r>
      <w:r>
        <w:rPr>
          <w:rFonts w:hint="eastAsia" w:asciiTheme="minorEastAsia" w:hAnsiTheme="minorEastAsia" w:eastAsiaTheme="minorEastAsia" w:cstheme="minorEastAsia"/>
          <w:szCs w:val="24"/>
        </w:rPr>
        <w:t xml:space="preserve"> </w:t>
      </w:r>
    </w:p>
    <w:p w14:paraId="6CDE2A83">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1. 交付的时间和地点</w:t>
      </w:r>
    </w:p>
    <w:p w14:paraId="7B286727">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交货期：接采购人通知之日起</w:t>
      </w:r>
      <w:r>
        <w:rPr>
          <w:rFonts w:hint="eastAsia" w:asciiTheme="minorEastAsia" w:hAnsiTheme="minorEastAsia" w:eastAsiaTheme="minorEastAsia" w:cstheme="minorEastAsia"/>
          <w:szCs w:val="24"/>
          <w:highlight w:val="none"/>
          <w:lang w:val="en-US" w:eastAsia="zh-CN"/>
        </w:rPr>
        <w:t>30</w:t>
      </w:r>
      <w:r>
        <w:rPr>
          <w:rFonts w:hint="eastAsia" w:asciiTheme="minorEastAsia" w:hAnsiTheme="minorEastAsia" w:eastAsiaTheme="minorEastAsia" w:cstheme="minorEastAsia"/>
          <w:szCs w:val="24"/>
          <w:highlight w:val="none"/>
        </w:rPr>
        <w:t>个日历天内完成交货及安装调试</w:t>
      </w:r>
    </w:p>
    <w:p w14:paraId="502F1571">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交货地点：河南省尉氏县光明路与福星大道交叉口尉氏县中心医院7号楼二楼儿童康复科</w:t>
      </w:r>
    </w:p>
    <w:p w14:paraId="62FCA0AD">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质量标准：符合相关的国家标准、行业标准和专业标准</w:t>
      </w:r>
    </w:p>
    <w:p w14:paraId="27197946">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2.包装和运输：须满足《关于印发〈商品包装政府采购需求标准（试行）〉〈快递包装政府采购需求标准（试行）〉的通知》（财办库﹝2020﹞123号））</w:t>
      </w:r>
    </w:p>
    <w:p w14:paraId="1B3FDC42">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3.质保期：</w:t>
      </w:r>
      <w:r>
        <w:rPr>
          <w:rFonts w:hint="eastAsia" w:asciiTheme="minorEastAsia" w:hAnsiTheme="minorEastAsia" w:eastAsiaTheme="minorEastAsia" w:cstheme="minorEastAsia"/>
          <w:szCs w:val="24"/>
          <w:highlight w:val="none"/>
          <w:lang w:val="en-US" w:eastAsia="zh-CN"/>
        </w:rPr>
        <w:t>1</w:t>
      </w:r>
      <w:r>
        <w:rPr>
          <w:rFonts w:hint="eastAsia" w:asciiTheme="minorEastAsia" w:hAnsiTheme="minorEastAsia" w:eastAsiaTheme="minorEastAsia" w:cstheme="minorEastAsia"/>
          <w:szCs w:val="24"/>
          <w:highlight w:val="none"/>
        </w:rPr>
        <w:t>年</w:t>
      </w:r>
    </w:p>
    <w:p w14:paraId="3FEDB50E">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4.履约验收：符合招标文件和投标文件的要求，满足国家、行业及采购人验收标准。</w:t>
      </w:r>
    </w:p>
    <w:p w14:paraId="11FA5DBA">
      <w:pPr>
        <w:widowControl/>
        <w:snapToGrid w:val="0"/>
        <w:spacing w:line="360" w:lineRule="auto"/>
        <w:ind w:firstLine="422"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b/>
          <w:bCs/>
          <w:szCs w:val="24"/>
          <w:highlight w:val="none"/>
        </w:rPr>
        <w:t>二、技术要求</w:t>
      </w:r>
      <w:r>
        <w:rPr>
          <w:rFonts w:hint="eastAsia" w:asciiTheme="minorEastAsia" w:hAnsiTheme="minorEastAsia" w:eastAsiaTheme="minorEastAsia" w:cstheme="minorEastAsia"/>
          <w:szCs w:val="24"/>
          <w:highlight w:val="none"/>
        </w:rPr>
        <w:t xml:space="preserve"> </w:t>
      </w:r>
    </w:p>
    <w:p w14:paraId="0F9B4EDF">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1.设备制造工艺、稳定性内容完整、描述详细，符合本项目的采购需求；</w:t>
      </w:r>
    </w:p>
    <w:p w14:paraId="08740368">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2.供货方案，包括但不限于实施计划、工作流程、供货措施内容完整、描述详细，符合本项目的采购需求；</w:t>
      </w:r>
    </w:p>
    <w:p w14:paraId="39989BD3">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3.设备安装调试、试运行测试、运行维护，内容完整、描述详细，符合本项目的采购需求；</w:t>
      </w:r>
    </w:p>
    <w:p w14:paraId="08DA0A71">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4.备品备件保障措施考虑周全、高效、可行，符合本项目的采购需求。</w:t>
      </w:r>
    </w:p>
    <w:p w14:paraId="0C8C4EA1">
      <w:pPr>
        <w:widowControl/>
        <w:snapToGrid w:val="0"/>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5.售后服务方案内容、售后服务人员配备、售后服务计划、故障响应时间、售后服务设备，内容完整、描述详细，符合本项目的采购需求；</w:t>
      </w:r>
    </w:p>
    <w:p w14:paraId="78831568">
      <w:pPr>
        <w:spacing w:line="360" w:lineRule="auto"/>
        <w:ind w:firstLine="42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6.质保期内保证措施，包括但不限于发生质量问题的应对措施、突发状况发生后的改进措施内容完整、描述详细，符合本项目的采购需求；</w:t>
      </w:r>
    </w:p>
    <w:p w14:paraId="3805727D">
      <w:pPr>
        <w:spacing w:line="360" w:lineRule="auto"/>
        <w:ind w:firstLine="422" w:firstLineChars="200"/>
        <w:rPr>
          <w:rFonts w:hint="eastAsia" w:asciiTheme="minorEastAsia" w:hAnsiTheme="minorEastAsia" w:eastAsiaTheme="minorEastAsia" w:cstheme="minorEastAsia"/>
          <w:b/>
          <w:bCs/>
          <w:szCs w:val="24"/>
          <w:highlight w:val="none"/>
          <w:lang w:val="en-US" w:eastAsia="zh-CN"/>
        </w:rPr>
      </w:pPr>
      <w:r>
        <w:rPr>
          <w:rFonts w:hint="eastAsia" w:asciiTheme="minorEastAsia" w:hAnsiTheme="minorEastAsia" w:eastAsiaTheme="minorEastAsia" w:cstheme="minorEastAsia"/>
          <w:b/>
          <w:bCs/>
          <w:szCs w:val="24"/>
          <w:highlight w:val="none"/>
          <w:lang w:val="en-US" w:eastAsia="zh-CN"/>
        </w:rPr>
        <w:t>三、核心产品</w:t>
      </w:r>
    </w:p>
    <w:p w14:paraId="2B3B1E7D">
      <w:pPr>
        <w:spacing w:line="360" w:lineRule="auto"/>
        <w:ind w:firstLine="420" w:firstLineChars="200"/>
        <w:rPr>
          <w:rFonts w:hint="eastAsia" w:asciiTheme="minorEastAsia" w:hAnsiTheme="minorEastAsia" w:eastAsiaTheme="minorEastAsia" w:cstheme="minorEastAsia"/>
          <w:szCs w:val="24"/>
          <w:highlight w:val="none"/>
          <w:lang w:val="en-US" w:eastAsia="zh-CN"/>
        </w:rPr>
      </w:pPr>
      <w:r>
        <w:rPr>
          <w:rFonts w:hint="eastAsia" w:asciiTheme="minorEastAsia" w:hAnsiTheme="minorEastAsia" w:eastAsiaTheme="minorEastAsia" w:cstheme="minorEastAsia"/>
          <w:szCs w:val="24"/>
          <w:highlight w:val="none"/>
          <w:lang w:val="en-US" w:eastAsia="zh-CN"/>
        </w:rPr>
        <w:t>经颅磁刺激仪为本项目核心产品。</w:t>
      </w:r>
    </w:p>
    <w:p w14:paraId="06B21DEB">
      <w:pPr>
        <w:rPr>
          <w:rFonts w:hint="eastAsia" w:ascii="宋体" w:hAnsi="宋体" w:cs="宋体"/>
          <w:b/>
          <w:bCs/>
          <w:sz w:val="28"/>
          <w:szCs w:val="28"/>
          <w:highlight w:val="none"/>
          <w:lang w:val="en-US" w:eastAsia="zh-CN"/>
        </w:rPr>
      </w:pPr>
      <w:r>
        <w:rPr>
          <w:rFonts w:hint="eastAsia" w:ascii="宋体" w:hAnsi="宋体" w:cs="宋体"/>
          <w:b/>
          <w:bCs/>
          <w:sz w:val="28"/>
          <w:szCs w:val="28"/>
          <w:highlight w:val="none"/>
          <w:lang w:val="en-US" w:eastAsia="zh-CN"/>
        </w:rPr>
        <w:br w:type="page"/>
      </w:r>
    </w:p>
    <w:p w14:paraId="4946230F">
      <w:pPr>
        <w:spacing w:line="360" w:lineRule="auto"/>
        <w:rPr>
          <w:rFonts w:hint="default"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四、技术要求</w:t>
      </w:r>
    </w:p>
    <w:p w14:paraId="4C19E9DB">
      <w:pPr>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1、</w:t>
      </w:r>
      <w:r>
        <w:rPr>
          <w:rFonts w:hint="eastAsia" w:ascii="宋体" w:hAnsi="宋体" w:eastAsia="宋体" w:cs="宋体"/>
          <w:b/>
          <w:bCs/>
          <w:sz w:val="21"/>
          <w:szCs w:val="21"/>
          <w:highlight w:val="none"/>
        </w:rPr>
        <w:t>言语障碍评估及康复训练系统</w:t>
      </w:r>
    </w:p>
    <w:p w14:paraId="3F49ABA7">
      <w:pPr>
        <w:pageBreakBefore w:val="0"/>
        <w:kinsoku/>
        <w:overflowPunct/>
        <w:topLinePunct w:val="0"/>
        <w:bidi w:val="0"/>
        <w:spacing w:line="360" w:lineRule="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一、</w:t>
      </w:r>
      <w:r>
        <w:rPr>
          <w:rFonts w:hint="eastAsia" w:ascii="宋体" w:hAnsi="宋体" w:eastAsia="宋体" w:cs="宋体"/>
          <w:b/>
          <w:bCs/>
          <w:color w:val="000000" w:themeColor="text1"/>
          <w:sz w:val="21"/>
          <w:szCs w:val="21"/>
          <w:highlight w:val="none"/>
          <w14:textFill>
            <w14:solidFill>
              <w14:schemeClr w14:val="tx1"/>
            </w14:solidFill>
          </w14:textFill>
        </w:rPr>
        <w:t>技术参数</w:t>
      </w:r>
    </w:p>
    <w:p w14:paraId="3959637D">
      <w:pPr>
        <w:pageBreakBefore w:val="0"/>
        <w:kinsoku/>
        <w:overflowPunct/>
        <w:topLinePunct w:val="0"/>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工作环境</w:t>
      </w:r>
    </w:p>
    <w:p w14:paraId="7CF3B453">
      <w:pPr>
        <w:pageBreakBefore w:val="0"/>
        <w:kinsoku/>
        <w:overflowPunct/>
        <w:topLinePunct w:val="0"/>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a)环境温度：5℃～40℃；</w:t>
      </w:r>
    </w:p>
    <w:p w14:paraId="15E23881">
      <w:pPr>
        <w:pageBreakBefore w:val="0"/>
        <w:kinsoku/>
        <w:overflowPunct/>
        <w:topLinePunct w:val="0"/>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b)相对湿度：≤85%；</w:t>
      </w:r>
    </w:p>
    <w:p w14:paraId="7A2CE899">
      <w:pPr>
        <w:pageBreakBefore w:val="0"/>
        <w:kinsoku/>
        <w:overflowPunct/>
        <w:topLinePunct w:val="0"/>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c)大气压力范围：</w:t>
      </w:r>
      <w:r>
        <w:rPr>
          <w:rFonts w:hint="eastAsia" w:ascii="宋体" w:hAnsi="宋体" w:eastAsia="宋体" w:cs="宋体"/>
          <w:color w:val="000000" w:themeColor="text1"/>
          <w:sz w:val="21"/>
          <w:szCs w:val="21"/>
          <w:highlight w:val="none"/>
          <w:lang w:val="en-US" w:eastAsia="zh-CN"/>
          <w14:textFill>
            <w14:solidFill>
              <w14:schemeClr w14:val="tx1"/>
            </w14:solidFill>
          </w14:textFill>
        </w:rPr>
        <w:t>700</w:t>
      </w:r>
      <w:r>
        <w:rPr>
          <w:rFonts w:hint="eastAsia" w:ascii="宋体" w:hAnsi="宋体" w:eastAsia="宋体" w:cs="宋体"/>
          <w:color w:val="000000" w:themeColor="text1"/>
          <w:sz w:val="21"/>
          <w:szCs w:val="21"/>
          <w:highlight w:val="none"/>
          <w14:textFill>
            <w14:solidFill>
              <w14:schemeClr w14:val="tx1"/>
            </w14:solidFill>
          </w14:textFill>
        </w:rPr>
        <w:t>hPa～1060hPa；</w:t>
      </w:r>
    </w:p>
    <w:p w14:paraId="15E1E418">
      <w:pPr>
        <w:pageBreakBefore w:val="0"/>
        <w:kinsoku/>
        <w:overflowPunct/>
        <w:topLinePunct w:val="0"/>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d)使用电源：220V±22V，50Hz±1Hz；</w:t>
      </w:r>
    </w:p>
    <w:p w14:paraId="11EADD7E">
      <w:pPr>
        <w:pageBreakBefore w:val="0"/>
        <w:kinsoku/>
        <w:overflowPunct/>
        <w:topLinePunct w:val="0"/>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e)输入功率：230VA</w:t>
      </w:r>
    </w:p>
    <w:p w14:paraId="795F253A">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t>配置：</w:t>
      </w:r>
    </w:p>
    <w:p w14:paraId="510CBD2D">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t>CPU不低于4核心8线程，基础主频≥3.3GHz，三级缓存≥6MB同等或更高性能处理器均可。</w:t>
      </w:r>
    </w:p>
    <w:p w14:paraId="5B69EC94">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t>患者端：触摸屏显示器（1920X1080）</w:t>
      </w:r>
    </w:p>
    <w:p w14:paraId="2213BC6B">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t>医生端：显示器（1920X1080）</w:t>
      </w:r>
    </w:p>
    <w:p w14:paraId="04CE6593">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t>内存：不低于4G</w:t>
      </w:r>
    </w:p>
    <w:p w14:paraId="28F29168">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t xml:space="preserve">硬盘内存：不低于512G固态硬盘   </w:t>
      </w:r>
    </w:p>
    <w:p w14:paraId="46DA1192">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t>多媒体音箱及麦克风1套</w:t>
      </w:r>
    </w:p>
    <w:p w14:paraId="1465B8D1">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工作台尺寸：长1580mm，宽700mm，高1340mm，允差±10%</w:t>
      </w:r>
    </w:p>
    <w:p w14:paraId="1080DA03">
      <w:pPr>
        <w:pageBreakBefore w:val="0"/>
        <w:numPr>
          <w:ilvl w:val="0"/>
          <w:numId w:val="0"/>
        </w:numPr>
        <w:shd w:val="clear"/>
        <w:kinsoku/>
        <w:overflowPunct/>
        <w:topLinePunct w:val="0"/>
        <w:bidi w:val="0"/>
        <w:spacing w:line="360" w:lineRule="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二、产品功能</w:t>
      </w:r>
    </w:p>
    <w:p w14:paraId="4FA8B987">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双屏分控显示，操作界面同步，治疗过程中，医生屏幕上实时显示患者屏幕内容，方便医生观察患者操作过程</w:t>
      </w:r>
    </w:p>
    <w:p w14:paraId="2FA13173">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主界面包含评估训练、工作列表、用户管理、快速登记功能</w:t>
      </w:r>
    </w:p>
    <w:p w14:paraId="2DBA74DA">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辅助功能：系统设置、医师管理、最小化主屏、退出系统</w:t>
      </w:r>
    </w:p>
    <w:p w14:paraId="2B09A43E">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系统设置：包括单位、题目类型、题库、人员、参数、康复知识、游戏类型、评估量表、出题类别、自定义添加量表、自定义添加训练内容。</w:t>
      </w:r>
    </w:p>
    <w:p w14:paraId="73B8EC24">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具有</w:t>
      </w:r>
      <w:r>
        <w:rPr>
          <w:rFonts w:hint="eastAsia" w:ascii="宋体" w:hAnsi="宋体" w:eastAsia="宋体" w:cs="宋体"/>
          <w:color w:val="000000" w:themeColor="text1"/>
          <w:sz w:val="21"/>
          <w:szCs w:val="21"/>
          <w:highlight w:val="none"/>
          <w14:textFill>
            <w14:solidFill>
              <w14:schemeClr w14:val="tx1"/>
            </w14:solidFill>
          </w14:textFill>
        </w:rPr>
        <w:t>失语症评估与训练功能</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A4E4525">
      <w:pPr>
        <w:pageBreakBefore w:val="0"/>
        <w:numPr>
          <w:ilvl w:val="0"/>
          <w:numId w:val="21"/>
        </w:numPr>
        <w:kinsoku/>
        <w:overflowPunct/>
        <w:topLinePunct w:val="0"/>
        <w:bidi w:val="0"/>
        <w:spacing w:line="360" w:lineRule="auto"/>
        <w:ind w:left="845" w:leftChars="0" w:hanging="425" w:firstLine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失语症评估功能：具体内容包括名词理解、动词理解、句子理解、名词文字的理解、动词文字的理解、句子文字的理解、口头命令、名词复述、动词复述、句子复述、动作说明、命名、画面说明、漫画说明、列举、名词音读、动词音读、句子音读、文字命令、名词抄写、动词抄写、句子抄写、命名书写、动作描写、画面描写、漫画描写、名词听写、动词听写、句子听写、计算全部30种评估项目，对听理解能力、说话能力、读解能力、书写能力、计算能力进行评估</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1437D54C">
      <w:pPr>
        <w:pageBreakBefore w:val="0"/>
        <w:numPr>
          <w:ilvl w:val="0"/>
          <w:numId w:val="21"/>
        </w:numPr>
        <w:kinsoku/>
        <w:overflowPunct/>
        <w:topLinePunct w:val="0"/>
        <w:bidi w:val="0"/>
        <w:spacing w:line="360" w:lineRule="auto"/>
        <w:ind w:left="845" w:leftChars="0" w:hanging="425"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失语症</w:t>
      </w:r>
      <w:r>
        <w:rPr>
          <w:rFonts w:hint="eastAsia" w:ascii="宋体" w:hAnsi="宋体" w:eastAsia="宋体" w:cs="宋体"/>
          <w:color w:val="000000" w:themeColor="text1"/>
          <w:sz w:val="21"/>
          <w:szCs w:val="21"/>
          <w:highlight w:val="none"/>
          <w:lang w:val="en-US" w:eastAsia="zh-CN"/>
          <w14:textFill>
            <w14:solidFill>
              <w14:schemeClr w14:val="tx1"/>
            </w14:solidFill>
          </w14:textFill>
        </w:rPr>
        <w:t>评估报告：包括患者信息，得分分布情况柱状图，各项目得分状况，听理解能力、说话能力、读解能力、书写能力、计算能力评估结果以及治疗师评语；</w:t>
      </w:r>
    </w:p>
    <w:p w14:paraId="5033E7B4">
      <w:pPr>
        <w:pageBreakBefore w:val="0"/>
        <w:numPr>
          <w:ilvl w:val="0"/>
          <w:numId w:val="21"/>
        </w:numPr>
        <w:kinsoku/>
        <w:overflowPunct/>
        <w:topLinePunct w:val="0"/>
        <w:bidi w:val="0"/>
        <w:spacing w:line="360" w:lineRule="auto"/>
        <w:ind w:left="845" w:leftChars="0" w:hanging="425"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失语症训练功能：包括语音理解、文字阅读、文字音读、语音复述、文字听写、文字抄写、图片说明、文字听选、漫画说明全部9种训练内容，素材包括句子、名词、动词3大种类</w:t>
      </w:r>
    </w:p>
    <w:p w14:paraId="47D96DC7">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具有构音障碍评估与训练功能</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29A688B">
      <w:pPr>
        <w:pageBreakBefore w:val="0"/>
        <w:numPr>
          <w:ilvl w:val="0"/>
          <w:numId w:val="22"/>
        </w:numPr>
        <w:kinsoku/>
        <w:overflowPunct/>
        <w:topLinePunct w:val="0"/>
        <w:bidi w:val="0"/>
        <w:spacing w:line="360" w:lineRule="auto"/>
        <w:ind w:left="845" w:leftChars="0" w:hanging="425" w:firstLine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构音障碍评估功能：分为单词检查、字检查、音节检查、文章检查，以</w:t>
      </w:r>
    </w:p>
    <w:p w14:paraId="3B94E4C5">
      <w:pPr>
        <w:pageBreakBefore w:val="0"/>
        <w:numPr>
          <w:ilvl w:val="0"/>
          <w:numId w:val="0"/>
        </w:numPr>
        <w:kinsoku/>
        <w:overflowPunct/>
        <w:topLinePunct w:val="0"/>
        <w:bidi w:val="0"/>
        <w:spacing w:line="360" w:lineRule="auto"/>
        <w:ind w:left="420" w:left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及构音类似运动（出现声母发音构音障碍时）检查共5种项目,可选择麦克风语音识别和手动确认识别；</w:t>
      </w:r>
    </w:p>
    <w:p w14:paraId="7BD5B019">
      <w:pPr>
        <w:pageBreakBefore w:val="0"/>
        <w:numPr>
          <w:ilvl w:val="0"/>
          <w:numId w:val="22"/>
        </w:numPr>
        <w:kinsoku/>
        <w:overflowPunct/>
        <w:topLinePunct w:val="0"/>
        <w:bidi w:val="0"/>
        <w:spacing w:line="360" w:lineRule="auto"/>
        <w:ind w:left="845" w:leftChars="0" w:hanging="425" w:firstLine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构音障碍评估报告：包括患者信息、患者的错音、条件、错误方式,发音方式一贯性,错法一贯性,被刺激性,构音类似运动、错误类型以及治疗师评语；</w:t>
      </w:r>
    </w:p>
    <w:p w14:paraId="1E24DE7B">
      <w:pPr>
        <w:pageBreakBefore w:val="0"/>
        <w:numPr>
          <w:ilvl w:val="0"/>
          <w:numId w:val="22"/>
        </w:numPr>
        <w:shd w:val="clear"/>
        <w:kinsoku/>
        <w:overflowPunct/>
        <w:topLinePunct w:val="0"/>
        <w:bidi w:val="0"/>
        <w:spacing w:line="360" w:lineRule="auto"/>
        <w:ind w:left="845" w:leftChars="0" w:hanging="425" w:firstLine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构音障碍训练功能：包括声母、韵母以及声韵母组合3类训练方式，每项包括俗语、对话、常用字、常用词语、惯用语5种训练内容。</w:t>
      </w:r>
    </w:p>
    <w:p w14:paraId="12A5FF9D">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具有认知评估与训练功能</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F2F09B1">
      <w:pPr>
        <w:pageBreakBefore w:val="0"/>
        <w:numPr>
          <w:ilvl w:val="0"/>
          <w:numId w:val="23"/>
        </w:numPr>
        <w:kinsoku/>
        <w:overflowPunct/>
        <w:topLinePunct w:val="0"/>
        <w:bidi w:val="0"/>
        <w:spacing w:line="360" w:lineRule="auto"/>
        <w:ind w:left="845" w:leftChars="0" w:hanging="425" w:firstLine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认知评估功能：包括简易精神状态检查量表(MMSE)、长谷川痴呆量表（HDS）、神经行为认知状况测试（NCSE）、MOCA量表、Loewenstein认知功能评定量表；</w:t>
      </w:r>
    </w:p>
    <w:p w14:paraId="4E5A7117">
      <w:pPr>
        <w:pageBreakBefore w:val="0"/>
        <w:numPr>
          <w:ilvl w:val="0"/>
          <w:numId w:val="23"/>
        </w:numPr>
        <w:kinsoku/>
        <w:overflowPunct/>
        <w:topLinePunct w:val="0"/>
        <w:bidi w:val="0"/>
        <w:spacing w:line="360" w:lineRule="auto"/>
        <w:ind w:left="845" w:leftChars="0" w:hanging="425" w:firstLine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认知评估报告：包括患者信息、方案得分、量表总分、各单元得分、分数描述和治疗师评语；</w:t>
      </w:r>
    </w:p>
    <w:p w14:paraId="7C6D57E1">
      <w:pPr>
        <w:pageBreakBefore w:val="0"/>
        <w:numPr>
          <w:ilvl w:val="0"/>
          <w:numId w:val="23"/>
        </w:numPr>
        <w:kinsoku/>
        <w:overflowPunct/>
        <w:topLinePunct w:val="0"/>
        <w:bidi w:val="0"/>
        <w:spacing w:line="360" w:lineRule="auto"/>
        <w:ind w:left="845" w:leftChars="0" w:hanging="425" w:firstLine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认知</w:t>
      </w:r>
      <w:r>
        <w:rPr>
          <w:rFonts w:hint="eastAsia" w:ascii="宋体" w:hAnsi="宋体" w:eastAsia="宋体" w:cs="宋体"/>
          <w:color w:val="000000" w:themeColor="text1"/>
          <w:sz w:val="21"/>
          <w:szCs w:val="21"/>
          <w:highlight w:val="none"/>
          <w14:textFill>
            <w14:solidFill>
              <w14:schemeClr w14:val="tx1"/>
            </w14:solidFill>
          </w14:textFill>
        </w:rPr>
        <w:t>训练</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w:t>
      </w:r>
      <w:r>
        <w:rPr>
          <w:rFonts w:hint="eastAsia" w:ascii="宋体" w:hAnsi="宋体" w:eastAsia="宋体" w:cs="宋体"/>
          <w:color w:val="000000" w:themeColor="text1"/>
          <w:sz w:val="21"/>
          <w:szCs w:val="21"/>
          <w:highlight w:val="none"/>
          <w14:textFill>
            <w14:solidFill>
              <w14:schemeClr w14:val="tx1"/>
            </w14:solidFill>
          </w14:textFill>
        </w:rPr>
        <w:t>内容：方向识别、感知障碍、沟通障碍、计算、记忆缺损、记忆障碍、结构性失用、空间定位、排序、躯体构图、声音失认、数数、思维逻辑障碍、颜色、肢体使用、注意力障碍、组合共17种训练项目</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DB9CE2D">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具有动画认知训练</w:t>
      </w:r>
      <w:r>
        <w:rPr>
          <w:rFonts w:hint="eastAsia" w:ascii="宋体" w:hAnsi="宋体" w:eastAsia="宋体" w:cs="宋体"/>
          <w:color w:val="000000" w:themeColor="text1"/>
          <w:sz w:val="21"/>
          <w:szCs w:val="21"/>
          <w:highlight w:val="none"/>
          <w:lang w:val="en-US" w:eastAsia="zh-CN"/>
          <w14:textFill>
            <w14:solidFill>
              <w14:schemeClr w14:val="tx1"/>
            </w14:solidFill>
          </w14:textFill>
        </w:rPr>
        <w:t>功能</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共计10种</w:t>
      </w:r>
      <w:r>
        <w:rPr>
          <w:rFonts w:hint="eastAsia" w:ascii="宋体" w:hAnsi="宋体" w:eastAsia="宋体" w:cs="宋体"/>
          <w:color w:val="000000" w:themeColor="text1"/>
          <w:sz w:val="21"/>
          <w:szCs w:val="21"/>
          <w:highlight w:val="none"/>
          <w14:textFill>
            <w14:solidFill>
              <w14:schemeClr w14:val="tx1"/>
            </w14:solidFill>
          </w14:textFill>
        </w:rPr>
        <w:t>动画认知</w:t>
      </w:r>
      <w:r>
        <w:rPr>
          <w:rFonts w:hint="eastAsia" w:ascii="宋体" w:hAnsi="宋体" w:eastAsia="宋体" w:cs="宋体"/>
          <w:color w:val="000000" w:themeColor="text1"/>
          <w:sz w:val="21"/>
          <w:szCs w:val="21"/>
          <w:highlight w:val="none"/>
          <w:lang w:val="en-US" w:eastAsia="zh-CN"/>
          <w14:textFill>
            <w14:solidFill>
              <w14:schemeClr w14:val="tx1"/>
            </w14:solidFill>
          </w14:textFill>
        </w:rPr>
        <w:t>训练项目内容</w:t>
      </w:r>
      <w:r>
        <w:rPr>
          <w:rFonts w:hint="eastAsia" w:ascii="宋体" w:hAnsi="宋体" w:eastAsia="宋体" w:cs="宋体"/>
          <w:color w:val="000000" w:themeColor="text1"/>
          <w:sz w:val="21"/>
          <w:szCs w:val="21"/>
          <w:highlight w:val="none"/>
          <w14:textFill>
            <w14:solidFill>
              <w14:schemeClr w14:val="tx1"/>
            </w14:solidFill>
          </w14:textFill>
        </w:rPr>
        <w:t>：视频内容包括中文童谣、儿童歌曲、儿童游戏、发音教学、成语故事、涂色拼图、百科常识、童话故事、绕口令、认知常识。</w:t>
      </w:r>
    </w:p>
    <w:p w14:paraId="243A9EAB">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先知后认模式，避免因地域、文化、教育等客观因素的差异而影响评估与训练的准确度</w:t>
      </w:r>
    </w:p>
    <w:p w14:paraId="2F5A68DB">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用户信息</w:t>
      </w:r>
      <w:r>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t>管理：</w:t>
      </w:r>
      <w:r>
        <w:rPr>
          <w:rFonts w:hint="eastAsia" w:ascii="宋体" w:hAnsi="宋体" w:eastAsia="宋体" w:cs="宋体"/>
          <w:color w:val="000000" w:themeColor="text1"/>
          <w:sz w:val="21"/>
          <w:szCs w:val="21"/>
          <w:highlight w:val="none"/>
          <w14:textFill>
            <w14:solidFill>
              <w14:schemeClr w14:val="tx1"/>
            </w14:solidFill>
          </w14:textFill>
        </w:rPr>
        <w:t>能够增加、删除、查询每一个患者的病历资料，</w:t>
      </w:r>
      <w:r>
        <w:rPr>
          <w:rFonts w:hint="eastAsia" w:ascii="宋体" w:hAnsi="宋体" w:eastAsia="宋体" w:cs="宋体"/>
          <w:color w:val="000000" w:themeColor="text1"/>
          <w:sz w:val="21"/>
          <w:szCs w:val="21"/>
          <w:highlight w:val="none"/>
          <w:lang w:val="zh-CN"/>
          <w14:textFill>
            <w14:solidFill>
              <w14:schemeClr w14:val="tx1"/>
            </w14:solidFill>
          </w14:textFill>
        </w:rPr>
        <w:t>具有包括姓名、性别、年龄、学历、打印日期、用户编号、评估报告、治疗师姓名以及语言类别，语言种类可选择普通话和不同类别的方言</w:t>
      </w:r>
      <w:r>
        <w:rPr>
          <w:rFonts w:hint="eastAsia" w:ascii="宋体" w:hAnsi="宋体" w:eastAsia="宋体" w:cs="宋体"/>
          <w:color w:val="000000" w:themeColor="text1"/>
          <w:sz w:val="21"/>
          <w:szCs w:val="21"/>
          <w:highlight w:val="none"/>
          <w14:textFill>
            <w14:solidFill>
              <w14:schemeClr w14:val="tx1"/>
            </w14:solidFill>
          </w14:textFill>
        </w:rPr>
        <w:t>；</w:t>
      </w:r>
    </w:p>
    <w:p w14:paraId="35EEE94F">
      <w:pPr>
        <w:numPr>
          <w:ilvl w:val="0"/>
          <w:numId w:val="20"/>
        </w:numPr>
        <w:spacing w:beforeLines="0" w:afterLines="0"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具有新增病历、归档病历、更新病历功能；</w:t>
      </w:r>
    </w:p>
    <w:p w14:paraId="6FDA2F11">
      <w:pPr>
        <w:pageBreakBefore w:val="0"/>
        <w:numPr>
          <w:ilvl w:val="0"/>
          <w:numId w:val="20"/>
        </w:numPr>
        <w:shd w:val="clea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素材编辑功能</w:t>
      </w:r>
      <w:r>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t>：训练系统具有认知训练方案编辑、构音训练方案编辑，失语症方案编辑功能，可根据实际需要设计训练内容，可添加、选择、输入命名图片，录入提示语音、提示文字、动画片段</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4B27C73">
      <w:pPr>
        <w:pageBreakBefore w:val="0"/>
        <w:numPr>
          <w:ilvl w:val="0"/>
          <w:numId w:val="20"/>
        </w:numP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精彩的图像显示，栩栩如生的动画表达，真正的人机互动训练模式。使患者体验到互动训练游戏的乐趣，能进行听视觉反馈，在康复训练的快乐中达到言语功能的恢复。</w:t>
      </w:r>
    </w:p>
    <w:p w14:paraId="1ED33B3D">
      <w:pPr>
        <w:pageBreakBefore w:val="0"/>
        <w:numPr>
          <w:ilvl w:val="0"/>
          <w:numId w:val="20"/>
        </w:numP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出具专业的临床报告：评估报告、训练记录报告、图文报表、导出打印</w:t>
      </w:r>
    </w:p>
    <w:p w14:paraId="0FFE22FA">
      <w:pPr>
        <w:pageBreakBefore w:val="0"/>
        <w:numPr>
          <w:ilvl w:val="0"/>
          <w:numId w:val="20"/>
        </w:numP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支持国内六大方言，可设置全局默认方言发音，支持在线语音及各方言语音生成</w:t>
      </w:r>
    </w:p>
    <w:p w14:paraId="224DF920">
      <w:pPr>
        <w:pageBreakBefore w:val="0"/>
        <w:numPr>
          <w:ilvl w:val="0"/>
          <w:numId w:val="20"/>
        </w:numP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语音提醒功能</w:t>
      </w:r>
    </w:p>
    <w:p w14:paraId="2F9316BD">
      <w:pPr>
        <w:pageBreakBefore w:val="0"/>
        <w:numPr>
          <w:ilvl w:val="0"/>
          <w:numId w:val="20"/>
        </w:numP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可根据科室使用需求扩展题库设计及增加显示屏</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1FB75882">
      <w:pPr>
        <w:keepNext w:val="0"/>
        <w:keepLines w:val="0"/>
        <w:pageBreakBefore w:val="0"/>
        <w:numPr>
          <w:ilvl w:val="0"/>
          <w:numId w:val="20"/>
        </w:numPr>
        <w:kinsoku/>
        <w:wordWrap/>
        <w:overflowPunct/>
        <w:topLinePunct w:val="0"/>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t>用户可自行添加评估量表及训练方案，并可对量表及方案内题目进行修改</w:t>
      </w:r>
    </w:p>
    <w:p w14:paraId="215E8883">
      <w:pPr>
        <w:keepNext w:val="0"/>
        <w:keepLines w:val="0"/>
        <w:pageBreakBefore w:val="0"/>
        <w:numPr>
          <w:ilvl w:val="0"/>
          <w:numId w:val="20"/>
        </w:numPr>
        <w:kinsoku/>
        <w:wordWrap/>
        <w:overflowPunct/>
        <w:topLinePunct w:val="0"/>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t>支持自定义处方，可将评估量表和训练方案进行组合，提前保存为处方，方便医生使用</w:t>
      </w:r>
    </w:p>
    <w:p w14:paraId="3A556D22">
      <w:pPr>
        <w:keepNext w:val="0"/>
        <w:keepLines w:val="0"/>
        <w:pageBreakBefore w:val="0"/>
        <w:numPr>
          <w:ilvl w:val="0"/>
          <w:numId w:val="20"/>
        </w:numPr>
        <w:kinsoku/>
        <w:wordWrap/>
        <w:overflowPunct/>
        <w:topLinePunct w:val="0"/>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en-US" w:eastAsia="zh-CN"/>
          <w14:textFill>
            <w14:solidFill>
              <w14:schemeClr w14:val="tx1"/>
            </w14:solidFill>
          </w14:textFill>
        </w:rPr>
        <w:t>客观题目自动评分，医生可酌情修改、主观题目由医生主动评分</w:t>
      </w:r>
    </w:p>
    <w:p w14:paraId="6CB93688">
      <w:pPr>
        <w:keepNext w:val="0"/>
        <w:keepLines w:val="0"/>
        <w:pageBreakBefore w:val="0"/>
        <w:numPr>
          <w:ilvl w:val="0"/>
          <w:numId w:val="20"/>
        </w:numPr>
        <w:kinsoku/>
        <w:wordWrap/>
        <w:overflowPunct/>
        <w:topLinePunct w:val="0"/>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t>增加儿童卡通元素，对儿童更具有吸引力</w:t>
      </w:r>
    </w:p>
    <w:p w14:paraId="4F5B07E6">
      <w:pPr>
        <w:keepNext w:val="0"/>
        <w:keepLines w:val="0"/>
        <w:pageBreakBefore w:val="0"/>
        <w:numPr>
          <w:ilvl w:val="0"/>
          <w:numId w:val="20"/>
        </w:numPr>
        <w:kinsoku/>
        <w:wordWrap/>
        <w:overflowPunct/>
        <w:topLinePunct w:val="0"/>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t>患者屏幕监控，治疗过程中，医生屏幕上实时显示患者屏幕内容，方便医生观察患者操作过程</w:t>
      </w:r>
    </w:p>
    <w:p w14:paraId="65AEFE8D">
      <w:pPr>
        <w:keepNext w:val="0"/>
        <w:keepLines w:val="0"/>
        <w:pageBreakBefore w:val="0"/>
        <w:numPr>
          <w:ilvl w:val="0"/>
          <w:numId w:val="20"/>
        </w:numPr>
        <w:kinsoku/>
        <w:wordWrap/>
        <w:overflowPunct/>
        <w:topLinePunct w:val="0"/>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pacing w:val="0"/>
          <w:w w:val="100"/>
          <w:position w:val="0"/>
          <w:sz w:val="21"/>
          <w:szCs w:val="21"/>
          <w:highlight w:val="none"/>
          <w:lang w:val="zh-CN"/>
          <w14:textFill>
            <w14:solidFill>
              <w14:schemeClr w14:val="tx1"/>
            </w14:solidFill>
          </w14:textFill>
        </w:rPr>
        <w:t>打印报告中可直接将量表明细打印</w:t>
      </w:r>
      <w:r>
        <w:rPr>
          <w:rFonts w:hint="eastAsia" w:ascii="宋体" w:hAnsi="宋体" w:eastAsia="宋体" w:cs="宋体"/>
          <w:color w:val="000000" w:themeColor="text1"/>
          <w:sz w:val="21"/>
          <w:szCs w:val="21"/>
          <w:highlight w:val="none"/>
          <w:lang w:val="zh-CN"/>
          <w14:textFill>
            <w14:solidFill>
              <w14:schemeClr w14:val="tx1"/>
            </w14:solidFill>
          </w14:textFill>
        </w:rPr>
        <w:t>，方便医生进行诊断。</w:t>
      </w:r>
    </w:p>
    <w:p w14:paraId="487AEC52">
      <w:pPr>
        <w:keepNext w:val="0"/>
        <w:keepLines w:val="0"/>
        <w:pageBreakBefore w:val="0"/>
        <w:numPr>
          <w:ilvl w:val="0"/>
          <w:numId w:val="20"/>
        </w:numPr>
        <w:kinsoku/>
        <w:wordWrap/>
        <w:overflowPunct/>
        <w:topLinePunct w:val="0"/>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zh-CN"/>
          <w14:textFill>
            <w14:solidFill>
              <w14:schemeClr w14:val="tx1"/>
            </w14:solidFill>
          </w14:textFill>
        </w:rPr>
        <w:t>支持物联网功能，可与物联网平台进行连接，医生通过物联网平台可以远程将训练处方下发到设备</w:t>
      </w:r>
    </w:p>
    <w:p w14:paraId="57F117B7">
      <w:pPr>
        <w:pageBreakBefore w:val="0"/>
        <w:numPr>
          <w:ilvl w:val="0"/>
          <w:numId w:val="20"/>
        </w:numPr>
        <w:kinsoku/>
        <w:overflowPunct/>
        <w:topLinePunct w:val="0"/>
        <w:bidi w:val="0"/>
        <w:spacing w:line="360" w:lineRule="auto"/>
        <w:ind w:left="425" w:leftChars="0" w:hanging="425"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安全类型：I类、B型应用部分</w:t>
      </w:r>
    </w:p>
    <w:p w14:paraId="5151EE81">
      <w:pPr>
        <w:numPr>
          <w:ilvl w:val="0"/>
          <w:numId w:val="20"/>
        </w:numPr>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设备</w:t>
      </w:r>
      <w:r>
        <w:rPr>
          <w:rFonts w:hint="eastAsia" w:ascii="宋体" w:hAnsi="宋体" w:eastAsia="宋体" w:cs="宋体"/>
          <w:color w:val="000000" w:themeColor="text1"/>
          <w:sz w:val="21"/>
          <w:szCs w:val="21"/>
          <w:highlight w:val="none"/>
          <w14:textFill>
            <w14:solidFill>
              <w14:schemeClr w14:val="tx1"/>
            </w14:solidFill>
          </w14:textFill>
        </w:rPr>
        <w:t>具有过电流、过电压保护功能</w:t>
      </w:r>
    </w:p>
    <w:p w14:paraId="2D33123A">
      <w:pPr>
        <w:numPr>
          <w:ilvl w:val="0"/>
          <w:numId w:val="20"/>
        </w:numPr>
        <w:spacing w:line="360" w:lineRule="auto"/>
        <w:ind w:left="425" w:leftChars="0" w:hanging="425"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设备</w:t>
      </w:r>
      <w:r>
        <w:rPr>
          <w:rFonts w:hint="eastAsia" w:ascii="宋体" w:hAnsi="宋体" w:eastAsia="宋体" w:cs="宋体"/>
          <w:color w:val="000000" w:themeColor="text1"/>
          <w:sz w:val="21"/>
          <w:szCs w:val="21"/>
          <w:highlight w:val="none"/>
          <w14:textFill>
            <w14:solidFill>
              <w14:schemeClr w14:val="tx1"/>
            </w14:solidFill>
          </w14:textFill>
        </w:rPr>
        <w:t>通过电磁兼容、性能、安规检测</w:t>
      </w:r>
    </w:p>
    <w:p w14:paraId="0C20D49C">
      <w:pPr>
        <w:keepNext w:val="0"/>
        <w:keepLines w:val="0"/>
        <w:pageBreakBefore w:val="0"/>
        <w:numPr>
          <w:ilvl w:val="0"/>
          <w:numId w:val="20"/>
        </w:numPr>
        <w:kinsoku/>
        <w:wordWrap/>
        <w:overflowPunct/>
        <w:topLinePunct w:val="0"/>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设备使用年限：10年</w:t>
      </w:r>
    </w:p>
    <w:p w14:paraId="20C70072">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三、配置</w:t>
      </w:r>
    </w:p>
    <w:p w14:paraId="226D3D02">
      <w:pPr>
        <w:pageBreakBefore w:val="0"/>
        <w:numPr>
          <w:ilvl w:val="0"/>
          <w:numId w:val="0"/>
        </w:numPr>
        <w:kinsoku/>
        <w:overflowPunct/>
        <w:topLinePunct w:val="0"/>
        <w:bidi w:val="0"/>
        <w:spacing w:line="360" w:lineRule="auto"/>
        <w:ind w:left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主机1台</w:t>
      </w:r>
    </w:p>
    <w:p w14:paraId="0296678B">
      <w:pPr>
        <w:pageBreakBefore w:val="0"/>
        <w:numPr>
          <w:ilvl w:val="0"/>
          <w:numId w:val="0"/>
        </w:numPr>
        <w:kinsoku/>
        <w:overflowPunct/>
        <w:topLinePunct w:val="0"/>
        <w:bidi w:val="0"/>
        <w:spacing w:line="360" w:lineRule="auto"/>
        <w:ind w:left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2、言语桌</w:t>
      </w: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套</w:t>
      </w:r>
    </w:p>
    <w:p w14:paraId="5A725C6E">
      <w:pPr>
        <w:pageBreakBefore w:val="0"/>
        <w:kinsoku/>
        <w:overflowPunct/>
        <w:topLinePunct w:val="0"/>
        <w:bidi w:val="0"/>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操作显示屏1台</w:t>
      </w:r>
    </w:p>
    <w:p w14:paraId="74901492">
      <w:pPr>
        <w:pageBreakBefore w:val="0"/>
        <w:kinsoku/>
        <w:overflowPunct/>
        <w:topLinePunct w:val="0"/>
        <w:bidi w:val="0"/>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触摸屏显示器1台</w:t>
      </w:r>
    </w:p>
    <w:p w14:paraId="7F8BFAFB">
      <w:pPr>
        <w:pageBreakBefore w:val="0"/>
        <w:kinsoku/>
        <w:overflowPunct/>
        <w:topLinePunct w:val="0"/>
        <w:bidi w:val="0"/>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、键盘鼠标1套</w:t>
      </w:r>
    </w:p>
    <w:p w14:paraId="7DAB5D0D">
      <w:pPr>
        <w:pageBreakBefore w:val="0"/>
        <w:kinsoku/>
        <w:overflowPunct/>
        <w:topLinePunct w:val="0"/>
        <w:bidi w:val="0"/>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、多媒体音箱及麦克风1套</w:t>
      </w:r>
    </w:p>
    <w:p w14:paraId="199A7831">
      <w:pPr>
        <w:pageBreakBefore w:val="0"/>
        <w:kinsoku/>
        <w:overflowPunct/>
        <w:topLinePunct w:val="0"/>
        <w:bidi w:val="0"/>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lang w:eastAsia="zh-CN"/>
          <w14:textFill>
            <w14:solidFill>
              <w14:schemeClr w14:val="tx1"/>
            </w14:solidFill>
          </w14:textFill>
        </w:rPr>
        <w:t>打印机</w:t>
      </w:r>
      <w:r>
        <w:rPr>
          <w:rFonts w:hint="eastAsia" w:ascii="宋体" w:hAnsi="宋体" w:eastAsia="宋体" w:cs="宋体"/>
          <w:color w:val="000000" w:themeColor="text1"/>
          <w:sz w:val="21"/>
          <w:szCs w:val="21"/>
          <w:highlight w:val="none"/>
          <w:lang w:val="en-US" w:eastAsia="zh-CN"/>
          <w14:textFill>
            <w14:solidFill>
              <w14:schemeClr w14:val="tx1"/>
            </w14:solidFill>
          </w14:textFill>
        </w:rPr>
        <w:t>1台</w:t>
      </w:r>
    </w:p>
    <w:p w14:paraId="60A619F6">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、说明书1本</w:t>
      </w:r>
    </w:p>
    <w:p w14:paraId="702D0632">
      <w:pP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数量要求：1</w:t>
      </w:r>
    </w:p>
    <w:p w14:paraId="37BF1745">
      <w:pP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br w:type="page"/>
      </w:r>
    </w:p>
    <w:p w14:paraId="02FF75A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2、产品名称：儿童综合素质测评系统</w:t>
      </w:r>
    </w:p>
    <w:p w14:paraId="6E0B36C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2" w:leftChars="58" w:right="0" w:rightChars="0" w:firstLine="0" w:firstLineChars="0"/>
        <w:jc w:val="left"/>
        <w:rPr>
          <w:rFonts w:hint="eastAsia" w:ascii="宋体" w:hAnsi="宋体" w:eastAsia="宋体" w:cs="宋体"/>
          <w:color w:val="000000"/>
          <w:sz w:val="21"/>
          <w:szCs w:val="21"/>
          <w:highlight w:val="none"/>
        </w:rPr>
      </w:pPr>
      <w:r>
        <w:rPr>
          <w:rFonts w:hint="eastAsia" w:ascii="宋体" w:hAnsi="宋体" w:eastAsia="宋体" w:cs="宋体"/>
          <w:b/>
          <w:bCs/>
          <w:kern w:val="0"/>
          <w:sz w:val="21"/>
          <w:szCs w:val="21"/>
          <w:highlight w:val="none"/>
          <w:lang w:val="en-US" w:eastAsia="zh-CN" w:bidi="ar"/>
        </w:rPr>
        <w:t>一、功能描述</w:t>
      </w:r>
      <w:r>
        <w:rPr>
          <w:rFonts w:hint="eastAsia" w:ascii="宋体" w:hAnsi="宋体" w:eastAsia="宋体" w:cs="宋体"/>
          <w:kern w:val="0"/>
          <w:sz w:val="21"/>
          <w:szCs w:val="21"/>
          <w:highlight w:val="none"/>
          <w:lang w:val="en-US" w:eastAsia="zh-CN" w:bidi="ar"/>
        </w:rPr>
        <w:t xml:space="preserve"> ：</w:t>
      </w:r>
      <w:r>
        <w:rPr>
          <w:rFonts w:hint="eastAsia" w:ascii="宋体" w:hAnsi="宋体" w:eastAsia="宋体" w:cs="宋体"/>
          <w:b w:val="0"/>
          <w:bCs w:val="0"/>
          <w:sz w:val="21"/>
          <w:szCs w:val="21"/>
          <w:highlight w:val="none"/>
          <w:lang w:val="en-US" w:eastAsia="zh-CN"/>
        </w:rPr>
        <w:t>儿童综合素质测评系统</w:t>
      </w:r>
      <w:r>
        <w:rPr>
          <w:rFonts w:hint="eastAsia" w:ascii="宋体" w:hAnsi="宋体" w:eastAsia="宋体" w:cs="宋体"/>
          <w:color w:val="000000"/>
          <w:sz w:val="21"/>
          <w:szCs w:val="21"/>
          <w:highlight w:val="none"/>
        </w:rPr>
        <w:t>整合体格发育、五官保健、心理行为</w:t>
      </w:r>
      <w:r>
        <w:rPr>
          <w:rFonts w:hint="eastAsia" w:ascii="宋体" w:hAnsi="宋体" w:eastAsia="宋体" w:cs="宋体"/>
          <w:color w:val="000000"/>
          <w:sz w:val="21"/>
          <w:szCs w:val="21"/>
          <w:highlight w:val="none"/>
          <w:lang w:val="en-US" w:eastAsia="zh-CN"/>
        </w:rPr>
        <w:t>能力评定</w:t>
      </w:r>
      <w:r>
        <w:rPr>
          <w:rFonts w:hint="eastAsia" w:ascii="宋体" w:hAnsi="宋体" w:eastAsia="宋体" w:cs="宋体"/>
          <w:color w:val="000000"/>
          <w:sz w:val="21"/>
          <w:szCs w:val="21"/>
          <w:highlight w:val="none"/>
        </w:rPr>
        <w:t>等百余套专业量表，统一孤独症、多动症、学习困难儿童筛查评估标准；</w:t>
      </w:r>
    </w:p>
    <w:p w14:paraId="1BEA0AF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color w:val="000000"/>
          <w:sz w:val="21"/>
          <w:szCs w:val="21"/>
          <w:highlight w:val="none"/>
        </w:rPr>
        <w:t>实现孤独症谱系障碍、多动症、学习困难儿童</w:t>
      </w:r>
      <w:r>
        <w:rPr>
          <w:rFonts w:hint="eastAsia" w:ascii="宋体" w:hAnsi="宋体" w:eastAsia="宋体" w:cs="宋体"/>
          <w:b/>
          <w:color w:val="000000"/>
          <w:sz w:val="21"/>
          <w:szCs w:val="21"/>
          <w:highlight w:val="none"/>
        </w:rPr>
        <w:t>早筛查、早识别、早诊断、早干预</w:t>
      </w:r>
      <w:r>
        <w:rPr>
          <w:rFonts w:hint="eastAsia" w:ascii="宋体" w:hAnsi="宋体" w:eastAsia="宋体" w:cs="宋体"/>
          <w:color w:val="000000"/>
          <w:sz w:val="21"/>
          <w:szCs w:val="21"/>
          <w:highlight w:val="none"/>
        </w:rPr>
        <w:t>，建立专项高危儿童专案管理档案，持续跟踪康复与诊疗效果</w:t>
      </w:r>
      <w:r>
        <w:rPr>
          <w:rFonts w:hint="eastAsia" w:ascii="宋体" w:hAnsi="宋体" w:eastAsia="宋体" w:cs="宋体"/>
          <w:color w:val="000000"/>
          <w:sz w:val="21"/>
          <w:szCs w:val="21"/>
          <w:highlight w:val="none"/>
          <w:lang w:eastAsia="zh-CN"/>
        </w:rPr>
        <w:t>。</w:t>
      </w:r>
    </w:p>
    <w:p w14:paraId="224D71B6">
      <w:pPr>
        <w:keepNext w:val="0"/>
        <w:keepLines w:val="0"/>
        <w:widowControl/>
        <w:numPr>
          <w:ilvl w:val="0"/>
          <w:numId w:val="0"/>
        </w:numPr>
        <w:suppressLineNumbers w:val="0"/>
        <w:spacing w:line="360" w:lineRule="auto"/>
        <w:ind w:leftChars="0"/>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二、应用范围 ：儿童保健科、儿童康复科0-18岁儿童</w:t>
      </w:r>
    </w:p>
    <w:p w14:paraId="10B799F7">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三、技术参数</w:t>
      </w:r>
    </w:p>
    <w:p w14:paraId="70006CD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bCs/>
          <w:kern w:val="0"/>
          <w:sz w:val="21"/>
          <w:szCs w:val="21"/>
          <w:highlight w:val="none"/>
          <w:lang w:val="en-US" w:eastAsia="zh-CN" w:bidi="ar"/>
        </w:rPr>
        <w:t>3.1.</w:t>
      </w:r>
      <w:r>
        <w:rPr>
          <w:rFonts w:hint="eastAsia" w:ascii="宋体" w:hAnsi="宋体" w:eastAsia="宋体" w:cs="宋体"/>
          <w:sz w:val="21"/>
          <w:szCs w:val="21"/>
          <w:highlight w:val="none"/>
        </w:rPr>
        <w:t>档案管理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包括儿童基本信息、出生信息、健康疾病史信息，父母</w:t>
      </w:r>
      <w:r>
        <w:rPr>
          <w:rFonts w:hint="eastAsia" w:ascii="宋体" w:hAnsi="宋体" w:eastAsia="宋体" w:cs="宋体"/>
          <w:sz w:val="21"/>
          <w:szCs w:val="21"/>
          <w:highlight w:val="none"/>
          <w:lang w:val="en-US" w:eastAsia="zh-CN"/>
        </w:rPr>
        <w:t>亲等</w:t>
      </w:r>
      <w:r>
        <w:rPr>
          <w:rFonts w:hint="eastAsia" w:ascii="宋体" w:hAnsi="宋体" w:eastAsia="宋体" w:cs="宋体"/>
          <w:sz w:val="21"/>
          <w:szCs w:val="21"/>
          <w:highlight w:val="none"/>
        </w:rPr>
        <w:t>监护人信息。</w:t>
      </w:r>
    </w:p>
    <w:p w14:paraId="1B04C0C8">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对不同疾病或缺陷类型的儿童进行标签提醒</w:t>
      </w:r>
    </w:p>
    <w:p w14:paraId="2F4A5895">
      <w:pPr>
        <w:numPr>
          <w:ilvl w:val="0"/>
          <w:numId w:val="0"/>
        </w:num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3.2</w:t>
      </w:r>
      <w:r>
        <w:rPr>
          <w:rFonts w:hint="eastAsia" w:ascii="宋体" w:hAnsi="宋体" w:eastAsia="宋体" w:cs="宋体"/>
          <w:sz w:val="21"/>
          <w:szCs w:val="21"/>
          <w:highlight w:val="none"/>
        </w:rPr>
        <w:t>体格测量</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对儿童身高、体重、头围、</w:t>
      </w:r>
      <w:r>
        <w:rPr>
          <w:rFonts w:hint="eastAsia" w:ascii="宋体" w:hAnsi="宋体" w:eastAsia="宋体" w:cs="宋体"/>
          <w:sz w:val="21"/>
          <w:szCs w:val="21"/>
          <w:highlight w:val="none"/>
          <w:lang w:val="en-US" w:eastAsia="zh-CN"/>
        </w:rPr>
        <w:t>胸围、</w:t>
      </w:r>
      <w:r>
        <w:rPr>
          <w:rFonts w:hint="eastAsia" w:ascii="宋体" w:hAnsi="宋体" w:eastAsia="宋体" w:cs="宋体"/>
          <w:sz w:val="21"/>
          <w:szCs w:val="21"/>
          <w:highlight w:val="none"/>
        </w:rPr>
        <w:t>黄疸、</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进行测量并记录。可以对身高、体重、头围、BMI、体格发育进行评价。可以自动给出营养指导建议。可以对早产儿童进行月龄纠正，体格评价根据纠正后的年龄进行评价。评价标准支持WHO2006、WHO20</w:t>
      </w:r>
      <w:r>
        <w:rPr>
          <w:rFonts w:hint="eastAsia" w:ascii="宋体" w:hAnsi="宋体" w:eastAsia="宋体" w:cs="宋体"/>
          <w:sz w:val="21"/>
          <w:szCs w:val="21"/>
          <w:highlight w:val="none"/>
          <w:lang w:val="en-US" w:eastAsia="zh-CN"/>
        </w:rPr>
        <w:t>16</w:t>
      </w:r>
      <w:r>
        <w:rPr>
          <w:rFonts w:hint="eastAsia" w:ascii="宋体" w:hAnsi="宋体" w:eastAsia="宋体" w:cs="宋体"/>
          <w:sz w:val="21"/>
          <w:szCs w:val="21"/>
          <w:highlight w:val="none"/>
        </w:rPr>
        <w:t>、国标2005、</w:t>
      </w:r>
      <w:r>
        <w:rPr>
          <w:rFonts w:hint="eastAsia" w:ascii="宋体" w:hAnsi="宋体" w:eastAsia="宋体" w:cs="宋体"/>
          <w:sz w:val="21"/>
          <w:szCs w:val="21"/>
          <w:highlight w:val="none"/>
          <w:lang w:val="en-US" w:eastAsia="zh-CN"/>
        </w:rPr>
        <w:t>国标2009、</w:t>
      </w:r>
      <w:r>
        <w:rPr>
          <w:rFonts w:hint="eastAsia" w:ascii="宋体" w:hAnsi="宋体" w:eastAsia="宋体" w:cs="宋体"/>
          <w:sz w:val="21"/>
          <w:szCs w:val="21"/>
          <w:highlight w:val="none"/>
        </w:rPr>
        <w:t>国标2022。</w:t>
      </w:r>
    </w:p>
    <w:p w14:paraId="0D4C4532">
      <w:pPr>
        <w:spacing w:line="360" w:lineRule="auto"/>
        <w:rPr>
          <w:rFonts w:hint="eastAsia" w:ascii="宋体" w:hAnsi="宋体" w:eastAsia="宋体" w:cs="宋体"/>
          <w:sz w:val="21"/>
          <w:szCs w:val="21"/>
          <w:highlight w:val="none"/>
        </w:rPr>
      </w:pPr>
      <w:r>
        <w:rPr>
          <w:rFonts w:hint="eastAsia" w:ascii="宋体" w:hAnsi="宋体" w:eastAsia="宋体" w:cs="宋体"/>
          <w:b/>
          <w:bCs/>
          <w:sz w:val="21"/>
          <w:szCs w:val="21"/>
          <w:highlight w:val="none"/>
          <w:lang w:val="en-US" w:eastAsia="zh-CN"/>
        </w:rPr>
        <w:t>3.3</w:t>
      </w:r>
      <w:r>
        <w:rPr>
          <w:rFonts w:hint="eastAsia" w:ascii="宋体" w:hAnsi="宋体" w:eastAsia="宋体" w:cs="宋体"/>
          <w:sz w:val="21"/>
          <w:szCs w:val="21"/>
          <w:highlight w:val="none"/>
        </w:rPr>
        <w:t>五官保健</w:t>
      </w:r>
      <w:r>
        <w:rPr>
          <w:rFonts w:hint="eastAsia" w:ascii="宋体" w:hAnsi="宋体" w:eastAsia="宋体" w:cs="宋体"/>
          <w:sz w:val="21"/>
          <w:szCs w:val="21"/>
          <w:highlight w:val="none"/>
          <w:lang w:eastAsia="zh-CN"/>
        </w:rPr>
        <w:t>：</w:t>
      </w:r>
      <w:r>
        <w:rPr>
          <w:rFonts w:hint="eastAsia" w:ascii="宋体" w:hAnsi="宋体" w:eastAsia="宋体" w:cs="宋体"/>
          <w:b/>
          <w:sz w:val="21"/>
          <w:szCs w:val="21"/>
          <w:highlight w:val="none"/>
        </w:rPr>
        <w:t>口腔保健：</w:t>
      </w:r>
      <w:r>
        <w:rPr>
          <w:rFonts w:hint="eastAsia" w:ascii="宋体" w:hAnsi="宋体" w:eastAsia="宋体" w:cs="宋体"/>
          <w:color w:val="000000"/>
          <w:kern w:val="0"/>
          <w:sz w:val="21"/>
          <w:szCs w:val="21"/>
          <w:highlight w:val="none"/>
        </w:rPr>
        <w:t>口腔检查、龋齿防治、一键填充乳牙、诊断结果、处理意见、健康指导、检查报告、建议模板维护</w:t>
      </w:r>
      <w:r>
        <w:rPr>
          <w:rFonts w:hint="eastAsia" w:ascii="宋体" w:hAnsi="宋体" w:eastAsia="宋体" w:cs="宋体"/>
          <w:sz w:val="21"/>
          <w:szCs w:val="21"/>
          <w:highlight w:val="none"/>
        </w:rPr>
        <w:t>。</w:t>
      </w:r>
    </w:p>
    <w:p w14:paraId="0CDD2461">
      <w:pPr>
        <w:spacing w:line="360" w:lineRule="auto"/>
        <w:rPr>
          <w:rFonts w:hint="eastAsia" w:ascii="宋体" w:hAnsi="宋体" w:eastAsia="宋体" w:cs="宋体"/>
          <w:sz w:val="21"/>
          <w:szCs w:val="21"/>
          <w:highlight w:val="none"/>
        </w:rPr>
      </w:pPr>
      <w:r>
        <w:rPr>
          <w:rFonts w:hint="eastAsia" w:ascii="宋体" w:hAnsi="宋体" w:eastAsia="宋体" w:cs="宋体"/>
          <w:b/>
          <w:sz w:val="21"/>
          <w:szCs w:val="21"/>
          <w:highlight w:val="none"/>
        </w:rPr>
        <w:t>眼保健：</w:t>
      </w:r>
      <w:r>
        <w:rPr>
          <w:rFonts w:hint="eastAsia" w:ascii="宋体" w:hAnsi="宋体" w:eastAsia="宋体" w:cs="宋体"/>
          <w:color w:val="000000"/>
          <w:kern w:val="0"/>
          <w:sz w:val="21"/>
          <w:szCs w:val="21"/>
          <w:highlight w:val="none"/>
        </w:rPr>
        <w:t>主诉、眼外观、眼底筛查、屈光视力检查、眼位检查、诊断结果、干预处理、健康指导、检查报告、建议模板维护</w:t>
      </w:r>
      <w:r>
        <w:rPr>
          <w:rFonts w:hint="eastAsia" w:ascii="宋体" w:hAnsi="宋体" w:eastAsia="宋体" w:cs="宋体"/>
          <w:sz w:val="21"/>
          <w:szCs w:val="21"/>
          <w:highlight w:val="none"/>
        </w:rPr>
        <w:t>。</w:t>
      </w:r>
    </w:p>
    <w:p w14:paraId="34FBE92F">
      <w:pPr>
        <w:spacing w:line="360" w:lineRule="auto"/>
        <w:rPr>
          <w:rFonts w:hint="eastAsia" w:ascii="宋体" w:hAnsi="宋体" w:eastAsia="宋体" w:cs="宋体"/>
          <w:sz w:val="21"/>
          <w:szCs w:val="21"/>
          <w:highlight w:val="none"/>
        </w:rPr>
      </w:pPr>
      <w:r>
        <w:rPr>
          <w:rFonts w:hint="eastAsia" w:ascii="宋体" w:hAnsi="宋体" w:eastAsia="宋体" w:cs="宋体"/>
          <w:b/>
          <w:sz w:val="21"/>
          <w:szCs w:val="21"/>
          <w:highlight w:val="none"/>
        </w:rPr>
        <w:t>耳鼻保健：</w:t>
      </w:r>
      <w:r>
        <w:rPr>
          <w:rFonts w:hint="eastAsia" w:ascii="宋体" w:hAnsi="宋体" w:eastAsia="宋体" w:cs="宋体"/>
          <w:color w:val="000000"/>
          <w:kern w:val="0"/>
          <w:sz w:val="21"/>
          <w:szCs w:val="21"/>
          <w:highlight w:val="none"/>
        </w:rPr>
        <w:t>鼻部检查、耳部检查、听力检查、诊断结果、干预处理、健康指导、检查报告、建议模板维护</w:t>
      </w:r>
      <w:r>
        <w:rPr>
          <w:rFonts w:hint="eastAsia" w:ascii="宋体" w:hAnsi="宋体" w:eastAsia="宋体" w:cs="宋体"/>
          <w:sz w:val="21"/>
          <w:szCs w:val="21"/>
          <w:highlight w:val="none"/>
        </w:rPr>
        <w:t>。</w:t>
      </w:r>
    </w:p>
    <w:p w14:paraId="0DBFDBFD">
      <w:pPr>
        <w:numPr>
          <w:ilvl w:val="0"/>
          <w:numId w:val="0"/>
        </w:numPr>
        <w:spacing w:line="360" w:lineRule="auto"/>
        <w:ind w:left="-360" w:leftChars="0" w:firstLine="422" w:firstLineChars="200"/>
        <w:rPr>
          <w:rFonts w:hint="eastAsia" w:ascii="宋体" w:hAnsi="宋体" w:eastAsia="宋体" w:cs="宋体"/>
          <w:sz w:val="21"/>
          <w:szCs w:val="21"/>
          <w:highlight w:val="none"/>
        </w:rPr>
      </w:pPr>
      <w:r>
        <w:rPr>
          <w:rFonts w:hint="eastAsia" w:ascii="宋体" w:hAnsi="宋体" w:eastAsia="宋体" w:cs="宋体"/>
          <w:b/>
          <w:sz w:val="21"/>
          <w:szCs w:val="21"/>
          <w:highlight w:val="none"/>
        </w:rPr>
        <w:t>听力筛查：</w:t>
      </w:r>
      <w:r>
        <w:rPr>
          <w:rFonts w:hint="eastAsia" w:ascii="宋体" w:hAnsi="宋体" w:eastAsia="宋体" w:cs="宋体"/>
          <w:sz w:val="21"/>
          <w:szCs w:val="21"/>
          <w:highlight w:val="none"/>
        </w:rPr>
        <w:t>支持听力保健基本信息登记。</w:t>
      </w:r>
    </w:p>
    <w:p w14:paraId="2F0B7EB0">
      <w:pPr>
        <w:widowControl w:val="0"/>
        <w:spacing w:line="360" w:lineRule="auto"/>
        <w:ind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3.4</w:t>
      </w:r>
      <w:r>
        <w:rPr>
          <w:rFonts w:hint="eastAsia" w:ascii="宋体" w:hAnsi="宋体" w:eastAsia="宋体" w:cs="宋体"/>
          <w:kern w:val="2"/>
          <w:sz w:val="21"/>
          <w:szCs w:val="21"/>
          <w:highlight w:val="none"/>
          <w:lang w:val="en-US" w:eastAsia="zh-CN" w:bidi="ar-SA"/>
        </w:rPr>
        <w:t>量表评估：支持评估量结果快速录入；支持在电脑端采用问答模式录入；支持微信端自助量表填写；支持自助测评机自助测评；支持Windows平板电脑自助测评；自动计算分析量表测评结果并自动给出评估建议。</w:t>
      </w:r>
    </w:p>
    <w:p w14:paraId="2B93BDDE">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提供发育筛查类、发育诊断类、能力评定类、语言发育类、行为症状测评类、孤独症评估类、多动症评估类、注意力与学习类、气质与人格评定类、睡眠养育类等量表不低于</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0个。包括但不限于以下量表：</w:t>
      </w:r>
    </w:p>
    <w:p w14:paraId="71998BF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sz w:val="21"/>
          <w:szCs w:val="21"/>
          <w:highlight w:val="none"/>
        </w:rPr>
        <w:t>生长发育监测</w:t>
      </w:r>
    </w:p>
    <w:p w14:paraId="1ECFE69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1）体格检查（九城市2005版/国内2009版/2022版）</w:t>
      </w:r>
    </w:p>
    <w:p w14:paraId="69715B37">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2）体格检查（WHO版2006版/2015版）</w:t>
      </w:r>
    </w:p>
    <w:p w14:paraId="64095CD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3）口腔保健、儿童口腔筛查</w:t>
      </w:r>
    </w:p>
    <w:p w14:paraId="1C616C08">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4）视力、听力保健、二级视力筛查</w:t>
      </w:r>
    </w:p>
    <w:p w14:paraId="6EFF0ED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5）入园体检/入学体检</w:t>
      </w:r>
    </w:p>
    <w:p w14:paraId="593E82CD">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6）0-6岁跟踪随访</w:t>
      </w:r>
    </w:p>
    <w:p w14:paraId="04C2A9E7">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7）健康测评管理</w:t>
      </w:r>
    </w:p>
    <w:p w14:paraId="17CD4E51">
      <w:pPr>
        <w:spacing w:line="360" w:lineRule="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发育筛查类</w:t>
      </w:r>
    </w:p>
    <w:p w14:paraId="1864CB77">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1）新生儿20项行为神经测查（NBNA）</w:t>
      </w:r>
    </w:p>
    <w:p w14:paraId="065FBAC8">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2）丹佛发育筛查测验（DDST）</w:t>
      </w:r>
    </w:p>
    <w:p w14:paraId="1817B66A">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3）0~6岁儿童智能发育筛查测验（DST）</w:t>
      </w:r>
    </w:p>
    <w:p w14:paraId="37BBCE3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4）绘人测验（DPT）</w:t>
      </w:r>
    </w:p>
    <w:p w14:paraId="12A297F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5）联合瑞文推理测验（CRT）</w:t>
      </w:r>
    </w:p>
    <w:p w14:paraId="77D918E8">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6）学龄前50项智能筛查</w:t>
      </w:r>
    </w:p>
    <w:p w14:paraId="5BCC3488">
      <w:pPr>
        <w:spacing w:line="360" w:lineRule="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发育诊断类评定</w:t>
      </w:r>
    </w:p>
    <w:p w14:paraId="178395A8">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1）0~6岁儿童神经心理发育评估</w:t>
      </w:r>
    </w:p>
    <w:p w14:paraId="77915C2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2）GESELL发育诊断(上海版）</w:t>
      </w:r>
    </w:p>
    <w:p w14:paraId="0B0A5AF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3）GESELL发育诊断(北京版）</w:t>
      </w:r>
    </w:p>
    <w:p w14:paraId="008C084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4）贝利婴幼儿发展评估（BSID）</w:t>
      </w:r>
    </w:p>
    <w:p w14:paraId="542CED0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5）0~3岁婴幼儿发育评估（CDCC）</w:t>
      </w:r>
    </w:p>
    <w:p w14:paraId="186A885C">
      <w:pPr>
        <w:spacing w:line="360" w:lineRule="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认知能力类</w:t>
      </w:r>
    </w:p>
    <w:p w14:paraId="053BE8F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1）小韦氏智力测验</w:t>
      </w:r>
    </w:p>
    <w:p w14:paraId="66B5BC1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2）大韦氏智力测验</w:t>
      </w:r>
    </w:p>
    <w:p w14:paraId="1E490ABC">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3）大韦氏智力测验（北师大版）</w:t>
      </w:r>
    </w:p>
    <w:p w14:paraId="10906CE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4）成人韦氏智力测验</w:t>
      </w:r>
    </w:p>
    <w:p w14:paraId="5F6B3587">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5）韦氏记忆测验</w:t>
      </w:r>
    </w:p>
    <w:p w14:paraId="2E2C4465">
      <w:pPr>
        <w:spacing w:line="360" w:lineRule="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运动功能类</w:t>
      </w:r>
    </w:p>
    <w:p w14:paraId="5A64149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1）0-1岁神经运动检查</w:t>
      </w:r>
    </w:p>
    <w:p w14:paraId="3BF8B9CD">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2）运动发育量表（Peabody）</w:t>
      </w:r>
    </w:p>
    <w:p w14:paraId="06CC2CD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3）婴幼儿运动量表（Alberta）</w:t>
      </w:r>
    </w:p>
    <w:p w14:paraId="74553FF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4）神经运动检查量表(INFANIB)</w:t>
      </w:r>
    </w:p>
    <w:p w14:paraId="71F6043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5）日常生活活动能力评定(ADL)</w:t>
      </w:r>
    </w:p>
    <w:p w14:paraId="0E89A2A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6）粗大运动功能测试（GMFM）</w:t>
      </w:r>
    </w:p>
    <w:p w14:paraId="12436C0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7）精细运动功能测试（FMFM）</w:t>
      </w:r>
    </w:p>
    <w:p w14:paraId="59329F6F">
      <w:pPr>
        <w:spacing w:line="360" w:lineRule="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语言能力类</w:t>
      </w:r>
    </w:p>
    <w:p w14:paraId="1B4422A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1）早期语言发育进程量表（EIMS）</w:t>
      </w:r>
    </w:p>
    <w:p w14:paraId="4797E47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2）图片词汇测试(PPVT)</w:t>
      </w:r>
    </w:p>
    <w:p w14:paraId="7D4DBDA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3）语言发育迟缓检查法（S-S法）</w:t>
      </w:r>
    </w:p>
    <w:p w14:paraId="01B6829B">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4）象征性游戏（SPT）</w:t>
      </w:r>
    </w:p>
    <w:p w14:paraId="61490932">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5）构音量表</w:t>
      </w:r>
    </w:p>
    <w:p w14:paraId="3EB054C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sz w:val="21"/>
          <w:szCs w:val="21"/>
          <w:highlight w:val="none"/>
          <w:lang w:val="en-US" w:eastAsia="zh-CN"/>
        </w:rPr>
        <w:t>儿童行为类</w:t>
      </w:r>
    </w:p>
    <w:p w14:paraId="01B7A32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1）Conners儿童行为问卷（父母用）</w:t>
      </w:r>
    </w:p>
    <w:p w14:paraId="7B6D2D7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2）Conners教师评定量表</w:t>
      </w:r>
    </w:p>
    <w:p w14:paraId="67F9B70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3）Conner 行为诊断简易量表</w:t>
      </w:r>
    </w:p>
    <w:p w14:paraId="7B5EA03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4）Achenbach儿童行为量表(CBCL4-16岁)</w:t>
      </w:r>
    </w:p>
    <w:p w14:paraId="68EBEB7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5）Achenbach儿童行为量表(CBCL 2-3岁)</w:t>
      </w:r>
    </w:p>
    <w:p w14:paraId="752D1372">
      <w:pPr>
        <w:spacing w:line="360" w:lineRule="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睡眠行为与气质评定类</w:t>
      </w:r>
    </w:p>
    <w:p w14:paraId="29B2D19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1）匹茨堡睡眠质量(PSQL)</w:t>
      </w:r>
    </w:p>
    <w:p w14:paraId="650FA87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2）失眠严重程度指数量表（ISI）</w:t>
      </w:r>
    </w:p>
    <w:p w14:paraId="15352D3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3）嗜睡量表（EPWORTH）</w:t>
      </w:r>
    </w:p>
    <w:p w14:paraId="7313BA72">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4）儿童睡眠紊乱量表</w:t>
      </w:r>
    </w:p>
    <w:p w14:paraId="3249036B">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5）3-12岁儿童睡眠问卷</w:t>
      </w:r>
    </w:p>
    <w:p w14:paraId="7A6F617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6）0-2岁婴幼儿睡眠评估问卷</w:t>
      </w:r>
    </w:p>
    <w:p w14:paraId="0850F78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7）0-3月婴儿睡眠状况评估量表</w:t>
      </w:r>
    </w:p>
    <w:p w14:paraId="46D5668A">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8）4-8月婴幼儿气质量表</w:t>
      </w:r>
    </w:p>
    <w:p w14:paraId="6121A22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9）1-3岁幼儿气质量表</w:t>
      </w:r>
    </w:p>
    <w:p w14:paraId="7C64969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10）3-7岁儿童气质量表</w:t>
      </w:r>
    </w:p>
    <w:p w14:paraId="3BC3E17D">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sz w:val="21"/>
          <w:szCs w:val="21"/>
          <w:highlight w:val="none"/>
          <w:lang w:val="en-US" w:eastAsia="zh-CN"/>
        </w:rPr>
        <w:t>孤独症谱系障碍筛查诊断类</w:t>
      </w:r>
    </w:p>
    <w:p w14:paraId="479D0117">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1）婴幼儿孤独症筛查表（CHAT）</w:t>
      </w:r>
    </w:p>
    <w:p w14:paraId="40031F3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2）改良婴幼儿孤独症量表（M-CHAT）</w:t>
      </w:r>
    </w:p>
    <w:p w14:paraId="7CA1643A">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3）改良婴幼儿孤独症量表（M-CHAT-R/F）</w:t>
      </w:r>
    </w:p>
    <w:p w14:paraId="6B2B22D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4）孤独症行为量表（ABC）</w:t>
      </w:r>
    </w:p>
    <w:p w14:paraId="65EEEC98">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5）克氏孤独症行为量表（CABS）</w:t>
      </w:r>
    </w:p>
    <w:p w14:paraId="5137AB5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6）儿童期孤独症评定量表（CARS）</w:t>
      </w:r>
    </w:p>
    <w:p w14:paraId="220F165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7）自闭症儿童心理教育评核（PEP-3）</w:t>
      </w:r>
    </w:p>
    <w:p w14:paraId="72F5A9ED">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8）自闭症儿童心理教育评核（CPEP-3）</w:t>
      </w:r>
    </w:p>
    <w:p w14:paraId="23F115C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9）孤独症谱系障碍诊断（DSM-V）</w:t>
      </w:r>
    </w:p>
    <w:p w14:paraId="4B51371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sz w:val="21"/>
          <w:szCs w:val="21"/>
          <w:highlight w:val="none"/>
          <w:lang w:val="en-US" w:eastAsia="zh-CN"/>
        </w:rPr>
        <w:t>注意力缺陷多动与抽动障碍类评定</w:t>
      </w:r>
    </w:p>
    <w:p w14:paraId="5B8C17D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1）功能缺陷评定（Weiss）</w:t>
      </w:r>
    </w:p>
    <w:p w14:paraId="53B34E0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2）注意缺陷多动障碍(SNAP-Ⅳ)</w:t>
      </w:r>
    </w:p>
    <w:p w14:paraId="3179B43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3）学前幼儿版SNAP-IV量表</w:t>
      </w:r>
    </w:p>
    <w:p w14:paraId="6BCBC0D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4）Vanderbilt ADHD诊断评定量表（父母版）</w:t>
      </w:r>
    </w:p>
    <w:p w14:paraId="450E53C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5）Vanderbilt ADHD诊断评定量表（教师版）</w:t>
      </w:r>
    </w:p>
    <w:p w14:paraId="6CE5748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6）ADHD随访问卷（父母版）</w:t>
      </w:r>
    </w:p>
    <w:p w14:paraId="25830998">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7）ADHD随访问卷（教师版）</w:t>
      </w:r>
    </w:p>
    <w:p w14:paraId="066F5A2D">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8）多动症诊断量表注意力分散&amp;多动(ADHD RS-IV)</w:t>
      </w:r>
    </w:p>
    <w:p w14:paraId="4C47D8A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9）注意缺陷多动症障碍ADHD（DSM-V）</w:t>
      </w:r>
    </w:p>
    <w:p w14:paraId="48486F7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10）ADHD诊断评定量表（DIPA）</w:t>
      </w:r>
    </w:p>
    <w:p w14:paraId="3E23C5D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11）成人ADHD症状核查（ASRS）</w:t>
      </w:r>
    </w:p>
    <w:p w14:paraId="25401ACB">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sz w:val="21"/>
          <w:szCs w:val="21"/>
          <w:highlight w:val="none"/>
          <w:lang w:val="en-US" w:eastAsia="zh-CN"/>
        </w:rPr>
        <w:t>抽动、焦虑、抑郁、情绪类量表</w:t>
      </w:r>
    </w:p>
    <w:p w14:paraId="392999A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1）耶鲁综合抽动严重程度量表(YGTSS)</w:t>
      </w:r>
    </w:p>
    <w:p w14:paraId="026464B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2）抽动障碍先兆冲动量表（PUTS）</w:t>
      </w:r>
    </w:p>
    <w:p w14:paraId="34D87D8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3）抑郁自评（SDS）</w:t>
      </w:r>
    </w:p>
    <w:p w14:paraId="21A475B2">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4）儿童抑郁障碍自评量表(DSRSC)</w:t>
      </w:r>
    </w:p>
    <w:p w14:paraId="769CBD6C">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5）抑郁评定量表（MADRS）</w:t>
      </w:r>
    </w:p>
    <w:p w14:paraId="38A90C6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6）纽卡斯尔抑郁诊断量表（NDI）</w:t>
      </w:r>
    </w:p>
    <w:p w14:paraId="5513537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7）抑郁体验问卷（DEQ）</w:t>
      </w:r>
    </w:p>
    <w:p w14:paraId="0B4E6704">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8）CES-D流调用抑郁自评量表</w:t>
      </w:r>
    </w:p>
    <w:p w14:paraId="06753F80">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9）Beck抑郁问卷（BDI）</w:t>
      </w:r>
    </w:p>
    <w:p w14:paraId="1BA3236A">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10）抑郁状态问卷(DSI)</w:t>
      </w:r>
    </w:p>
    <w:p w14:paraId="36198F7A">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11）KADS抑郁筛查量表</w:t>
      </w:r>
    </w:p>
    <w:p w14:paraId="45C7BB5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12）抑郁症状筛查量表（PHQ-9）</w:t>
      </w:r>
    </w:p>
    <w:p w14:paraId="7B2E942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sz w:val="21"/>
          <w:szCs w:val="21"/>
          <w:highlight w:val="none"/>
          <w:lang w:val="en-US" w:eastAsia="zh-CN"/>
        </w:rPr>
        <w:t>个性心理类量表</w:t>
      </w:r>
    </w:p>
    <w:p w14:paraId="3F02EDA2">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1）艾森克个性测验（EPQ-RT）</w:t>
      </w:r>
    </w:p>
    <w:p w14:paraId="2910D93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2）艾森克成人个性测验（EPQ-RT）</w:t>
      </w:r>
    </w:p>
    <w:p w14:paraId="5EBB225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3）艾森克情绪稳定性测验</w:t>
      </w:r>
    </w:p>
    <w:p w14:paraId="0522C3F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4）卡特尔16种人格因素测验</w:t>
      </w:r>
    </w:p>
    <w:p w14:paraId="1E33976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5）健康状况调查问卷(SF-36)</w:t>
      </w:r>
    </w:p>
    <w:p w14:paraId="256152D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6）90项症状清单（SCL）</w:t>
      </w:r>
    </w:p>
    <w:p w14:paraId="58E3161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7）家庭环境量表（FES）</w:t>
      </w:r>
    </w:p>
    <w:p w14:paraId="632BC0D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b/>
          <w:sz w:val="21"/>
          <w:szCs w:val="21"/>
          <w:highlight w:val="none"/>
          <w:lang w:val="en-US" w:eastAsia="zh-CN"/>
        </w:rPr>
        <w:t>社会生活类量表</w:t>
      </w:r>
    </w:p>
    <w:p w14:paraId="197A42C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1）婴儿-初中社会生活能力评定（S-M）</w:t>
      </w:r>
    </w:p>
    <w:p w14:paraId="1C68587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2）儿童困难问卷（QCD）</w:t>
      </w:r>
    </w:p>
    <w:p w14:paraId="28072E8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3）家庭教育方式问卷（FUSQ）</w:t>
      </w:r>
    </w:p>
    <w:p w14:paraId="3D1CA0E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4）父母养育方式评价量表（EMBU）</w:t>
      </w:r>
    </w:p>
    <w:p w14:paraId="00B126E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5）家庭功能评定（FAD）</w:t>
      </w:r>
    </w:p>
    <w:p w14:paraId="6B7A128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6）感觉统合综合评定</w:t>
      </w:r>
    </w:p>
    <w:p w14:paraId="279A2FA7">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7）儿童学习适应性调查表</w:t>
      </w:r>
    </w:p>
    <w:p w14:paraId="636C1C4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儿</w:t>
      </w:r>
      <w:r>
        <w:rPr>
          <w:rFonts w:hint="eastAsia" w:ascii="宋体" w:hAnsi="宋体" w:eastAsia="宋体" w:cs="宋体"/>
          <w:b/>
          <w:sz w:val="21"/>
          <w:szCs w:val="21"/>
          <w:highlight w:val="none"/>
          <w:lang w:val="en-US" w:eastAsia="zh-CN"/>
        </w:rPr>
        <w:t>科营养与过敏、哮喘等测评类量表</w:t>
      </w:r>
    </w:p>
    <w:p w14:paraId="684F45FD">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1）营养风险筛查表（STRONGkids）</w:t>
      </w:r>
    </w:p>
    <w:p w14:paraId="758C3D77">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2）儿科营养不良评估筛查工具(STAMP)</w:t>
      </w:r>
    </w:p>
    <w:p w14:paraId="24F3243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3）儿童营养风险筛查评分 (PNRS) </w:t>
      </w:r>
    </w:p>
    <w:p w14:paraId="557697D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4）儿童饮食行为（IMFeD）</w:t>
      </w:r>
    </w:p>
    <w:p w14:paraId="401DBBFB">
      <w:pPr>
        <w:spacing w:line="360" w:lineRule="auto"/>
        <w:rPr>
          <w:rFonts w:hint="eastAsia" w:ascii="宋体" w:hAnsi="宋体" w:eastAsia="宋体" w:cs="宋体"/>
          <w:b/>
          <w:sz w:val="21"/>
          <w:szCs w:val="21"/>
          <w:highlight w:val="none"/>
          <w:lang w:val="en-US" w:eastAsia="zh-CN"/>
        </w:rPr>
      </w:pPr>
      <w:r>
        <w:rPr>
          <w:rFonts w:hint="eastAsia" w:ascii="宋体" w:hAnsi="宋体" w:eastAsia="宋体" w:cs="宋体"/>
          <w:sz w:val="21"/>
          <w:szCs w:val="21"/>
          <w:highlight w:val="none"/>
          <w:lang w:val="en-US" w:eastAsia="zh-CN"/>
        </w:rPr>
        <w:t>5）SGNA评价表</w:t>
      </w:r>
    </w:p>
    <w:p w14:paraId="2ED6EE6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w:t>
      </w:r>
      <w:r>
        <w:rPr>
          <w:rFonts w:hint="eastAsia" w:ascii="宋体" w:hAnsi="宋体" w:eastAsia="宋体" w:cs="宋体"/>
          <w:b/>
          <w:sz w:val="21"/>
          <w:szCs w:val="21"/>
          <w:highlight w:val="none"/>
          <w:lang w:val="en-US" w:eastAsia="zh-CN"/>
        </w:rPr>
        <w:t>专案管理</w:t>
      </w:r>
    </w:p>
    <w:p w14:paraId="74F68F8C">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1）高危儿专案管理</w:t>
      </w:r>
    </w:p>
    <w:p w14:paraId="77A9E09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2）肥胖儿专案管理</w:t>
      </w:r>
    </w:p>
    <w:p w14:paraId="0186569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3）情绪障碍儿童专案管理</w:t>
      </w:r>
    </w:p>
    <w:p w14:paraId="767AB963">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4）抽动障碍专案管理</w:t>
      </w:r>
    </w:p>
    <w:p w14:paraId="580F9431">
      <w:pPr>
        <w:numPr>
          <w:ilvl w:val="0"/>
          <w:numId w:val="0"/>
        </w:numPr>
        <w:spacing w:before="156" w:beforeLines="50" w:after="156" w:afterLines="50" w:line="360" w:lineRule="auto"/>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5）注意力多动障碍专案管理</w:t>
      </w:r>
    </w:p>
    <w:p w14:paraId="5B12D01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康复量表</w:t>
      </w:r>
    </w:p>
    <w:p w14:paraId="560D056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1.米勒评定法</w:t>
      </w:r>
    </w:p>
    <w:p w14:paraId="529CF056">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2.运动评定量表</w:t>
      </w:r>
    </w:p>
    <w:p w14:paraId="61E26AC8">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3.改良韦氏综合评分量表</w:t>
      </w:r>
    </w:p>
    <w:p w14:paraId="768DA0E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4.Berg平衡量表</w:t>
      </w:r>
    </w:p>
    <w:p w14:paraId="2E7C36BF">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5.动态步态指数</w:t>
      </w:r>
    </w:p>
    <w:p w14:paraId="0ED5252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6.功能性步态评价</w:t>
      </w:r>
    </w:p>
    <w:p w14:paraId="02D2730E">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7.林氏平衡量表</w:t>
      </w:r>
    </w:p>
    <w:p w14:paraId="169A6AFB">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8.心理健康诊断测试</w:t>
      </w:r>
    </w:p>
    <w:p w14:paraId="654D6F3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9.Piers-Harris儿童自我意识量表</w:t>
      </w:r>
    </w:p>
    <w:p w14:paraId="6CA69257">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10.医院焦虑抑郁量表</w:t>
      </w:r>
    </w:p>
    <w:p w14:paraId="26BD5AA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11.杨氏狂躁症评定量表</w:t>
      </w:r>
    </w:p>
    <w:p w14:paraId="588BFB59">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▲1.视力训练</w:t>
      </w:r>
    </w:p>
    <w:p w14:paraId="5EA77B38">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2.眼肌恢复训练</w:t>
      </w:r>
    </w:p>
    <w:p w14:paraId="099335C5">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3.散光恢复训练</w:t>
      </w:r>
    </w:p>
    <w:p w14:paraId="3C0E1CFB">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4.斜视恢复训练</w:t>
      </w:r>
    </w:p>
    <w:p w14:paraId="6CA575B1">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5.色觉测试</w:t>
      </w:r>
    </w:p>
    <w:p w14:paraId="1341DFDF">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p>
    <w:p w14:paraId="3DBD9EE4">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p>
    <w:p w14:paraId="5A0B6701">
      <w:pPr>
        <w:numPr>
          <w:ilvl w:val="0"/>
          <w:numId w:val="0"/>
        </w:numPr>
        <w:spacing w:line="360" w:lineRule="auto"/>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四、配置清单：</w:t>
      </w:r>
    </w:p>
    <w:p w14:paraId="3E26D1F0">
      <w:pPr>
        <w:numPr>
          <w:ilvl w:val="0"/>
          <w:numId w:val="0"/>
        </w:num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1、ABS豪华推车一台</w:t>
      </w:r>
    </w:p>
    <w:p w14:paraId="3FE47D9C">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2、一体机一台</w:t>
      </w:r>
    </w:p>
    <w:p w14:paraId="5247C2AA">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3、无线键盘鼠标套装一套</w:t>
      </w:r>
    </w:p>
    <w:p w14:paraId="4A8A0021">
      <w:pPr>
        <w:widowControl w:val="0"/>
        <w:spacing w:line="360" w:lineRule="auto"/>
        <w:ind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4.儿心工具箱、早期语言工具箱、</w:t>
      </w:r>
    </w:p>
    <w:p w14:paraId="1BE6BF09">
      <w:pPr>
        <w:widowControl w:val="0"/>
        <w:spacing w:line="360" w:lineRule="auto"/>
        <w:ind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大韦氏工具箱、小韦氏工具箱、GESELL工具箱。</w:t>
      </w:r>
    </w:p>
    <w:p w14:paraId="0EF21270">
      <w:pPr>
        <w:spacing w:line="360" w:lineRule="auto"/>
        <w:rPr>
          <w:rFonts w:hint="eastAsia" w:ascii="宋体" w:hAnsi="宋体" w:eastAsia="宋体" w:cs="宋体"/>
          <w:b/>
          <w:bCs/>
          <w:kern w:val="0"/>
          <w:sz w:val="21"/>
          <w:szCs w:val="21"/>
          <w:highlight w:val="none"/>
          <w:lang w:val="en-US" w:eastAsia="zh-CN" w:bidi="ar"/>
        </w:rPr>
      </w:pPr>
    </w:p>
    <w:p w14:paraId="5E1DADFD">
      <w:pP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数量要求：1</w:t>
      </w:r>
    </w:p>
    <w:p w14:paraId="1F5BCF24">
      <w:pP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br w:type="page"/>
      </w:r>
    </w:p>
    <w:p w14:paraId="6BA7712F">
      <w:pPr>
        <w:spacing w:line="360" w:lineRule="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3、</w:t>
      </w:r>
      <w:r>
        <w:rPr>
          <w:rFonts w:hint="eastAsia" w:ascii="宋体" w:hAnsi="宋体" w:eastAsia="宋体" w:cs="宋体"/>
          <w:b/>
          <w:bCs/>
          <w:sz w:val="21"/>
          <w:szCs w:val="21"/>
          <w:highlight w:val="none"/>
        </w:rPr>
        <w:t>吞咽障碍治疗仪</w:t>
      </w:r>
    </w:p>
    <w:p w14:paraId="4E7BE62D">
      <w:pPr>
        <w:keepNext w:val="0"/>
        <w:keepLines w:val="0"/>
        <w:widowControl/>
        <w:numPr>
          <w:ilvl w:val="0"/>
          <w:numId w:val="24"/>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功能描述</w:t>
      </w:r>
      <w:r>
        <w:rPr>
          <w:rFonts w:hint="eastAsia" w:ascii="宋体" w:hAnsi="宋体" w:eastAsia="宋体" w:cs="宋体"/>
          <w:kern w:val="0"/>
          <w:sz w:val="21"/>
          <w:szCs w:val="21"/>
          <w:highlight w:val="none"/>
          <w:lang w:val="en-US" w:eastAsia="zh-CN" w:bidi="ar"/>
        </w:rPr>
        <w:t xml:space="preserve"> </w:t>
      </w:r>
    </w:p>
    <w:p w14:paraId="70BD50AD">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吞咽障碍治疗仪具有吞咽功能恢复、唾液分泌增加、口腔干燥改善、下颌运动协调、吞咽安全性增强等功效和作用。</w:t>
      </w:r>
    </w:p>
    <w:p w14:paraId="44EE4656">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1.吞咽功能恢复通过特定频率的电刺激或声波刺激来模拟吞咽动作，促进神经肌肉的兴奋性和协调性，从而达到恢复吞咽功能的目的。 </w:t>
      </w:r>
    </w:p>
    <w:p w14:paraId="7DB64F9F">
      <w:pPr>
        <w:keepNext w:val="0"/>
        <w:keepLines w:val="0"/>
        <w:widowControl/>
        <w:numPr>
          <w:ilvl w:val="0"/>
          <w:numId w:val="0"/>
        </w:numPr>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2.唾液分泌增加 刺激舌根部的神经反射中枢，引起唾液腺分泌增多，以润滑食物，便于吞咽。</w:t>
      </w:r>
    </w:p>
    <w:p w14:paraId="0FBA0D63">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3.口腔干燥改善 提高口腔内的湿度，减少因缺水引起的黏膜损伤，缓解口干症状。</w:t>
      </w:r>
    </w:p>
    <w:p w14:paraId="67BEEE22">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4.下颌运动协调 通过特定程序调节下颌运动模式，增强其对咀嚼肌群的控制能力，使下颌运动更加协调。</w:t>
      </w:r>
    </w:p>
    <w:p w14:paraId="4316586B">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5.吞咽安全性增强 监测患者的吞咽过程，并给予实时反馈，帮助识别潜在的风险，确保吞咽的安全性。</w:t>
      </w:r>
    </w:p>
    <w:p w14:paraId="0E7F9FF1">
      <w:pPr>
        <w:keepNext w:val="0"/>
        <w:keepLines w:val="0"/>
        <w:widowControl/>
        <w:numPr>
          <w:ilvl w:val="0"/>
          <w:numId w:val="0"/>
        </w:numPr>
        <w:suppressLineNumbers w:val="0"/>
        <w:spacing w:line="360" w:lineRule="auto"/>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二、应用范围</w:t>
      </w:r>
    </w:p>
    <w:p w14:paraId="34B4BA19">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用于治疗任何原因引起的吞咽功能障碍患者。（机械原理造成的需手术治疗的吞咽障碍除外）</w:t>
      </w:r>
    </w:p>
    <w:p w14:paraId="3B581AE5">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三、技术特点</w:t>
      </w:r>
    </w:p>
    <w:p w14:paraId="6B19AF16">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1、双通道独立治疗模式。</w:t>
      </w:r>
    </w:p>
    <w:p w14:paraId="411E358A">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2、主、被动双重治疗模式。</w:t>
      </w:r>
    </w:p>
    <w:p w14:paraId="44D52096">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3、吞咽触发刺激治疗模式。</w:t>
      </w:r>
    </w:p>
    <w:p w14:paraId="110DE6D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4、配备主动治疗遥控装置，患者可跟进自身吞咽需求自主治疗。</w:t>
      </w:r>
    </w:p>
    <w:p w14:paraId="00CAA85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5、智能检测系统，可自动检测电极片与皮肤的接触状况，如果电极片与皮肤接触不良或电极片脱落实现自动停机保护。</w:t>
      </w:r>
    </w:p>
    <w:p w14:paraId="300D0D8F">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6、智能的生物电流分离选择模式，医生可根据治疗及临床研究需要任意调节刺激电流的脉冲宽度、脉冲频率，以电流的上升、下降和强弱，分为儿童、少年、成年、老年、自设五种处方选择，实现不同人群的治疗需求，提高治疗效果。</w:t>
      </w:r>
    </w:p>
    <w:p w14:paraId="1CC80BD6">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四、技术参数</w:t>
      </w:r>
    </w:p>
    <w:p w14:paraId="7496F1BB">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1、不低于8英寸非触摸屏 </w:t>
      </w:r>
    </w:p>
    <w:p w14:paraId="5E1598D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▲2、输出电流强度：0-25mA可调，调节步距增量为0.5mA。</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3、自动抗阻检测系统。</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4、治疗波形参数：</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脉冲宽度：100-400uS可调，步距增量20uS。</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脉冲间隔：100-200uS可调，步距增量20uS。</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脉冲频率：40-100Hz可调，步距增量1Hz。</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电流上升时间：1-10S可调，步距增量1S。</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电流持续时间：6-60S可调，步距增量1S。</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电流下降时间：1-10S可调，步距增量1S。</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 xml:space="preserve">电流停止时间：1-10S可调，步距增量1S。 </w:t>
      </w:r>
    </w:p>
    <w:p w14:paraId="088F48B8">
      <w:pPr>
        <w:keepNext w:val="0"/>
        <w:keepLines w:val="0"/>
        <w:widowControl/>
        <w:numPr>
          <w:ilvl w:val="0"/>
          <w:numId w:val="25"/>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配置</w:t>
      </w:r>
      <w:r>
        <w:rPr>
          <w:rFonts w:hint="eastAsia" w:ascii="宋体" w:hAnsi="宋体" w:eastAsia="宋体" w:cs="宋体"/>
          <w:kern w:val="0"/>
          <w:sz w:val="21"/>
          <w:szCs w:val="21"/>
          <w:highlight w:val="none"/>
          <w:lang w:val="en-US" w:eastAsia="zh-CN" w:bidi="ar"/>
        </w:rPr>
        <w:t xml:space="preserve"> </w:t>
      </w:r>
    </w:p>
    <w:p w14:paraId="187CB719">
      <w:pPr>
        <w:keepNext w:val="0"/>
        <w:keepLines w:val="0"/>
        <w:widowControl/>
        <w:numPr>
          <w:ilvl w:val="0"/>
          <w:numId w:val="0"/>
        </w:numPr>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治疗主机1台、治疗导线2条、专用电极1袋、遥控器2个、说明书、合格证各1份、电源线1条。</w:t>
      </w:r>
    </w:p>
    <w:p w14:paraId="05C9920D">
      <w:pP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数量要求：1</w:t>
      </w:r>
    </w:p>
    <w:p w14:paraId="5EF45588">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66943584">
      <w:pPr>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4、</w:t>
      </w:r>
      <w:r>
        <w:rPr>
          <w:rFonts w:hint="eastAsia" w:ascii="宋体" w:hAnsi="宋体" w:eastAsia="宋体" w:cs="宋体"/>
          <w:b/>
          <w:bCs/>
          <w:sz w:val="21"/>
          <w:szCs w:val="21"/>
          <w:highlight w:val="none"/>
        </w:rPr>
        <w:t>言语口型矫正镜/书托</w:t>
      </w:r>
    </w:p>
    <w:p w14:paraId="178A4A17">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矫正镜：460X200X395mm；</w:t>
      </w:r>
    </w:p>
    <w:p w14:paraId="5791A76C">
      <w:pPr>
        <w:spacing w:line="360" w:lineRule="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重量：</w:t>
      </w:r>
      <w:r>
        <w:rPr>
          <w:rFonts w:hint="eastAsia" w:ascii="宋体" w:hAnsi="宋体" w:eastAsia="宋体" w:cs="宋体"/>
          <w:sz w:val="21"/>
          <w:szCs w:val="21"/>
          <w:highlight w:val="none"/>
          <w:lang w:val="en-US" w:eastAsia="zh-CN"/>
        </w:rPr>
        <w:t>不高于</w:t>
      </w:r>
      <w:r>
        <w:rPr>
          <w:rFonts w:hint="eastAsia" w:ascii="宋体" w:hAnsi="宋体" w:eastAsia="宋体" w:cs="宋体"/>
          <w:sz w:val="21"/>
          <w:szCs w:val="21"/>
          <w:highlight w:val="none"/>
        </w:rPr>
        <w:t>7.5kg；</w:t>
      </w:r>
    </w:p>
    <w:p w14:paraId="4B52360B">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rPr>
        <w:t>材质：优质木材表面清漆、高密度夹板。</w:t>
      </w:r>
    </w:p>
    <w:p w14:paraId="08BB8BFB">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1.3.功能：</w:t>
      </w:r>
      <w:r>
        <w:rPr>
          <w:rFonts w:hint="eastAsia" w:ascii="宋体" w:hAnsi="宋体" w:eastAsia="宋体" w:cs="宋体"/>
          <w:sz w:val="21"/>
          <w:szCs w:val="21"/>
          <w:highlight w:val="none"/>
        </w:rPr>
        <w:t>帮助儿童进行言语训练和口型矫正；材质：优质木材表面清漆、高密度夹板、高清玻璃镜面。</w:t>
      </w:r>
    </w:p>
    <w:p w14:paraId="1E1DECA0">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书托：460X400X300-320mm；</w:t>
      </w:r>
    </w:p>
    <w:p w14:paraId="43C7A72D">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2.1.</w:t>
      </w:r>
      <w:r>
        <w:rPr>
          <w:rFonts w:hint="eastAsia" w:ascii="宋体" w:hAnsi="宋体" w:eastAsia="宋体" w:cs="宋体"/>
          <w:sz w:val="21"/>
          <w:szCs w:val="21"/>
          <w:highlight w:val="none"/>
        </w:rPr>
        <w:t>重量：</w:t>
      </w:r>
      <w:r>
        <w:rPr>
          <w:rFonts w:hint="eastAsia" w:ascii="宋体" w:hAnsi="宋体" w:eastAsia="宋体" w:cs="宋体"/>
          <w:sz w:val="21"/>
          <w:szCs w:val="21"/>
          <w:highlight w:val="none"/>
          <w:lang w:val="en-US" w:eastAsia="zh-CN"/>
        </w:rPr>
        <w:t>不高于</w:t>
      </w:r>
      <w:r>
        <w:rPr>
          <w:rFonts w:hint="eastAsia" w:ascii="宋体" w:hAnsi="宋体" w:eastAsia="宋体" w:cs="宋体"/>
          <w:sz w:val="21"/>
          <w:szCs w:val="21"/>
          <w:highlight w:val="none"/>
        </w:rPr>
        <w:t>7.5kg；</w:t>
      </w:r>
    </w:p>
    <w:p w14:paraId="054051B1">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2.2.</w:t>
      </w:r>
      <w:r>
        <w:rPr>
          <w:rFonts w:hint="eastAsia" w:ascii="宋体" w:hAnsi="宋体" w:eastAsia="宋体" w:cs="宋体"/>
          <w:sz w:val="21"/>
          <w:szCs w:val="21"/>
          <w:highlight w:val="none"/>
        </w:rPr>
        <w:t>材质：优质木材表面清漆、高密度夹板。</w:t>
      </w:r>
    </w:p>
    <w:p w14:paraId="073F94D0">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2.3.功能：</w:t>
      </w:r>
      <w:r>
        <w:rPr>
          <w:rFonts w:hint="eastAsia" w:ascii="宋体" w:hAnsi="宋体" w:eastAsia="宋体" w:cs="宋体"/>
          <w:sz w:val="21"/>
          <w:szCs w:val="21"/>
          <w:highlight w:val="none"/>
        </w:rPr>
        <w:t>帮助儿童进行言语训练和口型矫正；材质：优质木材表面清漆、高密度夹板、高清玻璃镜面。</w:t>
      </w:r>
    </w:p>
    <w:p w14:paraId="4432BDB7">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数量要求：1套</w:t>
      </w:r>
    </w:p>
    <w:p w14:paraId="552E0FDA">
      <w:pPr>
        <w:widowControl w:val="0"/>
        <w:spacing w:line="480" w:lineRule="auto"/>
        <w:jc w:val="both"/>
        <w:rPr>
          <w:rFonts w:hint="eastAsia" w:asciiTheme="minorHAnsi" w:hAnsiTheme="minorHAnsi" w:eastAsiaTheme="minorEastAsia" w:cstheme="minorBidi"/>
          <w:kern w:val="2"/>
          <w:sz w:val="21"/>
          <w:szCs w:val="24"/>
          <w:highlight w:val="none"/>
          <w:lang w:val="en-US" w:eastAsia="zh-CN" w:bidi="ar-SA"/>
        </w:rPr>
      </w:pPr>
    </w:p>
    <w:p w14:paraId="5A83C512">
      <w:pPr>
        <w:tabs>
          <w:tab w:val="center" w:pos="4153"/>
        </w:tabs>
        <w:spacing w:line="360" w:lineRule="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val="en-US" w:eastAsia="zh-CN"/>
        </w:rPr>
        <w:t>5、</w:t>
      </w:r>
      <w:r>
        <w:rPr>
          <w:rFonts w:hint="eastAsia" w:ascii="宋体" w:hAnsi="宋体" w:eastAsia="宋体" w:cs="宋体"/>
          <w:b/>
          <w:bCs/>
          <w:sz w:val="21"/>
          <w:szCs w:val="21"/>
          <w:highlight w:val="none"/>
        </w:rPr>
        <w:t>言语训练系列套装</w:t>
      </w:r>
    </w:p>
    <w:p w14:paraId="25BA38A1">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规格：350×490×290mm；</w:t>
      </w:r>
    </w:p>
    <w:p w14:paraId="12B50286">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材质：优质塑料。</w:t>
      </w:r>
      <w:r>
        <w:rPr>
          <w:rFonts w:hint="eastAsia" w:ascii="宋体" w:hAnsi="宋体" w:eastAsia="宋体" w:cs="宋体"/>
          <w:sz w:val="21"/>
          <w:szCs w:val="21"/>
          <w:highlight w:val="none"/>
        </w:rPr>
        <w:t>参数：</w:t>
      </w:r>
    </w:p>
    <w:p w14:paraId="437C3F59">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重量不高于5KG</w:t>
      </w:r>
    </w:p>
    <w:p w14:paraId="34150A49">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彩色卡片1套；黑白卡片1套；实物模型1套；矫形镜1个；节拍器1个；手写交流板1个；复读机1个；装箱单1张；</w:t>
      </w:r>
    </w:p>
    <w:p w14:paraId="53F1A129">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训练患者的听、说和识别能力。</w:t>
      </w:r>
    </w:p>
    <w:p w14:paraId="10170239">
      <w:pPr>
        <w:spacing w:line="360" w:lineRule="auto"/>
        <w:rPr>
          <w:rFonts w:hint="eastAsia" w:ascii="宋体" w:hAnsi="宋体" w:eastAsia="宋体" w:cs="宋体"/>
          <w:color w:val="auto"/>
          <w:sz w:val="21"/>
          <w:szCs w:val="21"/>
          <w:highlight w:val="none"/>
          <w:lang w:val="en-US" w:eastAsia="zh-CN"/>
        </w:rPr>
      </w:pPr>
    </w:p>
    <w:p w14:paraId="44AE9C40">
      <w:pP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数量要求：1</w:t>
      </w:r>
    </w:p>
    <w:p w14:paraId="19874BE5">
      <w:pPr>
        <w:spacing w:line="360" w:lineRule="auto"/>
        <w:rPr>
          <w:rFonts w:hint="eastAsia" w:ascii="宋体" w:hAnsi="宋体" w:eastAsia="宋体" w:cs="宋体"/>
          <w:b/>
          <w:bCs/>
          <w:sz w:val="21"/>
          <w:szCs w:val="21"/>
          <w:highlight w:val="none"/>
          <w:lang w:val="en-US" w:eastAsia="zh-CN"/>
        </w:rPr>
      </w:pPr>
    </w:p>
    <w:p w14:paraId="218D3246">
      <w:pPr>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6、</w:t>
      </w:r>
      <w:r>
        <w:rPr>
          <w:rFonts w:hint="eastAsia" w:ascii="宋体" w:hAnsi="宋体" w:eastAsia="宋体" w:cs="宋体"/>
          <w:b/>
          <w:bCs/>
          <w:sz w:val="21"/>
          <w:szCs w:val="21"/>
          <w:highlight w:val="none"/>
        </w:rPr>
        <w:t>神经肌肉电刺激仪</w:t>
      </w:r>
    </w:p>
    <w:p w14:paraId="3AFC3C95">
      <w:pPr>
        <w:keepNext w:val="0"/>
        <w:keepLines w:val="0"/>
        <w:pageBreakBefore w:val="0"/>
        <w:widowControl/>
        <w:numPr>
          <w:ilvl w:val="0"/>
          <w:numId w:val="26"/>
        </w:numPr>
        <w:suppressLineNumbers w:val="0"/>
        <w:kinsoku/>
        <w:wordWrap/>
        <w:overflowPunct/>
        <w:topLinePunct w:val="0"/>
        <w:autoSpaceDE/>
        <w:autoSpaceDN/>
        <w:bidi w:val="0"/>
        <w:adjustRightInd/>
        <w:snapToGrid/>
        <w:spacing w:after="0" w:line="360" w:lineRule="auto"/>
        <w:jc w:val="lef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产品功能：</w:t>
      </w:r>
    </w:p>
    <w:p w14:paraId="1DD22121">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神经肌肉电刺激疗法（NMES，又称电体操疗法）：是采用低频脉冲电流刺激神经或肌肉产生收缩达到治疗作用的方法，可以兴奋神经肌肉组织、镇痛、消炎、促进局部血液循环。主要适用于神经损伤、神经瘫痪、完全失神经及部分失神经疾病；肌无力、肌肉萎缩、运动功能障碍、肢体瘫痪。</w:t>
      </w:r>
    </w:p>
    <w:p w14:paraId="4AABF9A5">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360" w:lineRule="auto"/>
        <w:jc w:val="lef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二、应用范围：</w:t>
      </w:r>
    </w:p>
    <w:p w14:paraId="12291F80">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通过体表电刺激，进行神经肌肉训练。</w:t>
      </w:r>
    </w:p>
    <w:p w14:paraId="2408F17C">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360" w:lineRule="auto"/>
        <w:jc w:val="lef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三、技术参数及功能特点：</w:t>
      </w:r>
    </w:p>
    <w:p w14:paraId="4246E44E">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电源功率：220V/50Hz，80VA。</w:t>
      </w:r>
    </w:p>
    <w:p w14:paraId="07E2B413">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主机尺寸：长416mm * 宽427mm * 高 202mm，允差±10%</w:t>
      </w:r>
    </w:p>
    <w:p w14:paraId="1413D65B">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8寸高清触摸屏加一键飞梭控制，操作简单</w:t>
      </w:r>
    </w:p>
    <w:p w14:paraId="65FE5D60">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所有治疗参数单独显示，独立可调</w:t>
      </w:r>
    </w:p>
    <w:p w14:paraId="6E451D3F">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动态实时显示各通道的治疗波形、治疗处方、治疗参数、治疗时间等，各种治疗数据一目了然</w:t>
      </w:r>
    </w:p>
    <w:p w14:paraId="169F1AD2">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输出通道：2个通道独立输出，每个通道可选择吸附电极输出或凝胶电极输出，可同时治疗多个病人或不同部位。</w:t>
      </w:r>
    </w:p>
    <w:p w14:paraId="1739BEFE">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输出波形：双向对称方波，</w:t>
      </w:r>
      <w:r>
        <w:rPr>
          <w:rFonts w:hint="eastAsia" w:ascii="宋体" w:hAnsi="宋体" w:eastAsia="宋体" w:cs="宋体"/>
          <w:color w:val="000000" w:themeColor="text1"/>
          <w:sz w:val="21"/>
          <w:szCs w:val="21"/>
          <w:highlight w:val="none"/>
          <w14:textFill>
            <w14:solidFill>
              <w14:schemeClr w14:val="tx1"/>
            </w14:solidFill>
          </w14:textFill>
        </w:rPr>
        <w:t>输出无电解风险，可安全用于临床康复</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AF599DB">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▲脉冲频率：0.5Hz～999Hz，0.5Hz～1Hz步进0.5Hz，1Hz～10Hz步进1Hz,</w:t>
      </w:r>
    </w:p>
    <w:p w14:paraId="013AEF14">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after="0" w:line="360" w:lineRule="auto"/>
        <w:ind w:left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10Hz～100Hz步进10Hz,100Hz～500Hz步进50Hz，500Hz～999Hz步进100Hz,允差±10%。</w:t>
      </w:r>
    </w:p>
    <w:p w14:paraId="7A2B4965">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脉冲宽度：50us-999us，步进50us,允差±10%。</w:t>
      </w:r>
    </w:p>
    <w:p w14:paraId="18810B2F">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▲调制波形：正弦波，方波，三角波，指数波，锯齿波，梯形波等多种波型。（提供检验报告、技术要求、说明书）</w:t>
      </w:r>
    </w:p>
    <w:p w14:paraId="77170F83">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输出幅度：0-100%可调节，步进1%，峰值电压50V，允差±10%。</w:t>
      </w:r>
    </w:p>
    <w:p w14:paraId="29C1E513">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电流稳定度：设备恒流输出，不同负载下的输出电流变化率不大于10%</w:t>
      </w:r>
    </w:p>
    <w:p w14:paraId="7E58ACB0">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开路输出电压峰值：不大于500V</w:t>
      </w:r>
    </w:p>
    <w:p w14:paraId="38AC1E91">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单个脉冲能量：输出脉冲宽度小于0.1s时，单个脉冲最大输出的能量不超过300mJ</w:t>
      </w:r>
    </w:p>
    <w:p w14:paraId="66479453">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刺激仪输出控制都调至最大，将输出端开路运行10min，再短路运行5min，在此试验之后，刺激仪必须符合各项参数</w:t>
      </w:r>
    </w:p>
    <w:p w14:paraId="1979A03C">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工作制：间歇加载连续运行</w:t>
      </w:r>
    </w:p>
    <w:p w14:paraId="57140DD8">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安全类型：Ｉ类BF型</w:t>
      </w:r>
    </w:p>
    <w:p w14:paraId="5528A4A9">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模式：手动模式、自动(处方)模式。</w:t>
      </w:r>
    </w:p>
    <w:p w14:paraId="28CF1850">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▲手动模式：手动模式脉冲频率、脉冲宽度、刺激时间、间隔时间调节范围大，可根据需要自由设置，刺激时间0.1s～30s可调，间隔时间0.5s～30s可调；</w:t>
      </w:r>
    </w:p>
    <w:p w14:paraId="77668B82">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▲自动模式：内置三大类23种处方。（提供检验报告、技术要求、说明书）</w:t>
      </w:r>
    </w:p>
    <w:p w14:paraId="44DB91A2">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电极：吸附电极、凝胶电极。</w:t>
      </w:r>
    </w:p>
    <w:p w14:paraId="34DF25CA">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配置大中小多种规格吸附电极，适用不同部位</w:t>
      </w:r>
    </w:p>
    <w:p w14:paraId="71369D6A">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吸附压力：负压7kPa～28kPa，允差±10%。</w:t>
      </w:r>
    </w:p>
    <w:p w14:paraId="5696F036">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具有8种吸附模式：包含1个连续吸附模式、6个间歇吸附模式及1个复合吸附模式</w:t>
      </w:r>
    </w:p>
    <w:p w14:paraId="54FE843C">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每路通道吸附压力可单独控制启停</w:t>
      </w:r>
    </w:p>
    <w:p w14:paraId="537FCB36">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输出电流：最大输出电流有效值≤50mA，最大输出峰值电流100mA，允差±10%。</w:t>
      </w:r>
    </w:p>
    <w:p w14:paraId="28353693">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输出直流分量：输出无直流分量</w:t>
      </w:r>
    </w:p>
    <w:p w14:paraId="047B2F49">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治疗时间：1min～60min可调步进1min，允差±5%。</w:t>
      </w:r>
    </w:p>
    <w:p w14:paraId="6F5DC5D5">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结束提醒功能：设备治疗结束后输出自动归零，并有相对应的提醒。</w:t>
      </w:r>
    </w:p>
    <w:p w14:paraId="191D264F">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中文软件操作系统：设备采用自研发软件，系统界面简洁美观，方便快速掌握设备操作</w:t>
      </w:r>
    </w:p>
    <w:p w14:paraId="77A1C13B">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连续工作时间：刺激仪连续工作时间不少于4h。</w:t>
      </w:r>
    </w:p>
    <w:p w14:paraId="4112D402">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刺激仪正常工作噪声≤55dB。</w:t>
      </w:r>
    </w:p>
    <w:p w14:paraId="009CF6FB">
      <w:pPr>
        <w:keepNext w:val="0"/>
        <w:keepLines w:val="0"/>
        <w:pageBreakBefore w:val="0"/>
        <w:numPr>
          <w:ilvl w:val="0"/>
          <w:numId w:val="27"/>
        </w:numPr>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生产厂家通过环境管理体系和职业健康安全管理体系认证。</w:t>
      </w:r>
    </w:p>
    <w:p w14:paraId="2F42578F">
      <w:pPr>
        <w:keepNext w:val="0"/>
        <w:keepLines w:val="0"/>
        <w:pageBreakBefore w:val="0"/>
        <w:numPr>
          <w:ilvl w:val="0"/>
          <w:numId w:val="27"/>
        </w:numPr>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生产厂家通过IAF、CNAS认可的ISO9001、13485医疗器械质量管理体系认证。</w:t>
      </w:r>
    </w:p>
    <w:p w14:paraId="2A95A5AB">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电极片具有一类医疗器械备案凭证。</w:t>
      </w:r>
    </w:p>
    <w:p w14:paraId="33B4B613">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设备具有过电流、过电压保护功能</w:t>
      </w:r>
    </w:p>
    <w:p w14:paraId="4E94BE92">
      <w:pPr>
        <w:keepNext w:val="0"/>
        <w:keepLines w:val="0"/>
        <w:pageBreakBefore w:val="0"/>
        <w:widowControl/>
        <w:numPr>
          <w:ilvl w:val="0"/>
          <w:numId w:val="27"/>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设备通过电磁兼容、性能、安规检测</w:t>
      </w:r>
    </w:p>
    <w:p w14:paraId="43760019">
      <w:pPr>
        <w:pageBreakBefore w:val="0"/>
        <w:kinsoku/>
        <w:overflowPunct/>
        <w:topLinePunct w:val="0"/>
        <w:bidi w:val="0"/>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▲40、设备使用年限：10年</w:t>
      </w:r>
    </w:p>
    <w:p w14:paraId="7891EBCD">
      <w:pPr>
        <w:pageBreakBefore w:val="0"/>
        <w:kinsoku/>
        <w:overflowPunct/>
        <w:topLinePunct w:val="0"/>
        <w:bidi w:val="0"/>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四、配置</w:t>
      </w:r>
    </w:p>
    <w:p w14:paraId="2EE4EB79">
      <w:pPr>
        <w:keepNext w:val="0"/>
        <w:keepLines w:val="0"/>
        <w:pageBreakBefore w:val="0"/>
        <w:widowControl w:val="0"/>
        <w:numPr>
          <w:ilvl w:val="0"/>
          <w:numId w:val="28"/>
        </w:numPr>
        <w:tabs>
          <w:tab w:val="left" w:pos="420"/>
          <w:tab w:val="left" w:pos="805"/>
          <w:tab w:val="left" w:pos="3530"/>
          <w:tab w:val="clear" w:pos="0"/>
        </w:tabs>
        <w:kinsoku/>
        <w:wordWrap/>
        <w:overflowPunct/>
        <w:topLinePunct w:val="0"/>
        <w:autoSpaceDE/>
        <w:autoSpaceDN/>
        <w:bidi w:val="0"/>
        <w:adjustRightInd/>
        <w:snapToGrid/>
        <w:spacing w:after="0" w:line="360" w:lineRule="auto"/>
        <w:ind w:left="0" w:leftChars="0" w:right="0" w:rightChars="0" w:firstLine="0" w:firstLineChars="0"/>
        <w:jc w:val="left"/>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主机1台</w:t>
      </w:r>
    </w:p>
    <w:p w14:paraId="18F86BC5">
      <w:pPr>
        <w:keepNext w:val="0"/>
        <w:keepLines w:val="0"/>
        <w:pageBreakBefore w:val="0"/>
        <w:widowControl w:val="0"/>
        <w:numPr>
          <w:ilvl w:val="0"/>
          <w:numId w:val="28"/>
        </w:numPr>
        <w:tabs>
          <w:tab w:val="left" w:pos="420"/>
          <w:tab w:val="left" w:pos="805"/>
          <w:tab w:val="left" w:pos="3530"/>
          <w:tab w:val="clear" w:pos="0"/>
        </w:tabs>
        <w:kinsoku/>
        <w:wordWrap/>
        <w:overflowPunct/>
        <w:topLinePunct w:val="0"/>
        <w:autoSpaceDE/>
        <w:autoSpaceDN/>
        <w:bidi w:val="0"/>
        <w:adjustRightInd/>
        <w:snapToGrid/>
        <w:spacing w:after="0" w:line="360" w:lineRule="auto"/>
        <w:ind w:left="0" w:leftChars="0" w:right="0" w:rightChars="0" w:firstLine="0" w:firstLineChars="0"/>
        <w:jc w:val="left"/>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电源线1条</w:t>
      </w:r>
    </w:p>
    <w:p w14:paraId="36EA723C">
      <w:pPr>
        <w:keepNext w:val="0"/>
        <w:keepLines w:val="0"/>
        <w:pageBreakBefore w:val="0"/>
        <w:widowControl/>
        <w:numPr>
          <w:ilvl w:val="0"/>
          <w:numId w:val="28"/>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吸附气电混装线（红+黑）2根</w:t>
      </w:r>
    </w:p>
    <w:p w14:paraId="7CF51D1E">
      <w:pPr>
        <w:keepNext w:val="0"/>
        <w:keepLines w:val="0"/>
        <w:pageBreakBefore w:val="0"/>
        <w:widowControl/>
        <w:numPr>
          <w:ilvl w:val="0"/>
          <w:numId w:val="28"/>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吸附电极片（大、中、小）3套</w:t>
      </w:r>
    </w:p>
    <w:p w14:paraId="42F3D764">
      <w:pPr>
        <w:keepNext w:val="0"/>
        <w:keepLines w:val="0"/>
        <w:pageBreakBefore w:val="0"/>
        <w:widowControl/>
        <w:numPr>
          <w:ilvl w:val="0"/>
          <w:numId w:val="28"/>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治疗电极线2根</w:t>
      </w:r>
    </w:p>
    <w:p w14:paraId="07FF67AB">
      <w:pPr>
        <w:keepNext w:val="0"/>
        <w:keepLines w:val="0"/>
        <w:pageBreakBefore w:val="0"/>
        <w:widowControl/>
        <w:numPr>
          <w:ilvl w:val="0"/>
          <w:numId w:val="28"/>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方形电极片50mmX50mm  1套</w:t>
      </w:r>
    </w:p>
    <w:p w14:paraId="0F58BA80">
      <w:pPr>
        <w:keepNext w:val="0"/>
        <w:keepLines w:val="0"/>
        <w:pageBreakBefore w:val="0"/>
        <w:widowControl/>
        <w:numPr>
          <w:ilvl w:val="0"/>
          <w:numId w:val="28"/>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方形电极片50mmX90mm  1套</w:t>
      </w:r>
    </w:p>
    <w:p w14:paraId="3A253CD8">
      <w:pPr>
        <w:keepNext w:val="0"/>
        <w:keepLines w:val="0"/>
        <w:pageBreakBefore w:val="0"/>
        <w:widowControl/>
        <w:numPr>
          <w:ilvl w:val="0"/>
          <w:numId w:val="28"/>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说明书1本</w:t>
      </w:r>
    </w:p>
    <w:p w14:paraId="4CA2F28F">
      <w:pPr>
        <w:keepNext w:val="0"/>
        <w:keepLines w:val="0"/>
        <w:pageBreakBefore w:val="0"/>
        <w:widowControl/>
        <w:numPr>
          <w:ilvl w:val="0"/>
          <w:numId w:val="28"/>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快速操作及维护说明1张</w:t>
      </w:r>
    </w:p>
    <w:p w14:paraId="589DFC31">
      <w:pPr>
        <w:pageBreakBefore w:val="0"/>
        <w:kinsoku/>
        <w:overflowPunct/>
        <w:topLinePunct w:val="0"/>
        <w:bidi w:val="0"/>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10、合格证1张</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11、保修卡1张</w:t>
      </w:r>
    </w:p>
    <w:p w14:paraId="15AFC439">
      <w:pP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数量要求：1</w:t>
      </w:r>
    </w:p>
    <w:p w14:paraId="7E550109">
      <w:pPr>
        <w:spacing w:line="360" w:lineRule="auto"/>
        <w:rPr>
          <w:rFonts w:hint="eastAsia" w:ascii="宋体" w:hAnsi="宋体" w:eastAsia="宋体" w:cs="宋体"/>
          <w:b/>
          <w:bCs/>
          <w:color w:val="auto"/>
          <w:sz w:val="21"/>
          <w:szCs w:val="21"/>
          <w:highlight w:val="none"/>
          <w:lang w:val="en-US" w:eastAsia="zh-CN"/>
        </w:rPr>
      </w:pPr>
    </w:p>
    <w:p w14:paraId="33A3D5E8">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7、痉挛肌低频治疗仪</w:t>
      </w:r>
    </w:p>
    <w:p w14:paraId="6F88CC40">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1.输出波形：A、B两组输出均为无极性双向不对称脉冲。</w:t>
      </w:r>
    </w:p>
    <w:p w14:paraId="70CDD19F">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2.脉冲周期：输出脉冲周期从1s～2s可调，允差±15%。</w:t>
      </w:r>
    </w:p>
    <w:p w14:paraId="0EE4DD10">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3.脉冲宽度：输出脉冲宽度从0.1ms～0.5ms可调，允差±20%。</w:t>
      </w:r>
    </w:p>
    <w:p w14:paraId="0CD946E8">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4.延时时间：B组输出脉冲比A组输出脉冲延时出现，延时时间T1从 0.1s～1.5s可调，允差±15%。</w:t>
      </w:r>
    </w:p>
    <w:p w14:paraId="4B4E674F">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5.输出强度：A、B两组输出脉冲电流峰值Ip从0mA～99mA可调。最大输出值允差±15%。</w:t>
      </w:r>
    </w:p>
    <w:p w14:paraId="028070E7">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6.定时时间：定时设置分为5min、10min、15min、20min、25min、30min六档，允许偏差±5%。</w:t>
      </w:r>
    </w:p>
    <w:p w14:paraId="4DE6A240">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7.误调指示功能：当调节不当，使得脉冲周期小于或等于延时时间情况下，仪器上有误调指示</w:t>
      </w:r>
    </w:p>
    <w:p w14:paraId="253812C6">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8.输出直流分量：输出的直流分量应为零,允差小于1mA。</w:t>
      </w:r>
    </w:p>
    <w:p w14:paraId="5E20D5A0">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9.连续工作时间：仪器连续工作时间不少于4h。</w:t>
      </w:r>
    </w:p>
    <w:p w14:paraId="365C7749">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数量要求：2</w:t>
      </w:r>
    </w:p>
    <w:p w14:paraId="157309AC">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8、生物反馈治疗仪</w:t>
      </w:r>
    </w:p>
    <w:p w14:paraId="4663D6CC">
      <w:pPr>
        <w:keepNext w:val="0"/>
        <w:keepLines w:val="0"/>
        <w:widowControl/>
        <w:numPr>
          <w:ilvl w:val="0"/>
          <w:numId w:val="29"/>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功能</w:t>
      </w:r>
      <w:r>
        <w:rPr>
          <w:rFonts w:hint="eastAsia" w:ascii="宋体" w:hAnsi="宋体" w:eastAsia="宋体" w:cs="宋体"/>
          <w:kern w:val="0"/>
          <w:sz w:val="21"/>
          <w:szCs w:val="21"/>
          <w:highlight w:val="none"/>
          <w:lang w:val="en-US" w:eastAsia="zh-CN" w:bidi="ar"/>
        </w:rPr>
        <w:t xml:space="preserve"> </w:t>
      </w:r>
    </w:p>
    <w:p w14:paraId="75699971">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利用肌电生物反馈技术并结合多种电刺激模式进行肌肉训练治疗，已达到改善肌肉功能，帮助重建并恢复肌肉正常运动功能，脑血管、中枢神经系统损伤的运动功能障碍及肌肉障碍等。 </w:t>
      </w:r>
    </w:p>
    <w:p w14:paraId="1A96E963">
      <w:pPr>
        <w:keepNext w:val="0"/>
        <w:keepLines w:val="0"/>
        <w:widowControl/>
        <w:numPr>
          <w:ilvl w:val="0"/>
          <w:numId w:val="29"/>
        </w:numPr>
        <w:suppressLineNumbers w:val="0"/>
        <w:spacing w:line="360" w:lineRule="auto"/>
        <w:ind w:left="0" w:leftChars="0" w:firstLine="0" w:firstLineChars="0"/>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 xml:space="preserve">应用范围 </w:t>
      </w:r>
    </w:p>
    <w:p w14:paraId="6C337D58">
      <w:pPr>
        <w:keepNext w:val="0"/>
        <w:keepLines w:val="0"/>
        <w:widowControl/>
        <w:numPr>
          <w:ilvl w:val="0"/>
          <w:numId w:val="30"/>
        </w:numPr>
        <w:suppressLineNumbers w:val="0"/>
        <w:spacing w:line="360" w:lineRule="auto"/>
        <w:ind w:left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神经、肌电系统的评估；</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2、脑血管意外后的偏瘫康复治疗；</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3、中枢神经系统病变引起的运动功能障碍；</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4、上下运动神经元损伤后的重建治疗；</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5、脊髓损伤的神经肌肉的康复治疗；</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6、外周神经损伤、外周神经疾病导致的神经肌肉功能障碍；</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7、儿童脑性瘫痪的康复治疗；</w:t>
      </w:r>
      <w:r>
        <w:rPr>
          <w:rFonts w:hint="eastAsia" w:ascii="宋体" w:hAnsi="宋体" w:eastAsia="宋体" w:cs="宋体"/>
          <w:kern w:val="0"/>
          <w:sz w:val="21"/>
          <w:szCs w:val="21"/>
          <w:highlight w:val="none"/>
          <w:lang w:val="en-US" w:eastAsia="zh-CN" w:bidi="ar"/>
        </w:rPr>
        <w:br w:type="textWrapping"/>
      </w:r>
      <w:r>
        <w:rPr>
          <w:rFonts w:hint="eastAsia" w:ascii="宋体" w:hAnsi="宋体" w:eastAsia="宋体" w:cs="宋体"/>
          <w:kern w:val="0"/>
          <w:sz w:val="21"/>
          <w:szCs w:val="21"/>
          <w:highlight w:val="none"/>
          <w:lang w:val="en-US" w:eastAsia="zh-CN" w:bidi="ar"/>
        </w:rPr>
        <w:t xml:space="preserve">8、各类骨折后的神经肌肉功能恢复治疗。 </w:t>
      </w:r>
    </w:p>
    <w:p w14:paraId="559D66DB">
      <w:pPr>
        <w:keepNext w:val="0"/>
        <w:keepLines w:val="0"/>
        <w:widowControl/>
        <w:numPr>
          <w:ilvl w:val="0"/>
          <w:numId w:val="29"/>
        </w:numPr>
        <w:suppressLineNumbers w:val="0"/>
        <w:spacing w:line="360" w:lineRule="auto"/>
        <w:ind w:left="0" w:leftChars="0" w:firstLine="0" w:firstLineChars="0"/>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 xml:space="preserve">技术特点 </w:t>
      </w:r>
    </w:p>
    <w:p w14:paraId="54812B6F">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1、双通道独立治疗模式，可同时治疗两个患者。</w:t>
      </w:r>
    </w:p>
    <w:p w14:paraId="31E6CC26">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2、生物反馈式神经功能重建治疗技术。</w:t>
      </w:r>
    </w:p>
    <w:p w14:paraId="4ECC94C5">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3、肌电触发电刺激治疗模式。</w:t>
      </w:r>
    </w:p>
    <w:p w14:paraId="60566FEA">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4、主、被动双重治疗模式。</w:t>
      </w:r>
    </w:p>
    <w:p w14:paraId="4D49E4A4">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5、智能检测系统，可自动检测电极片与皮肤的接触状况，如果电极片与皮肤接触不良或电极片脱落实现自动停机保护。</w:t>
      </w:r>
    </w:p>
    <w:p w14:paraId="19D8DA3D">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6、智能的生物电流分离选择模式，医生可根据治疗及临床科研需要任意调节刺激电流的脉冲宽度、脉冲频率、脉冲上升下降时间和电流的强弱，实现不同病情的治疗需求，提高治疗效果。</w:t>
      </w:r>
    </w:p>
    <w:p w14:paraId="06C5B2A6">
      <w:pPr>
        <w:keepNext w:val="0"/>
        <w:keepLines w:val="0"/>
        <w:widowControl/>
        <w:numPr>
          <w:ilvl w:val="0"/>
          <w:numId w:val="0"/>
        </w:numPr>
        <w:suppressLineNumbers w:val="0"/>
        <w:spacing w:line="360" w:lineRule="auto"/>
        <w:ind w:leftChars="0"/>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sz w:val="21"/>
          <w:szCs w:val="21"/>
          <w:highlight w:val="none"/>
        </w:rPr>
        <w:t>7、具有多种治疗方案，提供防止肌肉萎缩，缓解肌痉挛，神经恢复治疗，增加关节活动度治疗等基本功能，可根据治疗需求任意组合搭配完成个性化的治疗方案。</w:t>
      </w:r>
    </w:p>
    <w:p w14:paraId="30B83868">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四、技术参数</w:t>
      </w:r>
    </w:p>
    <w:p w14:paraId="1C3CD217">
      <w:pPr>
        <w:spacing w:line="360" w:lineRule="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▲1、治疗波形参数：</w:t>
      </w:r>
    </w:p>
    <w:p w14:paraId="57B03D44">
      <w:pPr>
        <w:keepNext w:val="0"/>
        <w:keepLines w:val="0"/>
        <w:pageBreakBefore w:val="0"/>
        <w:kinsoku/>
        <w:wordWrap/>
        <w:overflowPunct/>
        <w:topLinePunct w:val="0"/>
        <w:bidi w:val="0"/>
        <w:adjustRightIn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（1）治疗电流输出0-</w:t>
      </w:r>
      <w:r>
        <w:rPr>
          <w:rFonts w:hint="eastAsia" w:ascii="宋体" w:hAnsi="宋体" w:eastAsia="宋体" w:cs="宋体"/>
          <w:sz w:val="21"/>
          <w:szCs w:val="21"/>
          <w:highlight w:val="none"/>
          <w:lang w:val="en-US" w:eastAsia="zh-CN"/>
        </w:rPr>
        <w:t>99</w:t>
      </w:r>
      <w:r>
        <w:rPr>
          <w:rFonts w:hint="eastAsia" w:ascii="宋体" w:hAnsi="宋体" w:eastAsia="宋体" w:cs="宋体"/>
          <w:sz w:val="21"/>
          <w:szCs w:val="21"/>
          <w:highlight w:val="none"/>
        </w:rPr>
        <w:t>m</w:t>
      </w:r>
      <w:r>
        <w:rPr>
          <w:rFonts w:hint="eastAsia" w:ascii="宋体" w:hAnsi="宋体" w:eastAsia="宋体" w:cs="宋体"/>
          <w:color w:val="auto"/>
          <w:sz w:val="21"/>
          <w:szCs w:val="21"/>
          <w:highlight w:val="none"/>
        </w:rPr>
        <w:t>A可调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步进1</w:t>
      </w:r>
      <w:r>
        <w:rPr>
          <w:rFonts w:hint="eastAsia" w:ascii="宋体" w:hAnsi="宋体" w:eastAsia="宋体" w:cs="宋体"/>
          <w:color w:val="auto"/>
          <w:sz w:val="21"/>
          <w:szCs w:val="21"/>
          <w:highlight w:val="none"/>
        </w:rPr>
        <w:t>mA</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允差5</w:t>
      </w:r>
      <w:r>
        <w:rPr>
          <w:rFonts w:hint="eastAsia" w:ascii="宋体" w:hAnsi="宋体" w:eastAsia="宋体" w:cs="宋体"/>
          <w:color w:val="auto"/>
          <w:sz w:val="21"/>
          <w:szCs w:val="21"/>
          <w:highlight w:val="none"/>
        </w:rPr>
        <w:t>mA</w:t>
      </w:r>
    </w:p>
    <w:p w14:paraId="0E73DA41">
      <w:pPr>
        <w:keepNext w:val="0"/>
        <w:keepLines w:val="0"/>
        <w:pageBreakBefore w:val="0"/>
        <w:kinsoku/>
        <w:wordWrap/>
        <w:overflowPunct/>
        <w:topLinePunct w:val="0"/>
        <w:bidi w:val="0"/>
        <w:adjustRightIn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（2）治疗波形上升时间0-</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S可调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步进1s</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允差±10%</w:t>
      </w:r>
    </w:p>
    <w:p w14:paraId="19057743">
      <w:pPr>
        <w:keepNext w:val="0"/>
        <w:keepLines w:val="0"/>
        <w:pageBreakBefore w:val="0"/>
        <w:kinsoku/>
        <w:wordWrap/>
        <w:overflowPunct/>
        <w:topLinePunct w:val="0"/>
        <w:bidi w:val="0"/>
        <w:adjustRightIn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（3）治疗波形工作时间1-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0S可调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步进1s</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允差±10%</w:t>
      </w:r>
    </w:p>
    <w:p w14:paraId="02449960">
      <w:pPr>
        <w:keepNext w:val="0"/>
        <w:keepLines w:val="0"/>
        <w:pageBreakBefore w:val="0"/>
        <w:kinsoku/>
        <w:wordWrap/>
        <w:overflowPunct/>
        <w:topLinePunct w:val="0"/>
        <w:bidi w:val="0"/>
        <w:adjustRightIn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（4）治疗波形下降时间0-</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S可调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步进1s</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允差±10%</w:t>
      </w:r>
    </w:p>
    <w:p w14:paraId="4AF8775C">
      <w:pPr>
        <w:keepNext w:val="0"/>
        <w:keepLines w:val="0"/>
        <w:pageBreakBefore w:val="0"/>
        <w:kinsoku/>
        <w:wordWrap/>
        <w:overflowPunct/>
        <w:topLinePunct w:val="0"/>
        <w:bidi w:val="0"/>
        <w:adjustRightIn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（5）治疗波形休息时间1-</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S可调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步进1s</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允差±10%</w:t>
      </w:r>
    </w:p>
    <w:p w14:paraId="4D2E1AE4">
      <w:pPr>
        <w:keepNext w:val="0"/>
        <w:keepLines w:val="0"/>
        <w:pageBreakBefore w:val="0"/>
        <w:kinsoku/>
        <w:wordWrap/>
        <w:overflowPunct/>
        <w:topLinePunct w:val="0"/>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（6）治疗波形脉冲宽度50-4</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0</w:t>
      </w:r>
      <w:r>
        <w:rPr>
          <w:rFonts w:hint="eastAsia" w:ascii="宋体" w:hAnsi="宋体" w:eastAsia="宋体" w:cs="宋体"/>
          <w:i w:val="0"/>
          <w:color w:val="auto"/>
          <w:kern w:val="0"/>
          <w:sz w:val="21"/>
          <w:szCs w:val="21"/>
          <w:highlight w:val="none"/>
          <w:u w:val="none"/>
          <w:lang w:val="en-US" w:eastAsia="zh-CN" w:bidi="ar"/>
        </w:rPr>
        <w:t>μs</w:t>
      </w:r>
      <w:r>
        <w:rPr>
          <w:rFonts w:hint="eastAsia" w:ascii="宋体" w:hAnsi="宋体" w:eastAsia="宋体" w:cs="宋体"/>
          <w:color w:val="auto"/>
          <w:sz w:val="21"/>
          <w:szCs w:val="21"/>
          <w:highlight w:val="none"/>
        </w:rPr>
        <w:t>可调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其中</w:t>
      </w:r>
      <w:r>
        <w:rPr>
          <w:rFonts w:hint="eastAsia" w:ascii="宋体" w:hAnsi="宋体" w:eastAsia="宋体" w:cs="宋体"/>
          <w:color w:val="auto"/>
          <w:sz w:val="21"/>
          <w:szCs w:val="21"/>
          <w:highlight w:val="none"/>
        </w:rPr>
        <w:t>50-</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0</w:t>
      </w:r>
      <w:r>
        <w:rPr>
          <w:rFonts w:hint="eastAsia" w:ascii="宋体" w:hAnsi="宋体" w:eastAsia="宋体" w:cs="宋体"/>
          <w:i w:val="0"/>
          <w:color w:val="auto"/>
          <w:kern w:val="0"/>
          <w:sz w:val="21"/>
          <w:szCs w:val="21"/>
          <w:highlight w:val="none"/>
          <w:u w:val="none"/>
          <w:lang w:val="en-US" w:eastAsia="zh-CN" w:bidi="ar"/>
        </w:rPr>
        <w:t>μs，步进10μs，</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45</w:t>
      </w:r>
      <w:r>
        <w:rPr>
          <w:rFonts w:hint="eastAsia" w:ascii="宋体" w:hAnsi="宋体" w:eastAsia="宋体" w:cs="宋体"/>
          <w:color w:val="auto"/>
          <w:sz w:val="21"/>
          <w:szCs w:val="21"/>
          <w:highlight w:val="none"/>
        </w:rPr>
        <w:t>0</w:t>
      </w:r>
      <w:r>
        <w:rPr>
          <w:rFonts w:hint="eastAsia" w:ascii="宋体" w:hAnsi="宋体" w:eastAsia="宋体" w:cs="宋体"/>
          <w:i w:val="0"/>
          <w:color w:val="auto"/>
          <w:kern w:val="0"/>
          <w:sz w:val="21"/>
          <w:szCs w:val="21"/>
          <w:highlight w:val="none"/>
          <w:u w:val="none"/>
          <w:lang w:val="en-US" w:eastAsia="zh-CN" w:bidi="ar"/>
        </w:rPr>
        <w:t>μs，步进50μs，允差</w:t>
      </w:r>
      <w:r>
        <w:rPr>
          <w:rFonts w:hint="eastAsia" w:ascii="宋体" w:hAnsi="宋体" w:eastAsia="宋体" w:cs="宋体"/>
          <w:color w:val="auto"/>
          <w:sz w:val="21"/>
          <w:szCs w:val="21"/>
          <w:highlight w:val="none"/>
          <w:lang w:val="en-US" w:eastAsia="zh-CN"/>
        </w:rPr>
        <w:t>±5%</w:t>
      </w:r>
    </w:p>
    <w:p w14:paraId="4F8DFD38">
      <w:pPr>
        <w:keepNext w:val="0"/>
        <w:keepLines w:val="0"/>
        <w:pageBreakBefore w:val="0"/>
        <w:kinsoku/>
        <w:wordWrap/>
        <w:overflowPunct/>
        <w:topLinePunct w:val="0"/>
        <w:bidi w:val="0"/>
        <w:adjustRightIn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（7）治疗波形输出频率</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-100Hz可调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其中2</w:t>
      </w:r>
      <w:r>
        <w:rPr>
          <w:rFonts w:hint="eastAsia" w:ascii="宋体" w:hAnsi="宋体" w:eastAsia="宋体" w:cs="宋体"/>
          <w:color w:val="auto"/>
          <w:sz w:val="21"/>
          <w:szCs w:val="21"/>
          <w:highlight w:val="none"/>
        </w:rPr>
        <w:t>-10Hz</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步进1</w:t>
      </w:r>
      <w:r>
        <w:rPr>
          <w:rFonts w:hint="eastAsia" w:ascii="宋体" w:hAnsi="宋体" w:eastAsia="宋体" w:cs="宋体"/>
          <w:color w:val="auto"/>
          <w:sz w:val="21"/>
          <w:szCs w:val="21"/>
          <w:highlight w:val="none"/>
        </w:rPr>
        <w:t>Hz</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Hz</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步进5</w:t>
      </w:r>
      <w:r>
        <w:rPr>
          <w:rFonts w:hint="eastAsia" w:ascii="宋体" w:hAnsi="宋体" w:eastAsia="宋体" w:cs="宋体"/>
          <w:color w:val="auto"/>
          <w:sz w:val="21"/>
          <w:szCs w:val="21"/>
          <w:highlight w:val="none"/>
        </w:rPr>
        <w:t>Hz</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允差±3</w:t>
      </w:r>
      <w:r>
        <w:rPr>
          <w:rFonts w:hint="eastAsia" w:ascii="宋体" w:hAnsi="宋体" w:eastAsia="宋体" w:cs="宋体"/>
          <w:color w:val="auto"/>
          <w:sz w:val="21"/>
          <w:szCs w:val="21"/>
          <w:highlight w:val="none"/>
        </w:rPr>
        <w:t>Hz</w:t>
      </w:r>
    </w:p>
    <w:p w14:paraId="2A51BF44">
      <w:pPr>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000000"/>
          <w:kern w:val="0"/>
          <w:sz w:val="21"/>
          <w:szCs w:val="21"/>
          <w:highlight w:val="none"/>
        </w:rPr>
        <w:t>▲</w:t>
      </w:r>
      <w:r>
        <w:rPr>
          <w:rFonts w:hint="eastAsia" w:ascii="宋体" w:hAnsi="宋体" w:eastAsia="宋体" w:cs="宋体"/>
          <w:color w:val="auto"/>
          <w:kern w:val="0"/>
          <w:sz w:val="21"/>
          <w:szCs w:val="21"/>
          <w:highlight w:val="none"/>
        </w:rPr>
        <w:t>2、EMG治疗灵敏度：0.1μV</w:t>
      </w:r>
    </w:p>
    <w:p w14:paraId="29CC2E5E">
      <w:pPr>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3、治疗量程0-2000μV</w:t>
      </w:r>
    </w:p>
    <w:p w14:paraId="733039EB">
      <w:pPr>
        <w:spacing w:line="360" w:lineRule="auto"/>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kern w:val="0"/>
          <w:sz w:val="21"/>
          <w:szCs w:val="21"/>
          <w:highlight w:val="none"/>
        </w:rPr>
        <w:t>4、</w:t>
      </w:r>
      <w:r>
        <w:rPr>
          <w:rFonts w:hint="eastAsia" w:ascii="宋体" w:hAnsi="宋体" w:eastAsia="宋体" w:cs="宋体"/>
          <w:i w:val="0"/>
          <w:color w:val="auto"/>
          <w:kern w:val="0"/>
          <w:sz w:val="21"/>
          <w:szCs w:val="21"/>
          <w:highlight w:val="none"/>
          <w:u w:val="none"/>
          <w:lang w:val="en-US" w:eastAsia="zh-CN" w:bidi="ar"/>
        </w:rPr>
        <w:t>阈值可手动设定和自动设定，根据不同治疗情况下选择</w:t>
      </w:r>
    </w:p>
    <w:p w14:paraId="7096B31F">
      <w:pPr>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治疗量程0-2000μV</w:t>
      </w:r>
    </w:p>
    <w:p w14:paraId="4A27C46C">
      <w:pPr>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、共模抑制比&gt;100dB</w:t>
      </w:r>
    </w:p>
    <w:p w14:paraId="7C43065F">
      <w:pPr>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、带宽10Hz-1KHz</w:t>
      </w:r>
    </w:p>
    <w:p w14:paraId="7B94B4AB">
      <w:pPr>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、信号输入0-1.0V</w:t>
      </w:r>
    </w:p>
    <w:p w14:paraId="25A6AE84">
      <w:pPr>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、采样频率4096Hz</w:t>
      </w:r>
    </w:p>
    <w:p w14:paraId="72C4D3E2">
      <w:pPr>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、AD采样18bit</w:t>
      </w:r>
    </w:p>
    <w:p w14:paraId="04D3FAE7">
      <w:pPr>
        <w:keepNext w:val="0"/>
        <w:keepLines w:val="0"/>
        <w:pageBreakBefore w:val="0"/>
        <w:kinsoku/>
        <w:wordWrap/>
        <w:overflowPunct/>
        <w:topLinePunct w:val="0"/>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、工作电源220V 50/60Hz</w:t>
      </w:r>
    </w:p>
    <w:p w14:paraId="5FD7275C">
      <w:pPr>
        <w:keepNext w:val="0"/>
        <w:keepLines w:val="0"/>
        <w:pageBreakBefore w:val="0"/>
        <w:kinsoku/>
        <w:wordWrap/>
        <w:overflowPunct/>
        <w:topLinePunct w:val="0"/>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连续工作时间≥8h</w:t>
      </w:r>
    </w:p>
    <w:p w14:paraId="21417F93">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数量要求：1</w:t>
      </w:r>
      <w:r>
        <w:rPr>
          <w:rFonts w:hint="eastAsia" w:ascii="宋体" w:hAnsi="宋体" w:eastAsia="宋体" w:cs="宋体"/>
          <w:color w:val="auto"/>
          <w:sz w:val="21"/>
          <w:szCs w:val="21"/>
          <w:highlight w:val="none"/>
          <w:lang w:val="en-US" w:eastAsia="zh-CN"/>
        </w:rPr>
        <w:br w:type="page"/>
      </w:r>
    </w:p>
    <w:p w14:paraId="075D2D36">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9、中频治疗仪</w:t>
      </w:r>
    </w:p>
    <w:p w14:paraId="660938E5">
      <w:pPr>
        <w:keepNext w:val="0"/>
        <w:keepLines w:val="0"/>
        <w:widowControl/>
        <w:suppressLineNumbers w:val="0"/>
        <w:spacing w:line="360" w:lineRule="auto"/>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一、技术参数及功能</w:t>
      </w:r>
    </w:p>
    <w:p w14:paraId="610CAB5C">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1、载波频率2kHz～8kHz可调，步进1kHz，允差±10%；载波波形为方波 </w:t>
      </w:r>
    </w:p>
    <w:p w14:paraId="04520646">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2、调制频率范围：0～150Hz，0～1Hz范围内调制频率分别为1/4Hz、1/3Hz、1/2Hz，≥1Hz范围内步进1Hz，允差±10%</w:t>
      </w:r>
    </w:p>
    <w:p w14:paraId="01DF4D7D">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3、调制波形8种，分别为正弦波、方波、三角波、指数波1、指数波2、锯齿波、尖峰波、梯形波 </w:t>
      </w:r>
    </w:p>
    <w:p w14:paraId="7C2D6EC3">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4、调制波形的调幅度：尖峰波为33%，正弦波、方波、三角波、指数波1、指数波2、锯齿波、梯形波的调幅波为100%，允差±5% </w:t>
      </w:r>
    </w:p>
    <w:p w14:paraId="26427089">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5、输出电流0～99级可调，在基准负载（基准值500Ω±5%的无感电阻）下，最大输出电流为95mA，允差±5% </w:t>
      </w:r>
    </w:p>
    <w:p w14:paraId="4636686F">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6、采用智能全彩液晶屏显示，操作简单 </w:t>
      </w:r>
    </w:p>
    <w:p w14:paraId="25DAE42C">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7、4通道独立控制，可同时治疗多个部位或用于多个患者；内置17种治疗处方，不同的参数配置适用于不同的患者。 </w:t>
      </w:r>
    </w:p>
    <w:p w14:paraId="6254A155">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▲8、自定义功能：载波频率、调制频率、调制波形可进行自定义组合输出，灵活配置，方便使用。 </w:t>
      </w:r>
    </w:p>
    <w:p w14:paraId="573A3A3B">
      <w:pPr>
        <w:keepNext w:val="0"/>
        <w:keepLines w:val="0"/>
        <w:widowControl/>
        <w:numPr>
          <w:ilvl w:val="0"/>
          <w:numId w:val="0"/>
        </w:numPr>
        <w:suppressLineNumbers w:val="0"/>
        <w:tabs>
          <w:tab w:val="left" w:pos="0"/>
        </w:tabs>
        <w:spacing w:line="360" w:lineRule="auto"/>
        <w:ind w:left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9、定时时间1min～99min可调，步进1min, 允差±60s </w:t>
      </w:r>
    </w:p>
    <w:p w14:paraId="2D59A031">
      <w:pPr>
        <w:keepNext w:val="0"/>
        <w:keepLines w:val="0"/>
        <w:widowControl/>
        <w:numPr>
          <w:ilvl w:val="0"/>
          <w:numId w:val="0"/>
        </w:numPr>
        <w:suppressLineNumbers w:val="0"/>
        <w:tabs>
          <w:tab w:val="left" w:pos="0"/>
        </w:tabs>
        <w:spacing w:line="360" w:lineRule="auto"/>
        <w:ind w:left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10、治疗仪连续工作时间不小于4h </w:t>
      </w:r>
    </w:p>
    <w:p w14:paraId="37D636F1">
      <w:pPr>
        <w:keepNext w:val="0"/>
        <w:keepLines w:val="0"/>
        <w:widowControl/>
        <w:numPr>
          <w:ilvl w:val="0"/>
          <w:numId w:val="0"/>
        </w:numPr>
        <w:suppressLineNumbers w:val="0"/>
        <w:tabs>
          <w:tab w:val="left" w:pos="0"/>
        </w:tabs>
        <w:spacing w:line="360" w:lineRule="auto"/>
        <w:ind w:leftChars="0"/>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 xml:space="preserve">二、适用范围 </w:t>
      </w:r>
    </w:p>
    <w:p w14:paraId="4749E09D">
      <w:pPr>
        <w:keepNext w:val="0"/>
        <w:keepLines w:val="0"/>
        <w:widowControl/>
        <w:numPr>
          <w:ilvl w:val="0"/>
          <w:numId w:val="0"/>
        </w:numPr>
        <w:suppressLineNumbers w:val="0"/>
        <w:tabs>
          <w:tab w:val="left" w:pos="0"/>
        </w:tabs>
        <w:spacing w:line="360" w:lineRule="auto"/>
        <w:ind w:leftChars="0"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对捩伤、挫伤、肌纤维织炎、狭窄性腱鞘炎、慢性咽喉炎、周围神经伤病、关节挛缩具有消炎和镇痛作用；对瘢痕、瘢痕挛缩、术后粘连、肠粘连、炎症后硬化、注射后硬结、血肿机化、狭窄性腱鞘炎具有软化疤痕、松解粘连的作用；对神经或肌肉伤病后肌肉功能障碍、废用性肌萎缩、术后肠麻痹、便秘、胃下垂、声带麻痹具有兴奋神经肌肉，促进周围神经修复的作用。</w:t>
      </w:r>
    </w:p>
    <w:p w14:paraId="0123AB54">
      <w:pPr>
        <w:keepNext w:val="0"/>
        <w:keepLines w:val="0"/>
        <w:widowControl/>
        <w:suppressLineNumbers w:val="0"/>
        <w:spacing w:line="360" w:lineRule="auto"/>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三、配置</w:t>
      </w:r>
    </w:p>
    <w:p w14:paraId="3903F8C2">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1、主机1台，2、电源线1条，3、使用说明书1本，4、硅胶电极16片，5、电极线4条，6、绑带8条，7、水凝胶电极16片，8、水凝胶电极转接线8条，9、手套电极套装1套</w:t>
      </w:r>
    </w:p>
    <w:p w14:paraId="41B3662E">
      <w:pPr>
        <w:keepNext w:val="0"/>
        <w:keepLines w:val="0"/>
        <w:widowControl/>
        <w:suppressLineNumbers w:val="0"/>
        <w:spacing w:line="360" w:lineRule="auto"/>
        <w:jc w:val="left"/>
        <w:rPr>
          <w:rFonts w:hint="default" w:ascii="宋体" w:hAnsi="宋体" w:eastAsia="宋体" w:cs="宋体"/>
          <w:sz w:val="21"/>
          <w:szCs w:val="21"/>
          <w:highlight w:val="none"/>
          <w:lang w:val="en-US"/>
        </w:rPr>
      </w:pPr>
      <w:r>
        <w:rPr>
          <w:rFonts w:hint="eastAsia" w:ascii="宋体" w:hAnsi="宋体" w:eastAsia="宋体" w:cs="宋体"/>
          <w:color w:val="auto"/>
          <w:sz w:val="21"/>
          <w:szCs w:val="21"/>
          <w:highlight w:val="none"/>
          <w:lang w:val="en-US" w:eastAsia="zh-CN"/>
        </w:rPr>
        <w:t>数量要求：1台</w:t>
      </w:r>
    </w:p>
    <w:p w14:paraId="3C3156A7">
      <w:pPr>
        <w:spacing w:line="360" w:lineRule="auto"/>
        <w:rPr>
          <w:rFonts w:hint="eastAsia" w:ascii="宋体" w:hAnsi="宋体" w:eastAsia="宋体" w:cs="宋体"/>
          <w:color w:val="auto"/>
          <w:sz w:val="21"/>
          <w:szCs w:val="21"/>
          <w:highlight w:val="none"/>
          <w:lang w:val="en-US" w:eastAsia="zh-CN"/>
        </w:rPr>
      </w:pPr>
    </w:p>
    <w:p w14:paraId="5086FD22">
      <w:pPr>
        <w:spacing w:line="360" w:lineRule="auto"/>
        <w:rPr>
          <w:rFonts w:hint="eastAsia" w:ascii="宋体" w:hAnsi="宋体" w:eastAsia="宋体" w:cs="宋体"/>
          <w:color w:val="auto"/>
          <w:sz w:val="21"/>
          <w:szCs w:val="21"/>
          <w:highlight w:val="none"/>
          <w:lang w:val="en-US" w:eastAsia="zh-CN"/>
        </w:rPr>
      </w:pPr>
    </w:p>
    <w:p w14:paraId="5EFDC151">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10、经颅磁刺激仪</w:t>
      </w:r>
    </w:p>
    <w:p w14:paraId="41BEB5C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1、适用范围：</w:t>
      </w:r>
    </w:p>
    <w:p w14:paraId="509449B2">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刺激人体中枢神经和外周神经，用于人体中枢神经、外周神经功能的检测、评定、改善，对卒中所导致的运动功能障碍、认知功能障碍、疼痛、失眠、外周神经损伤及神经源性膀胱的辅助治疗。 </w:t>
      </w:r>
    </w:p>
    <w:p w14:paraId="019F1C3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2、分体设计：系统采用模块独立分体设计，提供更高安全等级液电隔离独立模块，更合理的利用空间，方便升级、维护、发挥每个模块最大的作用。 </w:t>
      </w:r>
    </w:p>
    <w:p w14:paraId="1B109D4A">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3、磁场刺激强度1-6T，可根据需求调节。 </w:t>
      </w:r>
    </w:p>
    <w:p w14:paraId="7C22871D">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4、刺激频率0-50Hz，1-50Hz步长1Hz，0-1Hz步长0.1Hz，连续可调，可以根据需求调节，。 </w:t>
      </w:r>
    </w:p>
    <w:p w14:paraId="59A589EB">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5、脉冲宽度：340μs±10%； </w:t>
      </w:r>
    </w:p>
    <w:p w14:paraId="5BA67083">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6、脉冲上升时间：60μs±10μs； </w:t>
      </w:r>
    </w:p>
    <w:p w14:paraId="36C548E4">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7、磁感应强度变化率：30~80KT/s。 </w:t>
      </w:r>
    </w:p>
    <w:p w14:paraId="147946C9">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8、设备最大功耗≤3000VA。 </w:t>
      </w:r>
    </w:p>
    <w:p w14:paraId="3B5CAE08">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9、刺激模式：单刺激、重复刺激等多种模式可自由组合切换。 </w:t>
      </w:r>
    </w:p>
    <w:p w14:paraId="7DE51E50">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▲10、刺激线圈： （1）刺激线圈可快速更换，且具备触发按钮和调节强度按钮，单手即可完成阈值测定和强度调节。（2） 刺激线圈具有独立的保护装置，当线圈发生故障时，线圈连接断开或温度超过41℃，应停止磁场输出，有视觉提示并报警 </w:t>
      </w:r>
    </w:p>
    <w:p w14:paraId="438868BB">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11、基于循证医学内置多种临床治疗方案，支持自定义治疗参数。 </w:t>
      </w:r>
    </w:p>
    <w:p w14:paraId="728491A8">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12、可根据治疗需要设置治疗时长1-99min，在预定时间到达后断开磁场输出，允差：±10%。</w:t>
      </w:r>
    </w:p>
    <w:p w14:paraId="08AC34A8">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13、设备运行过程中，可按压前面板上的触控停止键、自锁开关键及时断开磁场输出。 </w:t>
      </w:r>
    </w:p>
    <w:p w14:paraId="491CBF0B">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▲14、可通过主机触控面板或者移动终端安装软件进行手动设置刺激强度、刺激频率、刺激时间、间歇时间、工作时间。 </w:t>
      </w:r>
    </w:p>
    <w:p w14:paraId="67E58724">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15、主机内置高清液晶屏，显示仪器工作参数，无需电脑，所有操作也可以在主机上独立完成。 </w:t>
      </w:r>
    </w:p>
    <w:p w14:paraId="7FD156FD">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▲16、具有多台主机的互联与协同控制功能，多台主机间患者信息、治疗数据共享。 </w:t>
      </w:r>
    </w:p>
    <w:p w14:paraId="7623C37B">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17、两台经颅磁刺激系统可组合成对刺激模式。 </w:t>
      </w:r>
    </w:p>
    <w:p w14:paraId="65F5E391">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18、具有无线通讯功能、支持通过移动端软件或电脑端软件下发操作指令或参数，执行并控制仪器输出磁刺激，方便快捷。 </w:t>
      </w:r>
    </w:p>
    <w:p w14:paraId="22A7A960">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19、冷却系统：内循环液态冷却，冷却液为惰性液体，保证连续使用8小时以上，无渗漏、无挥发现象，无需定期维护。 </w:t>
      </w:r>
    </w:p>
    <w:p w14:paraId="4B88A409">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20、数据库管理功能，包含治疗记录管理，可存储患者基本信息、临床方案、诊疗记录等信息，并可实时查询、编辑及导出数据，并可快速调取历史刺激记录，直接启动刺激。</w:t>
      </w:r>
    </w:p>
    <w:p w14:paraId="279B5F54">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21、计时功能:刺激方案设定后，设备能依据设定方案自行计算总刺激时间。</w:t>
      </w:r>
    </w:p>
    <w:p w14:paraId="2D33893E">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22、万向可调节线圈固定支臂，360度旋转调节高度可调。</w:t>
      </w:r>
    </w:p>
    <w:p w14:paraId="43B72F7D">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23、设备软件具有电容放电计数功能。</w:t>
      </w:r>
    </w:p>
    <w:p w14:paraId="34AEFF5C">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24、温度控制：实时显示治疗线圈温度，当温度超过41℃，自动停止输出；</w:t>
      </w:r>
    </w:p>
    <w:p w14:paraId="6AB7F4A4">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25、提供患者治疗数据管理:为患者提供完善的报告；也可用于临床病例统计和研究</w:t>
      </w:r>
    </w:p>
    <w:p w14:paraId="32211E63">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26、安全保证：电源、刺激强度、刺激时间、线圈温度等实时监控；有线圈脱落、温度异常等异常情况时实时报错功能，根据故障及时停止运行。</w:t>
      </w:r>
    </w:p>
    <w:p w14:paraId="43DB5099">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27、符合YY 9706.102-2021电磁兼容要求，符合YY/T0994-2015磁刺激设备要求。</w:t>
      </w:r>
    </w:p>
    <w:p w14:paraId="11671A3E">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28、使用年限≥10年。</w:t>
      </w:r>
    </w:p>
    <w:p w14:paraId="51E9A680">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29、治疗位置可视化：系统内置刺激部位图，根据处方治疗部位实时突出显示刺激部位，并配详细文字介绍。</w:t>
      </w:r>
    </w:p>
    <w:p w14:paraId="36606AD9">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▲31、支持操作方法：≥3种，均能独立操控设备。</w:t>
      </w:r>
    </w:p>
    <w:p w14:paraId="4CBD6A9B">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32、主机内部高压储能电容安全可靠，电介质强度可达d.c.3000V。</w:t>
      </w:r>
    </w:p>
    <w:p w14:paraId="28202E44">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数量要求：1台</w:t>
      </w:r>
    </w:p>
    <w:p w14:paraId="66AC1679">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br w:type="page"/>
      </w:r>
    </w:p>
    <w:p w14:paraId="769DF83F">
      <w:pPr>
        <w:numPr>
          <w:ilvl w:val="0"/>
          <w:numId w:val="0"/>
        </w:numPr>
        <w:tabs>
          <w:tab w:val="left" w:pos="0"/>
        </w:tabs>
        <w:spacing w:line="360" w:lineRule="auto"/>
        <w:ind w:left="0" w:leftChars="0" w:firstLine="0" w:firstLineChars="0"/>
        <w:rPr>
          <w:rFonts w:hint="eastAsia" w:ascii="宋体" w:hAnsi="宋体" w:eastAsia="宋体" w:cs="宋体"/>
          <w:b/>
          <w:bCs/>
          <w:color w:val="auto"/>
          <w:sz w:val="21"/>
          <w:szCs w:val="21"/>
          <w:highlight w:val="none"/>
          <w:lang w:val="en-US" w:eastAsia="zh-CN"/>
        </w:rPr>
      </w:pPr>
      <w:r>
        <w:rPr>
          <w:rFonts w:hint="default" w:ascii="宋体" w:hAnsi="宋体" w:eastAsia="宋体" w:cs="宋体"/>
          <w:b/>
          <w:bCs/>
          <w:color w:val="auto"/>
          <w:kern w:val="2"/>
          <w:sz w:val="21"/>
          <w:szCs w:val="21"/>
          <w:highlight w:val="none"/>
          <w:lang w:val="en-US" w:eastAsia="zh-CN" w:bidi="ar-SA"/>
        </w:rPr>
        <w:t>1</w:t>
      </w:r>
      <w:r>
        <w:rPr>
          <w:rFonts w:hint="eastAsia" w:ascii="宋体" w:hAnsi="宋体" w:eastAsia="宋体" w:cs="宋体"/>
          <w:b/>
          <w:bCs/>
          <w:color w:val="auto"/>
          <w:kern w:val="2"/>
          <w:sz w:val="21"/>
          <w:szCs w:val="21"/>
          <w:highlight w:val="none"/>
          <w:lang w:val="en-US" w:eastAsia="zh-CN" w:bidi="ar-SA"/>
        </w:rPr>
        <w:t>1</w:t>
      </w:r>
      <w:r>
        <w:rPr>
          <w:rFonts w:hint="default"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val="en-US" w:eastAsia="zh-CN"/>
        </w:rPr>
        <w:t>儿童认知协调训练组柜</w:t>
      </w:r>
    </w:p>
    <w:p w14:paraId="49157C6D">
      <w:pPr>
        <w:numPr>
          <w:ilvl w:val="0"/>
          <w:numId w:val="31"/>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规格：1430*480*990±30mm；</w:t>
      </w:r>
    </w:p>
    <w:p w14:paraId="2CB24EDB">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重量：55kg；</w:t>
      </w:r>
    </w:p>
    <w:p w14:paraId="6231F17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材质：优质木材、高密度夹板、表面清漆。</w:t>
      </w:r>
    </w:p>
    <w:p w14:paraId="4C0AC9A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配置：认识拼装积木、训练套圈、腕部肌力训练器、上肢协调功能训练器（手指）、儿童认知训练组件、数字套圈、智力几何图形插板系列、认知图形插板、感知训练组合、手指功能训练器、平衡协调训练器、认知组合拼图</w:t>
      </w:r>
    </w:p>
    <w:p w14:paraId="440B4908">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功能：多功能训练组合，可供多名患者同时使用，节省空间和有效利用时间。</w:t>
      </w:r>
    </w:p>
    <w:p w14:paraId="31303978">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73080FE9">
      <w:pPr>
        <w:rPr>
          <w:rFonts w:hint="eastAsia" w:ascii="宋体" w:hAnsi="宋体" w:eastAsia="宋体" w:cs="宋体"/>
          <w:b/>
          <w:bCs/>
          <w:color w:val="auto"/>
          <w:sz w:val="21"/>
          <w:szCs w:val="21"/>
          <w:highlight w:val="none"/>
          <w:lang w:val="en-US" w:eastAsia="zh-CN"/>
        </w:rPr>
      </w:pPr>
    </w:p>
    <w:p w14:paraId="39D32150">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12、儿童分指板可调</w:t>
      </w:r>
    </w:p>
    <w:p w14:paraId="796FCCB9">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规格：270X220X15±30mm；</w:t>
      </w:r>
    </w:p>
    <w:p w14:paraId="2D79E726">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重量：0.4kg；</w:t>
      </w:r>
    </w:p>
    <w:p w14:paraId="5CA8929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功能：矫正手指的屈曲挛缩内收畸形。</w:t>
      </w:r>
    </w:p>
    <w:p w14:paraId="7AD0D8A3">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数量要求：2套</w:t>
      </w:r>
    </w:p>
    <w:p w14:paraId="7935E3B2">
      <w:pPr>
        <w:rPr>
          <w:rFonts w:hint="eastAsia" w:ascii="宋体" w:hAnsi="宋体" w:eastAsia="宋体" w:cs="宋体"/>
          <w:color w:val="auto"/>
          <w:sz w:val="21"/>
          <w:szCs w:val="21"/>
          <w:highlight w:val="none"/>
          <w:lang w:val="en-US" w:eastAsia="zh-CN"/>
        </w:rPr>
      </w:pPr>
    </w:p>
    <w:p w14:paraId="1DD828AD">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13、手部力度训练器</w:t>
      </w:r>
    </w:p>
    <w:p w14:paraId="1E8A38B7">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参数：每套含每套六种动物，采用高质量、慢回弹和可降解无毒聚氨酯制成 使用时用手挤压。</w:t>
      </w:r>
    </w:p>
    <w:p w14:paraId="69731000">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 ：用于手部肌力训练。</w:t>
      </w:r>
    </w:p>
    <w:p w14:paraId="03866505">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1ECE4522">
      <w:pPr>
        <w:rPr>
          <w:rFonts w:hint="eastAsia" w:ascii="宋体" w:hAnsi="宋体" w:eastAsia="宋体" w:cs="宋体"/>
          <w:color w:val="auto"/>
          <w:sz w:val="21"/>
          <w:szCs w:val="21"/>
          <w:highlight w:val="none"/>
          <w:lang w:val="en-US" w:eastAsia="zh-CN"/>
        </w:rPr>
      </w:pPr>
    </w:p>
    <w:p w14:paraId="2A3A2CC4">
      <w:pPr>
        <w:numPr>
          <w:ilvl w:val="0"/>
          <w:numId w:val="32"/>
        </w:num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儿童穿鞋训练器</w:t>
      </w:r>
    </w:p>
    <w:p w14:paraId="5E639462">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材质：优质木材、塑料。</w:t>
      </w:r>
    </w:p>
    <w:p w14:paraId="406FD0CB">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功能：日常生活穿鞋训练</w:t>
      </w:r>
    </w:p>
    <w:p w14:paraId="0291EA1B">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数量要求：2套</w:t>
      </w:r>
    </w:p>
    <w:p w14:paraId="0A8B72A4">
      <w:pPr>
        <w:spacing w:line="360" w:lineRule="auto"/>
        <w:rPr>
          <w:rFonts w:hint="eastAsia" w:ascii="宋体" w:hAnsi="宋体" w:eastAsia="宋体" w:cs="宋体"/>
          <w:color w:val="auto"/>
          <w:sz w:val="21"/>
          <w:szCs w:val="21"/>
          <w:highlight w:val="none"/>
          <w:lang w:val="en-US" w:eastAsia="zh-CN"/>
        </w:rPr>
      </w:pPr>
    </w:p>
    <w:p w14:paraId="39236844">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15、穿衣板</w:t>
      </w:r>
    </w:p>
    <w:p w14:paraId="6B9911C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规格： 350X350X350mm</w:t>
      </w:r>
    </w:p>
    <w:p w14:paraId="7B9F6E0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功能：通过日常生活训练提高患者的手眼协调能力和穿衣自理功能。</w:t>
      </w:r>
    </w:p>
    <w:p w14:paraId="463E934A">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数量要求：2套</w:t>
      </w:r>
    </w:p>
    <w:p w14:paraId="07AD8AF2">
      <w:pPr>
        <w:spacing w:line="360" w:lineRule="auto"/>
        <w:rPr>
          <w:rFonts w:hint="eastAsia" w:ascii="宋体" w:hAnsi="宋体" w:eastAsia="宋体" w:cs="宋体"/>
          <w:color w:val="auto"/>
          <w:sz w:val="21"/>
          <w:szCs w:val="21"/>
          <w:highlight w:val="none"/>
          <w:lang w:val="en-US" w:eastAsia="zh-CN"/>
        </w:rPr>
      </w:pPr>
    </w:p>
    <w:p w14:paraId="44C587D9">
      <w:pPr>
        <w:spacing w:line="360" w:lineRule="auto"/>
        <w:rPr>
          <w:rFonts w:hint="eastAsia" w:ascii="宋体" w:hAnsi="宋体" w:eastAsia="宋体" w:cs="宋体"/>
          <w:b/>
          <w:bCs/>
          <w:strike w:val="0"/>
          <w:dstrike w:val="0"/>
          <w:color w:val="auto"/>
          <w:sz w:val="21"/>
          <w:szCs w:val="21"/>
          <w:highlight w:val="none"/>
          <w:lang w:val="en-US" w:eastAsia="zh-CN"/>
        </w:rPr>
      </w:pPr>
      <w:r>
        <w:rPr>
          <w:rFonts w:hint="eastAsia" w:ascii="宋体" w:hAnsi="宋体" w:eastAsia="宋体" w:cs="宋体"/>
          <w:b/>
          <w:bCs/>
          <w:strike w:val="0"/>
          <w:dstrike w:val="0"/>
          <w:color w:val="auto"/>
          <w:sz w:val="21"/>
          <w:szCs w:val="21"/>
          <w:highlight w:val="none"/>
          <w:lang w:val="en-US" w:eastAsia="zh-CN"/>
        </w:rPr>
        <w:t>16、情景穿线</w:t>
      </w:r>
    </w:p>
    <w:p w14:paraId="7F868B39">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规格：255x200x50mm</w:t>
      </w:r>
    </w:p>
    <w:p w14:paraId="5882E1E9">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材质：木盒为桦木或椴木</w:t>
      </w:r>
    </w:p>
    <w:p w14:paraId="368A482A">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盒内积木：杂木</w:t>
      </w:r>
    </w:p>
    <w:p w14:paraId="42513A51">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有机玻璃盖：1.8mm厚</w:t>
      </w:r>
    </w:p>
    <w:p w14:paraId="734E0845">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功能：手功能训练，认知功能及手眼协调功能训练。</w:t>
      </w:r>
    </w:p>
    <w:p w14:paraId="6E16523B">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数量要求：2套</w:t>
      </w:r>
    </w:p>
    <w:p w14:paraId="64C58AAE">
      <w:pPr>
        <w:spacing w:line="360" w:lineRule="auto"/>
        <w:rPr>
          <w:rFonts w:hint="eastAsia" w:ascii="宋体" w:hAnsi="宋体" w:eastAsia="宋体" w:cs="宋体"/>
          <w:color w:val="auto"/>
          <w:sz w:val="21"/>
          <w:szCs w:val="21"/>
          <w:highlight w:val="none"/>
          <w:lang w:val="en-US" w:eastAsia="zh-CN"/>
        </w:rPr>
      </w:pPr>
    </w:p>
    <w:p w14:paraId="1B29D92F">
      <w:pPr>
        <w:numPr>
          <w:ilvl w:val="0"/>
          <w:numId w:val="33"/>
        </w:num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手眼协调训练器</w:t>
      </w:r>
    </w:p>
    <w:p w14:paraId="532101A5">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规格：520X470X490mm；</w:t>
      </w:r>
    </w:p>
    <w:p w14:paraId="48513C77">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重量：2kg；</w:t>
      </w:r>
    </w:p>
    <w:p w14:paraId="47521937">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材质：高密度夹板。</w:t>
      </w:r>
    </w:p>
    <w:p w14:paraId="036D6D3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功能：手功能训练、手眼协调功能训练。</w:t>
      </w:r>
    </w:p>
    <w:p w14:paraId="235A82A5">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3D965390">
      <w:pPr>
        <w:spacing w:line="360" w:lineRule="auto"/>
        <w:rPr>
          <w:rFonts w:hint="eastAsia" w:ascii="宋体" w:hAnsi="宋体" w:eastAsia="宋体" w:cs="宋体"/>
          <w:color w:val="auto"/>
          <w:sz w:val="21"/>
          <w:szCs w:val="21"/>
          <w:highlight w:val="none"/>
          <w:lang w:val="en-US" w:eastAsia="zh-CN"/>
        </w:rPr>
      </w:pPr>
    </w:p>
    <w:p w14:paraId="47BB3E0A">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18、儿童工作桌(可调) </w:t>
      </w:r>
    </w:p>
    <w:p w14:paraId="03E6F01D">
      <w:pPr>
        <w:pageBreakBefore w:val="0"/>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规格(</w:t>
      </w:r>
      <w:r>
        <w:rPr>
          <w:rFonts w:hint="eastAsia" w:ascii="宋体" w:hAnsi="宋体" w:eastAsia="宋体" w:cs="宋体"/>
          <w:sz w:val="21"/>
          <w:szCs w:val="21"/>
          <w:highlight w:val="none"/>
          <w:lang w:val="en-US" w:eastAsia="zh-CN"/>
        </w:rPr>
        <w:t>m</w:t>
      </w:r>
      <w:r>
        <w:rPr>
          <w:rFonts w:hint="eastAsia" w:ascii="宋体" w:hAnsi="宋体" w:eastAsia="宋体" w:cs="宋体"/>
          <w:sz w:val="21"/>
          <w:szCs w:val="21"/>
          <w:highlight w:val="none"/>
        </w:rPr>
        <w:t>m)：</w:t>
      </w:r>
      <w:r>
        <w:rPr>
          <w:rFonts w:hint="eastAsia" w:ascii="宋体" w:hAnsi="宋体" w:eastAsia="宋体" w:cs="宋体"/>
          <w:sz w:val="21"/>
          <w:szCs w:val="21"/>
          <w:highlight w:val="none"/>
          <w:lang w:val="en-US" w:eastAsia="zh-CN"/>
        </w:rPr>
        <w:t>1390</w:t>
      </w:r>
      <w:r>
        <w:rPr>
          <w:rFonts w:hint="eastAsia" w:ascii="宋体" w:hAnsi="宋体" w:eastAsia="宋体" w:cs="宋体"/>
          <w:sz w:val="21"/>
          <w:szCs w:val="21"/>
          <w:highlight w:val="none"/>
        </w:rPr>
        <w:t>×8</w:t>
      </w:r>
      <w:r>
        <w:rPr>
          <w:rFonts w:hint="eastAsia" w:ascii="宋体" w:hAnsi="宋体" w:eastAsia="宋体" w:cs="宋体"/>
          <w:sz w:val="21"/>
          <w:szCs w:val="21"/>
          <w:highlight w:val="none"/>
          <w:lang w:val="en-US" w:eastAsia="zh-CN"/>
        </w:rPr>
        <w:t>00</w:t>
      </w:r>
      <w:r>
        <w:rPr>
          <w:rFonts w:hint="eastAsia" w:ascii="宋体" w:hAnsi="宋体" w:eastAsia="宋体" w:cs="宋体"/>
          <w:sz w:val="21"/>
          <w:szCs w:val="21"/>
          <w:highlight w:val="none"/>
        </w:rPr>
        <w:t>×6</w:t>
      </w:r>
      <w:r>
        <w:rPr>
          <w:rFonts w:hint="eastAsia" w:ascii="宋体" w:hAnsi="宋体" w:eastAsia="宋体" w:cs="宋体"/>
          <w:sz w:val="21"/>
          <w:szCs w:val="21"/>
          <w:highlight w:val="none"/>
          <w:lang w:val="en-US" w:eastAsia="zh-CN"/>
        </w:rPr>
        <w:t>50</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920，</w:t>
      </w:r>
      <w:r>
        <w:rPr>
          <w:rFonts w:hint="eastAsia" w:ascii="宋体" w:hAnsi="宋体" w:eastAsia="宋体" w:cs="宋体"/>
          <w:sz w:val="21"/>
          <w:szCs w:val="21"/>
          <w:highlight w:val="none"/>
        </w:rPr>
        <w:t>允差±</w:t>
      </w:r>
      <w:r>
        <w:rPr>
          <w:rFonts w:hint="eastAsia" w:ascii="宋体" w:hAnsi="宋体" w:eastAsia="宋体" w:cs="宋体"/>
          <w:sz w:val="21"/>
          <w:szCs w:val="21"/>
          <w:highlight w:val="none"/>
          <w:lang w:val="en-US" w:eastAsia="zh-CN"/>
        </w:rPr>
        <w:t>50</w:t>
      </w:r>
      <w:r>
        <w:rPr>
          <w:rFonts w:hint="eastAsia" w:ascii="宋体" w:hAnsi="宋体" w:eastAsia="宋体" w:cs="宋体"/>
          <w:sz w:val="21"/>
          <w:szCs w:val="21"/>
          <w:highlight w:val="none"/>
        </w:rPr>
        <w:t>mm；</w:t>
      </w:r>
    </w:p>
    <w:p w14:paraId="1E20BEA8">
      <w:pPr>
        <w:pageBreakBefore w:val="0"/>
        <w:kinsoku/>
        <w:overflowPunct/>
        <w:topLinePunct w:val="0"/>
        <w:bidi w:val="0"/>
        <w:spacing w:line="360" w:lineRule="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rPr>
        <w:t>材质：优质钢材表面为静电喷涂</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实木桌面。</w:t>
      </w:r>
    </w:p>
    <w:p w14:paraId="0E0B8960">
      <w:pPr>
        <w:pageBreakBefore w:val="0"/>
        <w:kinsoku/>
        <w:overflowPunct/>
        <w:topLinePunct w:val="0"/>
        <w:bidi w:val="0"/>
        <w:spacing w:line="360" w:lineRule="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桌面额定载荷：750N，</w:t>
      </w:r>
      <w:r>
        <w:rPr>
          <w:rFonts w:hint="eastAsia" w:ascii="宋体" w:hAnsi="宋体" w:eastAsia="宋体" w:cs="宋体"/>
          <w:sz w:val="21"/>
          <w:szCs w:val="21"/>
          <w:highlight w:val="none"/>
        </w:rPr>
        <w:t>允差±</w:t>
      </w:r>
      <w:r>
        <w:rPr>
          <w:rFonts w:hint="eastAsia" w:ascii="宋体" w:hAnsi="宋体" w:eastAsia="宋体" w:cs="宋体"/>
          <w:sz w:val="21"/>
          <w:szCs w:val="21"/>
          <w:highlight w:val="none"/>
          <w:lang w:val="en-US" w:eastAsia="zh-CN"/>
        </w:rPr>
        <w:t>5%；</w:t>
      </w:r>
    </w:p>
    <w:p w14:paraId="487EF48F">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用途：</w:t>
      </w:r>
      <w:r>
        <w:rPr>
          <w:rFonts w:hint="eastAsia" w:ascii="宋体" w:hAnsi="宋体" w:eastAsia="宋体" w:cs="宋体"/>
          <w:sz w:val="21"/>
          <w:szCs w:val="21"/>
          <w:highlight w:val="none"/>
          <w:lang w:val="en-US" w:eastAsia="zh-CN"/>
        </w:rPr>
        <w:t>儿童</w:t>
      </w:r>
      <w:r>
        <w:rPr>
          <w:rFonts w:hint="eastAsia" w:ascii="宋体" w:hAnsi="宋体" w:eastAsia="宋体" w:cs="宋体"/>
          <w:sz w:val="21"/>
          <w:szCs w:val="21"/>
          <w:highlight w:val="none"/>
        </w:rPr>
        <w:t>作业训练用桌，桌面高度可调节</w:t>
      </w:r>
    </w:p>
    <w:p w14:paraId="4A871A5A">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数量要求：2套</w:t>
      </w:r>
    </w:p>
    <w:p w14:paraId="5D00CFA6">
      <w:pPr>
        <w:spacing w:line="360" w:lineRule="auto"/>
        <w:rPr>
          <w:rFonts w:hint="eastAsia" w:ascii="宋体" w:hAnsi="宋体" w:eastAsia="宋体" w:cs="宋体"/>
          <w:sz w:val="21"/>
          <w:szCs w:val="21"/>
          <w:highlight w:val="none"/>
        </w:rPr>
      </w:pPr>
    </w:p>
    <w:p w14:paraId="0C4BB013">
      <w:pPr>
        <w:spacing w:line="360" w:lineRule="auto"/>
        <w:rPr>
          <w:rFonts w:hint="eastAsia" w:ascii="宋体" w:hAnsi="宋体" w:eastAsia="宋体" w:cs="宋体"/>
          <w:sz w:val="21"/>
          <w:szCs w:val="21"/>
          <w:highlight w:val="none"/>
        </w:rPr>
      </w:pPr>
    </w:p>
    <w:p w14:paraId="27EB31B4">
      <w:pPr>
        <w:spacing w:line="360" w:lineRule="auto"/>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19、</w:t>
      </w:r>
      <w:r>
        <w:rPr>
          <w:rFonts w:hint="eastAsia" w:ascii="宋体" w:hAnsi="宋体" w:eastAsia="宋体" w:cs="宋体"/>
          <w:b/>
          <w:bCs/>
          <w:sz w:val="21"/>
          <w:szCs w:val="21"/>
          <w:highlight w:val="none"/>
        </w:rPr>
        <w:t>听觉功能训练系统</w:t>
      </w:r>
    </w:p>
    <w:p w14:paraId="57D30376">
      <w:pPr>
        <w:numPr>
          <w:ilvl w:val="0"/>
          <w:numId w:val="0"/>
        </w:numPr>
        <w:spacing w:line="360" w:lineRule="auto"/>
        <w:jc w:val="both"/>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一、系统概述</w:t>
      </w:r>
    </w:p>
    <w:p w14:paraId="3A9E2543">
      <w:pPr>
        <w:spacing w:line="360" w:lineRule="auto"/>
        <w:ind w:firstLine="442"/>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听觉统合训练系统是通过计算机与AIT听觉统合技术相结合，让患者聆听一组经过调制和过滤过的音乐来矫正因听觉系统对声音处理失调的现象，刺激脑部活动，从而达到改善听觉处理障碍、矫正行为紊乱及缓解情绪失调的目的。为高频疗法、脱敏疗法、平衡疗法、脑电波诱导疗法提供技术参数及康复指导</w:t>
      </w:r>
      <w:r>
        <w:rPr>
          <w:rFonts w:hint="eastAsia" w:ascii="宋体" w:hAnsi="宋体" w:eastAsia="宋体" w:cs="宋体"/>
          <w:sz w:val="21"/>
          <w:szCs w:val="21"/>
          <w:highlight w:val="none"/>
          <w:lang w:eastAsia="zh-CN"/>
        </w:rPr>
        <w:t>；</w:t>
      </w:r>
    </w:p>
    <w:p w14:paraId="61A644D2">
      <w:pPr>
        <w:numPr>
          <w:ilvl w:val="0"/>
          <w:numId w:val="0"/>
        </w:numPr>
        <w:spacing w:line="360" w:lineRule="auto"/>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二、</w:t>
      </w:r>
      <w:r>
        <w:rPr>
          <w:rFonts w:hint="eastAsia" w:ascii="宋体" w:hAnsi="宋体" w:eastAsia="宋体" w:cs="宋体"/>
          <w:b/>
          <w:bCs/>
          <w:sz w:val="21"/>
          <w:szCs w:val="21"/>
          <w:highlight w:val="none"/>
        </w:rPr>
        <w:t>系统功能</w:t>
      </w:r>
    </w:p>
    <w:p w14:paraId="67F6037A">
      <w:pPr>
        <w:numPr>
          <w:ilvl w:val="0"/>
          <w:numId w:val="34"/>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模式：具有5种治疗模式，包括情绪行为干预、听觉脱敏训练、双耳平衡训练、脑电波诱导音乐和自定义康复模式</w:t>
      </w:r>
      <w:r>
        <w:rPr>
          <w:rFonts w:hint="eastAsia" w:ascii="宋体" w:hAnsi="宋体" w:eastAsia="宋体" w:cs="宋体"/>
          <w:sz w:val="21"/>
          <w:szCs w:val="21"/>
          <w:highlight w:val="none"/>
          <w:lang w:eastAsia="zh-CN"/>
        </w:rPr>
        <w:t>；</w:t>
      </w:r>
    </w:p>
    <w:p w14:paraId="1F75F348">
      <w:pPr>
        <w:numPr>
          <w:ilvl w:val="0"/>
          <w:numId w:val="34"/>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高频疗法：情绪行为干预分为外倾型干预和内倾型干预</w:t>
      </w:r>
      <w:r>
        <w:rPr>
          <w:rFonts w:hint="eastAsia" w:ascii="宋体" w:hAnsi="宋体" w:eastAsia="宋体" w:cs="宋体"/>
          <w:sz w:val="21"/>
          <w:szCs w:val="21"/>
          <w:highlight w:val="none"/>
          <w:lang w:eastAsia="zh-CN"/>
        </w:rPr>
        <w:t>；</w:t>
      </w:r>
    </w:p>
    <w:p w14:paraId="29B061FF">
      <w:pPr>
        <w:numPr>
          <w:ilvl w:val="0"/>
          <w:numId w:val="34"/>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听觉脱敏训练分为</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高频脱敏训练和低频脱敏训练</w:t>
      </w:r>
      <w:r>
        <w:rPr>
          <w:rFonts w:hint="eastAsia" w:ascii="宋体" w:hAnsi="宋体" w:eastAsia="宋体" w:cs="宋体"/>
          <w:sz w:val="21"/>
          <w:szCs w:val="21"/>
          <w:highlight w:val="none"/>
          <w:lang w:eastAsia="zh-CN"/>
        </w:rPr>
        <w:t>；</w:t>
      </w:r>
    </w:p>
    <w:p w14:paraId="5D2D266D">
      <w:pPr>
        <w:numPr>
          <w:ilvl w:val="0"/>
          <w:numId w:val="34"/>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双耳平衡训练：通过左右声道隔离对左右半脑听神经进行刺激，分为定向训练和平衡训练</w:t>
      </w:r>
      <w:r>
        <w:rPr>
          <w:rFonts w:hint="eastAsia" w:ascii="宋体" w:hAnsi="宋体" w:eastAsia="宋体" w:cs="宋体"/>
          <w:sz w:val="21"/>
          <w:szCs w:val="21"/>
          <w:highlight w:val="none"/>
          <w:lang w:eastAsia="zh-CN"/>
        </w:rPr>
        <w:t>；</w:t>
      </w:r>
    </w:p>
    <w:p w14:paraId="4F799310">
      <w:pPr>
        <w:numPr>
          <w:ilvl w:val="0"/>
          <w:numId w:val="34"/>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脑电波诱导音乐包含三个内容：音乐诱导、特效视频、灯光刺激。脑电波音乐诱导的原理是脑科学中的“双耳节拍效应”，分为α波、β波和θ波</w:t>
      </w:r>
      <w:r>
        <w:rPr>
          <w:rFonts w:hint="eastAsia" w:ascii="宋体" w:hAnsi="宋体" w:eastAsia="宋体" w:cs="宋体"/>
          <w:sz w:val="21"/>
          <w:szCs w:val="21"/>
          <w:highlight w:val="none"/>
          <w:lang w:eastAsia="zh-CN"/>
        </w:rPr>
        <w:t>；</w:t>
      </w:r>
    </w:p>
    <w:p w14:paraId="284F9A0A">
      <w:pPr>
        <w:numPr>
          <w:ilvl w:val="0"/>
          <w:numId w:val="34"/>
        </w:numPr>
        <w:spacing w:line="360" w:lineRule="auto"/>
        <w:jc w:val="left"/>
        <w:rPr>
          <w:rFonts w:hint="eastAsia" w:ascii="宋体" w:hAnsi="宋体" w:eastAsia="宋体" w:cs="宋体"/>
          <w:sz w:val="21"/>
          <w:szCs w:val="21"/>
          <w:highlight w:val="none"/>
        </w:rPr>
      </w:pPr>
      <w:r>
        <w:rPr>
          <w:rFonts w:hint="eastAsia" w:ascii="宋体" w:hAnsi="宋体" w:eastAsia="宋体" w:cs="宋体"/>
          <w:b/>
          <w:bCs/>
          <w:sz w:val="21"/>
          <w:szCs w:val="21"/>
          <w:highlight w:val="none"/>
        </w:rPr>
        <w:t>★</w:t>
      </w:r>
      <w:r>
        <w:rPr>
          <w:rFonts w:hint="eastAsia" w:ascii="宋体" w:hAnsi="宋体" w:eastAsia="宋体" w:cs="宋体"/>
          <w:sz w:val="21"/>
          <w:szCs w:val="21"/>
          <w:highlight w:val="none"/>
        </w:rPr>
        <w:t>自定义康复模式：系统具有20首经过过滤和调制的特定音频曲目，根据不同的曲目系统自动关联声道衰减模式，并通过手动调节滤波种类（原声、低通、高通、带通、带阻），截止频率，音量大小，改善听觉功能失调</w:t>
      </w:r>
      <w:r>
        <w:rPr>
          <w:rFonts w:hint="eastAsia" w:ascii="宋体" w:hAnsi="宋体" w:eastAsia="宋体" w:cs="宋体"/>
          <w:sz w:val="21"/>
          <w:szCs w:val="21"/>
          <w:highlight w:val="none"/>
          <w:lang w:eastAsia="zh-CN"/>
        </w:rPr>
        <w:t>；</w:t>
      </w:r>
    </w:p>
    <w:p w14:paraId="136A7D20">
      <w:pPr>
        <w:numPr>
          <w:ilvl w:val="0"/>
          <w:numId w:val="34"/>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滤波设置：可根据治疗需求手动调节滤波参数</w:t>
      </w:r>
    </w:p>
    <w:p w14:paraId="018CA57F">
      <w:pPr>
        <w:numPr>
          <w:ilvl w:val="0"/>
          <w:numId w:val="35"/>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低通截止频率（250HZ、500HZ、750HZ、1000HZ、1500HZ、2000HZ、3000HZ、4000HZ、6000HZ、8000HZ）10项截止频点</w:t>
      </w:r>
    </w:p>
    <w:p w14:paraId="6FC5A58E">
      <w:pPr>
        <w:numPr>
          <w:ilvl w:val="0"/>
          <w:numId w:val="35"/>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高通截止频率（250HZ、500HZ、750HZ、1000HZ、1500HZ、2000HZ、3000HZ、4000HZ、6000HZ、8000HZ）10项截止频点</w:t>
      </w:r>
    </w:p>
    <w:p w14:paraId="723886DD">
      <w:pPr>
        <w:numPr>
          <w:ilvl w:val="0"/>
          <w:numId w:val="35"/>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带通截止频率（450-550HZ、675-825HZ、900-1100HZ、1350-1650HZ、1800-2200HZ、2700-3300HZ、3700-4300HZ、5700-6300HZ、7700-8300HZ、9700-13000HZ）10项截止频段</w:t>
      </w:r>
    </w:p>
    <w:p w14:paraId="36390B0B">
      <w:pPr>
        <w:numPr>
          <w:ilvl w:val="0"/>
          <w:numId w:val="35"/>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带阻截止频率（450-550HZ、675-825HZ、900-1100HZ、1350-1650HZ、1800-2200HZ、2700-3300HZ、3700-4300HZ、5700-6300HZ、7700-8300HZ、9700-13000HZ）10项截止频段</w:t>
      </w:r>
      <w:r>
        <w:rPr>
          <w:rFonts w:hint="eastAsia" w:ascii="宋体" w:hAnsi="宋体" w:eastAsia="宋体" w:cs="宋体"/>
          <w:sz w:val="21"/>
          <w:szCs w:val="21"/>
          <w:highlight w:val="none"/>
          <w:lang w:eastAsia="zh-CN"/>
        </w:rPr>
        <w:t>；</w:t>
      </w:r>
    </w:p>
    <w:p w14:paraId="5144A181">
      <w:pPr>
        <w:numPr>
          <w:ilvl w:val="0"/>
          <w:numId w:val="0"/>
        </w:numPr>
        <w:spacing w:line="360" w:lineRule="auto"/>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三．</w:t>
      </w:r>
      <w:r>
        <w:rPr>
          <w:rFonts w:hint="eastAsia" w:ascii="宋体" w:hAnsi="宋体" w:eastAsia="宋体" w:cs="宋体"/>
          <w:b/>
          <w:bCs/>
          <w:sz w:val="21"/>
          <w:szCs w:val="21"/>
          <w:highlight w:val="none"/>
        </w:rPr>
        <w:t>技术指标</w:t>
      </w:r>
    </w:p>
    <w:p w14:paraId="30D35089">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 单通道低通滤波器</w:t>
      </w:r>
    </w:p>
    <w:p w14:paraId="3DDD586F">
      <w:pPr>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增益：共四档 25dB、30dB、35dB、40dB，每档误差±1.0dB；(100Hz-700Hz基频范围)</w:t>
      </w:r>
      <w:r>
        <w:rPr>
          <w:rFonts w:hint="eastAsia" w:ascii="宋体" w:hAnsi="宋体" w:eastAsia="宋体" w:cs="宋体"/>
          <w:sz w:val="21"/>
          <w:szCs w:val="21"/>
          <w:highlight w:val="none"/>
          <w:lang w:eastAsia="zh-CN"/>
        </w:rPr>
        <w:t>；</w:t>
      </w:r>
    </w:p>
    <w:p w14:paraId="78D4234F">
      <w:pPr>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rPr>
        <w:t>低通滤波共三档 5kHz、10kHz、20kHz</w:t>
      </w:r>
      <w:r>
        <w:rPr>
          <w:rFonts w:hint="eastAsia" w:ascii="宋体" w:hAnsi="宋体" w:eastAsia="宋体" w:cs="宋体"/>
          <w:sz w:val="21"/>
          <w:szCs w:val="21"/>
          <w:highlight w:val="none"/>
          <w:lang w:eastAsia="zh-CN"/>
        </w:rPr>
        <w:t>；</w:t>
      </w:r>
    </w:p>
    <w:p w14:paraId="372C33BE">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①5kHz：</w:t>
      </w:r>
    </w:p>
    <w:p w14:paraId="4B1A5FFA">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当输入信号频率为100Hz-700Hz时，信号响应在-1.0dB到+1.0dB之间；</w:t>
      </w:r>
    </w:p>
    <w:p w14:paraId="78AA0A82">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当输入信号频率为700Hz-2.5kHz时，信号响应在-2.0dB到+2.0dB之间；</w:t>
      </w:r>
    </w:p>
    <w:p w14:paraId="2F44F0B9">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当输入信号频率为5.5kHz时，基本无信号输出；</w:t>
      </w:r>
    </w:p>
    <w:p w14:paraId="656508E6">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②10kHz：</w:t>
      </w:r>
    </w:p>
    <w:p w14:paraId="737209CF">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当输入信号频率为100Hz-5kHz时，信号响应在-2.0dB到+2.0dB之间；</w:t>
      </w:r>
    </w:p>
    <w:p w14:paraId="13DFDDE3">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当输入信号频率为11kHz时，基本无信号输出；</w:t>
      </w:r>
    </w:p>
    <w:p w14:paraId="3919A623">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③20kHz：</w:t>
      </w:r>
    </w:p>
    <w:p w14:paraId="6DDB895E">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当输入信号频率为100Hz-10kHz时，信号响应在-2.0dB到+2.0dB之间；</w:t>
      </w:r>
    </w:p>
    <w:p w14:paraId="7FAB8B89">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当输入信号频率为22k Hz时，基本无信号输出；</w:t>
      </w:r>
    </w:p>
    <w:p w14:paraId="5038BB72">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2、语音信号</w:t>
      </w:r>
    </w:p>
    <w:p w14:paraId="09CE5698">
      <w:pPr>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在100Hz-10KHz范围内，信号频率误差：≤4%</w:t>
      </w:r>
      <w:r>
        <w:rPr>
          <w:rFonts w:hint="eastAsia" w:ascii="宋体" w:hAnsi="宋体" w:eastAsia="宋体" w:cs="宋体"/>
          <w:sz w:val="21"/>
          <w:szCs w:val="21"/>
          <w:highlight w:val="none"/>
          <w:lang w:eastAsia="zh-CN"/>
        </w:rPr>
        <w:t>；</w:t>
      </w:r>
    </w:p>
    <w:p w14:paraId="1FB9381F">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3、系统参数</w:t>
      </w:r>
    </w:p>
    <w:p w14:paraId="2CC44DAD">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1）听觉、言语信号</w:t>
      </w:r>
    </w:p>
    <w:p w14:paraId="143ADD21">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增益：共四档 25dB、30dB、35dB、40dB，每档误差±1.0dB；(100Hz-700Hz基频范围)</w:t>
      </w:r>
    </w:p>
    <w:p w14:paraId="5622C8C6">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频率误差：±2%；</w:t>
      </w:r>
    </w:p>
    <w:p w14:paraId="76DEEECA">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电压误差：±3%；</w:t>
      </w:r>
    </w:p>
    <w:p w14:paraId="64741A0F">
      <w:pPr>
        <w:numPr>
          <w:ilvl w:val="0"/>
          <w:numId w:val="0"/>
        </w:numPr>
        <w:spacing w:line="360" w:lineRule="auto"/>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四、</w:t>
      </w:r>
      <w:r>
        <w:rPr>
          <w:rFonts w:hint="eastAsia" w:ascii="宋体" w:hAnsi="宋体" w:eastAsia="宋体" w:cs="宋体"/>
          <w:b/>
          <w:bCs/>
          <w:sz w:val="21"/>
          <w:szCs w:val="21"/>
          <w:highlight w:val="none"/>
        </w:rPr>
        <w:t>性能特点</w:t>
      </w:r>
    </w:p>
    <w:p w14:paraId="32CF4A6A">
      <w:pPr>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1、丰富的专业视听素材，选择范围广，节奏韵律强</w:t>
      </w:r>
      <w:r>
        <w:rPr>
          <w:rFonts w:hint="eastAsia" w:ascii="宋体" w:hAnsi="宋体" w:eastAsia="宋体" w:cs="宋体"/>
          <w:sz w:val="21"/>
          <w:szCs w:val="21"/>
          <w:highlight w:val="none"/>
          <w:lang w:eastAsia="zh-CN"/>
        </w:rPr>
        <w:t>；</w:t>
      </w:r>
    </w:p>
    <w:p w14:paraId="272FC247">
      <w:pPr>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2、分屏技术：采用双屏设计，患者端采用触摸屏设计，保证医师与患者独立操作，参与性更强，反馈效果更好</w:t>
      </w:r>
      <w:r>
        <w:rPr>
          <w:rFonts w:hint="eastAsia" w:ascii="宋体" w:hAnsi="宋体" w:eastAsia="宋体" w:cs="宋体"/>
          <w:sz w:val="21"/>
          <w:szCs w:val="21"/>
          <w:highlight w:val="none"/>
          <w:lang w:eastAsia="zh-CN"/>
        </w:rPr>
        <w:t>；</w:t>
      </w:r>
    </w:p>
    <w:p w14:paraId="78B6003E">
      <w:pPr>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3、打印功能：用户可以根据需要选择患者完成训练的记录进行打印，即可以表格的形式打印出训练的详细记录</w:t>
      </w:r>
      <w:r>
        <w:rPr>
          <w:rFonts w:hint="eastAsia" w:ascii="宋体" w:hAnsi="宋体" w:eastAsia="宋体" w:cs="宋体"/>
          <w:sz w:val="21"/>
          <w:szCs w:val="21"/>
          <w:highlight w:val="none"/>
          <w:lang w:eastAsia="zh-CN"/>
        </w:rPr>
        <w:t>；</w:t>
      </w:r>
    </w:p>
    <w:p w14:paraId="053AE3BB">
      <w:pPr>
        <w:spacing w:line="360" w:lineRule="auto"/>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4、多维度软件管理功能：</w:t>
      </w:r>
    </w:p>
    <w:p w14:paraId="517E8E76">
      <w:pPr>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1）系统管理：包括医师权限管理，可以注册新医师，能够显示及修改登录密码等信息；患者管理功能，可以注册新病人，能够显示病人姓名、年龄、性别、住址、联系电话等信息</w:t>
      </w:r>
      <w:r>
        <w:rPr>
          <w:rFonts w:hint="eastAsia" w:ascii="宋体" w:hAnsi="宋体" w:eastAsia="宋体" w:cs="宋体"/>
          <w:sz w:val="21"/>
          <w:szCs w:val="21"/>
          <w:highlight w:val="none"/>
          <w:lang w:eastAsia="zh-CN"/>
        </w:rPr>
        <w:t>；</w:t>
      </w:r>
    </w:p>
    <w:p w14:paraId="3F266F52">
      <w:pPr>
        <w:spacing w:line="360" w:lineRule="auto"/>
        <w:jc w:val="left"/>
        <w:rPr>
          <w:rFonts w:hint="eastAsia" w:ascii="宋体" w:hAnsi="宋体" w:eastAsia="宋体" w:cs="宋体"/>
          <w:sz w:val="21"/>
          <w:szCs w:val="21"/>
          <w:highlight w:val="none"/>
        </w:rPr>
      </w:pPr>
      <w:r>
        <w:rPr>
          <w:rFonts w:hint="eastAsia" w:ascii="宋体" w:hAnsi="宋体" w:eastAsia="宋体" w:cs="宋体"/>
          <w:b/>
          <w:bCs/>
          <w:sz w:val="21"/>
          <w:szCs w:val="21"/>
          <w:highlight w:val="none"/>
        </w:rPr>
        <w:t>★</w:t>
      </w:r>
      <w:r>
        <w:rPr>
          <w:rFonts w:hint="eastAsia" w:ascii="宋体" w:hAnsi="宋体" w:eastAsia="宋体" w:cs="宋体"/>
          <w:sz w:val="21"/>
          <w:szCs w:val="21"/>
          <w:highlight w:val="none"/>
        </w:rPr>
        <w:t>2）训练记录管理：可查询历史训练信息、编辑、修改、删除功能。</w:t>
      </w:r>
    </w:p>
    <w:p w14:paraId="736B2881">
      <w:pPr>
        <w:numPr>
          <w:ilvl w:val="0"/>
          <w:numId w:val="36"/>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输出端子：多路2.4G无线耳机输出，可满足3个患者同时使用，也可根据用户需求再拓展；为了患者使用方便，要求接收信号的耳机为无线耳机；</w:t>
      </w:r>
    </w:p>
    <w:p w14:paraId="331C0396">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、分屏技术：采用双屏设计，患者端采用触摸屏设计，保证医师与患者独立操作，参与性更强，反馈效果更好，增强了评定的客观性。</w:t>
      </w:r>
    </w:p>
    <w:p w14:paraId="6EB7B542">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打印功能：用户可以根据需要进行打印；</w:t>
      </w:r>
    </w:p>
    <w:p w14:paraId="3E2210FA">
      <w:pPr>
        <w:numPr>
          <w:ilvl w:val="0"/>
          <w:numId w:val="0"/>
        </w:numPr>
        <w:spacing w:line="360" w:lineRule="auto"/>
        <w:ind w:left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▲8、设备使用年限：大于等于8年</w:t>
      </w:r>
    </w:p>
    <w:p w14:paraId="33D47AD6">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47A04072">
      <w:pPr>
        <w:spacing w:line="360" w:lineRule="auto"/>
        <w:rPr>
          <w:rFonts w:hint="eastAsia" w:ascii="宋体" w:hAnsi="宋体" w:eastAsia="宋体" w:cs="宋体"/>
          <w:sz w:val="21"/>
          <w:szCs w:val="21"/>
          <w:highlight w:val="none"/>
        </w:rPr>
      </w:pPr>
    </w:p>
    <w:p w14:paraId="228A5A81">
      <w:pPr>
        <w:spacing w:line="360" w:lineRule="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20、产品名称：感觉统合训练系统</w:t>
      </w:r>
    </w:p>
    <w:p w14:paraId="61DA342A">
      <w:pPr>
        <w:widowControl w:val="0"/>
        <w:spacing w:line="360" w:lineRule="auto"/>
        <w:jc w:val="both"/>
        <w:rPr>
          <w:rFonts w:hint="eastAsia" w:ascii="宋体" w:hAnsi="宋体" w:eastAsia="宋体" w:cs="宋体"/>
          <w:kern w:val="2"/>
          <w:sz w:val="21"/>
          <w:szCs w:val="21"/>
          <w:highlight w:val="none"/>
          <w:lang w:val="en-US" w:eastAsia="zh-CN" w:bidi="ar-SA"/>
        </w:rPr>
      </w:pPr>
    </w:p>
    <w:p w14:paraId="7E513BAA">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一、功能描述</w:t>
      </w:r>
      <w:r>
        <w:rPr>
          <w:rFonts w:hint="eastAsia" w:ascii="宋体" w:hAnsi="宋体" w:eastAsia="宋体" w:cs="宋体"/>
          <w:kern w:val="0"/>
          <w:sz w:val="21"/>
          <w:szCs w:val="21"/>
          <w:highlight w:val="none"/>
          <w:lang w:val="en-US" w:eastAsia="zh-CN" w:bidi="ar"/>
        </w:rPr>
        <w:t xml:space="preserve"> </w:t>
      </w:r>
    </w:p>
    <w:p w14:paraId="503AAFA3">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p>
    <w:p w14:paraId="32C6BB61">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感觉统合训练室是把儿童感觉统合活动建立成整体的互动游戏活动环境，以增强培育儿童感觉统合能力的训练室，协调儿童生理功能、心理发育、大脑和躯体之间的相互关系，通过训练可增强自信心和自我控制能力。儿童经过一段时间的行为集中训练后，动作变协调，情绪变稳定，注意力改善，对于学习困难的儿童，参加感统训练后学习成绩会显著提高。</w:t>
      </w:r>
    </w:p>
    <w:p w14:paraId="1EE9CDC8">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p>
    <w:p w14:paraId="5838D734">
      <w:pPr>
        <w:keepNext w:val="0"/>
        <w:keepLines w:val="0"/>
        <w:widowControl/>
        <w:numPr>
          <w:ilvl w:val="0"/>
          <w:numId w:val="0"/>
        </w:numPr>
        <w:suppressLineNumbers w:val="0"/>
        <w:spacing w:line="360" w:lineRule="auto"/>
        <w:ind w:leftChars="0"/>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 xml:space="preserve">二、应用范围 </w:t>
      </w:r>
    </w:p>
    <w:p w14:paraId="04C5E937">
      <w:pPr>
        <w:keepNext w:val="0"/>
        <w:keepLines w:val="0"/>
        <w:widowControl/>
        <w:numPr>
          <w:ilvl w:val="0"/>
          <w:numId w:val="0"/>
        </w:numPr>
        <w:suppressLineNumbers w:val="0"/>
        <w:spacing w:line="360" w:lineRule="auto"/>
        <w:ind w:leftChars="0"/>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val="0"/>
          <w:bCs w:val="0"/>
          <w:kern w:val="0"/>
          <w:sz w:val="21"/>
          <w:szCs w:val="21"/>
          <w:highlight w:val="none"/>
          <w:lang w:val="en-US" w:eastAsia="zh-CN" w:bidi="ar"/>
        </w:rPr>
        <w:t>为感统失调、脑瘫、自闭症、发育迟缓患儿开展基础感统干预</w:t>
      </w:r>
    </w:p>
    <w:p w14:paraId="65C01B66">
      <w:pPr>
        <w:widowControl w:val="0"/>
        <w:spacing w:line="360" w:lineRule="auto"/>
        <w:jc w:val="both"/>
        <w:rPr>
          <w:rFonts w:hint="eastAsia" w:ascii="宋体" w:hAnsi="宋体" w:eastAsia="宋体" w:cs="宋体"/>
          <w:kern w:val="2"/>
          <w:sz w:val="21"/>
          <w:szCs w:val="21"/>
          <w:highlight w:val="none"/>
          <w:lang w:val="en-US" w:eastAsia="zh-CN" w:bidi="ar-SA"/>
        </w:rPr>
      </w:pPr>
    </w:p>
    <w:p w14:paraId="5AC26117">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三、技术参数</w:t>
      </w:r>
    </w:p>
    <w:tbl>
      <w:tblPr>
        <w:tblStyle w:val="29"/>
        <w:tblW w:w="9350" w:type="dxa"/>
        <w:tblInd w:w="-32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1485"/>
        <w:gridCol w:w="780"/>
        <w:gridCol w:w="675"/>
        <w:gridCol w:w="5570"/>
      </w:tblGrid>
      <w:tr w14:paraId="68E15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ED39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序号</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080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配置名称</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419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数量</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F15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单位</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87C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参数</w:t>
            </w:r>
          </w:p>
        </w:tc>
      </w:tr>
      <w:tr w14:paraId="45B39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3C0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2B8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拉架床</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A7E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E85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80AF">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规格：长ⅹ宽 X高 ≤3000*2000*2300mm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材质：A3钢管；优质PU皮革；环保弹性海绵；3套氨纶布；</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整套器材包括承重量300公斤</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功能：游戏者3层浮弹层上下及左右游走。浮弹层采用氨纶布制作，置身布内尤如置身无重状态，游戏者在进行游戏时，必需时刻保持平衡及运动觉的反应，协调身体动作。</w:t>
            </w:r>
          </w:p>
        </w:tc>
      </w:tr>
      <w:tr w14:paraId="0A60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A18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B26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绳梯</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FFD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86B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FB04">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规格：长 X高 ≤972*2189mm；材质：军用编制尼龙绳和铝合金；承重≤90KG；</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功能：可為不同程度感统失调儿童提供多元化及具挑战性的运动训练。</w:t>
            </w:r>
          </w:p>
        </w:tc>
      </w:tr>
      <w:tr w14:paraId="7276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12C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FE3F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绳网</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38F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E4D0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0890">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规格：长ⅹ宽≤1900*2300mm；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材质：用尼龙编织绳；承重量：≤90KG</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功能：可為不同程度感统失调儿童提供多元化及具挑戰性的运动训练。</w:t>
            </w:r>
          </w:p>
        </w:tc>
      </w:tr>
      <w:tr w14:paraId="489EA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CBB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D39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滚筒</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DE5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AD8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8AEB">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规格：直径ⅹ长度：φ850mmⅹ600mm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材质：优质PU皮革；承重 ≤90KG；</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功能：根据儿童实际那里进行推、滚游戏，可训练儿童的肌肉与平衡能力。</w:t>
            </w:r>
          </w:p>
        </w:tc>
      </w:tr>
      <w:tr w14:paraId="47C44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623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753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巴氏球</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85B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9EC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52450">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规格：φ75cm 材质：优质PVC</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用途:用于脑瘫患儿的平衡感觉、反射调节，缓解肌痉挛</w:t>
            </w:r>
          </w:p>
        </w:tc>
      </w:tr>
      <w:tr w14:paraId="45C5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9"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42E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6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7F1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按摩大龙球</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A17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32E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2CBE">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规格：φ65cm 材质：优质PVC</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用途:海绵高弹力加厚防暴，环保抗菌，突出点可进行按摩，促进血液循环</w:t>
            </w:r>
          </w:p>
        </w:tc>
      </w:tr>
      <w:tr w14:paraId="409DA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3"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F4D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4C7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羊角球</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D39A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8F4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AB9A">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规格：φ46cm 材质：优质PVC</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用途:用于脑瘫患儿的平衡感觉、反射调节，缓解肌痉挛</w:t>
            </w:r>
          </w:p>
        </w:tc>
      </w:tr>
      <w:tr w14:paraId="255EC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FC3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8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8CF4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花生球</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68F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DFE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C9B7D">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规格：长90cm,宽45cm 材质：优质PVC</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用途:用于脑瘫患儿的平衡感觉、反射调节，缓解肌痉挛</w:t>
            </w:r>
          </w:p>
        </w:tc>
      </w:tr>
      <w:tr w14:paraId="59041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B7A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757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儿童大滑板组</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3E1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939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FBF7">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规格：320*80*55cm    材质：多层板+塑胶滑面+不可拆卸软包扶手</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用途：锻炼头部、颈肌的伸缩能力，促进前庭神经，提高身体平衡能力；同时促进全身血液循环，增强儿童体质，提高儿童免疫力，促进大脑功能的发展和成熟。</w:t>
            </w:r>
          </w:p>
        </w:tc>
      </w:tr>
      <w:tr w14:paraId="466AD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8"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3D2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521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滑板（木制）</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B11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7BC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29FB3">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规格：60*49*7.5cm 材质：木质</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用途：辅助用在大滑板组上。</w:t>
            </w:r>
          </w:p>
        </w:tc>
      </w:tr>
      <w:tr w14:paraId="4B209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54B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FD8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万象组合</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957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8FC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0C24C">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收拾袋尺寸：71*81.5*13cm；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材质：塑料；</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规格：102件/套；</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配置：半砖12块，棒夹12个，全砖8块，环夹12个，平衡板4片，豆袋10个，35cm体能环4个，彩色手印6对，60cm体能环4个，彩色脚印6对，35cm体能棒16支，70cm体能棒8支，指导手册1本；</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多种组件，分开使用可促进孩子基本动作发展，混合使用时则能培养更多变化的身体协调统合、动作计划、训练更高层次的运动能力。</w:t>
            </w:r>
          </w:p>
        </w:tc>
      </w:tr>
      <w:tr w14:paraId="6D385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8"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93E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E26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儿童跳床（带扶手）</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DA1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E6F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4B0F7">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规格：直径90cm,整高75cm 材质：弹簧+蹦网</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用途：训练下肢肌力及平衡能力</w:t>
            </w:r>
          </w:p>
        </w:tc>
      </w:tr>
      <w:tr w14:paraId="44DD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877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30F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海绵垫</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08F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A5A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417C">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数量：2个</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规格：长ⅹ宽ⅹ厚：1500mmⅹ1500mmⅹ300mm；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材质：优质PU皮革；</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功能：为训练时提供足够的安全保护措施。</w:t>
            </w:r>
          </w:p>
        </w:tc>
      </w:tr>
      <w:tr w14:paraId="67119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7D0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C27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粘粘看</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F61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9E1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8F7C8">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规格：12 件背心，24 个球</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背心尺寸（45×28.5cm） 黑色魔术贴（22.8×11.4cm） 球直径6.3cm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一件拥有粘性的运动背心，正反面都有黑色尼龙魔术贴，孩子们可以把柔软的粘性</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球投掷到其他孩子的背心上，激发孩子参加游戏的兴趣。</w:t>
            </w:r>
          </w:p>
        </w:tc>
      </w:tr>
      <w:tr w14:paraId="55934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A64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15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274D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猴子跷跷板</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4BC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4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E6D1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AB54">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尺寸：50*23*9cm；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配置：附2颗球；</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材质：塑料；</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跷跷板中间是可爱的猴脸路径。孩子要学习控制动作位置和力量让小球能绕猴子脸变道游走，锻炼平衡能力。</w:t>
            </w:r>
          </w:p>
        </w:tc>
      </w:tr>
      <w:tr w14:paraId="394CA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410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16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11B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平衡踩踏车</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F035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4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B66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F912">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尺寸：39*51*57cm，把手高度40cm，踏板长度32cm，承重量50kg；</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材质：塑胶PP；</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运用身体与脚的踩踏力量可以使车子前进或后退，是健身、平衡又好玩的游戏器材。</w:t>
            </w:r>
          </w:p>
        </w:tc>
      </w:tr>
      <w:tr w14:paraId="405D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F47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3F5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平衡步道</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1A4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180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2D3A">
            <w:pPr>
              <w:keepNext w:val="0"/>
              <w:keepLines w:val="0"/>
              <w:widowControl/>
              <w:suppressLineNumbers w:val="0"/>
              <w:spacing w:line="360"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尺寸：148*30*3cm；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规格：每套四串四种颜色；</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材质：塑料注塑管串连；</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底部附收盘，增加稳定度，可互相让孩子在上面走、爬、跳。刺激孩子足底神经及全身触觉感应。</w:t>
            </w:r>
          </w:p>
        </w:tc>
      </w:tr>
      <w:tr w14:paraId="14646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29F8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18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972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过河石+山顶</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2E5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B478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4FF8">
            <w:pPr>
              <w:keepNext w:val="0"/>
              <w:keepLines w:val="0"/>
              <w:widowControl/>
              <w:suppressLineNumbers w:val="0"/>
              <w:spacing w:line="360"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规格：36×36×36 cm H：8.5 cm (5 块)，25×25×25 cm H：4.5 cm (3 块)          山顶石:40.5×40.5×40.5 H：17 cm (2 块) 42×42×42 cm H：25.5 cm (1 块)合计11块</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材质：塑料 橡胶</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全套由过河石、山顶组成。沿着河中的石头踩踏过去，三角形的石头每个边都有不同的难度和斜度，脚不要沾地，身体平稳后再登上山顶，石头摆在不同的位置可给孩子制造富有挑战性的路线。</w:t>
            </w:r>
          </w:p>
        </w:tc>
      </w:tr>
      <w:tr w14:paraId="7BA8E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0EF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E81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触觉座垫</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C4AF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FAF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951C7">
            <w:pPr>
              <w:keepNext w:val="0"/>
              <w:keepLines w:val="0"/>
              <w:widowControl/>
              <w:suppressLineNumbers w:val="0"/>
              <w:spacing w:line="360" w:lineRule="auto"/>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尺寸：Φ35cm；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材质：无添加塑胶PVC；</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两种不同的触感设计。一面可当坐垫，一面可提供触觉按摩刺激，协助端正坐姿，也是触觉刺激的实用工具。</w:t>
            </w:r>
          </w:p>
        </w:tc>
      </w:tr>
      <w:tr w14:paraId="280BD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D1E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7BE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玩转树洞</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109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D41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1A74">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承重：60kg</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组件明细：侧板（咖啡色）×4</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花叶板（绿色）×2</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螺帽（橘黄色）×12</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连接器（猫头鹰）</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塑料扳手×1</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材质：塑料 橡胶</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1.在树洞中钻爬，增进幼儿的四肢动作协调发展。</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2.爬行经验提供触觉、前庭与运动觉的全面刺激，促进大脑神经连结发展。</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3.幼儿在路径中爬行、行走或扶走，有助于幼儿发展下肢动作技巧。</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4.花叶板两面不同的图案及侧板纹路，提供孩子发展丰富的触觉感知经验。</w:t>
            </w:r>
          </w:p>
        </w:tc>
      </w:tr>
      <w:tr w14:paraId="23BB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D96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69C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S平衡木</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9A50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D91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B9E7A">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规格:200*40*20cm,1套2根 材质：木质</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用途:可以让孩子体会重力和移动的感觉,强化孩子的前庭感觉刺激.可抑制紧张性的迷路反射,有助于前庭体系的健全化成长.姿势的保持也可强化肌肉和关节的固有感觉,建立本体感觉和加强身体平衡能力。</w:t>
            </w:r>
          </w:p>
        </w:tc>
      </w:tr>
      <w:tr w14:paraId="58E7F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AFD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348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投掷游戏</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774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211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71B3B">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规格：Φ：70×67 cm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材质：尼龙绸 塑胶 金属</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孩子将投掷球从远方投向目标处，投掷球柔软安全，训练孩子手眼协调</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能力，目测力，促进上肢动作发展，同时也可运用到竞赛游戏中。</w:t>
            </w:r>
          </w:p>
        </w:tc>
      </w:tr>
      <w:tr w14:paraId="50BD0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B8C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6F0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脚丫跳跳垫</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11EC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2A2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8E0C5">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 脚丫踏跳垫 × 12 片 (6 色各2) 、49 ×44× 3cm，手册 x 1 本</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材质：帆布、海绵</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脚丫跳跳垫 六角形设计，六边均可随意拼接，变化丰富。</w:t>
            </w:r>
          </w:p>
        </w:tc>
      </w:tr>
      <w:tr w14:paraId="09A9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A75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7BE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圆形转转台</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424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F32E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8531">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尺寸：Φ48cm，高6cm；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配置：附2颗球；</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材质：塑胶PE；</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可先用手转动平衡板，训练手的肌力与平衡，之后在运用双脚在平衡板上进行球的运转游戏。促进动作的协调性，增进专注力及自信心。</w:t>
            </w:r>
          </w:p>
        </w:tc>
      </w:tr>
      <w:tr w14:paraId="31045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336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1DD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独脚椅</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12F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209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E43D">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规格：23*22cm材质：塑胶PE</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用途：进行儿童的平衡训练</w:t>
            </w:r>
          </w:p>
        </w:tc>
      </w:tr>
      <w:tr w14:paraId="41A93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6"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F39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26 </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F52F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跳袋</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D41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A49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9049D">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规格：Φ50*60cm材质：牛津布</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用途：训练儿童的前庭平衡，身体协调能力</w:t>
            </w:r>
          </w:p>
        </w:tc>
      </w:tr>
      <w:tr w14:paraId="1F4F5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B1E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F5A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大陀螺</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AF4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8D5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7203">
            <w:pPr>
              <w:keepNext w:val="0"/>
              <w:keepLines w:val="0"/>
              <w:widowControl/>
              <w:suppressLineNumbers w:val="0"/>
              <w:spacing w:line="360" w:lineRule="auto"/>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规格：直径80cm</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用途： 孩子坐在陀螺中，臀部应位于大陀螺中心处，双手可以扶着边缘。由老师或家长旋转大陀螺，让孩子自由放松的接受运动的刺激，对前庭感的输入和调整由很大的帮助，有助于平衡和姿势的良好发展。材质：塑胶</w:t>
            </w:r>
          </w:p>
        </w:tc>
      </w:tr>
    </w:tbl>
    <w:p w14:paraId="469DF1D0">
      <w:pPr>
        <w:spacing w:line="360" w:lineRule="auto"/>
        <w:rPr>
          <w:rFonts w:hint="eastAsia" w:ascii="宋体" w:hAnsi="宋体" w:eastAsia="宋体" w:cs="宋体"/>
          <w:sz w:val="21"/>
          <w:szCs w:val="21"/>
          <w:highlight w:val="none"/>
        </w:rPr>
      </w:pPr>
    </w:p>
    <w:p w14:paraId="53EADC0D">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四、配置清单</w:t>
      </w:r>
    </w:p>
    <w:tbl>
      <w:tblPr>
        <w:tblStyle w:val="29"/>
        <w:tblW w:w="9330" w:type="dxa"/>
        <w:tblInd w:w="-3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6570"/>
        <w:gridCol w:w="1920"/>
      </w:tblGrid>
      <w:tr w14:paraId="2B2D8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7E823">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21E2">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配置名称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332BD">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r>
      <w:tr w14:paraId="1E89F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D0B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34B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拉架床</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B7CA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2D635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CC5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03F0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绳梯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9C7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3D2CE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588C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3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C39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绳网</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5DA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114B3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EB1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4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DD0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滚筒</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E0E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1个</w:t>
            </w:r>
          </w:p>
        </w:tc>
      </w:tr>
      <w:tr w14:paraId="6631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AA6E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5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B8C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巴氏球</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D85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1只</w:t>
            </w:r>
          </w:p>
        </w:tc>
      </w:tr>
      <w:tr w14:paraId="56815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328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6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629F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按摩大龙球</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0C3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1只</w:t>
            </w:r>
          </w:p>
        </w:tc>
      </w:tr>
      <w:tr w14:paraId="08D3E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DE4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7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084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羊角球</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77F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1只</w:t>
            </w:r>
          </w:p>
        </w:tc>
      </w:tr>
      <w:tr w14:paraId="621E8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01F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8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015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花生球</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359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1只</w:t>
            </w:r>
          </w:p>
        </w:tc>
      </w:tr>
      <w:tr w14:paraId="7374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9ED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9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F6B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儿童大滑板组</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5F9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03BE2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AF8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10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D29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滑板（木制）</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B3A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1个</w:t>
            </w:r>
          </w:p>
        </w:tc>
      </w:tr>
      <w:tr w14:paraId="2F20C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C37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11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76F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万象组合</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AB9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0EAF1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8DA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12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B52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儿童跳床（带扶手）</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0AA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65766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952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13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CA5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海绵垫</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610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2482D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F09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14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BD9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粘粘看</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AE74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0CF96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14D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15 </w:t>
            </w:r>
          </w:p>
        </w:tc>
        <w:tc>
          <w:tcPr>
            <w:tcW w:w="6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6990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猴子跷跷板</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A26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4只</w:t>
            </w:r>
          </w:p>
        </w:tc>
      </w:tr>
      <w:tr w14:paraId="218A0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BC1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16 </w:t>
            </w:r>
          </w:p>
        </w:tc>
        <w:tc>
          <w:tcPr>
            <w:tcW w:w="6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BB1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平衡踩踏车</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CA2E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4个</w:t>
            </w:r>
          </w:p>
        </w:tc>
      </w:tr>
      <w:tr w14:paraId="05F0A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E1A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17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799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平衡步道</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92A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0FB8A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619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18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5C2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过河石+山顶</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59C5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69934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071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19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AE95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触觉座垫</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40A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1个</w:t>
            </w:r>
          </w:p>
        </w:tc>
      </w:tr>
      <w:tr w14:paraId="68D9F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152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20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434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玩转树洞</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CDD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301D5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9FC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21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A7F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S平衡木</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99E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1个</w:t>
            </w:r>
          </w:p>
        </w:tc>
      </w:tr>
      <w:tr w14:paraId="195F4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D2B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22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1AE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投掷游戏</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134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31C5D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3C3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23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0DB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脚丫跳跳垫</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7CF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09631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4F05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24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C44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圆形转转台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99F1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1个</w:t>
            </w:r>
          </w:p>
        </w:tc>
      </w:tr>
      <w:tr w14:paraId="532F2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1C2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25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61B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独脚椅</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DFD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4个</w:t>
            </w:r>
          </w:p>
        </w:tc>
      </w:tr>
      <w:tr w14:paraId="3D39F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351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26 </w:t>
            </w:r>
          </w:p>
        </w:tc>
        <w:tc>
          <w:tcPr>
            <w:tcW w:w="6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2749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跳袋</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7D9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1个</w:t>
            </w:r>
          </w:p>
        </w:tc>
      </w:tr>
      <w:tr w14:paraId="090E8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03F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27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890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大陀螺</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34DB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1个</w:t>
            </w:r>
          </w:p>
        </w:tc>
      </w:tr>
    </w:tbl>
    <w:p w14:paraId="3E206B75">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p>
    <w:p w14:paraId="59E2235A">
      <w:pPr>
        <w:spacing w:line="360" w:lineRule="auto"/>
        <w:rPr>
          <w:rFonts w:hint="eastAsia" w:ascii="宋体" w:hAnsi="宋体" w:eastAsia="宋体" w:cs="宋体"/>
          <w:sz w:val="21"/>
          <w:szCs w:val="21"/>
          <w:highlight w:val="none"/>
        </w:rPr>
      </w:pPr>
    </w:p>
    <w:p w14:paraId="7128D74A">
      <w:pP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br w:type="page"/>
      </w:r>
    </w:p>
    <w:p w14:paraId="52CDA240">
      <w:pPr>
        <w:spacing w:line="360" w:lineRule="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21、产品名称：多感官训练系统</w:t>
      </w:r>
    </w:p>
    <w:p w14:paraId="6EE3F547">
      <w:pPr>
        <w:spacing w:line="360" w:lineRule="auto"/>
        <w:rPr>
          <w:rFonts w:hint="eastAsia" w:ascii="宋体" w:hAnsi="宋体" w:eastAsia="宋体" w:cs="宋体"/>
          <w:b/>
          <w:bCs/>
          <w:sz w:val="21"/>
          <w:szCs w:val="21"/>
          <w:highlight w:val="none"/>
          <w:lang w:val="en-US" w:eastAsia="zh-CN"/>
        </w:rPr>
      </w:pPr>
    </w:p>
    <w:p w14:paraId="25620BA4">
      <w:pPr>
        <w:keepNext w:val="0"/>
        <w:keepLines w:val="0"/>
        <w:widowControl/>
        <w:numPr>
          <w:ilvl w:val="0"/>
          <w:numId w:val="37"/>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功能描述</w:t>
      </w:r>
      <w:r>
        <w:rPr>
          <w:rFonts w:hint="eastAsia" w:ascii="宋体" w:hAnsi="宋体" w:eastAsia="宋体" w:cs="宋体"/>
          <w:kern w:val="0"/>
          <w:sz w:val="21"/>
          <w:szCs w:val="21"/>
          <w:highlight w:val="none"/>
          <w:lang w:val="en-US" w:eastAsia="zh-CN" w:bidi="ar"/>
        </w:rPr>
        <w:t xml:space="preserve"> </w:t>
      </w:r>
    </w:p>
    <w:p w14:paraId="7137039F">
      <w:pPr>
        <w:numPr>
          <w:ilvl w:val="0"/>
          <w:numId w:val="0"/>
        </w:numPr>
        <w:spacing w:line="360" w:lineRule="auto"/>
        <w:ind w:leftChars="0" w:firstLine="420" w:firstLineChars="200"/>
        <w:rPr>
          <w:rFonts w:hint="eastAsia" w:ascii="宋体" w:hAnsi="宋体" w:eastAsia="宋体" w:cs="宋体"/>
          <w:b/>
          <w:bCs/>
          <w:kern w:val="0"/>
          <w:sz w:val="21"/>
          <w:szCs w:val="21"/>
          <w:highlight w:val="none"/>
          <w:lang w:val="en-US" w:eastAsia="zh-CN" w:bidi="ar"/>
        </w:rPr>
      </w:pPr>
      <w:r>
        <w:rPr>
          <w:rFonts w:hint="eastAsia" w:ascii="宋体" w:hAnsi="宋体" w:eastAsia="宋体" w:cs="宋体"/>
          <w:b w:val="0"/>
          <w:bCs w:val="0"/>
          <w:kern w:val="0"/>
          <w:sz w:val="21"/>
          <w:szCs w:val="21"/>
          <w:highlight w:val="none"/>
          <w:lang w:val="en-US" w:eastAsia="zh-CN" w:bidi="ar"/>
        </w:rPr>
        <w:t>通过声、光、电的综合应用，对患儿的视、听、嗅、触、味觉进行刺激训练，训练方式多样化，全方位的刺激儿童的感觉系统，以提供幼儿亲自探索、操作、体验为导向</w:t>
      </w:r>
      <w:r>
        <w:rPr>
          <w:rFonts w:hint="eastAsia" w:ascii="宋体" w:hAnsi="宋体" w:eastAsia="宋体" w:cs="宋体"/>
          <w:b/>
          <w:bCs/>
          <w:kern w:val="0"/>
          <w:sz w:val="21"/>
          <w:szCs w:val="21"/>
          <w:highlight w:val="none"/>
          <w:lang w:val="en-US" w:eastAsia="zh-CN" w:bidi="ar"/>
        </w:rPr>
        <w:t>。</w:t>
      </w:r>
    </w:p>
    <w:p w14:paraId="28C19265">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p>
    <w:p w14:paraId="50CD210A">
      <w:pPr>
        <w:keepNext w:val="0"/>
        <w:keepLines w:val="0"/>
        <w:widowControl/>
        <w:numPr>
          <w:ilvl w:val="0"/>
          <w:numId w:val="0"/>
        </w:numPr>
        <w:suppressLineNumbers w:val="0"/>
        <w:spacing w:line="360" w:lineRule="auto"/>
        <w:ind w:leftChars="0"/>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 xml:space="preserve">二、应用范围 </w:t>
      </w:r>
    </w:p>
    <w:p w14:paraId="5B934D20">
      <w:pPr>
        <w:spacing w:line="360" w:lineRule="auto"/>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脑瘫、自闭症、高危儿、发育迟缓、多动症、视觉能力较弱，协调性较差，容易出现相似概念混淆的地址儿童，反应迟钝，注意力短暂，缺乏学习动机，兴趣狭窄，缺乏自我认知，形象思维和逻辑能力很差，情绪不稳定的儿童。</w:t>
      </w:r>
    </w:p>
    <w:p w14:paraId="3FD83B4A">
      <w:pPr>
        <w:keepNext w:val="0"/>
        <w:keepLines w:val="0"/>
        <w:widowControl/>
        <w:numPr>
          <w:ilvl w:val="0"/>
          <w:numId w:val="0"/>
        </w:numPr>
        <w:suppressLineNumbers w:val="0"/>
        <w:spacing w:line="360" w:lineRule="auto"/>
        <w:ind w:leftChars="0"/>
        <w:jc w:val="left"/>
        <w:rPr>
          <w:rFonts w:hint="eastAsia" w:ascii="宋体" w:hAnsi="宋体" w:eastAsia="宋体" w:cs="宋体"/>
          <w:b/>
          <w:bCs/>
          <w:kern w:val="0"/>
          <w:sz w:val="21"/>
          <w:szCs w:val="21"/>
          <w:highlight w:val="none"/>
          <w:lang w:val="en-US" w:eastAsia="zh-CN" w:bidi="ar"/>
        </w:rPr>
      </w:pPr>
    </w:p>
    <w:p w14:paraId="60B3B266">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三、技术参数</w:t>
      </w:r>
    </w:p>
    <w:tbl>
      <w:tblPr>
        <w:tblStyle w:val="29"/>
        <w:tblW w:w="93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9"/>
        <w:gridCol w:w="2070"/>
        <w:gridCol w:w="855"/>
        <w:gridCol w:w="5637"/>
      </w:tblGrid>
      <w:tr w14:paraId="37AB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0"/>
            <w:vAlign w:val="center"/>
          </w:tcPr>
          <w:p w14:paraId="549D795F">
            <w:pPr>
              <w:pStyle w:val="55"/>
              <w:widowControl/>
              <w:spacing w:before="0" w:beforeLines="0" w:beforeAutospacing="0" w:after="0" w:afterLines="0" w:afterAutospacing="0" w:line="36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2070" w:type="dxa"/>
            <w:tcBorders>
              <w:top w:val="single" w:color="auto" w:sz="4" w:space="0"/>
              <w:left w:val="single" w:color="auto" w:sz="4" w:space="0"/>
              <w:bottom w:val="single" w:color="auto" w:sz="4" w:space="0"/>
              <w:right w:val="single" w:color="auto" w:sz="4" w:space="0"/>
            </w:tcBorders>
            <w:noWrap w:val="0"/>
            <w:vAlign w:val="center"/>
          </w:tcPr>
          <w:p w14:paraId="14E3308C">
            <w:pPr>
              <w:pStyle w:val="55"/>
              <w:widowControl/>
              <w:spacing w:before="0" w:beforeLines="0" w:beforeAutospacing="0" w:after="0" w:afterLines="0" w:afterAutospacing="0" w:line="36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设备名称</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F4A4C33">
            <w:pPr>
              <w:pStyle w:val="55"/>
              <w:widowControl/>
              <w:spacing w:before="0" w:beforeLines="0" w:beforeAutospacing="0" w:after="0" w:afterLines="0" w:afterAutospacing="0" w:line="360" w:lineRule="auto"/>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数量</w:t>
            </w:r>
          </w:p>
        </w:tc>
        <w:tc>
          <w:tcPr>
            <w:tcW w:w="5637" w:type="dxa"/>
            <w:tcBorders>
              <w:top w:val="single" w:color="auto" w:sz="4" w:space="0"/>
              <w:left w:val="single" w:color="auto" w:sz="4" w:space="0"/>
              <w:bottom w:val="single" w:color="auto" w:sz="4" w:space="0"/>
              <w:right w:val="single" w:color="auto" w:sz="4" w:space="0"/>
            </w:tcBorders>
            <w:noWrap w:val="0"/>
            <w:vAlign w:val="center"/>
          </w:tcPr>
          <w:p w14:paraId="252BBCA4">
            <w:pPr>
              <w:pStyle w:val="55"/>
              <w:widowControl/>
              <w:spacing w:before="0" w:beforeLines="0" w:beforeAutospacing="0" w:after="0" w:afterLines="0" w:afterAutospacing="0" w:line="36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基本要求</w:t>
            </w:r>
          </w:p>
        </w:tc>
      </w:tr>
      <w:tr w14:paraId="6F9E6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2" w:hRule="atLeast"/>
          <w:jc w:val="center"/>
        </w:trPr>
        <w:tc>
          <w:tcPr>
            <w:tcW w:w="809" w:type="dxa"/>
            <w:tcBorders>
              <w:top w:val="single" w:color="auto" w:sz="4" w:space="0"/>
              <w:left w:val="single" w:color="000000" w:sz="4" w:space="0"/>
              <w:bottom w:val="single" w:color="000000" w:sz="4" w:space="0"/>
              <w:right w:val="single" w:color="000000" w:sz="4" w:space="0"/>
            </w:tcBorders>
            <w:noWrap w:val="0"/>
            <w:vAlign w:val="center"/>
          </w:tcPr>
          <w:p w14:paraId="0B9A4635">
            <w:pPr>
              <w:pStyle w:val="55"/>
              <w:widowControl/>
              <w:autoSpaceDE/>
              <w:autoSpaceDN w:val="0"/>
              <w:spacing w:before="0" w:beforeLines="0" w:beforeAutospacing="0" w:after="0" w:afterLines="0" w:afterAutospacing="0" w:line="360" w:lineRule="auto"/>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1</w:t>
            </w:r>
          </w:p>
        </w:tc>
        <w:tc>
          <w:tcPr>
            <w:tcW w:w="2070" w:type="dxa"/>
            <w:tcBorders>
              <w:top w:val="single" w:color="auto" w:sz="4" w:space="0"/>
              <w:left w:val="nil"/>
              <w:bottom w:val="single" w:color="000000" w:sz="4" w:space="0"/>
              <w:right w:val="single" w:color="000000" w:sz="4" w:space="0"/>
            </w:tcBorders>
            <w:noWrap w:val="0"/>
            <w:vAlign w:val="center"/>
          </w:tcPr>
          <w:p w14:paraId="1A3DACDA">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旋转镜球</w:t>
            </w:r>
          </w:p>
        </w:tc>
        <w:tc>
          <w:tcPr>
            <w:tcW w:w="855" w:type="dxa"/>
            <w:tcBorders>
              <w:top w:val="single" w:color="auto" w:sz="4" w:space="0"/>
              <w:left w:val="nil"/>
              <w:bottom w:val="single" w:color="000000" w:sz="4" w:space="0"/>
              <w:right w:val="single" w:color="000000" w:sz="4" w:space="0"/>
            </w:tcBorders>
            <w:noWrap w:val="0"/>
            <w:vAlign w:val="center"/>
          </w:tcPr>
          <w:p w14:paraId="7FA43B5B">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sz w:val="21"/>
                <w:szCs w:val="21"/>
                <w:highlight w:val="none"/>
              </w:rPr>
            </w:pPr>
            <w:r>
              <w:rPr>
                <w:rFonts w:hint="eastAsia" w:ascii="宋体" w:hAnsi="宋体" w:eastAsia="宋体" w:cs="宋体"/>
                <w:b w:val="0"/>
                <w:i w:val="0"/>
                <w:color w:val="000000"/>
                <w:sz w:val="21"/>
                <w:szCs w:val="21"/>
                <w:highlight w:val="none"/>
              </w:rPr>
              <w:t>1个</w:t>
            </w:r>
          </w:p>
        </w:tc>
        <w:tc>
          <w:tcPr>
            <w:tcW w:w="5637" w:type="dxa"/>
            <w:tcBorders>
              <w:top w:val="single" w:color="auto" w:sz="4" w:space="0"/>
              <w:left w:val="nil"/>
              <w:bottom w:val="single" w:color="000000" w:sz="4" w:space="0"/>
              <w:right w:val="single" w:color="000000" w:sz="4" w:space="0"/>
            </w:tcBorders>
            <w:noWrap w:val="0"/>
            <w:vAlign w:val="center"/>
          </w:tcPr>
          <w:p w14:paraId="5637385B">
            <w:pPr>
              <w:widowControl w:val="0"/>
              <w:numPr>
                <w:ilvl w:val="0"/>
                <w:numId w:val="0"/>
              </w:numPr>
              <w:tabs>
                <w:tab w:val="left" w:pos="312"/>
              </w:tabs>
              <w:spacing w:line="360" w:lineRule="auto"/>
              <w:ind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球直径：54cm；</w:t>
            </w:r>
          </w:p>
          <w:p w14:paraId="24CB7431">
            <w:pPr>
              <w:widowControl w:val="0"/>
              <w:numPr>
                <w:ilvl w:val="0"/>
                <w:numId w:val="0"/>
              </w:numPr>
              <w:tabs>
                <w:tab w:val="left" w:pos="312"/>
              </w:tabs>
              <w:spacing w:line="360" w:lineRule="auto"/>
              <w:ind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材质：PVC镜片；</w:t>
            </w:r>
          </w:p>
          <w:p w14:paraId="6F882801">
            <w:pPr>
              <w:widowControl w:val="0"/>
              <w:numPr>
                <w:ilvl w:val="0"/>
                <w:numId w:val="0"/>
              </w:numPr>
              <w:tabs>
                <w:tab w:val="left" w:pos="312"/>
              </w:tabs>
              <w:spacing w:line="360" w:lineRule="auto"/>
              <w:ind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电压：A220-240V 50/60HZ；</w:t>
            </w:r>
          </w:p>
          <w:p w14:paraId="5AB8580C">
            <w:pPr>
              <w:widowControl w:val="0"/>
              <w:numPr>
                <w:ilvl w:val="0"/>
                <w:numId w:val="0"/>
              </w:numPr>
              <w:tabs>
                <w:tab w:val="left" w:pos="312"/>
              </w:tabs>
              <w:spacing w:line="360" w:lineRule="auto"/>
              <w:ind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转速：1.5r/min≤4W；</w:t>
            </w:r>
          </w:p>
          <w:p w14:paraId="19B2DF96">
            <w:pPr>
              <w:widowControl w:val="0"/>
              <w:numPr>
                <w:ilvl w:val="0"/>
                <w:numId w:val="0"/>
              </w:numPr>
              <w:tabs>
                <w:tab w:val="left" w:pos="312"/>
              </w:tabs>
              <w:spacing w:line="360" w:lineRule="auto"/>
              <w:ind w:firstLine="420" w:firstLineChars="200"/>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功能：透过镜球旋转反射的光影，可带动对视觉感官较弱的游戏者，加强留意四周环境空间的认识，有助提高对环境空间，提高大脑的兴奋性，缓解情绪的目的。</w:t>
            </w:r>
          </w:p>
        </w:tc>
      </w:tr>
      <w:tr w14:paraId="45D83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3"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6A25E21D">
            <w:pPr>
              <w:pStyle w:val="55"/>
              <w:widowControl/>
              <w:autoSpaceDE/>
              <w:autoSpaceDN w:val="0"/>
              <w:spacing w:before="0" w:beforeLines="0" w:beforeAutospacing="0" w:after="0" w:afterLines="0" w:afterAutospacing="0" w:line="360" w:lineRule="auto"/>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2</w:t>
            </w:r>
          </w:p>
        </w:tc>
        <w:tc>
          <w:tcPr>
            <w:tcW w:w="2070" w:type="dxa"/>
            <w:tcBorders>
              <w:top w:val="single" w:color="000000" w:sz="4" w:space="0"/>
              <w:left w:val="nil"/>
              <w:bottom w:val="single" w:color="000000" w:sz="4" w:space="0"/>
              <w:right w:val="single" w:color="000000" w:sz="4" w:space="0"/>
            </w:tcBorders>
            <w:noWrap w:val="0"/>
            <w:vAlign w:val="center"/>
          </w:tcPr>
          <w:p w14:paraId="6454D8B9">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7彩射灯</w:t>
            </w:r>
          </w:p>
        </w:tc>
        <w:tc>
          <w:tcPr>
            <w:tcW w:w="855" w:type="dxa"/>
            <w:tcBorders>
              <w:top w:val="single" w:color="000000" w:sz="4" w:space="0"/>
              <w:left w:val="nil"/>
              <w:bottom w:val="single" w:color="000000" w:sz="4" w:space="0"/>
              <w:right w:val="single" w:color="000000" w:sz="4" w:space="0"/>
            </w:tcBorders>
            <w:noWrap w:val="0"/>
            <w:vAlign w:val="center"/>
          </w:tcPr>
          <w:p w14:paraId="3642A0EB">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1个</w:t>
            </w:r>
          </w:p>
        </w:tc>
        <w:tc>
          <w:tcPr>
            <w:tcW w:w="5637" w:type="dxa"/>
            <w:tcBorders>
              <w:top w:val="single" w:color="000000" w:sz="4" w:space="0"/>
              <w:left w:val="nil"/>
              <w:bottom w:val="single" w:color="000000" w:sz="4" w:space="0"/>
              <w:right w:val="single" w:color="000000" w:sz="4" w:space="0"/>
            </w:tcBorders>
            <w:noWrap w:val="0"/>
            <w:vAlign w:val="center"/>
          </w:tcPr>
          <w:p w14:paraId="0733F845">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面环直径: 115mm；</w:t>
            </w:r>
          </w:p>
          <w:p w14:paraId="7FB08F15">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材质：压铸铝；</w:t>
            </w:r>
          </w:p>
          <w:p w14:paraId="4C5B5572">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功率：3W/5W/7W/10W可选；</w:t>
            </w:r>
          </w:p>
          <w:p w14:paraId="240691EF">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电压：220V；</w:t>
            </w:r>
          </w:p>
          <w:p w14:paraId="6098DC95">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eastAsia="zh-CN"/>
              </w:rPr>
              <w:t>功能：透过7色彩射灯的投射光影，刺激游戏者的视觉感官，加强对环境空间的认识，提高对环境空间色彩识别的能力缓解情绪的目的，有助对空间判断及沟通能力的提升。</w:t>
            </w:r>
          </w:p>
        </w:tc>
      </w:tr>
      <w:tr w14:paraId="295EF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75C80694">
            <w:pPr>
              <w:pStyle w:val="55"/>
              <w:widowControl/>
              <w:autoSpaceDE/>
              <w:autoSpaceDN w:val="0"/>
              <w:spacing w:before="0" w:beforeLines="0" w:beforeAutospacing="0" w:after="0" w:afterLines="0" w:afterAutospacing="0"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2070" w:type="dxa"/>
            <w:tcBorders>
              <w:top w:val="single" w:color="000000" w:sz="4" w:space="0"/>
              <w:left w:val="nil"/>
              <w:bottom w:val="single" w:color="000000" w:sz="4" w:space="0"/>
              <w:right w:val="single" w:color="000000" w:sz="4" w:space="0"/>
            </w:tcBorders>
            <w:noWrap w:val="0"/>
            <w:vAlign w:val="center"/>
          </w:tcPr>
          <w:p w14:paraId="56D0095A">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灯光球池组合</w:t>
            </w:r>
          </w:p>
          <w:p w14:paraId="1E3A6F29">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（包含了</w:t>
            </w:r>
            <w:r>
              <w:rPr>
                <w:rFonts w:hint="eastAsia" w:ascii="宋体" w:hAnsi="宋体" w:eastAsia="宋体" w:cs="宋体"/>
                <w:color w:val="000000"/>
                <w:sz w:val="21"/>
                <w:szCs w:val="21"/>
                <w:highlight w:val="none"/>
              </w:rPr>
              <w:t>音乐斜坡</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软件楼梯）</w:t>
            </w:r>
          </w:p>
        </w:tc>
        <w:tc>
          <w:tcPr>
            <w:tcW w:w="855" w:type="dxa"/>
            <w:tcBorders>
              <w:top w:val="single" w:color="000000" w:sz="4" w:space="0"/>
              <w:left w:val="nil"/>
              <w:bottom w:val="single" w:color="000000" w:sz="4" w:space="0"/>
              <w:right w:val="single" w:color="000000" w:sz="4" w:space="0"/>
            </w:tcBorders>
            <w:noWrap w:val="0"/>
            <w:vAlign w:val="center"/>
          </w:tcPr>
          <w:p w14:paraId="01C7ECE0">
            <w:pPr>
              <w:pStyle w:val="55"/>
              <w:widowControl/>
              <w:spacing w:before="0" w:beforeLines="0" w:beforeAutospacing="0" w:after="0" w:afterLines="0" w:afterAutospacing="0"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1套</w:t>
            </w:r>
          </w:p>
        </w:tc>
        <w:tc>
          <w:tcPr>
            <w:tcW w:w="5637" w:type="dxa"/>
            <w:tcBorders>
              <w:top w:val="single" w:color="000000" w:sz="4" w:space="0"/>
              <w:left w:val="nil"/>
              <w:bottom w:val="single" w:color="000000" w:sz="4" w:space="0"/>
              <w:right w:val="single" w:color="000000" w:sz="4" w:space="0"/>
            </w:tcBorders>
            <w:noWrap w:val="0"/>
            <w:vAlign w:val="center"/>
          </w:tcPr>
          <w:p w14:paraId="2A60BEA0">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outlineLvl w:val="9"/>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规格：</w:t>
            </w:r>
            <w:r>
              <w:rPr>
                <w:rFonts w:hint="eastAsia" w:ascii="宋体" w:hAnsi="宋体" w:eastAsia="宋体" w:cs="宋体"/>
                <w:color w:val="000000"/>
                <w:kern w:val="0"/>
                <w:sz w:val="21"/>
                <w:szCs w:val="21"/>
                <w:highlight w:val="none"/>
                <w:lang w:eastAsia="zh-CN"/>
              </w:rPr>
              <w:t>球池：</w:t>
            </w:r>
            <w:r>
              <w:rPr>
                <w:rFonts w:hint="eastAsia" w:ascii="宋体" w:hAnsi="宋体" w:eastAsia="宋体" w:cs="宋体"/>
                <w:i w:val="0"/>
                <w:color w:val="000000"/>
                <w:kern w:val="0"/>
                <w:sz w:val="21"/>
                <w:szCs w:val="21"/>
                <w:highlight w:val="none"/>
                <w:u w:val="none"/>
                <w:lang w:val="en-US" w:eastAsia="zh-CN" w:bidi="ar"/>
              </w:rPr>
              <w:t>长ⅹ宽ⅹ高1000mmⅹ750mmⅹ600mm</w:t>
            </w:r>
          </w:p>
          <w:p w14:paraId="43AC4C3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outlineLvl w:val="9"/>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rPr>
              <w:t>音乐斜坡</w:t>
            </w:r>
            <w:r>
              <w:rPr>
                <w:rFonts w:hint="eastAsia" w:ascii="宋体" w:hAnsi="宋体" w:eastAsia="宋体" w:cs="宋体"/>
                <w:color w:val="000000"/>
                <w:kern w:val="0"/>
                <w:sz w:val="21"/>
                <w:szCs w:val="21"/>
                <w:highlight w:val="none"/>
                <w:lang w:eastAsia="zh-CN"/>
              </w:rPr>
              <w:t>：</w:t>
            </w:r>
            <w:r>
              <w:rPr>
                <w:rFonts w:hint="eastAsia" w:ascii="宋体" w:hAnsi="宋体" w:eastAsia="宋体" w:cs="宋体"/>
                <w:i w:val="0"/>
                <w:color w:val="000000"/>
                <w:kern w:val="0"/>
                <w:sz w:val="21"/>
                <w:szCs w:val="21"/>
                <w:highlight w:val="none"/>
                <w:u w:val="none"/>
                <w:lang w:val="en-US" w:eastAsia="zh-CN" w:bidi="ar"/>
              </w:rPr>
              <w:t>长ⅹ宽ⅹ高1500mmⅹ1500mmⅹ600mm</w:t>
            </w:r>
          </w:p>
          <w:p w14:paraId="2FFD965D">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outlineLvl w:val="9"/>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rPr>
              <w:t>软</w:t>
            </w:r>
            <w:r>
              <w:rPr>
                <w:rFonts w:hint="eastAsia" w:ascii="宋体" w:hAnsi="宋体" w:eastAsia="宋体" w:cs="宋体"/>
                <w:color w:val="000000"/>
                <w:kern w:val="0"/>
                <w:sz w:val="21"/>
                <w:szCs w:val="21"/>
                <w:highlight w:val="none"/>
                <w:lang w:eastAsia="zh-CN"/>
              </w:rPr>
              <w:t>体</w:t>
            </w:r>
            <w:r>
              <w:rPr>
                <w:rFonts w:hint="eastAsia" w:ascii="宋体" w:hAnsi="宋体" w:eastAsia="宋体" w:cs="宋体"/>
                <w:color w:val="000000"/>
                <w:kern w:val="0"/>
                <w:sz w:val="21"/>
                <w:szCs w:val="21"/>
                <w:highlight w:val="none"/>
              </w:rPr>
              <w:t>楼梯</w:t>
            </w:r>
            <w:r>
              <w:rPr>
                <w:rFonts w:hint="eastAsia" w:ascii="宋体" w:hAnsi="宋体" w:eastAsia="宋体" w:cs="宋体"/>
                <w:color w:val="000000"/>
                <w:kern w:val="0"/>
                <w:sz w:val="21"/>
                <w:szCs w:val="21"/>
                <w:highlight w:val="none"/>
                <w:lang w:eastAsia="zh-CN"/>
              </w:rPr>
              <w:t>：</w:t>
            </w:r>
            <w:r>
              <w:rPr>
                <w:rFonts w:hint="eastAsia" w:ascii="宋体" w:hAnsi="宋体" w:eastAsia="宋体" w:cs="宋体"/>
                <w:i w:val="0"/>
                <w:color w:val="000000"/>
                <w:kern w:val="0"/>
                <w:sz w:val="21"/>
                <w:szCs w:val="21"/>
                <w:highlight w:val="none"/>
                <w:u w:val="none"/>
                <w:lang w:val="en-US" w:eastAsia="zh-CN" w:bidi="ar"/>
              </w:rPr>
              <w:t>长ⅹ宽ⅹ高1000mmⅹ750mmⅹ600mm</w:t>
            </w:r>
          </w:p>
          <w:p w14:paraId="40E43977">
            <w:pPr>
              <w:widowControl/>
              <w:spacing w:line="360" w:lineRule="auto"/>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材质：EO级T18多层板，英阻BS5852PU革，EO级环氧绝缘板，EO级2.0mm冷板，25mm厚海绵；</w:t>
            </w:r>
            <w:r>
              <w:rPr>
                <w:rFonts w:hint="eastAsia" w:ascii="宋体" w:hAnsi="宋体" w:eastAsia="宋体" w:cs="宋体"/>
                <w:color w:val="000000"/>
                <w:kern w:val="0"/>
                <w:sz w:val="21"/>
                <w:szCs w:val="21"/>
                <w:highlight w:val="none"/>
              </w:rPr>
              <w:t>电源：220V/50HZ</w:t>
            </w:r>
            <w:r>
              <w:rPr>
                <w:rFonts w:hint="eastAsia" w:ascii="宋体" w:hAnsi="宋体" w:eastAsia="宋体" w:cs="宋体"/>
                <w:color w:val="000000"/>
                <w:kern w:val="0"/>
                <w:sz w:val="21"/>
                <w:szCs w:val="21"/>
                <w:highlight w:val="none"/>
                <w:lang w:eastAsia="zh-CN"/>
              </w:rPr>
              <w:t>；</w:t>
            </w:r>
          </w:p>
          <w:p w14:paraId="3A23941D">
            <w:pPr>
              <w:widowControl/>
              <w:numPr>
                <w:ilvl w:val="0"/>
                <w:numId w:val="38"/>
              </w:numPr>
              <w:spacing w:line="360" w:lineRule="auto"/>
              <w:textAlignment w:val="center"/>
              <w:rPr>
                <w:rFonts w:hint="eastAsia" w:ascii="宋体" w:hAnsi="宋体" w:eastAsia="宋体" w:cs="宋体"/>
                <w:color w:val="000000"/>
                <w:sz w:val="21"/>
                <w:szCs w:val="21"/>
                <w:highlight w:val="none"/>
                <w:lang w:bidi="ar"/>
              </w:rPr>
            </w:pPr>
            <w:r>
              <w:rPr>
                <w:rFonts w:hint="eastAsia" w:ascii="宋体" w:hAnsi="宋体" w:eastAsia="宋体" w:cs="宋体"/>
                <w:color w:val="000000"/>
                <w:sz w:val="21"/>
                <w:szCs w:val="21"/>
                <w:highlight w:val="none"/>
                <w:lang w:eastAsia="zh-CN" w:bidi="ar"/>
              </w:rPr>
              <w:t>功能：</w:t>
            </w:r>
            <w:r>
              <w:rPr>
                <w:rFonts w:hint="eastAsia" w:ascii="宋体" w:hAnsi="宋体" w:eastAsia="宋体" w:cs="宋体"/>
                <w:color w:val="000000"/>
                <w:sz w:val="21"/>
                <w:szCs w:val="21"/>
                <w:highlight w:val="none"/>
                <w:lang w:bidi="ar"/>
              </w:rPr>
              <w:t>视觉感官刺激彩色灯光映照池内五颜六色小球，提升儿童视觉对色彩、几何图形的辨别能力</w:t>
            </w:r>
            <w:r>
              <w:rPr>
                <w:rFonts w:hint="eastAsia" w:ascii="宋体" w:hAnsi="宋体" w:eastAsia="宋体" w:cs="宋体"/>
                <w:color w:val="000000"/>
                <w:sz w:val="21"/>
                <w:szCs w:val="21"/>
                <w:highlight w:val="none"/>
                <w:lang w:eastAsia="zh-CN" w:bidi="ar"/>
              </w:rPr>
              <w:t>。</w:t>
            </w:r>
          </w:p>
          <w:p w14:paraId="43D54A4B">
            <w:pPr>
              <w:widowControl/>
              <w:numPr>
                <w:ilvl w:val="0"/>
                <w:numId w:val="38"/>
              </w:numPr>
              <w:spacing w:line="360" w:lineRule="auto"/>
              <w:ind w:left="0" w:leftChars="0" w:firstLine="0" w:firstLineChars="0"/>
              <w:textAlignment w:val="center"/>
              <w:rPr>
                <w:rFonts w:hint="eastAsia" w:ascii="宋体" w:hAnsi="宋体" w:eastAsia="宋体" w:cs="宋体"/>
                <w:color w:val="000000"/>
                <w:sz w:val="21"/>
                <w:szCs w:val="21"/>
                <w:highlight w:val="none"/>
                <w:lang w:bidi="ar"/>
              </w:rPr>
            </w:pPr>
            <w:r>
              <w:rPr>
                <w:rFonts w:hint="eastAsia" w:ascii="宋体" w:hAnsi="宋体" w:eastAsia="宋体" w:cs="宋体"/>
                <w:color w:val="000000"/>
                <w:sz w:val="21"/>
                <w:szCs w:val="21"/>
                <w:highlight w:val="none"/>
                <w:lang w:bidi="ar"/>
              </w:rPr>
              <w:t>环境色彩吸引儿童并进入球池内，引导游戏者予池内游走加强儿童的触觉动觉感官刺激。</w:t>
            </w:r>
          </w:p>
          <w:p w14:paraId="5C519E0F">
            <w:pPr>
              <w:widowControl/>
              <w:numPr>
                <w:ilvl w:val="0"/>
                <w:numId w:val="38"/>
              </w:numPr>
              <w:spacing w:line="360" w:lineRule="auto"/>
              <w:ind w:left="0" w:leftChars="0" w:firstLine="0" w:firstLineChars="0"/>
              <w:textAlignment w:val="center"/>
              <w:rPr>
                <w:rFonts w:hint="eastAsia" w:ascii="宋体" w:hAnsi="宋体" w:eastAsia="宋体" w:cs="宋体"/>
                <w:color w:val="000000"/>
                <w:sz w:val="21"/>
                <w:szCs w:val="21"/>
                <w:highlight w:val="none"/>
                <w:lang w:bidi="ar"/>
              </w:rPr>
            </w:pPr>
            <w:r>
              <w:rPr>
                <w:rFonts w:hint="eastAsia" w:ascii="宋体" w:hAnsi="宋体" w:eastAsia="宋体" w:cs="宋体"/>
                <w:color w:val="000000"/>
                <w:sz w:val="21"/>
                <w:szCs w:val="21"/>
                <w:highlight w:val="none"/>
                <w:lang w:bidi="ar"/>
              </w:rPr>
              <w:t>当游戏者步行楼梯,每级楼梯会发出不同音乐及声音，刺激儿童听觉感官及探索欲望;诱导儿童更主动.上下楼梯进行稳定平衡及大肌肉的训练活动，增强运动感觉能力。</w:t>
            </w:r>
          </w:p>
          <w:p w14:paraId="2ADA18B1">
            <w:pPr>
              <w:widowControl w:val="0"/>
              <w:numPr>
                <w:ilvl w:val="0"/>
                <w:numId w:val="38"/>
              </w:numPr>
              <w:tabs>
                <w:tab w:val="left" w:pos="312"/>
              </w:tabs>
              <w:spacing w:line="360" w:lineRule="auto"/>
              <w:ind w:left="0" w:leftChars="0" w:firstLine="0" w:firstLineChars="0"/>
              <w:jc w:val="left"/>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当游戏者在斜坡爬_上滑下，斜坡便会发出不同声音，刺激儿童听觉感官及探索欲望，进行听觉感官刺激，诱导儿童的爬行及肢体的配合协调控制能力。</w:t>
            </w:r>
          </w:p>
          <w:p w14:paraId="61F26BCE">
            <w:pPr>
              <w:widowControl w:val="0"/>
              <w:numPr>
                <w:ilvl w:val="0"/>
                <w:numId w:val="0"/>
              </w:numPr>
              <w:tabs>
                <w:tab w:val="left" w:pos="312"/>
              </w:tabs>
              <w:spacing w:line="360" w:lineRule="auto"/>
              <w:ind w:leftChars="0" w:firstLine="420" w:firstLineChars="200"/>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
              </w:rPr>
              <w:t>适应症：听觉失调 、平衡感差和触觉敏感或迟钝患者。</w:t>
            </w:r>
          </w:p>
        </w:tc>
      </w:tr>
      <w:tr w14:paraId="62C28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47E46932">
            <w:pPr>
              <w:pStyle w:val="55"/>
              <w:widowControl/>
              <w:autoSpaceDE/>
              <w:autoSpaceDN w:val="0"/>
              <w:spacing w:before="0" w:beforeLines="0" w:beforeAutospacing="0" w:after="0" w:afterLines="0" w:afterAutospacing="0" w:line="360" w:lineRule="auto"/>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4</w:t>
            </w:r>
          </w:p>
        </w:tc>
        <w:tc>
          <w:tcPr>
            <w:tcW w:w="2070" w:type="dxa"/>
            <w:tcBorders>
              <w:top w:val="single" w:color="000000" w:sz="4" w:space="0"/>
              <w:left w:val="nil"/>
              <w:bottom w:val="single" w:color="000000" w:sz="4" w:space="0"/>
              <w:right w:val="single" w:color="000000" w:sz="4" w:space="0"/>
            </w:tcBorders>
            <w:noWrap w:val="0"/>
            <w:vAlign w:val="center"/>
          </w:tcPr>
          <w:p w14:paraId="51199B3B">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香薰电子游戏箱</w:t>
            </w:r>
          </w:p>
        </w:tc>
        <w:tc>
          <w:tcPr>
            <w:tcW w:w="855" w:type="dxa"/>
            <w:tcBorders>
              <w:top w:val="single" w:color="000000" w:sz="4" w:space="0"/>
              <w:left w:val="nil"/>
              <w:bottom w:val="single" w:color="000000" w:sz="4" w:space="0"/>
              <w:right w:val="single" w:color="000000" w:sz="4" w:space="0"/>
            </w:tcBorders>
            <w:noWrap w:val="0"/>
            <w:vAlign w:val="center"/>
          </w:tcPr>
          <w:p w14:paraId="703D9659">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1套</w:t>
            </w:r>
          </w:p>
        </w:tc>
        <w:tc>
          <w:tcPr>
            <w:tcW w:w="5637" w:type="dxa"/>
            <w:tcBorders>
              <w:top w:val="single" w:color="000000" w:sz="4" w:space="0"/>
              <w:left w:val="nil"/>
              <w:bottom w:val="single" w:color="000000" w:sz="4" w:space="0"/>
              <w:right w:val="single" w:color="000000" w:sz="4" w:space="0"/>
            </w:tcBorders>
            <w:noWrap w:val="0"/>
            <w:vAlign w:val="center"/>
          </w:tcPr>
          <w:p w14:paraId="3D23172E">
            <w:pPr>
              <w:widowControl w:val="0"/>
              <w:numPr>
                <w:ilvl w:val="0"/>
                <w:numId w:val="0"/>
              </w:numPr>
              <w:tabs>
                <w:tab w:val="left" w:pos="312"/>
              </w:tabs>
              <w:spacing w:line="360" w:lineRule="auto"/>
              <w:ind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规格：600ⅹ900ⅹ150（mm）；</w:t>
            </w:r>
          </w:p>
          <w:p w14:paraId="42EF9C45">
            <w:pPr>
              <w:widowControl w:val="0"/>
              <w:numPr>
                <w:ilvl w:val="0"/>
                <w:numId w:val="0"/>
              </w:numPr>
              <w:spacing w:line="360" w:lineRule="auto"/>
              <w:ind w:leftChars="0"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材质：2.5mm亚克力板，0.5mm不锈钢板，3mm环氧绝缘板，25mm海绵，英阻BS5852PU革；电源：220V/50HZ；</w:t>
            </w:r>
          </w:p>
          <w:p w14:paraId="21EAF952">
            <w:pPr>
              <w:widowControl w:val="0"/>
              <w:numPr>
                <w:ilvl w:val="0"/>
                <w:numId w:val="0"/>
              </w:numPr>
              <w:tabs>
                <w:tab w:val="left" w:pos="312"/>
              </w:tabs>
              <w:spacing w:line="360" w:lineRule="auto"/>
              <w:ind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4个香薰标签盒左侧对应4个风机，可以加快香味的传播，香薰添加盒盖和开关盒盖上都带有锁，增加安全性，防止小朋友误操作。</w:t>
            </w:r>
          </w:p>
          <w:p w14:paraId="528EF626">
            <w:pPr>
              <w:widowControl/>
              <w:spacing w:line="360" w:lineRule="auto"/>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功能：</w:t>
            </w:r>
            <w:r>
              <w:rPr>
                <w:rFonts w:hint="eastAsia" w:ascii="宋体" w:hAnsi="宋体" w:eastAsia="宋体" w:cs="宋体"/>
                <w:color w:val="000000"/>
                <w:kern w:val="0"/>
                <w:sz w:val="21"/>
                <w:szCs w:val="21"/>
                <w:highlight w:val="none"/>
                <w:lang w:val="en-US" w:eastAsia="zh-CN"/>
              </w:rPr>
              <w:t>1、</w:t>
            </w:r>
            <w:r>
              <w:rPr>
                <w:rFonts w:hint="eastAsia" w:ascii="宋体" w:hAnsi="宋体" w:eastAsia="宋体" w:cs="宋体"/>
                <w:color w:val="000000"/>
                <w:sz w:val="21"/>
                <w:szCs w:val="21"/>
                <w:highlight w:val="none"/>
                <w:lang w:bidi="ar"/>
              </w:rPr>
              <w:t>多感官治疗室中嗅觉设备。</w:t>
            </w:r>
            <w:r>
              <w:rPr>
                <w:rFonts w:hint="eastAsia" w:ascii="宋体" w:hAnsi="宋体" w:eastAsia="宋体" w:cs="宋体"/>
                <w:color w:val="000000"/>
                <w:kern w:val="0"/>
                <w:sz w:val="21"/>
                <w:szCs w:val="21"/>
                <w:highlight w:val="none"/>
              </w:rPr>
              <w:t>可训练儿童的嗅觉系统和事物色彩的识别系统，提高游戏者大脑思维活动的能力</w:t>
            </w:r>
            <w:r>
              <w:rPr>
                <w:rFonts w:hint="eastAsia" w:ascii="宋体" w:hAnsi="宋体" w:eastAsia="宋体" w:cs="宋体"/>
                <w:color w:val="000000"/>
                <w:kern w:val="0"/>
                <w:sz w:val="21"/>
                <w:szCs w:val="21"/>
                <w:highlight w:val="none"/>
                <w:lang w:eastAsia="zh-CN"/>
              </w:rPr>
              <w:t>。</w:t>
            </w:r>
          </w:p>
          <w:p w14:paraId="4CFC3956">
            <w:pPr>
              <w:widowControl/>
              <w:spacing w:line="360" w:lineRule="auto"/>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val="en-US" w:eastAsia="zh-CN" w:bidi="ar"/>
              </w:rPr>
              <w:t>2</w:t>
            </w:r>
            <w:r>
              <w:rPr>
                <w:rFonts w:hint="eastAsia" w:ascii="宋体" w:hAnsi="宋体" w:eastAsia="宋体" w:cs="宋体"/>
                <w:color w:val="000000"/>
                <w:sz w:val="21"/>
                <w:szCs w:val="21"/>
                <w:highlight w:val="none"/>
                <w:lang w:bidi="ar"/>
              </w:rPr>
              <w:t>、</w:t>
            </w:r>
            <w:r>
              <w:rPr>
                <w:rFonts w:hint="eastAsia" w:ascii="宋体" w:hAnsi="宋体" w:eastAsia="宋体" w:cs="宋体"/>
                <w:color w:val="000000"/>
                <w:sz w:val="21"/>
                <w:szCs w:val="21"/>
                <w:highlight w:val="none"/>
                <w:lang w:eastAsia="zh-CN" w:bidi="ar"/>
              </w:rPr>
              <w:t>嗅觉</w:t>
            </w:r>
            <w:r>
              <w:rPr>
                <w:rFonts w:hint="eastAsia" w:ascii="宋体" w:hAnsi="宋体" w:eastAsia="宋体" w:cs="宋体"/>
                <w:color w:val="000000"/>
                <w:sz w:val="21"/>
                <w:szCs w:val="21"/>
                <w:highlight w:val="none"/>
                <w:lang w:bidi="ar"/>
              </w:rPr>
              <w:t>感官辨别</w:t>
            </w:r>
            <w:r>
              <w:rPr>
                <w:rFonts w:hint="eastAsia" w:ascii="宋体" w:hAnsi="宋体" w:eastAsia="宋体" w:cs="宋体"/>
                <w:color w:val="000000"/>
                <w:sz w:val="21"/>
                <w:szCs w:val="21"/>
                <w:highlight w:val="none"/>
                <w:lang w:eastAsia="zh-CN" w:bidi="ar"/>
              </w:rPr>
              <w:t>；</w:t>
            </w:r>
            <w:r>
              <w:rPr>
                <w:rFonts w:hint="eastAsia" w:ascii="宋体" w:hAnsi="宋体" w:eastAsia="宋体" w:cs="宋体"/>
                <w:color w:val="000000"/>
                <w:sz w:val="21"/>
                <w:szCs w:val="21"/>
                <w:highlight w:val="none"/>
                <w:lang w:bidi="ar"/>
              </w:rPr>
              <w:t xml:space="preserve"> 上面有四种颜色按键操作，激发儿童动手能力儿童用手触按时会发出不同的气味</w:t>
            </w:r>
            <w:r>
              <w:rPr>
                <w:rFonts w:hint="eastAsia" w:ascii="宋体" w:hAnsi="宋体" w:eastAsia="宋体" w:cs="宋体"/>
                <w:color w:val="000000"/>
                <w:sz w:val="21"/>
                <w:szCs w:val="21"/>
                <w:highlight w:val="none"/>
                <w:lang w:eastAsia="zh-CN" w:bidi="ar"/>
              </w:rPr>
              <w:t>。</w:t>
            </w:r>
          </w:p>
          <w:p w14:paraId="67A01F61">
            <w:pPr>
              <w:widowControl/>
              <w:spacing w:line="360" w:lineRule="auto"/>
              <w:textAlignment w:val="center"/>
              <w:rPr>
                <w:rFonts w:hint="eastAsia" w:ascii="宋体" w:hAnsi="宋体" w:eastAsia="宋体" w:cs="宋体"/>
                <w:b w:val="0"/>
                <w:i w:val="0"/>
                <w:color w:val="000000"/>
                <w:sz w:val="21"/>
                <w:szCs w:val="21"/>
                <w:highlight w:val="none"/>
              </w:rPr>
            </w:pPr>
            <w:r>
              <w:rPr>
                <w:rFonts w:hint="eastAsia" w:ascii="宋体" w:hAnsi="宋体" w:eastAsia="宋体" w:cs="宋体"/>
                <w:color w:val="000000"/>
                <w:sz w:val="21"/>
                <w:szCs w:val="21"/>
                <w:highlight w:val="none"/>
                <w:lang w:val="en-US" w:eastAsia="zh-CN" w:bidi="ar"/>
              </w:rPr>
              <w:t>3</w:t>
            </w:r>
            <w:r>
              <w:rPr>
                <w:rFonts w:hint="eastAsia" w:ascii="宋体" w:hAnsi="宋体" w:eastAsia="宋体" w:cs="宋体"/>
                <w:color w:val="000000"/>
                <w:sz w:val="21"/>
                <w:szCs w:val="21"/>
                <w:highlight w:val="none"/>
                <w:lang w:bidi="ar"/>
              </w:rPr>
              <w:t>、训练板带有多种水果香料卡片，可更换，对儿童进行嗅觉感官刺激，增加儿童动手动脑动眼的分辨配合协调能力，促进认知感知嗅觉和精细动作发展。</w:t>
            </w:r>
          </w:p>
        </w:tc>
      </w:tr>
      <w:tr w14:paraId="7140A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2FB8C2B1">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bCs/>
                <w:i w:val="0"/>
                <w:color w:val="000000"/>
                <w:sz w:val="21"/>
                <w:szCs w:val="21"/>
                <w:highlight w:val="none"/>
                <w:lang w:val="en-US" w:eastAsia="zh-CN"/>
              </w:rPr>
            </w:pPr>
            <w:r>
              <w:rPr>
                <w:rFonts w:hint="eastAsia" w:ascii="宋体" w:hAnsi="宋体" w:eastAsia="宋体" w:cs="宋体"/>
                <w:b/>
                <w:bCs/>
                <w:i w:val="0"/>
                <w:color w:val="000000"/>
                <w:sz w:val="21"/>
                <w:szCs w:val="21"/>
                <w:highlight w:val="none"/>
                <w:lang w:val="en-US" w:eastAsia="zh-CN"/>
              </w:rPr>
              <w:t>5</w:t>
            </w:r>
          </w:p>
        </w:tc>
        <w:tc>
          <w:tcPr>
            <w:tcW w:w="2070" w:type="dxa"/>
            <w:tcBorders>
              <w:top w:val="single" w:color="000000" w:sz="4" w:space="0"/>
              <w:left w:val="nil"/>
              <w:bottom w:val="single" w:color="000000" w:sz="4" w:space="0"/>
              <w:right w:val="single" w:color="000000" w:sz="4" w:space="0"/>
            </w:tcBorders>
            <w:noWrap w:val="0"/>
            <w:vAlign w:val="center"/>
          </w:tcPr>
          <w:p w14:paraId="157DAB66">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动感彩轮</w:t>
            </w:r>
          </w:p>
        </w:tc>
        <w:tc>
          <w:tcPr>
            <w:tcW w:w="855" w:type="dxa"/>
            <w:tcBorders>
              <w:top w:val="single" w:color="000000" w:sz="4" w:space="0"/>
              <w:left w:val="nil"/>
              <w:bottom w:val="single" w:color="000000" w:sz="4" w:space="0"/>
              <w:right w:val="single" w:color="000000" w:sz="4" w:space="0"/>
            </w:tcBorders>
            <w:noWrap w:val="0"/>
            <w:vAlign w:val="center"/>
          </w:tcPr>
          <w:p w14:paraId="737C3015">
            <w:pPr>
              <w:spacing w:line="360" w:lineRule="auto"/>
              <w:jc w:val="center"/>
              <w:rPr>
                <w:rFonts w:hint="eastAsia" w:ascii="宋体" w:hAnsi="宋体" w:eastAsia="宋体" w:cs="宋体"/>
                <w:b/>
                <w:bCs/>
                <w:i w:val="0"/>
                <w:color w:val="000000"/>
                <w:sz w:val="21"/>
                <w:szCs w:val="21"/>
                <w:highlight w:val="none"/>
              </w:rPr>
            </w:pPr>
            <w:r>
              <w:rPr>
                <w:rFonts w:hint="eastAsia" w:ascii="宋体" w:hAnsi="宋体" w:eastAsia="宋体" w:cs="宋体"/>
                <w:b w:val="0"/>
                <w:i w:val="0"/>
                <w:snapToGrid/>
                <w:color w:val="000000"/>
                <w:sz w:val="21"/>
                <w:szCs w:val="21"/>
                <w:highlight w:val="none"/>
                <w:u w:val="none"/>
                <w:lang w:val="en-US" w:eastAsia="zh-CN"/>
              </w:rPr>
              <w:t>1个</w:t>
            </w:r>
          </w:p>
        </w:tc>
        <w:tc>
          <w:tcPr>
            <w:tcW w:w="5637" w:type="dxa"/>
            <w:tcBorders>
              <w:top w:val="single" w:color="000000" w:sz="4" w:space="0"/>
              <w:left w:val="nil"/>
              <w:bottom w:val="single" w:color="000000" w:sz="4" w:space="0"/>
              <w:right w:val="single" w:color="000000" w:sz="4" w:space="0"/>
            </w:tcBorders>
            <w:noWrap w:val="0"/>
            <w:vAlign w:val="center"/>
          </w:tcPr>
          <w:p w14:paraId="16367957">
            <w:pPr>
              <w:widowControl w:val="0"/>
              <w:spacing w:line="360" w:lineRule="auto"/>
              <w:ind w:left="0" w:leftChars="0" w:firstLine="0" w:firstLineChars="0"/>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规格：1000ⅹ700ⅹ150（mm）；</w:t>
            </w:r>
          </w:p>
          <w:p w14:paraId="12914A3C">
            <w:pPr>
              <w:widowControl w:val="0"/>
              <w:spacing w:line="360" w:lineRule="auto"/>
              <w:ind w:left="0" w:leftChars="0" w:firstLine="0" w:firstLineChars="0"/>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彩色灯条：4种颜色，每种颜色2根，彩色灯条条形孔以中心为圆心，360°一周内均分8等分，彩色灯条下方有4个按钮，分别对应了4种模式。</w:t>
            </w:r>
          </w:p>
          <w:p w14:paraId="1C27C42A">
            <w:pPr>
              <w:widowControl w:val="0"/>
              <w:spacing w:line="360" w:lineRule="auto"/>
              <w:ind w:left="0" w:leftChars="0" w:firstLine="0" w:firstLineChars="0"/>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启动模式：4种不同开关；电源：220V；</w:t>
            </w:r>
          </w:p>
          <w:p w14:paraId="4C7002EC">
            <w:pPr>
              <w:widowControl w:val="0"/>
              <w:numPr>
                <w:ilvl w:val="0"/>
                <w:numId w:val="0"/>
              </w:numPr>
              <w:spacing w:line="360" w:lineRule="auto"/>
              <w:ind w:leftChars="0"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材质：EO级T18多层板，环氧绝缘板，海绵，英阻BS5852PU革；</w:t>
            </w:r>
          </w:p>
          <w:p w14:paraId="1908F7EE">
            <w:pPr>
              <w:widowControl/>
              <w:spacing w:line="360" w:lineRule="auto"/>
              <w:textAlignment w:val="center"/>
              <w:rPr>
                <w:rFonts w:hint="eastAsia" w:ascii="宋体" w:hAnsi="宋体" w:eastAsia="宋体" w:cs="宋体"/>
                <w:color w:val="000000"/>
                <w:sz w:val="21"/>
                <w:szCs w:val="21"/>
                <w:highlight w:val="none"/>
                <w:lang w:bidi="ar"/>
              </w:rPr>
            </w:pPr>
            <w:r>
              <w:rPr>
                <w:rFonts w:hint="eastAsia" w:ascii="宋体" w:hAnsi="宋体" w:eastAsia="宋体" w:cs="宋体"/>
                <w:color w:val="000000"/>
                <w:sz w:val="21"/>
                <w:szCs w:val="21"/>
                <w:highlight w:val="none"/>
                <w:lang w:eastAsia="zh-CN" w:bidi="ar"/>
              </w:rPr>
              <w:t>功能：</w:t>
            </w:r>
            <w:r>
              <w:rPr>
                <w:rFonts w:hint="eastAsia" w:ascii="宋体" w:hAnsi="宋体" w:eastAsia="宋体" w:cs="宋体"/>
                <w:color w:val="000000"/>
                <w:sz w:val="21"/>
                <w:szCs w:val="21"/>
                <w:highlight w:val="none"/>
                <w:lang w:val="en-US" w:eastAsia="zh-CN" w:bidi="ar"/>
              </w:rPr>
              <w:t>1、</w:t>
            </w:r>
            <w:r>
              <w:rPr>
                <w:rFonts w:hint="eastAsia" w:ascii="宋体" w:hAnsi="宋体" w:eastAsia="宋体" w:cs="宋体"/>
                <w:color w:val="000000"/>
                <w:sz w:val="21"/>
                <w:szCs w:val="21"/>
                <w:highlight w:val="none"/>
                <w:lang w:bidi="ar"/>
              </w:rPr>
              <w:t>多感官治疗室中视觉训练设备。</w:t>
            </w:r>
          </w:p>
          <w:p w14:paraId="6DC55AB7">
            <w:pPr>
              <w:widowControl/>
              <w:spacing w:line="360" w:lineRule="auto"/>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val="en-US" w:eastAsia="zh-CN" w:bidi="ar"/>
              </w:rPr>
              <w:t>2</w:t>
            </w:r>
            <w:r>
              <w:rPr>
                <w:rFonts w:hint="eastAsia" w:ascii="宋体" w:hAnsi="宋体" w:eastAsia="宋体" w:cs="宋体"/>
                <w:color w:val="000000"/>
                <w:sz w:val="21"/>
                <w:szCs w:val="21"/>
                <w:highlight w:val="none"/>
                <w:lang w:bidi="ar"/>
              </w:rPr>
              <w:t>、视觉感官剌激:风车游戏版能发出风车样的五颜六色旋转变化效果,吸引儿童注意力，增加对色彩，图形的认知</w:t>
            </w:r>
            <w:r>
              <w:rPr>
                <w:rFonts w:hint="eastAsia" w:ascii="宋体" w:hAnsi="宋体" w:eastAsia="宋体" w:cs="宋体"/>
                <w:color w:val="000000"/>
                <w:sz w:val="21"/>
                <w:szCs w:val="21"/>
                <w:highlight w:val="none"/>
                <w:lang w:eastAsia="zh-CN" w:bidi="ar"/>
              </w:rPr>
              <w:t>。</w:t>
            </w:r>
          </w:p>
          <w:p w14:paraId="09C6969B">
            <w:pPr>
              <w:widowControl/>
              <w:spacing w:line="360" w:lineRule="auto"/>
              <w:textAlignment w:val="center"/>
              <w:rPr>
                <w:rFonts w:hint="eastAsia" w:ascii="宋体" w:hAnsi="宋体" w:eastAsia="宋体" w:cs="宋体"/>
                <w:color w:val="000000"/>
                <w:sz w:val="21"/>
                <w:szCs w:val="21"/>
                <w:highlight w:val="none"/>
                <w:lang w:bidi="ar"/>
              </w:rPr>
            </w:pPr>
            <w:r>
              <w:rPr>
                <w:rFonts w:hint="eastAsia" w:ascii="宋体" w:hAnsi="宋体" w:eastAsia="宋体" w:cs="宋体"/>
                <w:color w:val="000000"/>
                <w:sz w:val="21"/>
                <w:szCs w:val="21"/>
                <w:highlight w:val="none"/>
                <w:lang w:val="en-US" w:eastAsia="zh-CN" w:bidi="ar"/>
              </w:rPr>
              <w:t>3</w:t>
            </w:r>
            <w:r>
              <w:rPr>
                <w:rFonts w:hint="eastAsia" w:ascii="宋体" w:hAnsi="宋体" w:eastAsia="宋体" w:cs="宋体"/>
                <w:color w:val="000000"/>
                <w:sz w:val="21"/>
                <w:szCs w:val="21"/>
                <w:highlight w:val="none"/>
                <w:lang w:bidi="ar"/>
              </w:rPr>
              <w:t>、视觉刺激产生好奇，激发儿童用手触摸按键,动感彩轮会出现单条或双条颜色变换及转动，产生的动感视觉效果,吸引儿童视觉专注和视觉追踪能力。</w:t>
            </w:r>
          </w:p>
          <w:p w14:paraId="4B959933">
            <w:pPr>
              <w:widowControl/>
              <w:spacing w:line="360" w:lineRule="auto"/>
              <w:textAlignment w:val="center"/>
              <w:rPr>
                <w:rFonts w:hint="eastAsia" w:ascii="宋体" w:hAnsi="宋体" w:eastAsia="宋体" w:cs="宋体"/>
                <w:color w:val="000000"/>
                <w:sz w:val="21"/>
                <w:szCs w:val="21"/>
                <w:highlight w:val="none"/>
                <w:lang w:bidi="ar"/>
              </w:rPr>
            </w:pPr>
            <w:r>
              <w:rPr>
                <w:rFonts w:hint="eastAsia" w:ascii="宋体" w:hAnsi="宋体" w:eastAsia="宋体" w:cs="宋体"/>
                <w:color w:val="000000"/>
                <w:sz w:val="21"/>
                <w:szCs w:val="21"/>
                <w:highlight w:val="none"/>
                <w:lang w:bidi="ar"/>
              </w:rPr>
              <w:t>适应症:颜色感知、追视能力较差患者，听觉迟钝患者。</w:t>
            </w:r>
          </w:p>
          <w:p w14:paraId="4D032F05">
            <w:pPr>
              <w:widowControl/>
              <w:spacing w:line="360" w:lineRule="auto"/>
              <w:textAlignment w:val="center"/>
              <w:rPr>
                <w:rFonts w:hint="eastAsia" w:ascii="宋体" w:hAnsi="宋体" w:eastAsia="宋体" w:cs="宋体"/>
                <w:b/>
                <w:bCs/>
                <w:sz w:val="21"/>
                <w:szCs w:val="21"/>
                <w:highlight w:val="none"/>
              </w:rPr>
            </w:pPr>
            <w:r>
              <w:rPr>
                <w:rFonts w:hint="eastAsia" w:ascii="宋体" w:hAnsi="宋体" w:eastAsia="宋体" w:cs="宋体"/>
                <w:color w:val="000000"/>
                <w:sz w:val="21"/>
                <w:szCs w:val="21"/>
                <w:highlight w:val="none"/>
                <w:lang w:bidi="ar"/>
              </w:rPr>
              <w:t>使用方法:下方按彩色按钮控制4中不同的游戏模式。游戏者按下按钮，面板会产生转动的彩色灯管。</w:t>
            </w:r>
          </w:p>
        </w:tc>
      </w:tr>
      <w:tr w14:paraId="072EB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72BD16E6">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6</w:t>
            </w:r>
          </w:p>
        </w:tc>
        <w:tc>
          <w:tcPr>
            <w:tcW w:w="2070" w:type="dxa"/>
            <w:tcBorders>
              <w:top w:val="single" w:color="000000" w:sz="4" w:space="0"/>
              <w:left w:val="nil"/>
              <w:bottom w:val="single" w:color="000000" w:sz="4" w:space="0"/>
              <w:right w:val="single" w:color="000000" w:sz="4" w:space="0"/>
            </w:tcBorders>
            <w:noWrap w:val="0"/>
            <w:vAlign w:val="center"/>
          </w:tcPr>
          <w:p w14:paraId="50902C47">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鱼形形状配对</w:t>
            </w:r>
          </w:p>
        </w:tc>
        <w:tc>
          <w:tcPr>
            <w:tcW w:w="855" w:type="dxa"/>
            <w:tcBorders>
              <w:top w:val="single" w:color="000000" w:sz="4" w:space="0"/>
              <w:left w:val="nil"/>
              <w:bottom w:val="single" w:color="000000" w:sz="4" w:space="0"/>
              <w:right w:val="single" w:color="000000" w:sz="4" w:space="0"/>
            </w:tcBorders>
            <w:noWrap w:val="0"/>
            <w:vAlign w:val="center"/>
          </w:tcPr>
          <w:p w14:paraId="4F43CA98">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rPr>
            </w:pPr>
            <w:r>
              <w:rPr>
                <w:rFonts w:hint="eastAsia" w:ascii="宋体" w:hAnsi="宋体" w:eastAsia="宋体" w:cs="宋体"/>
                <w:sz w:val="21"/>
                <w:szCs w:val="21"/>
                <w:highlight w:val="none"/>
                <w:lang w:val="en-US" w:eastAsia="zh-CN"/>
              </w:rPr>
              <w:t>1套</w:t>
            </w:r>
          </w:p>
        </w:tc>
        <w:tc>
          <w:tcPr>
            <w:tcW w:w="5637" w:type="dxa"/>
            <w:tcBorders>
              <w:top w:val="single" w:color="000000" w:sz="4" w:space="0"/>
              <w:left w:val="nil"/>
              <w:bottom w:val="single" w:color="000000" w:sz="4" w:space="0"/>
              <w:right w:val="single" w:color="000000" w:sz="4" w:space="0"/>
            </w:tcBorders>
            <w:noWrap w:val="0"/>
            <w:vAlign w:val="center"/>
          </w:tcPr>
          <w:p w14:paraId="4CC6CE45">
            <w:pPr>
              <w:widowControl w:val="0"/>
              <w:spacing w:line="360" w:lineRule="auto"/>
              <w:ind w:left="0" w:leftChars="0" w:firstLine="0" w:firstLineChars="0"/>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规格：1000ⅹ800ⅹ150（mm）；</w:t>
            </w:r>
          </w:p>
          <w:p w14:paraId="58B953EF">
            <w:pPr>
              <w:widowControl w:val="0"/>
              <w:numPr>
                <w:ilvl w:val="0"/>
                <w:numId w:val="0"/>
              </w:numPr>
              <w:spacing w:line="360" w:lineRule="auto"/>
              <w:ind w:leftChars="0"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小鱼模型尺寸：131ⅹ43（mm），221ⅹ255（mm），197ⅹ79（mm），148ⅹ194（mm），135ⅹ63（mm），245ⅹ86（mm），245ⅹ86（mm），241ⅹ91（mm），217ⅹ10（mm）；小鱼模型颜色：4种，形状：3种；</w:t>
            </w:r>
          </w:p>
          <w:p w14:paraId="52F45E3D">
            <w:pPr>
              <w:widowControl w:val="0"/>
              <w:numPr>
                <w:ilvl w:val="0"/>
                <w:numId w:val="0"/>
              </w:numPr>
              <w:spacing w:line="360" w:lineRule="auto"/>
              <w:ind w:leftChars="0"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材质：环氧绝缘板，海绵，英阻BS5852PU革，EO级T18多层板；</w:t>
            </w:r>
          </w:p>
          <w:p w14:paraId="16F623A4">
            <w:pPr>
              <w:widowControl/>
              <w:spacing w:line="360" w:lineRule="auto"/>
              <w:textAlignment w:val="center"/>
              <w:rPr>
                <w:rFonts w:hint="eastAsia" w:ascii="宋体" w:hAnsi="宋体" w:eastAsia="宋体" w:cs="宋体"/>
                <w:color w:val="000000"/>
                <w:sz w:val="21"/>
                <w:szCs w:val="21"/>
                <w:highlight w:val="none"/>
                <w:lang w:bidi="ar"/>
              </w:rPr>
            </w:pPr>
            <w:r>
              <w:rPr>
                <w:rFonts w:hint="eastAsia" w:ascii="宋体" w:hAnsi="宋体" w:eastAsia="宋体" w:cs="宋体"/>
                <w:color w:val="000000"/>
                <w:sz w:val="21"/>
                <w:szCs w:val="21"/>
                <w:highlight w:val="none"/>
                <w:lang w:eastAsia="zh-CN" w:bidi="ar"/>
              </w:rPr>
              <w:t>功能：</w:t>
            </w:r>
            <w:r>
              <w:rPr>
                <w:rFonts w:hint="eastAsia" w:ascii="宋体" w:hAnsi="宋体" w:eastAsia="宋体" w:cs="宋体"/>
                <w:color w:val="000000"/>
                <w:sz w:val="21"/>
                <w:szCs w:val="21"/>
                <w:highlight w:val="none"/>
                <w:lang w:val="en-US" w:eastAsia="zh-CN" w:bidi="ar"/>
              </w:rPr>
              <w:t>1、</w:t>
            </w:r>
            <w:r>
              <w:rPr>
                <w:rFonts w:hint="eastAsia" w:ascii="宋体" w:hAnsi="宋体" w:eastAsia="宋体" w:cs="宋体"/>
                <w:color w:val="000000"/>
                <w:sz w:val="21"/>
                <w:szCs w:val="21"/>
                <w:highlight w:val="none"/>
                <w:lang w:bidi="ar"/>
              </w:rPr>
              <w:t>多感官治疗室中触觉</w:t>
            </w:r>
            <w:r>
              <w:rPr>
                <w:rFonts w:hint="eastAsia" w:ascii="宋体" w:hAnsi="宋体" w:eastAsia="宋体" w:cs="宋体"/>
                <w:color w:val="000000"/>
                <w:sz w:val="21"/>
                <w:szCs w:val="21"/>
                <w:highlight w:val="none"/>
                <w:lang w:eastAsia="zh-CN" w:bidi="ar"/>
              </w:rPr>
              <w:t>、认知</w:t>
            </w:r>
            <w:r>
              <w:rPr>
                <w:rFonts w:hint="eastAsia" w:ascii="宋体" w:hAnsi="宋体" w:eastAsia="宋体" w:cs="宋体"/>
                <w:color w:val="000000"/>
                <w:sz w:val="21"/>
                <w:szCs w:val="21"/>
                <w:highlight w:val="none"/>
                <w:lang w:bidi="ar"/>
              </w:rPr>
              <w:t>和视觉设备。</w:t>
            </w:r>
          </w:p>
          <w:p w14:paraId="70F85129">
            <w:pPr>
              <w:widowControl w:val="0"/>
              <w:spacing w:line="360" w:lineRule="auto"/>
              <w:ind w:left="0" w:leftChars="0" w:firstLine="0" w:firstLineChars="0"/>
              <w:jc w:val="both"/>
              <w:rPr>
                <w:rFonts w:hint="eastAsia" w:ascii="宋体" w:hAnsi="宋体" w:eastAsia="宋体" w:cs="宋体"/>
                <w:b w:val="0"/>
                <w:i w:val="0"/>
                <w:color w:val="auto"/>
                <w:kern w:val="0"/>
                <w:sz w:val="21"/>
                <w:szCs w:val="21"/>
                <w:highlight w:val="none"/>
                <w:lang w:val="en-US" w:eastAsia="zh-CN" w:bidi="ar-SA"/>
              </w:rPr>
            </w:pPr>
            <w:r>
              <w:rPr>
                <w:rFonts w:hint="eastAsia" w:ascii="宋体" w:hAnsi="宋体" w:eastAsia="宋体" w:cs="宋体"/>
                <w:b w:val="0"/>
                <w:i w:val="0"/>
                <w:color w:val="auto"/>
                <w:kern w:val="0"/>
                <w:sz w:val="21"/>
                <w:szCs w:val="21"/>
                <w:highlight w:val="none"/>
                <w:lang w:val="en-US" w:eastAsia="zh-CN" w:bidi="ar-SA"/>
              </w:rPr>
              <w:t>2、游戏者动手触摸小鱼，拿下来在按照鱼的图形大小配对装上去，会出现各种声音，如:动物叫声，音乐等，训练者感知小鱼的颜色大小形状的变化，增强视觉思维、注意感官能力。</w:t>
            </w:r>
          </w:p>
          <w:p w14:paraId="1B96CE12">
            <w:pPr>
              <w:widowControl w:val="0"/>
              <w:spacing w:line="360" w:lineRule="auto"/>
              <w:ind w:left="0" w:leftChars="0" w:firstLine="0" w:firstLineChars="0"/>
              <w:jc w:val="both"/>
              <w:rPr>
                <w:rFonts w:hint="eastAsia" w:ascii="宋体" w:hAnsi="宋体" w:eastAsia="宋体" w:cs="宋体"/>
                <w:b w:val="0"/>
                <w:i w:val="0"/>
                <w:color w:val="auto"/>
                <w:kern w:val="0"/>
                <w:sz w:val="21"/>
                <w:szCs w:val="21"/>
                <w:highlight w:val="none"/>
                <w:lang w:val="en-US" w:eastAsia="zh-CN" w:bidi="ar-SA"/>
              </w:rPr>
            </w:pPr>
            <w:r>
              <w:rPr>
                <w:rFonts w:hint="eastAsia" w:ascii="宋体" w:hAnsi="宋体" w:eastAsia="宋体" w:cs="宋体"/>
                <w:b w:val="0"/>
                <w:i w:val="0"/>
                <w:color w:val="auto"/>
                <w:kern w:val="0"/>
                <w:sz w:val="21"/>
                <w:szCs w:val="21"/>
                <w:highlight w:val="none"/>
                <w:lang w:val="en-US" w:eastAsia="zh-CN" w:bidi="ar-SA"/>
              </w:rPr>
              <w:t>3、提高手眼脑配合协调能力，发展精细运动并对多动症游戏者具有镇静作用。</w:t>
            </w:r>
          </w:p>
          <w:p w14:paraId="32844351">
            <w:pPr>
              <w:widowControl w:val="0"/>
              <w:spacing w:line="360" w:lineRule="auto"/>
              <w:ind w:left="0" w:leftChars="0" w:firstLine="0" w:firstLineChars="0"/>
              <w:jc w:val="both"/>
              <w:rPr>
                <w:rFonts w:hint="eastAsia" w:ascii="宋体" w:hAnsi="宋体" w:eastAsia="宋体" w:cs="宋体"/>
                <w:b w:val="0"/>
                <w:i w:val="0"/>
                <w:color w:val="auto"/>
                <w:kern w:val="0"/>
                <w:sz w:val="21"/>
                <w:szCs w:val="21"/>
                <w:highlight w:val="none"/>
                <w:lang w:val="en-US" w:eastAsia="zh-CN" w:bidi="ar-SA"/>
              </w:rPr>
            </w:pPr>
          </w:p>
          <w:p w14:paraId="6B81F17B">
            <w:pPr>
              <w:widowControl w:val="0"/>
              <w:spacing w:line="360" w:lineRule="auto"/>
              <w:ind w:left="0" w:leftChars="0" w:firstLine="0" w:firstLineChars="0"/>
              <w:jc w:val="both"/>
              <w:rPr>
                <w:rFonts w:hint="eastAsia" w:ascii="宋体" w:hAnsi="宋体" w:eastAsia="宋体" w:cs="宋体"/>
                <w:b w:val="0"/>
                <w:i w:val="0"/>
                <w:color w:val="auto"/>
                <w:kern w:val="0"/>
                <w:sz w:val="21"/>
                <w:szCs w:val="21"/>
                <w:highlight w:val="none"/>
                <w:lang w:val="en-US" w:eastAsia="zh-CN" w:bidi="ar-SA"/>
              </w:rPr>
            </w:pPr>
            <w:r>
              <w:rPr>
                <w:rFonts w:hint="eastAsia" w:ascii="宋体" w:hAnsi="宋体" w:eastAsia="宋体" w:cs="宋体"/>
                <w:b w:val="0"/>
                <w:i w:val="0"/>
                <w:color w:val="auto"/>
                <w:kern w:val="0"/>
                <w:sz w:val="21"/>
                <w:szCs w:val="21"/>
                <w:highlight w:val="none"/>
                <w:lang w:val="en-US" w:eastAsia="zh-CN" w:bidi="ar-SA"/>
              </w:rPr>
              <w:t>适应症：手眼协调能力差、分辨能力较差患者、多动症患者和专注力低患者。</w:t>
            </w:r>
          </w:p>
        </w:tc>
      </w:tr>
      <w:tr w14:paraId="56479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7"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61818CFD">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7</w:t>
            </w:r>
          </w:p>
        </w:tc>
        <w:tc>
          <w:tcPr>
            <w:tcW w:w="2070" w:type="dxa"/>
            <w:tcBorders>
              <w:top w:val="single" w:color="000000" w:sz="4" w:space="0"/>
              <w:left w:val="nil"/>
              <w:bottom w:val="single" w:color="000000" w:sz="4" w:space="0"/>
              <w:right w:val="single" w:color="000000" w:sz="4" w:space="0"/>
            </w:tcBorders>
            <w:noWrap w:val="0"/>
            <w:vAlign w:val="center"/>
          </w:tcPr>
          <w:p w14:paraId="58871672">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手掌按键游戏箱</w:t>
            </w:r>
          </w:p>
        </w:tc>
        <w:tc>
          <w:tcPr>
            <w:tcW w:w="855" w:type="dxa"/>
            <w:tcBorders>
              <w:top w:val="single" w:color="000000" w:sz="4" w:space="0"/>
              <w:left w:val="nil"/>
              <w:bottom w:val="single" w:color="000000" w:sz="4" w:space="0"/>
              <w:right w:val="single" w:color="000000" w:sz="4" w:space="0"/>
            </w:tcBorders>
            <w:noWrap w:val="0"/>
            <w:vAlign w:val="center"/>
          </w:tcPr>
          <w:p w14:paraId="29F7C7CF">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rPr>
            </w:pPr>
            <w:r>
              <w:rPr>
                <w:rFonts w:hint="eastAsia" w:ascii="宋体" w:hAnsi="宋体" w:eastAsia="宋体" w:cs="宋体"/>
                <w:sz w:val="21"/>
                <w:szCs w:val="21"/>
                <w:highlight w:val="none"/>
                <w:lang w:val="en-US" w:eastAsia="zh-CN"/>
              </w:rPr>
              <w:t>1套</w:t>
            </w:r>
          </w:p>
        </w:tc>
        <w:tc>
          <w:tcPr>
            <w:tcW w:w="5637" w:type="dxa"/>
            <w:tcBorders>
              <w:top w:val="single" w:color="000000" w:sz="4" w:space="0"/>
              <w:left w:val="nil"/>
              <w:bottom w:val="single" w:color="000000" w:sz="4" w:space="0"/>
              <w:right w:val="single" w:color="000000" w:sz="4" w:space="0"/>
            </w:tcBorders>
            <w:noWrap w:val="0"/>
            <w:vAlign w:val="center"/>
          </w:tcPr>
          <w:p w14:paraId="318055B2">
            <w:pPr>
              <w:widowControl/>
              <w:numPr>
                <w:ilvl w:val="0"/>
                <w:numId w:val="0"/>
              </w:numPr>
              <w:spacing w:line="360" w:lineRule="auto"/>
              <w:ind w:leftChars="0"/>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规格：1200ⅹ600 ⅹ150（mm）；</w:t>
            </w:r>
          </w:p>
          <w:p w14:paraId="754B05A0">
            <w:pPr>
              <w:widowControl w:val="0"/>
              <w:numPr>
                <w:ilvl w:val="0"/>
                <w:numId w:val="0"/>
              </w:numPr>
              <w:spacing w:line="360" w:lineRule="auto"/>
              <w:ind w:leftChars="0" w:firstLine="420" w:firstLineChars="20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手掌形状尺寸：148ⅹ123（mm），数量：8个，表面有两行手掌图案，每行有4个，在每个手掌周围平均分布着24个小圆孔；</w:t>
            </w:r>
          </w:p>
          <w:p w14:paraId="410740A7">
            <w:pPr>
              <w:widowControl w:val="0"/>
              <w:numPr>
                <w:ilvl w:val="0"/>
                <w:numId w:val="0"/>
              </w:numPr>
              <w:spacing w:line="360" w:lineRule="auto"/>
              <w:ind w:leftChars="0" w:firstLine="420" w:firstLineChars="200"/>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材质：环氧绝缘板，毛绒布,EO级T18多层板，中纤板；</w:t>
            </w:r>
          </w:p>
          <w:p w14:paraId="19F6EC65">
            <w:pPr>
              <w:widowControl/>
              <w:numPr>
                <w:ilvl w:val="0"/>
                <w:numId w:val="0"/>
              </w:numPr>
              <w:spacing w:line="360" w:lineRule="auto"/>
              <w:ind w:leftChars="0"/>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kern w:val="0"/>
                <w:sz w:val="21"/>
                <w:szCs w:val="21"/>
                <w:highlight w:val="none"/>
                <w:lang w:val="en-US" w:eastAsia="zh-CN"/>
              </w:rPr>
              <w:t>功能：1、</w:t>
            </w:r>
            <w:r>
              <w:rPr>
                <w:rFonts w:hint="eastAsia" w:ascii="宋体" w:hAnsi="宋体" w:eastAsia="宋体" w:cs="宋体"/>
                <w:color w:val="000000"/>
                <w:sz w:val="21"/>
                <w:szCs w:val="21"/>
                <w:highlight w:val="none"/>
                <w:lang w:bidi="ar"/>
              </w:rPr>
              <w:t>多感官治疗室中触觉和视觉设备</w:t>
            </w:r>
            <w:r>
              <w:rPr>
                <w:rFonts w:hint="eastAsia" w:ascii="宋体" w:hAnsi="宋体" w:eastAsia="宋体" w:cs="宋体"/>
                <w:color w:val="000000"/>
                <w:sz w:val="21"/>
                <w:szCs w:val="21"/>
                <w:highlight w:val="none"/>
                <w:lang w:eastAsia="zh-CN" w:bidi="ar"/>
              </w:rPr>
              <w:t>。</w:t>
            </w:r>
          </w:p>
          <w:p w14:paraId="29A29024">
            <w:pPr>
              <w:widowControl/>
              <w:numPr>
                <w:ilvl w:val="0"/>
                <w:numId w:val="0"/>
              </w:numPr>
              <w:spacing w:line="360" w:lineRule="auto"/>
              <w:ind w:leftChars="0"/>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val="en-US" w:eastAsia="zh-CN" w:bidi="ar"/>
              </w:rPr>
              <w:t>2</w:t>
            </w:r>
            <w:r>
              <w:rPr>
                <w:rFonts w:hint="eastAsia" w:ascii="宋体" w:hAnsi="宋体" w:eastAsia="宋体" w:cs="宋体"/>
                <w:color w:val="000000"/>
                <w:sz w:val="21"/>
                <w:szCs w:val="21"/>
                <w:highlight w:val="none"/>
                <w:lang w:bidi="ar"/>
              </w:rPr>
              <w:t>、儿童通过自己的手，根据图案上图形进行配对后按压，就会出现不同的声光，对儿童视觉听觉触觉等感官进行刺激，锻炼了儿童认知感知及手眼脑的配合协调能力</w:t>
            </w:r>
            <w:r>
              <w:rPr>
                <w:rFonts w:hint="eastAsia" w:ascii="宋体" w:hAnsi="宋体" w:eastAsia="宋体" w:cs="宋体"/>
                <w:color w:val="000000"/>
                <w:sz w:val="21"/>
                <w:szCs w:val="21"/>
                <w:highlight w:val="none"/>
                <w:lang w:eastAsia="zh-CN" w:bidi="ar"/>
              </w:rPr>
              <w:t>。</w:t>
            </w:r>
          </w:p>
          <w:p w14:paraId="60EF76C5">
            <w:pPr>
              <w:widowControl w:val="0"/>
              <w:numPr>
                <w:ilvl w:val="0"/>
                <w:numId w:val="0"/>
              </w:numPr>
              <w:spacing w:line="360" w:lineRule="auto"/>
              <w:ind w:leftChars="0" w:firstLine="420" w:firstLineChars="200"/>
              <w:jc w:val="both"/>
              <w:rPr>
                <w:rFonts w:hint="eastAsia" w:ascii="宋体" w:hAnsi="宋体" w:eastAsia="宋体" w:cs="宋体"/>
                <w:b w:val="0"/>
                <w:i w:val="0"/>
                <w:color w:val="auto"/>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
              </w:rPr>
              <w:t>3、发展儿童视觉、触觉、几何图形辨别、思维模仿能力。适应症:手眼协调能力差、分辨能力较差患者。</w:t>
            </w:r>
          </w:p>
        </w:tc>
      </w:tr>
      <w:tr w14:paraId="674AE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7"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4197F00F">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8</w:t>
            </w:r>
          </w:p>
        </w:tc>
        <w:tc>
          <w:tcPr>
            <w:tcW w:w="2070" w:type="dxa"/>
            <w:tcBorders>
              <w:top w:val="single" w:color="000000" w:sz="4" w:space="0"/>
              <w:left w:val="nil"/>
              <w:bottom w:val="single" w:color="000000" w:sz="4" w:space="0"/>
              <w:right w:val="single" w:color="000000" w:sz="4" w:space="0"/>
            </w:tcBorders>
            <w:noWrap w:val="0"/>
            <w:vAlign w:val="center"/>
          </w:tcPr>
          <w:p w14:paraId="0B70AF21">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豆袋椅</w:t>
            </w:r>
          </w:p>
        </w:tc>
        <w:tc>
          <w:tcPr>
            <w:tcW w:w="855" w:type="dxa"/>
            <w:tcBorders>
              <w:top w:val="single" w:color="000000" w:sz="4" w:space="0"/>
              <w:left w:val="nil"/>
              <w:bottom w:val="single" w:color="000000" w:sz="4" w:space="0"/>
              <w:right w:val="single" w:color="000000" w:sz="4" w:space="0"/>
            </w:tcBorders>
            <w:noWrap w:val="0"/>
            <w:vAlign w:val="center"/>
          </w:tcPr>
          <w:p w14:paraId="6305EEBB">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rPr>
            </w:pPr>
            <w:r>
              <w:rPr>
                <w:rFonts w:hint="eastAsia" w:ascii="宋体" w:hAnsi="宋体" w:eastAsia="宋体" w:cs="宋体"/>
                <w:b w:val="0"/>
                <w:i w:val="0"/>
                <w:color w:val="000000"/>
                <w:sz w:val="21"/>
                <w:szCs w:val="21"/>
                <w:highlight w:val="none"/>
              </w:rPr>
              <w:t>1个</w:t>
            </w:r>
          </w:p>
        </w:tc>
        <w:tc>
          <w:tcPr>
            <w:tcW w:w="5637" w:type="dxa"/>
            <w:tcBorders>
              <w:top w:val="single" w:color="000000" w:sz="4" w:space="0"/>
              <w:left w:val="nil"/>
              <w:bottom w:val="single" w:color="000000" w:sz="4" w:space="0"/>
              <w:right w:val="single" w:color="000000" w:sz="4" w:space="0"/>
            </w:tcBorders>
            <w:noWrap w:val="0"/>
            <w:vAlign w:val="center"/>
          </w:tcPr>
          <w:p w14:paraId="587A9BFA">
            <w:pPr>
              <w:widowControl w:val="0"/>
              <w:spacing w:line="360" w:lineRule="auto"/>
              <w:ind w:left="0" w:leftChars="0" w:firstLine="0" w:firstLineChars="0"/>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 xml:space="preserve">外包：尼龙布， </w:t>
            </w:r>
            <w:r>
              <w:rPr>
                <w:rFonts w:hint="eastAsia" w:ascii="宋体" w:hAnsi="宋体" w:eastAsia="宋体" w:cs="宋体"/>
                <w:i w:val="0"/>
                <w:color w:val="000000"/>
                <w:kern w:val="0"/>
                <w:sz w:val="21"/>
                <w:szCs w:val="21"/>
                <w:highlight w:val="none"/>
                <w:u w:val="none"/>
                <w:lang w:val="en-US" w:eastAsia="zh-CN" w:bidi="ar"/>
              </w:rPr>
              <w:t>填充：泡沫颗粒；</w:t>
            </w:r>
          </w:p>
          <w:p w14:paraId="074C5D77">
            <w:pPr>
              <w:widowControl/>
              <w:spacing w:line="360" w:lineRule="auto"/>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功能：</w:t>
            </w:r>
            <w:r>
              <w:rPr>
                <w:rFonts w:hint="eastAsia" w:ascii="宋体" w:hAnsi="宋体" w:eastAsia="宋体" w:cs="宋体"/>
                <w:color w:val="000000"/>
                <w:sz w:val="21"/>
                <w:szCs w:val="21"/>
                <w:highlight w:val="none"/>
                <w:lang w:val="en-US" w:eastAsia="zh-CN" w:bidi="ar"/>
              </w:rPr>
              <w:t>1、</w:t>
            </w:r>
            <w:r>
              <w:rPr>
                <w:rFonts w:hint="eastAsia" w:ascii="宋体" w:hAnsi="宋体" w:eastAsia="宋体" w:cs="宋体"/>
                <w:color w:val="000000"/>
                <w:sz w:val="21"/>
                <w:szCs w:val="21"/>
                <w:highlight w:val="none"/>
                <w:lang w:bidi="ar"/>
              </w:rPr>
              <w:t>多感官治疗室中触觉设备</w:t>
            </w:r>
            <w:r>
              <w:rPr>
                <w:rFonts w:hint="eastAsia" w:ascii="宋体" w:hAnsi="宋体" w:eastAsia="宋体" w:cs="宋体"/>
                <w:color w:val="000000"/>
                <w:sz w:val="21"/>
                <w:szCs w:val="21"/>
                <w:highlight w:val="none"/>
                <w:lang w:eastAsia="zh-CN" w:bidi="ar"/>
              </w:rPr>
              <w:t>。</w:t>
            </w:r>
          </w:p>
          <w:p w14:paraId="0EDAD333">
            <w:pPr>
              <w:widowControl w:val="0"/>
              <w:spacing w:line="360" w:lineRule="auto"/>
              <w:ind w:left="0" w:leftChars="0" w:firstLine="0" w:firstLineChars="0"/>
              <w:jc w:val="both"/>
              <w:rPr>
                <w:rFonts w:hint="eastAsia" w:ascii="宋体" w:hAnsi="宋体" w:eastAsia="宋体" w:cs="宋体"/>
                <w:b w:val="0"/>
                <w:i w:val="0"/>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2、</w:t>
            </w:r>
            <w:r>
              <w:rPr>
                <w:rFonts w:hint="eastAsia" w:ascii="宋体" w:hAnsi="宋体" w:eastAsia="宋体" w:cs="宋体"/>
                <w:color w:val="000000"/>
                <w:kern w:val="2"/>
                <w:sz w:val="21"/>
                <w:szCs w:val="21"/>
                <w:highlight w:val="none"/>
                <w:lang w:val="en-US" w:eastAsia="zh-CN" w:bidi="ar"/>
              </w:rPr>
              <w:t>豆袋质地柔软，可供残疾儿童坐或躺卧，可使儿童感到舒适松弛。适应症:触觉迟钝患儿。</w:t>
            </w:r>
          </w:p>
        </w:tc>
      </w:tr>
    </w:tbl>
    <w:p w14:paraId="5EFFCB22">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p>
    <w:p w14:paraId="291CB12E">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四、配置清单</w:t>
      </w:r>
    </w:p>
    <w:tbl>
      <w:tblPr>
        <w:tblStyle w:val="29"/>
        <w:tblW w:w="93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61"/>
        <w:gridCol w:w="4756"/>
        <w:gridCol w:w="2805"/>
      </w:tblGrid>
      <w:tr w14:paraId="641C5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61" w:type="dxa"/>
            <w:tcBorders>
              <w:top w:val="single" w:color="auto" w:sz="4" w:space="0"/>
              <w:left w:val="single" w:color="auto" w:sz="4" w:space="0"/>
              <w:bottom w:val="single" w:color="auto" w:sz="4" w:space="0"/>
              <w:right w:val="single" w:color="auto" w:sz="4" w:space="0"/>
            </w:tcBorders>
            <w:noWrap w:val="0"/>
            <w:vAlign w:val="center"/>
          </w:tcPr>
          <w:p w14:paraId="7F98CBDA">
            <w:pPr>
              <w:pStyle w:val="55"/>
              <w:widowControl/>
              <w:spacing w:before="0" w:beforeLines="0" w:beforeAutospacing="0" w:after="0" w:afterLines="0" w:afterAutospacing="0" w:line="36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4756" w:type="dxa"/>
            <w:tcBorders>
              <w:top w:val="single" w:color="auto" w:sz="4" w:space="0"/>
              <w:left w:val="single" w:color="auto" w:sz="4" w:space="0"/>
              <w:bottom w:val="single" w:color="auto" w:sz="4" w:space="0"/>
              <w:right w:val="single" w:color="auto" w:sz="4" w:space="0"/>
            </w:tcBorders>
            <w:noWrap w:val="0"/>
            <w:vAlign w:val="center"/>
          </w:tcPr>
          <w:p w14:paraId="120771D3">
            <w:pPr>
              <w:pStyle w:val="55"/>
              <w:widowControl/>
              <w:spacing w:before="0" w:beforeLines="0" w:beforeAutospacing="0" w:after="0" w:afterLines="0" w:afterAutospacing="0" w:line="36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设备名称</w:t>
            </w:r>
          </w:p>
        </w:tc>
        <w:tc>
          <w:tcPr>
            <w:tcW w:w="2805" w:type="dxa"/>
            <w:tcBorders>
              <w:top w:val="single" w:color="auto" w:sz="4" w:space="0"/>
              <w:left w:val="single" w:color="auto" w:sz="4" w:space="0"/>
              <w:bottom w:val="single" w:color="auto" w:sz="4" w:space="0"/>
              <w:right w:val="single" w:color="auto" w:sz="4" w:space="0"/>
            </w:tcBorders>
            <w:noWrap w:val="0"/>
            <w:vAlign w:val="center"/>
          </w:tcPr>
          <w:p w14:paraId="6E0FA7B1">
            <w:pPr>
              <w:pStyle w:val="55"/>
              <w:widowControl/>
              <w:spacing w:before="0" w:beforeLines="0" w:beforeAutospacing="0" w:after="0" w:afterLines="0" w:afterAutospacing="0" w:line="360" w:lineRule="auto"/>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数量</w:t>
            </w:r>
          </w:p>
        </w:tc>
      </w:tr>
      <w:tr w14:paraId="26210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61" w:type="dxa"/>
            <w:tcBorders>
              <w:top w:val="single" w:color="auto" w:sz="4" w:space="0"/>
              <w:left w:val="single" w:color="000000" w:sz="4" w:space="0"/>
              <w:bottom w:val="single" w:color="000000" w:sz="4" w:space="0"/>
              <w:right w:val="single" w:color="000000" w:sz="4" w:space="0"/>
            </w:tcBorders>
            <w:noWrap w:val="0"/>
            <w:vAlign w:val="center"/>
          </w:tcPr>
          <w:p w14:paraId="7E20545B">
            <w:pPr>
              <w:pStyle w:val="55"/>
              <w:widowControl/>
              <w:autoSpaceDE/>
              <w:autoSpaceDN w:val="0"/>
              <w:spacing w:before="0" w:beforeLines="0" w:beforeAutospacing="0" w:after="0" w:afterLines="0" w:afterAutospacing="0" w:line="360" w:lineRule="auto"/>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1</w:t>
            </w:r>
          </w:p>
        </w:tc>
        <w:tc>
          <w:tcPr>
            <w:tcW w:w="4756" w:type="dxa"/>
            <w:tcBorders>
              <w:top w:val="single" w:color="auto" w:sz="4" w:space="0"/>
              <w:left w:val="nil"/>
              <w:bottom w:val="single" w:color="000000" w:sz="4" w:space="0"/>
              <w:right w:val="single" w:color="000000" w:sz="4" w:space="0"/>
            </w:tcBorders>
            <w:noWrap w:val="0"/>
            <w:vAlign w:val="center"/>
          </w:tcPr>
          <w:p w14:paraId="78B14165">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旋转镜球</w:t>
            </w:r>
          </w:p>
        </w:tc>
        <w:tc>
          <w:tcPr>
            <w:tcW w:w="2805" w:type="dxa"/>
            <w:tcBorders>
              <w:top w:val="single" w:color="auto" w:sz="4" w:space="0"/>
              <w:left w:val="nil"/>
              <w:bottom w:val="single" w:color="000000" w:sz="4" w:space="0"/>
              <w:right w:val="single" w:color="000000" w:sz="4" w:space="0"/>
            </w:tcBorders>
            <w:noWrap w:val="0"/>
            <w:vAlign w:val="center"/>
          </w:tcPr>
          <w:p w14:paraId="1D6A11F7">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sz w:val="21"/>
                <w:szCs w:val="21"/>
                <w:highlight w:val="none"/>
              </w:rPr>
            </w:pPr>
            <w:r>
              <w:rPr>
                <w:rFonts w:hint="eastAsia" w:ascii="宋体" w:hAnsi="宋体" w:eastAsia="宋体" w:cs="宋体"/>
                <w:b w:val="0"/>
                <w:i w:val="0"/>
                <w:color w:val="000000"/>
                <w:sz w:val="21"/>
                <w:szCs w:val="21"/>
                <w:highlight w:val="none"/>
              </w:rPr>
              <w:t>1个</w:t>
            </w:r>
          </w:p>
        </w:tc>
      </w:tr>
      <w:tr w14:paraId="1EF63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CF93AD4">
            <w:pPr>
              <w:pStyle w:val="55"/>
              <w:widowControl/>
              <w:autoSpaceDE/>
              <w:autoSpaceDN w:val="0"/>
              <w:spacing w:before="0" w:beforeLines="0" w:beforeAutospacing="0" w:after="0" w:afterLines="0" w:afterAutospacing="0" w:line="360" w:lineRule="auto"/>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2</w:t>
            </w:r>
          </w:p>
        </w:tc>
        <w:tc>
          <w:tcPr>
            <w:tcW w:w="4756" w:type="dxa"/>
            <w:tcBorders>
              <w:top w:val="single" w:color="000000" w:sz="4" w:space="0"/>
              <w:left w:val="nil"/>
              <w:bottom w:val="single" w:color="000000" w:sz="4" w:space="0"/>
              <w:right w:val="single" w:color="000000" w:sz="4" w:space="0"/>
            </w:tcBorders>
            <w:noWrap w:val="0"/>
            <w:vAlign w:val="center"/>
          </w:tcPr>
          <w:p w14:paraId="0D3FBAFD">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7彩射灯</w:t>
            </w:r>
          </w:p>
        </w:tc>
        <w:tc>
          <w:tcPr>
            <w:tcW w:w="2805" w:type="dxa"/>
            <w:tcBorders>
              <w:top w:val="single" w:color="000000" w:sz="4" w:space="0"/>
              <w:left w:val="nil"/>
              <w:bottom w:val="single" w:color="000000" w:sz="4" w:space="0"/>
              <w:right w:val="single" w:color="000000" w:sz="4" w:space="0"/>
            </w:tcBorders>
            <w:noWrap w:val="0"/>
            <w:vAlign w:val="center"/>
          </w:tcPr>
          <w:p w14:paraId="4E254525">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1个</w:t>
            </w:r>
          </w:p>
        </w:tc>
      </w:tr>
      <w:tr w14:paraId="36C4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004C1543">
            <w:pPr>
              <w:pStyle w:val="55"/>
              <w:widowControl/>
              <w:autoSpaceDE/>
              <w:autoSpaceDN w:val="0"/>
              <w:spacing w:before="0" w:beforeLines="0" w:beforeAutospacing="0" w:after="0" w:afterLines="0" w:afterAutospacing="0"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4756" w:type="dxa"/>
            <w:tcBorders>
              <w:top w:val="single" w:color="000000" w:sz="4" w:space="0"/>
              <w:left w:val="nil"/>
              <w:bottom w:val="single" w:color="000000" w:sz="4" w:space="0"/>
              <w:right w:val="single" w:color="000000" w:sz="4" w:space="0"/>
            </w:tcBorders>
            <w:noWrap w:val="0"/>
            <w:vAlign w:val="center"/>
          </w:tcPr>
          <w:p w14:paraId="50C08EBF">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灯光球池组合</w:t>
            </w:r>
          </w:p>
          <w:p w14:paraId="0FFFDC33">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（包含了</w:t>
            </w:r>
            <w:r>
              <w:rPr>
                <w:rFonts w:hint="eastAsia" w:ascii="宋体" w:hAnsi="宋体" w:eastAsia="宋体" w:cs="宋体"/>
                <w:color w:val="000000"/>
                <w:sz w:val="21"/>
                <w:szCs w:val="21"/>
                <w:highlight w:val="none"/>
              </w:rPr>
              <w:t>音乐斜坡</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软件楼梯）</w:t>
            </w:r>
          </w:p>
        </w:tc>
        <w:tc>
          <w:tcPr>
            <w:tcW w:w="2805" w:type="dxa"/>
            <w:tcBorders>
              <w:top w:val="single" w:color="000000" w:sz="4" w:space="0"/>
              <w:left w:val="nil"/>
              <w:bottom w:val="single" w:color="000000" w:sz="4" w:space="0"/>
              <w:right w:val="single" w:color="000000" w:sz="4" w:space="0"/>
            </w:tcBorders>
            <w:noWrap w:val="0"/>
            <w:vAlign w:val="center"/>
          </w:tcPr>
          <w:p w14:paraId="0F3E922C">
            <w:pPr>
              <w:pStyle w:val="55"/>
              <w:widowControl/>
              <w:spacing w:before="0" w:beforeLines="0" w:beforeAutospacing="0" w:after="0" w:afterLines="0" w:afterAutospacing="0"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1套</w:t>
            </w:r>
          </w:p>
        </w:tc>
      </w:tr>
      <w:tr w14:paraId="5C94E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61EED85">
            <w:pPr>
              <w:pStyle w:val="55"/>
              <w:widowControl/>
              <w:autoSpaceDE/>
              <w:autoSpaceDN w:val="0"/>
              <w:spacing w:before="0" w:beforeLines="0" w:beforeAutospacing="0" w:after="0" w:afterLines="0" w:afterAutospacing="0" w:line="360" w:lineRule="auto"/>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4</w:t>
            </w:r>
          </w:p>
        </w:tc>
        <w:tc>
          <w:tcPr>
            <w:tcW w:w="4756" w:type="dxa"/>
            <w:tcBorders>
              <w:top w:val="single" w:color="000000" w:sz="4" w:space="0"/>
              <w:left w:val="nil"/>
              <w:bottom w:val="single" w:color="000000" w:sz="4" w:space="0"/>
              <w:right w:val="single" w:color="000000" w:sz="4" w:space="0"/>
            </w:tcBorders>
            <w:noWrap w:val="0"/>
            <w:vAlign w:val="center"/>
          </w:tcPr>
          <w:p w14:paraId="3656261D">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香薰电子游戏箱</w:t>
            </w:r>
          </w:p>
        </w:tc>
        <w:tc>
          <w:tcPr>
            <w:tcW w:w="2805" w:type="dxa"/>
            <w:tcBorders>
              <w:top w:val="single" w:color="000000" w:sz="4" w:space="0"/>
              <w:left w:val="nil"/>
              <w:bottom w:val="single" w:color="000000" w:sz="4" w:space="0"/>
              <w:right w:val="single" w:color="000000" w:sz="4" w:space="0"/>
            </w:tcBorders>
            <w:noWrap w:val="0"/>
            <w:vAlign w:val="center"/>
          </w:tcPr>
          <w:p w14:paraId="0057F91D">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1套</w:t>
            </w:r>
          </w:p>
        </w:tc>
      </w:tr>
      <w:tr w14:paraId="449B2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539EDE53">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bCs/>
                <w:i w:val="0"/>
                <w:color w:val="000000"/>
                <w:sz w:val="21"/>
                <w:szCs w:val="21"/>
                <w:highlight w:val="none"/>
                <w:lang w:val="en-US" w:eastAsia="zh-CN"/>
              </w:rPr>
            </w:pPr>
            <w:r>
              <w:rPr>
                <w:rFonts w:hint="eastAsia" w:ascii="宋体" w:hAnsi="宋体" w:eastAsia="宋体" w:cs="宋体"/>
                <w:b/>
                <w:bCs/>
                <w:i w:val="0"/>
                <w:color w:val="000000"/>
                <w:sz w:val="21"/>
                <w:szCs w:val="21"/>
                <w:highlight w:val="none"/>
                <w:lang w:val="en-US" w:eastAsia="zh-CN"/>
              </w:rPr>
              <w:t>5</w:t>
            </w:r>
          </w:p>
        </w:tc>
        <w:tc>
          <w:tcPr>
            <w:tcW w:w="4756" w:type="dxa"/>
            <w:tcBorders>
              <w:top w:val="single" w:color="000000" w:sz="4" w:space="0"/>
              <w:left w:val="nil"/>
              <w:bottom w:val="single" w:color="000000" w:sz="4" w:space="0"/>
              <w:right w:val="single" w:color="000000" w:sz="4" w:space="0"/>
            </w:tcBorders>
            <w:noWrap w:val="0"/>
            <w:vAlign w:val="center"/>
          </w:tcPr>
          <w:p w14:paraId="48E45B8C">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动感彩轮</w:t>
            </w:r>
          </w:p>
        </w:tc>
        <w:tc>
          <w:tcPr>
            <w:tcW w:w="2805" w:type="dxa"/>
            <w:tcBorders>
              <w:top w:val="single" w:color="000000" w:sz="4" w:space="0"/>
              <w:left w:val="nil"/>
              <w:bottom w:val="single" w:color="000000" w:sz="4" w:space="0"/>
              <w:right w:val="single" w:color="000000" w:sz="4" w:space="0"/>
            </w:tcBorders>
            <w:noWrap w:val="0"/>
            <w:vAlign w:val="center"/>
          </w:tcPr>
          <w:p w14:paraId="742C9E29">
            <w:pPr>
              <w:spacing w:line="360" w:lineRule="auto"/>
              <w:jc w:val="center"/>
              <w:rPr>
                <w:rFonts w:hint="eastAsia" w:ascii="宋体" w:hAnsi="宋体" w:eastAsia="宋体" w:cs="宋体"/>
                <w:b/>
                <w:bCs/>
                <w:i w:val="0"/>
                <w:color w:val="000000"/>
                <w:sz w:val="21"/>
                <w:szCs w:val="21"/>
                <w:highlight w:val="none"/>
              </w:rPr>
            </w:pPr>
            <w:r>
              <w:rPr>
                <w:rFonts w:hint="eastAsia" w:ascii="宋体" w:hAnsi="宋体" w:eastAsia="宋体" w:cs="宋体"/>
                <w:b w:val="0"/>
                <w:i w:val="0"/>
                <w:snapToGrid/>
                <w:color w:val="000000"/>
                <w:sz w:val="21"/>
                <w:szCs w:val="21"/>
                <w:highlight w:val="none"/>
                <w:u w:val="none"/>
                <w:lang w:val="en-US" w:eastAsia="zh-CN"/>
              </w:rPr>
              <w:t>1个</w:t>
            </w:r>
          </w:p>
        </w:tc>
      </w:tr>
      <w:tr w14:paraId="4B051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129F2ABF">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6</w:t>
            </w:r>
          </w:p>
        </w:tc>
        <w:tc>
          <w:tcPr>
            <w:tcW w:w="4756" w:type="dxa"/>
            <w:tcBorders>
              <w:top w:val="single" w:color="000000" w:sz="4" w:space="0"/>
              <w:left w:val="nil"/>
              <w:bottom w:val="single" w:color="000000" w:sz="4" w:space="0"/>
              <w:right w:val="single" w:color="000000" w:sz="4" w:space="0"/>
            </w:tcBorders>
            <w:noWrap w:val="0"/>
            <w:vAlign w:val="center"/>
          </w:tcPr>
          <w:p w14:paraId="30AC90C9">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鱼形形状配对</w:t>
            </w:r>
          </w:p>
        </w:tc>
        <w:tc>
          <w:tcPr>
            <w:tcW w:w="2805" w:type="dxa"/>
            <w:tcBorders>
              <w:top w:val="single" w:color="000000" w:sz="4" w:space="0"/>
              <w:left w:val="nil"/>
              <w:bottom w:val="single" w:color="000000" w:sz="4" w:space="0"/>
              <w:right w:val="single" w:color="000000" w:sz="4" w:space="0"/>
            </w:tcBorders>
            <w:noWrap w:val="0"/>
            <w:vAlign w:val="center"/>
          </w:tcPr>
          <w:p w14:paraId="2682A3A4">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rPr>
            </w:pPr>
            <w:r>
              <w:rPr>
                <w:rFonts w:hint="eastAsia" w:ascii="宋体" w:hAnsi="宋体" w:eastAsia="宋体" w:cs="宋体"/>
                <w:sz w:val="21"/>
                <w:szCs w:val="21"/>
                <w:highlight w:val="none"/>
                <w:lang w:val="en-US" w:eastAsia="zh-CN"/>
              </w:rPr>
              <w:t>1套</w:t>
            </w:r>
          </w:p>
        </w:tc>
      </w:tr>
      <w:tr w14:paraId="1571A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4472B91">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7</w:t>
            </w:r>
          </w:p>
        </w:tc>
        <w:tc>
          <w:tcPr>
            <w:tcW w:w="4756" w:type="dxa"/>
            <w:tcBorders>
              <w:top w:val="single" w:color="000000" w:sz="4" w:space="0"/>
              <w:left w:val="nil"/>
              <w:bottom w:val="single" w:color="000000" w:sz="4" w:space="0"/>
              <w:right w:val="single" w:color="000000" w:sz="4" w:space="0"/>
            </w:tcBorders>
            <w:noWrap w:val="0"/>
            <w:vAlign w:val="center"/>
          </w:tcPr>
          <w:p w14:paraId="0C1F8520">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手掌按键游戏箱</w:t>
            </w:r>
          </w:p>
        </w:tc>
        <w:tc>
          <w:tcPr>
            <w:tcW w:w="2805" w:type="dxa"/>
            <w:tcBorders>
              <w:top w:val="single" w:color="000000" w:sz="4" w:space="0"/>
              <w:left w:val="nil"/>
              <w:bottom w:val="single" w:color="000000" w:sz="4" w:space="0"/>
              <w:right w:val="single" w:color="000000" w:sz="4" w:space="0"/>
            </w:tcBorders>
            <w:noWrap w:val="0"/>
            <w:vAlign w:val="center"/>
          </w:tcPr>
          <w:p w14:paraId="65279613">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rPr>
            </w:pPr>
            <w:r>
              <w:rPr>
                <w:rFonts w:hint="eastAsia" w:ascii="宋体" w:hAnsi="宋体" w:eastAsia="宋体" w:cs="宋体"/>
                <w:sz w:val="21"/>
                <w:szCs w:val="21"/>
                <w:highlight w:val="none"/>
                <w:lang w:val="en-US" w:eastAsia="zh-CN"/>
              </w:rPr>
              <w:t>1套</w:t>
            </w:r>
          </w:p>
        </w:tc>
      </w:tr>
      <w:tr w14:paraId="265D5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12FE4CEB">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lang w:val="en-US" w:eastAsia="zh-CN"/>
              </w:rPr>
            </w:pPr>
            <w:r>
              <w:rPr>
                <w:rFonts w:hint="eastAsia" w:ascii="宋体" w:hAnsi="宋体" w:eastAsia="宋体" w:cs="宋体"/>
                <w:b w:val="0"/>
                <w:i w:val="0"/>
                <w:color w:val="000000"/>
                <w:sz w:val="21"/>
                <w:szCs w:val="21"/>
                <w:highlight w:val="none"/>
                <w:lang w:val="en-US" w:eastAsia="zh-CN"/>
              </w:rPr>
              <w:t>8</w:t>
            </w:r>
          </w:p>
        </w:tc>
        <w:tc>
          <w:tcPr>
            <w:tcW w:w="4756" w:type="dxa"/>
            <w:tcBorders>
              <w:top w:val="single" w:color="000000" w:sz="4" w:space="0"/>
              <w:left w:val="nil"/>
              <w:bottom w:val="single" w:color="000000" w:sz="4" w:space="0"/>
              <w:right w:val="single" w:color="000000" w:sz="4" w:space="0"/>
            </w:tcBorders>
            <w:noWrap w:val="0"/>
            <w:vAlign w:val="center"/>
          </w:tcPr>
          <w:p w14:paraId="5EB0E06E">
            <w:pPr>
              <w:pStyle w:val="55"/>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豆袋椅</w:t>
            </w:r>
          </w:p>
        </w:tc>
        <w:tc>
          <w:tcPr>
            <w:tcW w:w="2805" w:type="dxa"/>
            <w:tcBorders>
              <w:top w:val="single" w:color="000000" w:sz="4" w:space="0"/>
              <w:left w:val="nil"/>
              <w:bottom w:val="single" w:color="000000" w:sz="4" w:space="0"/>
              <w:right w:val="single" w:color="000000" w:sz="4" w:space="0"/>
            </w:tcBorders>
            <w:noWrap w:val="0"/>
            <w:vAlign w:val="center"/>
          </w:tcPr>
          <w:p w14:paraId="19414221">
            <w:pPr>
              <w:pStyle w:val="55"/>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sz w:val="21"/>
                <w:szCs w:val="21"/>
                <w:highlight w:val="none"/>
              </w:rPr>
            </w:pPr>
            <w:r>
              <w:rPr>
                <w:rFonts w:hint="eastAsia" w:ascii="宋体" w:hAnsi="宋体" w:eastAsia="宋体" w:cs="宋体"/>
                <w:b w:val="0"/>
                <w:i w:val="0"/>
                <w:color w:val="000000"/>
                <w:sz w:val="21"/>
                <w:szCs w:val="21"/>
                <w:highlight w:val="none"/>
              </w:rPr>
              <w:t>1个</w:t>
            </w:r>
          </w:p>
        </w:tc>
      </w:tr>
    </w:tbl>
    <w:p w14:paraId="19764E7C">
      <w:pPr>
        <w:widowControl w:val="0"/>
        <w:numPr>
          <w:ilvl w:val="0"/>
          <w:numId w:val="0"/>
        </w:numPr>
        <w:spacing w:line="360" w:lineRule="auto"/>
        <w:ind w:leftChars="0"/>
        <w:jc w:val="both"/>
        <w:rPr>
          <w:rFonts w:hint="eastAsia" w:ascii="宋体" w:hAnsi="宋体" w:eastAsia="宋体" w:cs="宋体"/>
          <w:kern w:val="2"/>
          <w:sz w:val="21"/>
          <w:szCs w:val="21"/>
          <w:highlight w:val="none"/>
          <w:lang w:val="en-US" w:eastAsia="zh-CN" w:bidi="ar-SA"/>
        </w:rPr>
      </w:pPr>
    </w:p>
    <w:p w14:paraId="32CD2799">
      <w:pPr>
        <w:keepNext w:val="0"/>
        <w:keepLines w:val="0"/>
        <w:widowControl/>
        <w:suppressLineNumbers w:val="0"/>
        <w:spacing w:line="360" w:lineRule="auto"/>
        <w:jc w:val="left"/>
        <w:rPr>
          <w:rFonts w:hint="default" w:ascii="宋体" w:hAnsi="宋体" w:eastAsia="宋体" w:cs="宋体"/>
          <w:sz w:val="21"/>
          <w:szCs w:val="21"/>
          <w:highlight w:val="none"/>
          <w:lang w:val="en-US"/>
        </w:rPr>
      </w:pPr>
      <w:r>
        <w:rPr>
          <w:rFonts w:hint="eastAsia" w:ascii="宋体" w:hAnsi="宋体" w:eastAsia="宋体" w:cs="宋体"/>
          <w:color w:val="auto"/>
          <w:sz w:val="21"/>
          <w:szCs w:val="21"/>
          <w:highlight w:val="none"/>
          <w:lang w:val="en-US" w:eastAsia="zh-CN"/>
        </w:rPr>
        <w:t>数量要求：1套</w:t>
      </w:r>
    </w:p>
    <w:p w14:paraId="47FEF81D">
      <w:pPr>
        <w:widowControl w:val="0"/>
        <w:spacing w:line="360" w:lineRule="auto"/>
        <w:jc w:val="both"/>
        <w:rPr>
          <w:rFonts w:hint="eastAsia" w:ascii="宋体" w:hAnsi="宋体" w:eastAsia="宋体" w:cs="宋体"/>
          <w:kern w:val="2"/>
          <w:sz w:val="21"/>
          <w:szCs w:val="21"/>
          <w:highlight w:val="none"/>
          <w:lang w:val="en-US" w:eastAsia="zh-CN" w:bidi="ar-SA"/>
        </w:rPr>
      </w:pPr>
    </w:p>
    <w:p w14:paraId="44C74E32">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50BB2814">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22、儿童上下肢主被动训练仪</w:t>
      </w:r>
    </w:p>
    <w:p w14:paraId="193409C6">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本产品供医疗机构、康复机构中具备相关专业知识的操作者使用，用于肢体运动功能障碍的儿童患者采用坐姿对上肢和下肢进行主/被动康复训练。</w:t>
      </w:r>
    </w:p>
    <w:p w14:paraId="601253F6">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一、技术参数：</w:t>
      </w:r>
    </w:p>
    <w:p w14:paraId="131D5AEF">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1.电源：AC 220V±22V；50Hz±1Hz</w:t>
      </w:r>
    </w:p>
    <w:p w14:paraId="39FF701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2.输入功率：200VA；</w:t>
      </w:r>
    </w:p>
    <w:p w14:paraId="77A9614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3.旋转速度：1-60rpm，步进1rpm；转速允许误差±10%或±3rpm，二者取大值；</w:t>
      </w:r>
    </w:p>
    <w:p w14:paraId="623D8212">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4.扶手高度连续可调：0～60mm，允差±10%；</w:t>
      </w:r>
    </w:p>
    <w:p w14:paraId="3FAAE82B">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5.扶手前后连续可调：0～120mm，允差±10%；</w:t>
      </w:r>
    </w:p>
    <w:p w14:paraId="0E0D420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6.训练时间设定：每个训练处方和时间总长设定范围均为0～60min，步距1min，时间允差±5s。</w:t>
      </w:r>
    </w:p>
    <w:p w14:paraId="0566E548">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7.自动换向时间间隔设置范围：0～20min，步距1min,时间允差±5s；当间隔为0时，不换向</w:t>
      </w:r>
    </w:p>
    <w:p w14:paraId="4934E608">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8.正、反向被动圆周运动时，旋转速度可调节。上、下肢体康复机旋转速度调节范围均为1r/min～60r/min，步距1r/ min；空载转速误差±10%或±3r/min，二者取大值；</w:t>
      </w:r>
    </w:p>
    <w:p w14:paraId="54D249D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9.触控液晶屏在明显位置实时显示被动圆周运动转速监测值，误差±10%或±2r/min，二者取大值。</w:t>
      </w:r>
    </w:p>
    <w:p w14:paraId="319E8F76">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10.转速变化率不大于0.5r/s²</w:t>
      </w:r>
    </w:p>
    <w:p w14:paraId="275E1CBF">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11.正、反向主动圆周运动中，旋转阻力1~20级可调，步距1级，并在液晶触控屏显示阻力等级。</w:t>
      </w:r>
    </w:p>
    <w:p w14:paraId="4BEEE92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12.正、反向主动圆周运动中，液晶触控屏实时显示圆周运动转速监测值，在1r/min～100r/min范围内，转速监测误差±10%或±2r/min，二者取大值；</w:t>
      </w:r>
    </w:p>
    <w:p w14:paraId="25B2E2F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13.具有转动方向定时自动切换和手动切换措施。</w:t>
      </w:r>
    </w:p>
    <w:p w14:paraId="5D9D8CE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14.设备根据患者运动状态自动切换主动模式和被动模式，自动切换前提供至少2s的切换提示。</w:t>
      </w:r>
    </w:p>
    <w:p w14:paraId="43ACE9F8">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15.训练把手和脚蹬在轴向100N外力作用下应无撕裂或滑脱</w:t>
      </w:r>
    </w:p>
    <w:p w14:paraId="7F69D70A">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16.小腿支架长度可调：根据患者的小腿长，选择最佳固定位置，有效防止膝关节外倾</w:t>
      </w:r>
    </w:p>
    <w:p w14:paraId="73BCA40B">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17.数据接口：符合USB2.0及以上传输协议、WIFI协议802.11a/b/g/n、RJ45端口TCP/IP协议、蓝牙BLE协议，数据存储格式为DB数据库格式</w:t>
      </w:r>
    </w:p>
    <w:p w14:paraId="6248C3B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二、主要功能：</w:t>
      </w:r>
    </w:p>
    <w:p w14:paraId="7086572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1.主被动训练模式：主动训练、被动训练、主被动训练</w:t>
      </w:r>
    </w:p>
    <w:p w14:paraId="53701CA2">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2.上下肢训练模式：单上肢训练、单下肢训练、上下肢独立训练</w:t>
      </w:r>
    </w:p>
    <w:p w14:paraId="4C231575">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3.Android系统，上、下肢独立显示、控制；</w:t>
      </w:r>
    </w:p>
    <w:p w14:paraId="1CB3905C">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4.操控方式：10寸彩色触控大屏，双显示屏，屏幕360°可旋转。</w:t>
      </w:r>
    </w:p>
    <w:p w14:paraId="56CE0E5C">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5.本机训练数据自动存储、一键打印；</w:t>
      </w:r>
    </w:p>
    <w:p w14:paraId="4547CC1A">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6.具有训练时间、运动方向、训练模式、训练处方、主动运动阻力、痉挛保护等级等的设定功能</w:t>
      </w:r>
    </w:p>
    <w:p w14:paraId="78439F68">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7.左、右肢体平衡检测：在训练过程中提供以图示的方式显示肌力对称性信息，同时带有相对比例的数据</w:t>
      </w:r>
    </w:p>
    <w:p w14:paraId="60C8D661">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8.运动方向可调：有正、逆两种运动方向，在训练过程中可以改变方向</w:t>
      </w:r>
    </w:p>
    <w:p w14:paraId="29408461">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9.具备多种3D动画情景模拟；</w:t>
      </w:r>
    </w:p>
    <w:p w14:paraId="4611B1FB">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10.支持医师PC端给患者建档，数据实现：U盘驱动、WiFi传输、网络传输三种模式；</w:t>
      </w:r>
    </w:p>
    <w:p w14:paraId="689D4BDF">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11.提供多种训练轻音乐伴奏；</w:t>
      </w:r>
    </w:p>
    <w:p w14:paraId="55C5A226">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12.痉挛自动检测，自动释放；</w:t>
      </w:r>
    </w:p>
    <w:p w14:paraId="45EF1414">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13.痉挛灵敏度：敏感、标准、不敏感模式，痉挛保护应在（延迟时间+2s）内被激活</w:t>
      </w:r>
    </w:p>
    <w:p w14:paraId="682EE27F">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14.痉挛后方向可调：可调节痉挛后旋转方向与原方向相反</w:t>
      </w:r>
    </w:p>
    <w:p w14:paraId="4B28884C">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15.痉挛保护激活时伴有声音提示信号，该信号持续到手动将其关闭</w:t>
      </w:r>
    </w:p>
    <w:p w14:paraId="6026A948">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16.提供多种适应症标准化训练模式、便捷个性设置训练模式；</w:t>
      </w:r>
    </w:p>
    <w:p w14:paraId="1C001618">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17.训练结果分析：训练结束后，系统自动分析出总训练时间、训练里程、功率、能量消耗等数据</w:t>
      </w:r>
    </w:p>
    <w:p w14:paraId="6844D66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18.支持医师PC端给患者建档，数据实现：U盘驱动、WiFi传输、网络传输三种模式；</w:t>
      </w:r>
    </w:p>
    <w:p w14:paraId="725B1295">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19.支持训练数据U盘驱动、WiFi传输、网络传输三种模式传送PC端；</w:t>
      </w:r>
    </w:p>
    <w:p w14:paraId="2589335D">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20.支持当前训练数据查看、历史训练数据查看；曲线分析、柱状图分析；</w:t>
      </w:r>
    </w:p>
    <w:p w14:paraId="48C3D2FF">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21.支持PC端数据无线传输到单机自动排队，无需医师在单机上设置；</w:t>
      </w:r>
    </w:p>
    <w:p w14:paraId="4571BA5F">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22.支持单机数据无线传输到PC端，自动累计数据，无需医师拷贝数据；</w:t>
      </w:r>
    </w:p>
    <w:p w14:paraId="731153F7">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23.▲配备数字打印机，支持单机训练数据查看、打印；</w:t>
      </w:r>
    </w:p>
    <w:p w14:paraId="556F7A3C">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24.支持PC端训练数据查看、分析、打印、下载；</w:t>
      </w:r>
    </w:p>
    <w:p w14:paraId="470C75BC">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25.可实现单机联网系统升级</w:t>
      </w:r>
    </w:p>
    <w:p w14:paraId="7D944401">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26.为特殊患者提供左、右肢护具，可快捷互换</w:t>
      </w:r>
    </w:p>
    <w:p w14:paraId="25F51950">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27.可连接情景互动平台、实现多台竞技比赛</w:t>
      </w:r>
    </w:p>
    <w:p w14:paraId="3EF2758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28.配置轮椅固定锁紧装置</w:t>
      </w:r>
    </w:p>
    <w:p w14:paraId="4F673A8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29.具有应急安全保护开关</w:t>
      </w:r>
    </w:p>
    <w:p w14:paraId="4397EB86">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2286FA41">
      <w:pPr>
        <w:widowControl w:val="0"/>
        <w:spacing w:line="360" w:lineRule="auto"/>
        <w:jc w:val="both"/>
        <w:rPr>
          <w:rFonts w:hint="eastAsia" w:ascii="宋体" w:hAnsi="宋体" w:eastAsia="宋体" w:cs="宋体"/>
          <w:kern w:val="0"/>
          <w:sz w:val="21"/>
          <w:szCs w:val="21"/>
          <w:highlight w:val="none"/>
          <w:lang w:val="en-US" w:eastAsia="zh-CN" w:bidi="ar"/>
        </w:rPr>
      </w:pPr>
    </w:p>
    <w:p w14:paraId="01B2E1C8">
      <w:pPr>
        <w:spacing w:line="360" w:lineRule="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23、产品名称：悬吊康复训练系统</w:t>
      </w:r>
    </w:p>
    <w:p w14:paraId="6FEABECC">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一、功能描述</w:t>
      </w:r>
      <w:r>
        <w:rPr>
          <w:rFonts w:hint="eastAsia" w:ascii="宋体" w:hAnsi="宋体" w:eastAsia="宋体" w:cs="宋体"/>
          <w:kern w:val="0"/>
          <w:sz w:val="21"/>
          <w:szCs w:val="21"/>
          <w:highlight w:val="none"/>
          <w:lang w:val="en-US" w:eastAsia="zh-CN" w:bidi="ar"/>
        </w:rPr>
        <w:t xml:space="preserve"> </w:t>
      </w:r>
    </w:p>
    <w:p w14:paraId="403ED65F">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通过个体化的针对性训练，恢复患者平衡功能，协调能力、控制能力、支配能力，缓解全身痉挛状态，改善关节活动度，增强肌力，达到中枢神经系统的通路重建功能。集神经发育疗法、感觉统合训练、平衡姿态矫正，引导教育于一体，用于肌张力的缓解，肌力的增强、平衡协调性的提高。将患者身体部分悬吊，使患者步行时下肢的负重减少，有助于患者维持直立姿势，重心分布对称，并通过稳定躯干来保持平衡，进行早期的步态训练。用于减重悬吊步态训练，平衡训练，体位转移训练及作业治疗中的日常生活能力训练等，可以安装与训练大厅等空间开阔区域。直轨，弯轨，垂直转盘，变轨等。</w:t>
      </w:r>
    </w:p>
    <w:p w14:paraId="1A9AC22E">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p>
    <w:p w14:paraId="6B83D891">
      <w:pPr>
        <w:keepNext w:val="0"/>
        <w:keepLines w:val="0"/>
        <w:widowControl/>
        <w:numPr>
          <w:ilvl w:val="0"/>
          <w:numId w:val="24"/>
        </w:numPr>
        <w:suppressLineNumbers w:val="0"/>
        <w:spacing w:line="360" w:lineRule="auto"/>
        <w:ind w:left="0" w:leftChars="0" w:firstLine="0" w:firstLineChars="0"/>
        <w:jc w:val="left"/>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 xml:space="preserve">应用范围 </w:t>
      </w:r>
    </w:p>
    <w:p w14:paraId="4BD15EB6">
      <w:pPr>
        <w:keepNext w:val="0"/>
        <w:keepLines w:val="0"/>
        <w:widowControl/>
        <w:numPr>
          <w:ilvl w:val="0"/>
          <w:numId w:val="0"/>
        </w:numPr>
        <w:suppressLineNumbers w:val="0"/>
        <w:spacing w:line="360" w:lineRule="auto"/>
        <w:ind w:leftChars="0"/>
        <w:jc w:val="left"/>
        <w:rPr>
          <w:rFonts w:hint="eastAsia" w:ascii="宋体" w:hAnsi="宋体" w:eastAsia="宋体" w:cs="宋体"/>
          <w:b w:val="0"/>
          <w:bCs w:val="0"/>
          <w:kern w:val="0"/>
          <w:sz w:val="21"/>
          <w:szCs w:val="21"/>
          <w:highlight w:val="none"/>
          <w:lang w:val="en-US" w:eastAsia="zh-CN" w:bidi="ar"/>
        </w:rPr>
      </w:pPr>
      <w:r>
        <w:rPr>
          <w:rFonts w:hint="eastAsia" w:ascii="宋体" w:hAnsi="宋体" w:eastAsia="宋体" w:cs="宋体"/>
          <w:b w:val="0"/>
          <w:bCs w:val="0"/>
          <w:kern w:val="0"/>
          <w:sz w:val="21"/>
          <w:szCs w:val="21"/>
          <w:highlight w:val="none"/>
          <w:lang w:val="en-US" w:eastAsia="zh-CN" w:bidi="ar"/>
        </w:rPr>
        <w:t>弱智、脑瘫儿童感觉统合失调、儿童注意力不集中、儿童孤独症、儿童斜颈、儿童骨盆倾斜、儿童脊柱倾斜等方面的训练康复</w:t>
      </w:r>
    </w:p>
    <w:p w14:paraId="6A8131A4">
      <w:pPr>
        <w:numPr>
          <w:ilvl w:val="0"/>
          <w:numId w:val="24"/>
        </w:numPr>
        <w:spacing w:line="360" w:lineRule="auto"/>
        <w:ind w:left="0" w:leftChars="0" w:firstLine="0" w:firstLineChars="0"/>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技术参数</w:t>
      </w:r>
    </w:p>
    <w:p w14:paraId="616F7811">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p>
    <w:tbl>
      <w:tblPr>
        <w:tblStyle w:val="29"/>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316"/>
        <w:gridCol w:w="725"/>
        <w:gridCol w:w="5179"/>
      </w:tblGrid>
      <w:tr w14:paraId="0BAE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06" w:type="dxa"/>
            <w:vAlign w:val="center"/>
          </w:tcPr>
          <w:p w14:paraId="520F9B29">
            <w:pPr>
              <w:widowControl w:val="0"/>
              <w:spacing w:line="360" w:lineRule="auto"/>
              <w:jc w:val="center"/>
              <w:rPr>
                <w:rFonts w:hint="eastAsia"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项号</w:t>
            </w:r>
          </w:p>
        </w:tc>
        <w:tc>
          <w:tcPr>
            <w:tcW w:w="2316" w:type="dxa"/>
            <w:vAlign w:val="center"/>
          </w:tcPr>
          <w:p w14:paraId="28D2AFD6">
            <w:pPr>
              <w:widowControl w:val="0"/>
              <w:spacing w:line="360" w:lineRule="auto"/>
              <w:jc w:val="center"/>
              <w:rPr>
                <w:rFonts w:hint="eastAsia"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货物名称</w:t>
            </w:r>
          </w:p>
        </w:tc>
        <w:tc>
          <w:tcPr>
            <w:tcW w:w="725" w:type="dxa"/>
            <w:vAlign w:val="center"/>
          </w:tcPr>
          <w:p w14:paraId="734342CC">
            <w:pPr>
              <w:widowControl w:val="0"/>
              <w:spacing w:line="360" w:lineRule="auto"/>
              <w:jc w:val="center"/>
              <w:rPr>
                <w:rFonts w:hint="eastAsia"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数量</w:t>
            </w:r>
          </w:p>
        </w:tc>
        <w:tc>
          <w:tcPr>
            <w:tcW w:w="5179" w:type="dxa"/>
            <w:vAlign w:val="center"/>
          </w:tcPr>
          <w:p w14:paraId="51883345">
            <w:pPr>
              <w:widowControl w:val="0"/>
              <w:spacing w:line="360" w:lineRule="auto"/>
              <w:jc w:val="center"/>
              <w:rPr>
                <w:rFonts w:hint="eastAsia"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性能</w:t>
            </w:r>
          </w:p>
        </w:tc>
      </w:tr>
      <w:tr w14:paraId="0607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806" w:type="dxa"/>
            <w:vAlign w:val="center"/>
          </w:tcPr>
          <w:p w14:paraId="2A86F10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2316" w:type="dxa"/>
            <w:vAlign w:val="center"/>
          </w:tcPr>
          <w:p w14:paraId="78F3F64E">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吊袋</w:t>
            </w:r>
          </w:p>
        </w:tc>
        <w:tc>
          <w:tcPr>
            <w:tcW w:w="725" w:type="dxa"/>
            <w:vAlign w:val="center"/>
          </w:tcPr>
          <w:p w14:paraId="2CAD5EC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c>
          <w:tcPr>
            <w:tcW w:w="5179" w:type="dxa"/>
            <w:vAlign w:val="center"/>
          </w:tcPr>
          <w:p w14:paraId="02E0C342">
            <w:pPr>
              <w:keepNext w:val="0"/>
              <w:keepLines w:val="0"/>
              <w:pageBreakBefore w:val="0"/>
              <w:widowControl w:val="0"/>
              <w:kinsoku/>
              <w:wordWrap/>
              <w:overflowPunct/>
              <w:topLinePunct w:val="0"/>
              <w:autoSpaceDE/>
              <w:autoSpaceDN/>
              <w:bidi w:val="0"/>
              <w:adjustRightInd/>
              <w:snapToGrid/>
              <w:spacing w:line="360" w:lineRule="auto"/>
              <w:jc w:val="both"/>
              <w:outlineLvl w:val="9"/>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尺寸：1200*750mm；材质：帆布、榉木；承重≤200KG；</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作用：通过悬吊的无重和不稳定的锻炼机制来降低肌张力，缓解全身痉挛状态，改善关节活动度，增强肌力，达到中枢神经系统的通路重建功能。</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吊杆：尺寸：1100mm*直径44.5mm；材质：榉木；功能：配合吊袋使用。</w:t>
            </w:r>
          </w:p>
        </w:tc>
      </w:tr>
      <w:tr w14:paraId="4D62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806" w:type="dxa"/>
            <w:vAlign w:val="center"/>
          </w:tcPr>
          <w:p w14:paraId="41B63E5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2316" w:type="dxa"/>
            <w:vAlign w:val="center"/>
          </w:tcPr>
          <w:p w14:paraId="17FC642A">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吊船</w:t>
            </w:r>
          </w:p>
        </w:tc>
        <w:tc>
          <w:tcPr>
            <w:tcW w:w="725" w:type="dxa"/>
            <w:vAlign w:val="center"/>
          </w:tcPr>
          <w:p w14:paraId="72F05F9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c>
          <w:tcPr>
            <w:tcW w:w="5179" w:type="dxa"/>
            <w:vAlign w:val="center"/>
          </w:tcPr>
          <w:p w14:paraId="61ADE258">
            <w:pPr>
              <w:keepNext w:val="0"/>
              <w:keepLines w:val="0"/>
              <w:pageBreakBefore w:val="0"/>
              <w:widowControl w:val="0"/>
              <w:kinsoku/>
              <w:wordWrap/>
              <w:overflowPunct/>
              <w:topLinePunct w:val="0"/>
              <w:autoSpaceDE/>
              <w:autoSpaceDN/>
              <w:bidi w:val="0"/>
              <w:adjustRightInd/>
              <w:snapToGrid/>
              <w:spacing w:line="360" w:lineRule="auto"/>
              <w:jc w:val="both"/>
              <w:outlineLvl w:val="9"/>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尺寸：1210*604*1250mm ；承重≤150KG；</w:t>
            </w:r>
          </w:p>
          <w:p w14:paraId="4D1885A0">
            <w:pPr>
              <w:keepNext w:val="0"/>
              <w:keepLines w:val="0"/>
              <w:pageBreakBefore w:val="0"/>
              <w:widowControl w:val="0"/>
              <w:kinsoku/>
              <w:wordWrap/>
              <w:overflowPunct/>
              <w:topLinePunct w:val="0"/>
              <w:autoSpaceDE/>
              <w:autoSpaceDN/>
              <w:bidi w:val="0"/>
              <w:adjustRightInd/>
              <w:snapToGrid/>
              <w:spacing w:line="360" w:lineRule="auto"/>
              <w:jc w:val="both"/>
              <w:outlineLvl w:val="9"/>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使用方法及作用：用四根800mm的安全绳配合悬吊装置，将吊船吊起，调节中绳的高度把吊船调整至船底距离地面高度200mm，锁死中绳，儿童即可上船不稳定的环境中玩耍练习。</w:t>
            </w:r>
          </w:p>
        </w:tc>
      </w:tr>
      <w:tr w14:paraId="31CF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jc w:val="center"/>
        </w:trPr>
        <w:tc>
          <w:tcPr>
            <w:tcW w:w="806" w:type="dxa"/>
            <w:vAlign w:val="center"/>
          </w:tcPr>
          <w:p w14:paraId="4A55E35F">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2316" w:type="dxa"/>
            <w:vAlign w:val="center"/>
          </w:tcPr>
          <w:p w14:paraId="021B2EAF">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绳梯（配两块坐板）</w:t>
            </w:r>
          </w:p>
        </w:tc>
        <w:tc>
          <w:tcPr>
            <w:tcW w:w="725" w:type="dxa"/>
            <w:vAlign w:val="center"/>
          </w:tcPr>
          <w:p w14:paraId="2588889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c>
          <w:tcPr>
            <w:tcW w:w="5179" w:type="dxa"/>
            <w:vAlign w:val="center"/>
          </w:tcPr>
          <w:p w14:paraId="6A656255">
            <w:pPr>
              <w:keepNext w:val="0"/>
              <w:keepLines w:val="0"/>
              <w:pageBreakBefore w:val="0"/>
              <w:widowControl w:val="0"/>
              <w:kinsoku/>
              <w:wordWrap/>
              <w:overflowPunct/>
              <w:topLinePunct w:val="0"/>
              <w:autoSpaceDE/>
              <w:autoSpaceDN/>
              <w:bidi w:val="0"/>
              <w:adjustRightInd/>
              <w:snapToGrid/>
              <w:spacing w:line="360" w:lineRule="auto"/>
              <w:jc w:val="both"/>
              <w:outlineLvl w:val="9"/>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尺寸：972*2239mm</w:t>
            </w:r>
          </w:p>
          <w:p w14:paraId="069095D7">
            <w:pPr>
              <w:keepNext w:val="0"/>
              <w:keepLines w:val="0"/>
              <w:pageBreakBefore w:val="0"/>
              <w:widowControl w:val="0"/>
              <w:kinsoku/>
              <w:wordWrap/>
              <w:overflowPunct/>
              <w:topLinePunct w:val="0"/>
              <w:autoSpaceDE/>
              <w:autoSpaceDN/>
              <w:bidi w:val="0"/>
              <w:adjustRightInd/>
              <w:snapToGrid/>
              <w:spacing w:line="360" w:lineRule="auto"/>
              <w:jc w:val="both"/>
              <w:outlineLvl w:val="9"/>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卡板：379mm*287mm*48mm（橡胶木）</w:t>
            </w:r>
          </w:p>
          <w:p w14:paraId="16C6825A">
            <w:pPr>
              <w:keepNext w:val="0"/>
              <w:keepLines w:val="0"/>
              <w:pageBreakBefore w:val="0"/>
              <w:widowControl w:val="0"/>
              <w:kinsoku/>
              <w:wordWrap/>
              <w:overflowPunct/>
              <w:topLinePunct w:val="0"/>
              <w:autoSpaceDE/>
              <w:autoSpaceDN/>
              <w:bidi w:val="0"/>
              <w:adjustRightInd/>
              <w:snapToGrid/>
              <w:spacing w:line="360" w:lineRule="auto"/>
              <w:jc w:val="both"/>
              <w:outlineLvl w:val="9"/>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承重≤150KG；</w:t>
            </w:r>
          </w:p>
          <w:p w14:paraId="600D19E3">
            <w:pPr>
              <w:keepNext w:val="0"/>
              <w:keepLines w:val="0"/>
              <w:pageBreakBefore w:val="0"/>
              <w:widowControl w:val="0"/>
              <w:kinsoku/>
              <w:wordWrap/>
              <w:overflowPunct/>
              <w:topLinePunct w:val="0"/>
              <w:autoSpaceDE/>
              <w:autoSpaceDN/>
              <w:bidi w:val="0"/>
              <w:adjustRightInd/>
              <w:snapToGrid/>
              <w:spacing w:line="360" w:lineRule="auto"/>
              <w:jc w:val="both"/>
              <w:outlineLvl w:val="9"/>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使用方法及作用：把软梯横杆固定在悬吊装置的窄带上，调整中绳的高度把软梯升高至理想的高度，锁紧中绳，儿童即可在不稳定的环境下练习攀爬。</w:t>
            </w:r>
          </w:p>
        </w:tc>
      </w:tr>
      <w:tr w14:paraId="6BE5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806" w:type="dxa"/>
            <w:vAlign w:val="center"/>
          </w:tcPr>
          <w:p w14:paraId="26105862">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2316" w:type="dxa"/>
            <w:vAlign w:val="center"/>
          </w:tcPr>
          <w:p w14:paraId="62020366">
            <w:pPr>
              <w:widowControl/>
              <w:spacing w:line="360" w:lineRule="auto"/>
              <w:jc w:val="center"/>
              <w:textAlignment w:val="center"/>
              <w:rPr>
                <w:rFonts w:hint="eastAsia" w:ascii="宋体" w:hAnsi="宋体" w:eastAsia="宋体" w:cs="宋体"/>
                <w:bCs/>
                <w:sz w:val="21"/>
                <w:szCs w:val="21"/>
                <w:highlight w:val="none"/>
                <w:lang w:eastAsia="zh-CN"/>
              </w:rPr>
            </w:pPr>
            <w:r>
              <w:rPr>
                <w:rFonts w:hint="eastAsia" w:ascii="宋体" w:hAnsi="宋体" w:eastAsia="宋体" w:cs="宋体"/>
                <w:kern w:val="0"/>
                <w:sz w:val="21"/>
                <w:szCs w:val="21"/>
                <w:highlight w:val="none"/>
                <w:lang w:eastAsia="zh-CN"/>
              </w:rPr>
              <w:t>爬梯固定杆</w:t>
            </w:r>
          </w:p>
        </w:tc>
        <w:tc>
          <w:tcPr>
            <w:tcW w:w="725" w:type="dxa"/>
            <w:vAlign w:val="center"/>
          </w:tcPr>
          <w:p w14:paraId="2873131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c>
          <w:tcPr>
            <w:tcW w:w="5179" w:type="dxa"/>
            <w:vAlign w:val="center"/>
          </w:tcPr>
          <w:p w14:paraId="49EFD7DE">
            <w:pPr>
              <w:keepNext w:val="0"/>
              <w:keepLines w:val="0"/>
              <w:pageBreakBefore w:val="0"/>
              <w:widowControl/>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kern w:val="0"/>
                <w:sz w:val="21"/>
                <w:szCs w:val="21"/>
                <w:highlight w:val="none"/>
              </w:rPr>
            </w:pPr>
            <w:r>
              <w:rPr>
                <w:rFonts w:hint="eastAsia" w:ascii="宋体" w:hAnsi="宋体" w:eastAsia="宋体" w:cs="宋体"/>
                <w:color w:val="000000"/>
                <w:kern w:val="0"/>
                <w:sz w:val="21"/>
                <w:szCs w:val="21"/>
                <w:highlight w:val="none"/>
              </w:rPr>
              <w:t>尺寸：1200mm*45mm*3mm</w:t>
            </w:r>
            <w:r>
              <w:rPr>
                <w:rFonts w:hint="eastAsia" w:ascii="宋体" w:hAnsi="宋体" w:eastAsia="宋体" w:cs="宋体"/>
                <w:color w:val="000000"/>
                <w:kern w:val="0"/>
                <w:sz w:val="21"/>
                <w:szCs w:val="21"/>
                <w:highlight w:val="none"/>
                <w:lang w:eastAsia="zh-CN"/>
              </w:rPr>
              <w:t>；材质：</w:t>
            </w:r>
            <w:r>
              <w:rPr>
                <w:rFonts w:hint="eastAsia" w:ascii="宋体" w:hAnsi="宋体" w:eastAsia="宋体" w:cs="宋体"/>
                <w:i w:val="0"/>
                <w:color w:val="000000"/>
                <w:kern w:val="0"/>
                <w:sz w:val="21"/>
                <w:szCs w:val="21"/>
                <w:highlight w:val="none"/>
                <w:u w:val="none"/>
                <w:lang w:val="en-US" w:eastAsia="zh-CN" w:bidi="ar"/>
              </w:rPr>
              <w:t>A3无缝钢管、冷轧板；</w:t>
            </w:r>
            <w:r>
              <w:rPr>
                <w:rFonts w:hint="eastAsia" w:ascii="宋体" w:hAnsi="宋体" w:eastAsia="宋体" w:cs="宋体"/>
                <w:color w:val="000000"/>
                <w:kern w:val="0"/>
                <w:sz w:val="21"/>
                <w:szCs w:val="21"/>
                <w:highlight w:val="none"/>
                <w:lang w:eastAsia="zh-CN"/>
              </w:rPr>
              <w:t>承重≤</w:t>
            </w:r>
            <w:r>
              <w:rPr>
                <w:rFonts w:hint="eastAsia" w:ascii="宋体" w:hAnsi="宋体" w:eastAsia="宋体" w:cs="宋体"/>
                <w:color w:val="000000"/>
                <w:kern w:val="0"/>
                <w:sz w:val="21"/>
                <w:szCs w:val="21"/>
                <w:highlight w:val="none"/>
                <w:lang w:val="en-US" w:eastAsia="zh-CN"/>
              </w:rPr>
              <w:t>150KG；</w:t>
            </w:r>
            <w:r>
              <w:rPr>
                <w:rFonts w:hint="eastAsia" w:ascii="宋体" w:hAnsi="宋体" w:eastAsia="宋体" w:cs="宋体"/>
                <w:color w:val="000000"/>
                <w:kern w:val="0"/>
                <w:sz w:val="21"/>
                <w:szCs w:val="21"/>
                <w:highlight w:val="none"/>
              </w:rPr>
              <w:br w:type="textWrapping"/>
            </w:r>
            <w:r>
              <w:rPr>
                <w:rFonts w:hint="eastAsia" w:ascii="宋体" w:hAnsi="宋体" w:eastAsia="宋体" w:cs="宋体"/>
                <w:color w:val="000000"/>
                <w:kern w:val="0"/>
                <w:sz w:val="21"/>
                <w:szCs w:val="21"/>
                <w:highlight w:val="none"/>
                <w:lang w:eastAsia="zh-CN"/>
              </w:rPr>
              <w:t>功能：配合绳梯使用。</w:t>
            </w:r>
          </w:p>
        </w:tc>
      </w:tr>
      <w:tr w14:paraId="0580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806" w:type="dxa"/>
            <w:vAlign w:val="center"/>
          </w:tcPr>
          <w:p w14:paraId="33C2B465">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2316" w:type="dxa"/>
            <w:vAlign w:val="center"/>
          </w:tcPr>
          <w:p w14:paraId="63CC331F">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多功能棒</w:t>
            </w:r>
          </w:p>
        </w:tc>
        <w:tc>
          <w:tcPr>
            <w:tcW w:w="725" w:type="dxa"/>
            <w:vAlign w:val="center"/>
          </w:tcPr>
          <w:p w14:paraId="5A9B4FD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c>
          <w:tcPr>
            <w:tcW w:w="5179" w:type="dxa"/>
            <w:vAlign w:val="center"/>
          </w:tcPr>
          <w:p w14:paraId="6D53A551">
            <w:pPr>
              <w:keepNext w:val="0"/>
              <w:keepLines w:val="0"/>
              <w:pageBreakBefore w:val="0"/>
              <w:widowControl/>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kern w:val="0"/>
                <w:sz w:val="21"/>
                <w:szCs w:val="21"/>
                <w:highlight w:val="none"/>
              </w:rPr>
            </w:pPr>
            <w:r>
              <w:rPr>
                <w:rFonts w:hint="eastAsia" w:ascii="宋体" w:hAnsi="宋体" w:eastAsia="宋体" w:cs="宋体"/>
                <w:color w:val="000000"/>
                <w:kern w:val="0"/>
                <w:sz w:val="21"/>
                <w:szCs w:val="21"/>
                <w:highlight w:val="none"/>
              </w:rPr>
              <w:t>尺寸：54mm*450mm</w:t>
            </w:r>
            <w:r>
              <w:rPr>
                <w:rFonts w:hint="eastAsia" w:ascii="宋体" w:hAnsi="宋体" w:eastAsia="宋体" w:cs="宋体"/>
                <w:color w:val="000000"/>
                <w:kern w:val="0"/>
                <w:sz w:val="21"/>
                <w:szCs w:val="21"/>
                <w:highlight w:val="none"/>
                <w:lang w:eastAsia="zh-CN"/>
              </w:rPr>
              <w:t>；材质：榉木；承重≤</w:t>
            </w:r>
            <w:r>
              <w:rPr>
                <w:rFonts w:hint="eastAsia" w:ascii="宋体" w:hAnsi="宋体" w:eastAsia="宋体" w:cs="宋体"/>
                <w:color w:val="000000"/>
                <w:kern w:val="0"/>
                <w:sz w:val="21"/>
                <w:szCs w:val="21"/>
                <w:highlight w:val="none"/>
                <w:lang w:val="en-US" w:eastAsia="zh-CN"/>
              </w:rPr>
              <w:t>150KG；；</w:t>
            </w:r>
            <w:r>
              <w:rPr>
                <w:rFonts w:hint="eastAsia" w:ascii="宋体" w:hAnsi="宋体" w:eastAsia="宋体" w:cs="宋体"/>
                <w:color w:val="000000"/>
                <w:kern w:val="0"/>
                <w:sz w:val="21"/>
                <w:szCs w:val="21"/>
                <w:highlight w:val="none"/>
              </w:rPr>
              <w:br w:type="textWrapping"/>
            </w:r>
            <w:r>
              <w:rPr>
                <w:rFonts w:hint="eastAsia" w:ascii="宋体" w:hAnsi="宋体" w:eastAsia="宋体" w:cs="宋体"/>
                <w:color w:val="000000"/>
                <w:kern w:val="0"/>
                <w:sz w:val="21"/>
                <w:szCs w:val="21"/>
                <w:highlight w:val="none"/>
              </w:rPr>
              <w:t>把多功能棒固定在悬吊装置的窄带上，调整中绳的高度把单吊杠或双吊杠升高至理想的高度，锁紧中绳，儿童即可在不稳定的环境下训练</w:t>
            </w:r>
            <w:r>
              <w:rPr>
                <w:rFonts w:hint="eastAsia" w:ascii="宋体" w:hAnsi="宋体" w:eastAsia="宋体" w:cs="宋体"/>
                <w:color w:val="000000"/>
                <w:kern w:val="0"/>
                <w:sz w:val="21"/>
                <w:szCs w:val="21"/>
                <w:highlight w:val="none"/>
                <w:lang w:eastAsia="zh-CN"/>
              </w:rPr>
              <w:t>。</w:t>
            </w:r>
          </w:p>
        </w:tc>
      </w:tr>
      <w:tr w14:paraId="5998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06" w:type="dxa"/>
            <w:vAlign w:val="center"/>
          </w:tcPr>
          <w:p w14:paraId="4B8FF910">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w:t>
            </w:r>
          </w:p>
        </w:tc>
        <w:tc>
          <w:tcPr>
            <w:tcW w:w="2316" w:type="dxa"/>
            <w:vAlign w:val="center"/>
          </w:tcPr>
          <w:p w14:paraId="63DA01BA">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支撑摆动装置</w:t>
            </w:r>
          </w:p>
        </w:tc>
        <w:tc>
          <w:tcPr>
            <w:tcW w:w="725" w:type="dxa"/>
            <w:vAlign w:val="center"/>
          </w:tcPr>
          <w:p w14:paraId="35159732">
            <w:pPr>
              <w:widowControl/>
              <w:spacing w:line="360" w:lineRule="auto"/>
              <w:jc w:val="center"/>
              <w:textAlignment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1</w:t>
            </w:r>
            <w:r>
              <w:rPr>
                <w:rFonts w:hint="eastAsia" w:ascii="宋体" w:hAnsi="宋体" w:eastAsia="宋体" w:cs="宋体"/>
                <w:sz w:val="21"/>
                <w:szCs w:val="21"/>
                <w:highlight w:val="none"/>
              </w:rPr>
              <w:t>个</w:t>
            </w:r>
          </w:p>
        </w:tc>
        <w:tc>
          <w:tcPr>
            <w:tcW w:w="5179" w:type="dxa"/>
            <w:vAlign w:val="center"/>
          </w:tcPr>
          <w:p w14:paraId="5B36AEA3">
            <w:pPr>
              <w:keepNext w:val="0"/>
              <w:keepLines w:val="0"/>
              <w:pageBreakBefore w:val="0"/>
              <w:widowControl/>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kern w:val="0"/>
                <w:sz w:val="21"/>
                <w:szCs w:val="21"/>
                <w:highlight w:val="none"/>
              </w:rPr>
            </w:pPr>
            <w:r>
              <w:rPr>
                <w:rFonts w:hint="eastAsia" w:ascii="宋体" w:hAnsi="宋体" w:eastAsia="宋体" w:cs="宋体"/>
                <w:color w:val="000000"/>
                <w:kern w:val="0"/>
                <w:sz w:val="21"/>
                <w:szCs w:val="21"/>
                <w:highlight w:val="none"/>
              </w:rPr>
              <w:t>尺寸：635*39</w:t>
            </w:r>
            <w:r>
              <w:rPr>
                <w:rFonts w:hint="eastAsia" w:ascii="宋体" w:hAnsi="宋体" w:eastAsia="宋体" w:cs="宋体"/>
                <w:color w:val="000000"/>
                <w:kern w:val="0"/>
                <w:sz w:val="21"/>
                <w:szCs w:val="21"/>
                <w:highlight w:val="none"/>
                <w:lang w:val="en-US" w:eastAsia="zh-CN"/>
              </w:rPr>
              <w:t>1</w:t>
            </w: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val="en-US" w:eastAsia="zh-CN"/>
              </w:rPr>
              <w:t>1370</w:t>
            </w:r>
            <w:r>
              <w:rPr>
                <w:rFonts w:hint="eastAsia" w:ascii="宋体" w:hAnsi="宋体" w:eastAsia="宋体" w:cs="宋体"/>
                <w:color w:val="000000"/>
                <w:kern w:val="0"/>
                <w:sz w:val="21"/>
                <w:szCs w:val="21"/>
                <w:highlight w:val="none"/>
              </w:rPr>
              <w:t>mm</w:t>
            </w:r>
            <w:r>
              <w:rPr>
                <w:rFonts w:hint="eastAsia" w:ascii="宋体" w:hAnsi="宋体" w:eastAsia="宋体" w:cs="宋体"/>
                <w:color w:val="000000"/>
                <w:kern w:val="0"/>
                <w:sz w:val="21"/>
                <w:szCs w:val="21"/>
                <w:highlight w:val="none"/>
                <w:lang w:eastAsia="zh-CN"/>
              </w:rPr>
              <w:t>；材质：多层板、白尼龙、尼龙绳；承重≤</w:t>
            </w:r>
            <w:r>
              <w:rPr>
                <w:rFonts w:hint="eastAsia" w:ascii="宋体" w:hAnsi="宋体" w:eastAsia="宋体" w:cs="宋体"/>
                <w:color w:val="000000"/>
                <w:kern w:val="0"/>
                <w:sz w:val="21"/>
                <w:szCs w:val="21"/>
                <w:highlight w:val="none"/>
                <w:lang w:val="en-US" w:eastAsia="zh-CN"/>
              </w:rPr>
              <w:t>150KG；</w:t>
            </w:r>
            <w:r>
              <w:rPr>
                <w:rFonts w:hint="eastAsia" w:ascii="宋体" w:hAnsi="宋体" w:eastAsia="宋体" w:cs="宋体"/>
                <w:color w:val="000000"/>
                <w:kern w:val="0"/>
                <w:sz w:val="21"/>
                <w:szCs w:val="21"/>
                <w:highlight w:val="none"/>
              </w:rPr>
              <w:br w:type="textWrapping"/>
            </w:r>
            <w:r>
              <w:rPr>
                <w:rFonts w:hint="eastAsia" w:ascii="宋体" w:hAnsi="宋体" w:eastAsia="宋体" w:cs="宋体"/>
                <w:color w:val="000000"/>
                <w:kern w:val="0"/>
                <w:sz w:val="21"/>
                <w:szCs w:val="21"/>
                <w:highlight w:val="none"/>
              </w:rPr>
              <w:t>使用方法及作用：用2根1000mm长绳配合悬吊装置中绳，将支撑摆动仪吊起，调整中绳的高度把支撑摆动仪升高到理想的高度，锁紧中绳，儿童即可在不稳定的环境下训练，并可以通过双手柄的调节训练儿童手的灵活性及握力。</w:t>
            </w:r>
          </w:p>
        </w:tc>
      </w:tr>
      <w:tr w14:paraId="0335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jc w:val="center"/>
        </w:trPr>
        <w:tc>
          <w:tcPr>
            <w:tcW w:w="806" w:type="dxa"/>
            <w:vAlign w:val="center"/>
          </w:tcPr>
          <w:p w14:paraId="2E81456C">
            <w:pPr>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7</w:t>
            </w:r>
          </w:p>
        </w:tc>
        <w:tc>
          <w:tcPr>
            <w:tcW w:w="2316" w:type="dxa"/>
            <w:vAlign w:val="center"/>
          </w:tcPr>
          <w:p w14:paraId="10C45396">
            <w:pPr>
              <w:widowControl/>
              <w:spacing w:line="360" w:lineRule="auto"/>
              <w:jc w:val="center"/>
              <w:textAlignment w:val="center"/>
              <w:rPr>
                <w:rFonts w:hint="eastAsia" w:ascii="宋体" w:hAnsi="宋体" w:eastAsia="宋体" w:cs="宋体"/>
                <w:bCs/>
                <w:kern w:val="2"/>
                <w:sz w:val="21"/>
                <w:szCs w:val="21"/>
                <w:highlight w:val="none"/>
                <w:lang w:val="en-US" w:eastAsia="zh-CN" w:bidi="ar-SA"/>
              </w:rPr>
            </w:pPr>
            <w:r>
              <w:rPr>
                <w:rFonts w:hint="eastAsia" w:ascii="宋体" w:hAnsi="宋体" w:eastAsia="宋体" w:cs="宋体"/>
                <w:kern w:val="0"/>
                <w:sz w:val="21"/>
                <w:szCs w:val="21"/>
                <w:highlight w:val="none"/>
              </w:rPr>
              <w:t>基本型悬吊器</w:t>
            </w:r>
          </w:p>
        </w:tc>
        <w:tc>
          <w:tcPr>
            <w:tcW w:w="725" w:type="dxa"/>
            <w:vAlign w:val="center"/>
          </w:tcPr>
          <w:p w14:paraId="2D92C11A">
            <w:pPr>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个</w:t>
            </w:r>
          </w:p>
        </w:tc>
        <w:tc>
          <w:tcPr>
            <w:tcW w:w="5179" w:type="dxa"/>
            <w:vAlign w:val="center"/>
          </w:tcPr>
          <w:p w14:paraId="5C025C72">
            <w:pPr>
              <w:keepNext w:val="0"/>
              <w:keepLines w:val="0"/>
              <w:pageBreakBefore w:val="0"/>
              <w:widowControl/>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尺寸：755*</w:t>
            </w:r>
            <w:r>
              <w:rPr>
                <w:rFonts w:hint="eastAsia" w:ascii="宋体" w:hAnsi="宋体" w:eastAsia="宋体" w:cs="宋体"/>
                <w:color w:val="000000"/>
                <w:kern w:val="0"/>
                <w:sz w:val="21"/>
                <w:szCs w:val="21"/>
                <w:highlight w:val="none"/>
                <w:lang w:val="en-US" w:eastAsia="zh-CN"/>
              </w:rPr>
              <w:t>218</w:t>
            </w:r>
            <w:r>
              <w:rPr>
                <w:rFonts w:hint="eastAsia" w:ascii="宋体" w:hAnsi="宋体" w:eastAsia="宋体" w:cs="宋体"/>
                <w:color w:val="000000"/>
                <w:kern w:val="0"/>
                <w:sz w:val="21"/>
                <w:szCs w:val="21"/>
                <w:highlight w:val="none"/>
              </w:rPr>
              <w:t>*71mm ,</w:t>
            </w:r>
            <w:r>
              <w:rPr>
                <w:rFonts w:hint="eastAsia" w:ascii="宋体" w:hAnsi="宋体" w:eastAsia="宋体" w:cs="宋体"/>
                <w:color w:val="000000"/>
                <w:kern w:val="0"/>
                <w:sz w:val="21"/>
                <w:szCs w:val="21"/>
                <w:highlight w:val="none"/>
                <w:lang w:eastAsia="zh-CN"/>
              </w:rPr>
              <w:t>材质：</w:t>
            </w:r>
            <w:r>
              <w:rPr>
                <w:rFonts w:hint="eastAsia" w:ascii="宋体" w:hAnsi="宋体" w:eastAsia="宋体" w:cs="宋体"/>
                <w:color w:val="000000"/>
                <w:kern w:val="0"/>
                <w:sz w:val="21"/>
                <w:szCs w:val="21"/>
                <w:highlight w:val="none"/>
                <w:lang w:val="en-US" w:eastAsia="zh-CN"/>
              </w:rPr>
              <w:t>ABS、201钢管、304无缝钢管；</w:t>
            </w:r>
            <w:r>
              <w:rPr>
                <w:rFonts w:hint="eastAsia" w:ascii="宋体" w:hAnsi="宋体" w:eastAsia="宋体" w:cs="宋体"/>
                <w:color w:val="000000"/>
                <w:kern w:val="0"/>
                <w:sz w:val="21"/>
                <w:szCs w:val="21"/>
                <w:highlight w:val="none"/>
              </w:rPr>
              <w:t>承重</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200Kg</w:t>
            </w:r>
            <w:r>
              <w:rPr>
                <w:rFonts w:hint="eastAsia" w:ascii="宋体" w:hAnsi="宋体" w:eastAsia="宋体" w:cs="宋体"/>
                <w:color w:val="000000"/>
                <w:kern w:val="0"/>
                <w:sz w:val="21"/>
                <w:szCs w:val="21"/>
                <w:highlight w:val="none"/>
                <w:lang w:eastAsia="zh-CN"/>
              </w:rPr>
              <w:t>；</w:t>
            </w:r>
          </w:p>
          <w:p w14:paraId="3EF815E8">
            <w:pPr>
              <w:keepNext w:val="0"/>
              <w:keepLines w:val="0"/>
              <w:pageBreakBefore w:val="0"/>
              <w:widowControl w:val="0"/>
              <w:kinsoku/>
              <w:wordWrap/>
              <w:overflowPunct/>
              <w:topLinePunct w:val="0"/>
              <w:autoSpaceDE/>
              <w:autoSpaceDN/>
              <w:bidi w:val="0"/>
              <w:adjustRightInd/>
              <w:snapToGrid/>
              <w:spacing w:line="360" w:lineRule="auto"/>
              <w:jc w:val="both"/>
              <w:outlineLvl w:val="9"/>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使用方法及作用：悬吊装置分正、反面，绳子下端开口的面为正面，用手轻轻的朝自己放心抖动绳子，以便很方便的放松绳子，调整悬带到合适的位置。松开绳子悬吊训练系统自动锁死。</w:t>
            </w:r>
          </w:p>
        </w:tc>
      </w:tr>
      <w:tr w14:paraId="0D39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806" w:type="dxa"/>
            <w:vAlign w:val="center"/>
          </w:tcPr>
          <w:p w14:paraId="3AE6F2B9">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w:t>
            </w:r>
          </w:p>
        </w:tc>
        <w:tc>
          <w:tcPr>
            <w:tcW w:w="2316" w:type="dxa"/>
            <w:vAlign w:val="center"/>
          </w:tcPr>
          <w:p w14:paraId="21F1C76A">
            <w:pPr>
              <w:widowControl/>
              <w:spacing w:line="360" w:lineRule="auto"/>
              <w:jc w:val="center"/>
              <w:textAlignment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U型挂架</w:t>
            </w:r>
          </w:p>
        </w:tc>
        <w:tc>
          <w:tcPr>
            <w:tcW w:w="725" w:type="dxa"/>
            <w:vAlign w:val="center"/>
          </w:tcPr>
          <w:p w14:paraId="11C5FC05">
            <w:pPr>
              <w:widowControl/>
              <w:spacing w:line="360" w:lineRule="auto"/>
              <w:jc w:val="center"/>
              <w:textAlignment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2个</w:t>
            </w:r>
          </w:p>
        </w:tc>
        <w:tc>
          <w:tcPr>
            <w:tcW w:w="5179" w:type="dxa"/>
            <w:vAlign w:val="center"/>
          </w:tcPr>
          <w:p w14:paraId="303B8A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尺寸：650mm（长）*150mm（高）；</w:t>
            </w:r>
          </w:p>
          <w:p w14:paraId="2974A65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color w:val="000000"/>
                <w:kern w:val="0"/>
                <w:sz w:val="21"/>
                <w:szCs w:val="21"/>
                <w:highlight w:val="none"/>
              </w:rPr>
            </w:pPr>
            <w:r>
              <w:rPr>
                <w:rFonts w:hint="eastAsia" w:ascii="宋体" w:hAnsi="宋体" w:eastAsia="宋体" w:cs="宋体"/>
                <w:i w:val="0"/>
                <w:color w:val="000000"/>
                <w:kern w:val="0"/>
                <w:sz w:val="21"/>
                <w:szCs w:val="21"/>
                <w:highlight w:val="none"/>
                <w:u w:val="none"/>
                <w:lang w:val="en-US" w:eastAsia="zh-CN" w:bidi="ar"/>
              </w:rPr>
              <w:t>材质：A3钢矩形钢管；</w:t>
            </w:r>
            <w:r>
              <w:rPr>
                <w:rFonts w:hint="eastAsia" w:ascii="宋体" w:hAnsi="宋体" w:eastAsia="宋体" w:cs="宋体"/>
                <w:color w:val="000000"/>
                <w:kern w:val="0"/>
                <w:sz w:val="21"/>
                <w:szCs w:val="21"/>
                <w:highlight w:val="none"/>
                <w:lang w:eastAsia="zh-CN"/>
              </w:rPr>
              <w:t>承重：≤</w:t>
            </w:r>
            <w:r>
              <w:rPr>
                <w:rFonts w:hint="eastAsia" w:ascii="宋体" w:hAnsi="宋体" w:eastAsia="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rPr>
              <w:t>00Kg</w:t>
            </w:r>
            <w:r>
              <w:rPr>
                <w:rFonts w:hint="eastAsia" w:ascii="宋体" w:hAnsi="宋体" w:eastAsia="宋体" w:cs="宋体"/>
                <w:color w:val="000000"/>
                <w:kern w:val="0"/>
                <w:sz w:val="21"/>
                <w:szCs w:val="21"/>
                <w:highlight w:val="none"/>
                <w:lang w:eastAsia="zh-CN"/>
              </w:rPr>
              <w:t>；</w:t>
            </w:r>
            <w:r>
              <w:rPr>
                <w:rFonts w:hint="eastAsia" w:ascii="宋体" w:hAnsi="宋体" w:eastAsia="宋体" w:cs="宋体"/>
                <w:i w:val="0"/>
                <w:color w:val="000000"/>
                <w:kern w:val="0"/>
                <w:sz w:val="21"/>
                <w:szCs w:val="21"/>
                <w:highlight w:val="none"/>
                <w:u w:val="none"/>
                <w:lang w:val="en-US" w:eastAsia="zh-CN" w:bidi="ar"/>
              </w:rPr>
              <w:br w:type="textWrapping"/>
            </w:r>
            <w:r>
              <w:rPr>
                <w:rFonts w:hint="eastAsia" w:ascii="宋体" w:hAnsi="宋体" w:eastAsia="宋体" w:cs="宋体"/>
                <w:i w:val="0"/>
                <w:color w:val="000000"/>
                <w:kern w:val="0"/>
                <w:sz w:val="21"/>
                <w:szCs w:val="21"/>
                <w:highlight w:val="none"/>
                <w:u w:val="none"/>
                <w:lang w:val="en-US" w:eastAsia="zh-CN" w:bidi="ar"/>
              </w:rPr>
              <w:t>作用：便于悬吊的安装</w:t>
            </w:r>
          </w:p>
        </w:tc>
      </w:tr>
    </w:tbl>
    <w:p w14:paraId="201E8F4C">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p>
    <w:p w14:paraId="786657D3">
      <w:pPr>
        <w:numPr>
          <w:ilvl w:val="0"/>
          <w:numId w:val="24"/>
        </w:numPr>
        <w:spacing w:line="360" w:lineRule="auto"/>
        <w:ind w:left="0" w:leftChars="0" w:firstLine="0" w:firstLineChars="0"/>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配置清单</w:t>
      </w:r>
    </w:p>
    <w:tbl>
      <w:tblPr>
        <w:tblStyle w:val="29"/>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5985"/>
        <w:gridCol w:w="2351"/>
      </w:tblGrid>
      <w:tr w14:paraId="210E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23" w:type="dxa"/>
            <w:vAlign w:val="center"/>
          </w:tcPr>
          <w:p w14:paraId="35CAFA70">
            <w:pPr>
              <w:widowControl w:val="0"/>
              <w:spacing w:line="360" w:lineRule="auto"/>
              <w:jc w:val="center"/>
              <w:rPr>
                <w:rFonts w:hint="eastAsia"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项号</w:t>
            </w:r>
          </w:p>
        </w:tc>
        <w:tc>
          <w:tcPr>
            <w:tcW w:w="5985" w:type="dxa"/>
            <w:vAlign w:val="center"/>
          </w:tcPr>
          <w:p w14:paraId="33579BAB">
            <w:pPr>
              <w:widowControl w:val="0"/>
              <w:spacing w:line="360" w:lineRule="auto"/>
              <w:jc w:val="center"/>
              <w:rPr>
                <w:rFonts w:hint="eastAsia"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货物名称</w:t>
            </w:r>
          </w:p>
        </w:tc>
        <w:tc>
          <w:tcPr>
            <w:tcW w:w="2351" w:type="dxa"/>
            <w:vAlign w:val="center"/>
          </w:tcPr>
          <w:p w14:paraId="6DAFD42D">
            <w:pPr>
              <w:widowControl w:val="0"/>
              <w:spacing w:line="360" w:lineRule="auto"/>
              <w:jc w:val="center"/>
              <w:rPr>
                <w:rFonts w:hint="eastAsia"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数量</w:t>
            </w:r>
          </w:p>
        </w:tc>
      </w:tr>
      <w:tr w14:paraId="364A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vAlign w:val="center"/>
          </w:tcPr>
          <w:p w14:paraId="60A50D0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5985" w:type="dxa"/>
            <w:vAlign w:val="center"/>
          </w:tcPr>
          <w:p w14:paraId="2F50DC97">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吊袋</w:t>
            </w:r>
          </w:p>
        </w:tc>
        <w:tc>
          <w:tcPr>
            <w:tcW w:w="2351" w:type="dxa"/>
            <w:vAlign w:val="center"/>
          </w:tcPr>
          <w:p w14:paraId="6B57738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r>
      <w:tr w14:paraId="6B5F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823" w:type="dxa"/>
            <w:vAlign w:val="center"/>
          </w:tcPr>
          <w:p w14:paraId="0266C9C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5985" w:type="dxa"/>
            <w:vAlign w:val="center"/>
          </w:tcPr>
          <w:p w14:paraId="666F76DE">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吊船</w:t>
            </w:r>
          </w:p>
        </w:tc>
        <w:tc>
          <w:tcPr>
            <w:tcW w:w="2351" w:type="dxa"/>
            <w:vAlign w:val="center"/>
          </w:tcPr>
          <w:p w14:paraId="144CD35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r>
      <w:tr w14:paraId="72E3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23" w:type="dxa"/>
            <w:vAlign w:val="center"/>
          </w:tcPr>
          <w:p w14:paraId="2019EBD5">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5985" w:type="dxa"/>
            <w:vAlign w:val="center"/>
          </w:tcPr>
          <w:p w14:paraId="3C38ED05">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绳梯（配两块坐板）</w:t>
            </w:r>
          </w:p>
        </w:tc>
        <w:tc>
          <w:tcPr>
            <w:tcW w:w="2351" w:type="dxa"/>
            <w:vAlign w:val="center"/>
          </w:tcPr>
          <w:p w14:paraId="48FBE69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r>
      <w:tr w14:paraId="1B3F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823" w:type="dxa"/>
            <w:vAlign w:val="center"/>
          </w:tcPr>
          <w:p w14:paraId="0BB082D4">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5985" w:type="dxa"/>
            <w:vAlign w:val="center"/>
          </w:tcPr>
          <w:p w14:paraId="5670010F">
            <w:pPr>
              <w:widowControl/>
              <w:spacing w:line="360" w:lineRule="auto"/>
              <w:jc w:val="center"/>
              <w:textAlignment w:val="center"/>
              <w:rPr>
                <w:rFonts w:hint="eastAsia" w:ascii="宋体" w:hAnsi="宋体" w:eastAsia="宋体" w:cs="宋体"/>
                <w:bCs/>
                <w:sz w:val="21"/>
                <w:szCs w:val="21"/>
                <w:highlight w:val="none"/>
                <w:lang w:eastAsia="zh-CN"/>
              </w:rPr>
            </w:pPr>
            <w:r>
              <w:rPr>
                <w:rFonts w:hint="eastAsia" w:ascii="宋体" w:hAnsi="宋体" w:eastAsia="宋体" w:cs="宋体"/>
                <w:kern w:val="0"/>
                <w:sz w:val="21"/>
                <w:szCs w:val="21"/>
                <w:highlight w:val="none"/>
                <w:lang w:eastAsia="zh-CN"/>
              </w:rPr>
              <w:t>爬梯固定杆</w:t>
            </w:r>
          </w:p>
        </w:tc>
        <w:tc>
          <w:tcPr>
            <w:tcW w:w="2351" w:type="dxa"/>
            <w:vAlign w:val="center"/>
          </w:tcPr>
          <w:p w14:paraId="4A8E876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r>
      <w:tr w14:paraId="40E8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23" w:type="dxa"/>
            <w:vAlign w:val="center"/>
          </w:tcPr>
          <w:p w14:paraId="63BC08C6">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5985" w:type="dxa"/>
            <w:vAlign w:val="center"/>
          </w:tcPr>
          <w:p w14:paraId="23947298">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多功能棒</w:t>
            </w:r>
          </w:p>
        </w:tc>
        <w:tc>
          <w:tcPr>
            <w:tcW w:w="2351" w:type="dxa"/>
            <w:vAlign w:val="center"/>
          </w:tcPr>
          <w:p w14:paraId="4856EC8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1个</w:t>
            </w:r>
          </w:p>
        </w:tc>
      </w:tr>
      <w:tr w14:paraId="4B16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23" w:type="dxa"/>
            <w:vAlign w:val="center"/>
          </w:tcPr>
          <w:p w14:paraId="73354048">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w:t>
            </w:r>
          </w:p>
        </w:tc>
        <w:tc>
          <w:tcPr>
            <w:tcW w:w="5985" w:type="dxa"/>
            <w:vAlign w:val="center"/>
          </w:tcPr>
          <w:p w14:paraId="20FF8653">
            <w:pPr>
              <w:widowControl/>
              <w:spacing w:line="360" w:lineRule="auto"/>
              <w:jc w:val="center"/>
              <w:textAlignment w:val="center"/>
              <w:rPr>
                <w:rFonts w:hint="eastAsia" w:ascii="宋体" w:hAnsi="宋体" w:eastAsia="宋体" w:cs="宋体"/>
                <w:bCs/>
                <w:sz w:val="21"/>
                <w:szCs w:val="21"/>
                <w:highlight w:val="none"/>
              </w:rPr>
            </w:pPr>
            <w:r>
              <w:rPr>
                <w:rFonts w:hint="eastAsia" w:ascii="宋体" w:hAnsi="宋体" w:eastAsia="宋体" w:cs="宋体"/>
                <w:kern w:val="0"/>
                <w:sz w:val="21"/>
                <w:szCs w:val="21"/>
                <w:highlight w:val="none"/>
              </w:rPr>
              <w:t>支撑摆动装置</w:t>
            </w:r>
          </w:p>
        </w:tc>
        <w:tc>
          <w:tcPr>
            <w:tcW w:w="2351" w:type="dxa"/>
            <w:vAlign w:val="center"/>
          </w:tcPr>
          <w:p w14:paraId="48BC9950">
            <w:pPr>
              <w:widowControl/>
              <w:spacing w:line="360" w:lineRule="auto"/>
              <w:jc w:val="center"/>
              <w:textAlignment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1</w:t>
            </w:r>
            <w:r>
              <w:rPr>
                <w:rFonts w:hint="eastAsia" w:ascii="宋体" w:hAnsi="宋体" w:eastAsia="宋体" w:cs="宋体"/>
                <w:sz w:val="21"/>
                <w:szCs w:val="21"/>
                <w:highlight w:val="none"/>
              </w:rPr>
              <w:t>个</w:t>
            </w:r>
          </w:p>
        </w:tc>
      </w:tr>
      <w:tr w14:paraId="5807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23" w:type="dxa"/>
            <w:vAlign w:val="center"/>
          </w:tcPr>
          <w:p w14:paraId="79F347C3">
            <w:pPr>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7</w:t>
            </w:r>
          </w:p>
        </w:tc>
        <w:tc>
          <w:tcPr>
            <w:tcW w:w="5985" w:type="dxa"/>
            <w:vAlign w:val="center"/>
          </w:tcPr>
          <w:p w14:paraId="21BA7859">
            <w:pPr>
              <w:widowControl/>
              <w:spacing w:line="360" w:lineRule="auto"/>
              <w:jc w:val="center"/>
              <w:textAlignment w:val="center"/>
              <w:rPr>
                <w:rFonts w:hint="eastAsia" w:ascii="宋体" w:hAnsi="宋体" w:eastAsia="宋体" w:cs="宋体"/>
                <w:bCs/>
                <w:kern w:val="2"/>
                <w:sz w:val="21"/>
                <w:szCs w:val="21"/>
                <w:highlight w:val="none"/>
                <w:lang w:val="en-US" w:eastAsia="zh-CN" w:bidi="ar-SA"/>
              </w:rPr>
            </w:pPr>
            <w:r>
              <w:rPr>
                <w:rFonts w:hint="eastAsia" w:ascii="宋体" w:hAnsi="宋体" w:eastAsia="宋体" w:cs="宋体"/>
                <w:kern w:val="0"/>
                <w:sz w:val="21"/>
                <w:szCs w:val="21"/>
                <w:highlight w:val="none"/>
              </w:rPr>
              <w:t>基本型悬吊器</w:t>
            </w:r>
          </w:p>
        </w:tc>
        <w:tc>
          <w:tcPr>
            <w:tcW w:w="2351" w:type="dxa"/>
            <w:vAlign w:val="center"/>
          </w:tcPr>
          <w:p w14:paraId="513E8EF2">
            <w:pPr>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个</w:t>
            </w:r>
          </w:p>
        </w:tc>
      </w:tr>
      <w:tr w14:paraId="06A0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23" w:type="dxa"/>
            <w:vAlign w:val="center"/>
          </w:tcPr>
          <w:p w14:paraId="59FFE6EA">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w:t>
            </w:r>
          </w:p>
        </w:tc>
        <w:tc>
          <w:tcPr>
            <w:tcW w:w="5985" w:type="dxa"/>
            <w:vAlign w:val="center"/>
          </w:tcPr>
          <w:p w14:paraId="7105B4F8">
            <w:pPr>
              <w:widowControl/>
              <w:spacing w:line="360" w:lineRule="auto"/>
              <w:jc w:val="center"/>
              <w:textAlignment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U型挂架</w:t>
            </w:r>
          </w:p>
        </w:tc>
        <w:tc>
          <w:tcPr>
            <w:tcW w:w="2351" w:type="dxa"/>
            <w:vAlign w:val="center"/>
          </w:tcPr>
          <w:p w14:paraId="63C2D4EE">
            <w:pPr>
              <w:widowControl/>
              <w:spacing w:line="360" w:lineRule="auto"/>
              <w:jc w:val="center"/>
              <w:textAlignment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2个</w:t>
            </w:r>
          </w:p>
        </w:tc>
      </w:tr>
    </w:tbl>
    <w:p w14:paraId="3F661559">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p>
    <w:p w14:paraId="30DD584B">
      <w:pPr>
        <w:keepNext w:val="0"/>
        <w:keepLines w:val="0"/>
        <w:widowControl/>
        <w:suppressLineNumbers w:val="0"/>
        <w:spacing w:line="360" w:lineRule="auto"/>
        <w:jc w:val="left"/>
        <w:rPr>
          <w:rFonts w:hint="default" w:ascii="宋体" w:hAnsi="宋体" w:eastAsia="宋体" w:cs="宋体"/>
          <w:sz w:val="21"/>
          <w:szCs w:val="21"/>
          <w:highlight w:val="none"/>
          <w:lang w:val="en-US"/>
        </w:rPr>
      </w:pPr>
      <w:r>
        <w:rPr>
          <w:rFonts w:hint="eastAsia" w:ascii="宋体" w:hAnsi="宋体" w:eastAsia="宋体" w:cs="宋体"/>
          <w:color w:val="auto"/>
          <w:sz w:val="21"/>
          <w:szCs w:val="21"/>
          <w:highlight w:val="none"/>
          <w:lang w:val="en-US" w:eastAsia="zh-CN"/>
        </w:rPr>
        <w:t>数量要求：1套</w:t>
      </w:r>
    </w:p>
    <w:p w14:paraId="5F93A12E">
      <w:pPr>
        <w:numPr>
          <w:ilvl w:val="0"/>
          <w:numId w:val="0"/>
        </w:numPr>
        <w:spacing w:line="360" w:lineRule="auto"/>
        <w:ind w:leftChars="0"/>
        <w:rPr>
          <w:rFonts w:hint="eastAsia" w:ascii="宋体" w:hAnsi="宋体" w:eastAsia="宋体" w:cs="宋体"/>
          <w:b/>
          <w:bCs/>
          <w:kern w:val="0"/>
          <w:sz w:val="21"/>
          <w:szCs w:val="21"/>
          <w:highlight w:val="none"/>
          <w:lang w:val="en-US" w:eastAsia="zh-CN" w:bidi="ar"/>
        </w:rPr>
      </w:pPr>
    </w:p>
    <w:p w14:paraId="65664B8A">
      <w:pPr>
        <w:widowControl w:val="0"/>
        <w:spacing w:line="360" w:lineRule="auto"/>
        <w:jc w:val="both"/>
        <w:rPr>
          <w:rFonts w:hint="eastAsia" w:ascii="宋体" w:hAnsi="宋体" w:eastAsia="宋体" w:cs="宋体"/>
          <w:kern w:val="0"/>
          <w:sz w:val="21"/>
          <w:szCs w:val="21"/>
          <w:highlight w:val="none"/>
          <w:lang w:val="en-US" w:eastAsia="zh-CN" w:bidi="ar"/>
        </w:rPr>
      </w:pPr>
    </w:p>
    <w:p w14:paraId="64D5E4B8">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highlight w:val="none"/>
          <w:lang w:val="en-US" w:eastAsia="zh-CN" w:bidi="ar"/>
        </w:rPr>
      </w:pPr>
    </w:p>
    <w:p w14:paraId="264D8335">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br w:type="page"/>
      </w:r>
    </w:p>
    <w:p w14:paraId="40B1BE45">
      <w:pPr>
        <w:numPr>
          <w:ilvl w:val="0"/>
          <w:numId w:val="39"/>
        </w:num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滚筒</w:t>
      </w:r>
    </w:p>
    <w:p w14:paraId="251BE58A">
      <w:pPr>
        <w:numPr>
          <w:ilvl w:val="0"/>
          <w:numId w:val="0"/>
        </w:numP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规格：</w:t>
      </w:r>
    </w:p>
    <w:p w14:paraId="3DBBFE9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Φ100X610±30mm；                        </w:t>
      </w:r>
    </w:p>
    <w:p w14:paraId="22E5B33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Φ150X610±30mm；                        </w:t>
      </w:r>
    </w:p>
    <w:p w14:paraId="55DB9432">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Φ200X610±30mm；                       </w:t>
      </w:r>
    </w:p>
    <w:p w14:paraId="11B7F1B8">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Φ250X910±30mm；                       </w:t>
      </w:r>
    </w:p>
    <w:p w14:paraId="11188B65">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Φ300X910±30mm；</w:t>
      </w:r>
    </w:p>
    <w:p w14:paraId="20D4E0FF">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功能：脑瘫儿童姿势矫正和神经发育训练，滚动和摇摆运动；运动失调患者平衡、协调训练。</w:t>
      </w:r>
    </w:p>
    <w:p w14:paraId="1440932F">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0F5B6C08">
      <w:pPr>
        <w:spacing w:line="360" w:lineRule="auto"/>
        <w:rPr>
          <w:rFonts w:hint="eastAsia" w:ascii="宋体" w:hAnsi="宋体" w:eastAsia="宋体" w:cs="宋体"/>
          <w:color w:val="auto"/>
          <w:sz w:val="21"/>
          <w:szCs w:val="21"/>
          <w:highlight w:val="none"/>
          <w:lang w:val="en-US" w:eastAsia="zh-CN"/>
        </w:rPr>
      </w:pPr>
    </w:p>
    <w:p w14:paraId="59634344">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25、系列沙袋(绑式、儿童)</w:t>
      </w:r>
    </w:p>
    <w:p w14:paraId="26CBCC19">
      <w:pPr>
        <w:pageBreakBefore w:val="0"/>
        <w:kinsoku/>
        <w:overflowPunct/>
        <w:topLinePunct w:val="0"/>
        <w:bidi w:val="0"/>
        <w:spacing w:line="360" w:lineRule="auto"/>
        <w:rPr>
          <w:rFonts w:hint="eastAsia" w:ascii="宋体" w:hAnsi="宋体" w:eastAsia="宋体" w:cs="宋体"/>
          <w:sz w:val="21"/>
          <w:szCs w:val="21"/>
          <w:highlight w:val="none"/>
          <w:lang w:eastAsia="zh-CN"/>
        </w:rPr>
      </w:pPr>
      <w:r>
        <w:rPr>
          <w:rFonts w:hint="eastAsia" w:ascii="宋体" w:hAnsi="宋体" w:eastAsia="宋体" w:cs="宋体"/>
          <w:color w:val="000000"/>
          <w:kern w:val="0"/>
          <w:sz w:val="21"/>
          <w:szCs w:val="21"/>
          <w:highlight w:val="none"/>
        </w:rPr>
        <w:t>规格：66×</w:t>
      </w:r>
      <w:r>
        <w:rPr>
          <w:rFonts w:hint="eastAsia" w:ascii="宋体" w:hAnsi="宋体" w:eastAsia="宋体" w:cs="宋体"/>
          <w:color w:val="000000"/>
          <w:kern w:val="0"/>
          <w:sz w:val="21"/>
          <w:szCs w:val="21"/>
          <w:highlight w:val="none"/>
          <w:lang w:val="en-US" w:eastAsia="zh-CN"/>
        </w:rPr>
        <w:t>36</w:t>
      </w:r>
      <w:r>
        <w:rPr>
          <w:rFonts w:hint="eastAsia" w:ascii="宋体" w:hAnsi="宋体" w:eastAsia="宋体" w:cs="宋体"/>
          <w:color w:val="000000"/>
          <w:kern w:val="0"/>
          <w:sz w:val="21"/>
          <w:szCs w:val="21"/>
          <w:highlight w:val="none"/>
        </w:rPr>
        <w:t>×7</w:t>
      </w:r>
      <w:r>
        <w:rPr>
          <w:rFonts w:hint="eastAsia" w:ascii="宋体" w:hAnsi="宋体" w:eastAsia="宋体" w:cs="宋体"/>
          <w:color w:val="000000"/>
          <w:kern w:val="0"/>
          <w:sz w:val="21"/>
          <w:szCs w:val="21"/>
          <w:highlight w:val="none"/>
          <w:lang w:val="en-US" w:eastAsia="zh-CN"/>
        </w:rPr>
        <w:t>3</w:t>
      </w:r>
      <w:r>
        <w:rPr>
          <w:rFonts w:hint="eastAsia" w:ascii="宋体" w:hAnsi="宋体" w:eastAsia="宋体" w:cs="宋体"/>
          <w:color w:val="000000"/>
          <w:kern w:val="0"/>
          <w:sz w:val="21"/>
          <w:szCs w:val="21"/>
          <w:highlight w:val="none"/>
        </w:rPr>
        <w:t>cm±</w:t>
      </w:r>
      <w:r>
        <w:rPr>
          <w:rFonts w:hint="eastAsia" w:ascii="宋体" w:hAnsi="宋体" w:eastAsia="宋体" w:cs="宋体"/>
          <w:color w:val="000000"/>
          <w:kern w:val="0"/>
          <w:sz w:val="21"/>
          <w:szCs w:val="21"/>
          <w:highlight w:val="none"/>
          <w:lang w:val="en-US" w:eastAsia="zh-CN"/>
        </w:rPr>
        <w:t>1cm</w:t>
      </w:r>
    </w:p>
    <w:p w14:paraId="041D39AC">
      <w:pPr>
        <w:pageBreakBefore w:val="0"/>
        <w:kinsoku/>
        <w:overflowPunct/>
        <w:topLinePunct w:val="0"/>
        <w:bidi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沙袋重量</w:t>
      </w:r>
      <w:r>
        <w:rPr>
          <w:rFonts w:hint="eastAsia" w:ascii="宋体" w:hAnsi="宋体" w:eastAsia="宋体" w:cs="宋体"/>
          <w:sz w:val="21"/>
          <w:szCs w:val="21"/>
          <w:highlight w:val="none"/>
        </w:rPr>
        <w:t>：0.5kg,1.0kg,1.5kg,2.0kg,2.5kg</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每种2个</w:t>
      </w:r>
    </w:p>
    <w:p w14:paraId="52AFA646">
      <w:pPr>
        <w:pageBreakBefore w:val="0"/>
        <w:kinsoku/>
        <w:overflowPunct/>
        <w:topLinePunct w:val="0"/>
        <w:bidi w:val="0"/>
        <w:spacing w:line="360" w:lineRule="auto"/>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rPr>
        <w:t>参数：优质型钢表面静电喷涂，滑轮带刹车功能，优质皮革绑式沙袋。</w:t>
      </w:r>
    </w:p>
    <w:p w14:paraId="38C97E14">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用途：肌力训练、关节牵引</w:t>
      </w:r>
      <w:r>
        <w:rPr>
          <w:rFonts w:hint="eastAsia" w:ascii="宋体" w:hAnsi="宋体" w:eastAsia="宋体" w:cs="宋体"/>
          <w:sz w:val="21"/>
          <w:szCs w:val="21"/>
          <w:highlight w:val="none"/>
          <w:lang w:val="en-US" w:eastAsia="zh-CN"/>
        </w:rPr>
        <w:t>使用</w:t>
      </w:r>
    </w:p>
    <w:p w14:paraId="6B53EA60">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60BBAFDC">
      <w:pPr>
        <w:spacing w:line="360" w:lineRule="auto"/>
        <w:rPr>
          <w:rFonts w:hint="eastAsia" w:ascii="宋体" w:hAnsi="宋体" w:eastAsia="宋体" w:cs="宋体"/>
          <w:color w:val="auto"/>
          <w:sz w:val="21"/>
          <w:szCs w:val="21"/>
          <w:highlight w:val="none"/>
          <w:lang w:val="en-US" w:eastAsia="zh-CN"/>
        </w:rPr>
      </w:pPr>
    </w:p>
    <w:p w14:paraId="2331185B">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26、站立架</w:t>
      </w:r>
    </w:p>
    <w:p w14:paraId="62FCDE58">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规格：960-1100X600X940-1125±30mm；             </w:t>
      </w:r>
    </w:p>
    <w:p w14:paraId="049379A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坐垫与背垫的角度为110°；</w:t>
      </w:r>
    </w:p>
    <w:p w14:paraId="7A227200">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坐垫宽度：495mm，深度330mm；</w:t>
      </w:r>
    </w:p>
    <w:p w14:paraId="162EC4E7">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座位可调角度：0~90°；</w:t>
      </w:r>
    </w:p>
    <w:p w14:paraId="13AEA234">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桌面尺寸：600X480mm；</w:t>
      </w:r>
    </w:p>
    <w:p w14:paraId="210966F4">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桌面高度（距地面）可调范围：670-920mm；</w:t>
      </w:r>
    </w:p>
    <w:p w14:paraId="064274EF">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桌面前后调节范围：0-220mm；</w:t>
      </w:r>
    </w:p>
    <w:p w14:paraId="26E77C72">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膝盖软垫前后调节范围：0-140mm，左右可调范围为120-350mm，上下可调距离为0-300mm；</w:t>
      </w:r>
    </w:p>
    <w:p w14:paraId="6236F5C4">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重量：22kg；</w:t>
      </w:r>
    </w:p>
    <w:p w14:paraId="379A9B1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最大载重：60kg；                                 </w:t>
      </w:r>
    </w:p>
    <w:p w14:paraId="2CA5D9F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材质：国家标准型A3钢、方管、矩形管、圆管、高密度夹板表面清漆、高密度海棉、外包优质PU革。</w:t>
      </w:r>
    </w:p>
    <w:p w14:paraId="5EA554DF">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功能：适用于7岁以下儿童、对患儿的胸、臀、膝和脚部的固定支撑并增加髋关节外展幅度，尤其适用于痉挛型的脑瘫儿童作站立训练。</w:t>
      </w:r>
    </w:p>
    <w:p w14:paraId="361BE3F0">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5633E887">
      <w:pPr>
        <w:spacing w:line="360" w:lineRule="auto"/>
        <w:rPr>
          <w:rFonts w:hint="eastAsia" w:ascii="宋体" w:hAnsi="宋体" w:eastAsia="宋体" w:cs="宋体"/>
          <w:color w:val="auto"/>
          <w:sz w:val="21"/>
          <w:szCs w:val="21"/>
          <w:highlight w:val="none"/>
          <w:lang w:val="en-US" w:eastAsia="zh-CN"/>
        </w:rPr>
      </w:pPr>
    </w:p>
    <w:p w14:paraId="6802F661">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27、PT训练床</w:t>
      </w:r>
    </w:p>
    <w:p w14:paraId="63617496">
      <w:pPr>
        <w:pageBreakBefore w:val="0"/>
        <w:kinsoku/>
        <w:overflowPunct/>
        <w:topLinePunct w:val="0"/>
        <w:bidi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参数：型钢表面静电喷涂。床面采用优质抗菌耐磨pu皮革内包高密度海绵经缝纫加工而成。</w:t>
      </w:r>
    </w:p>
    <w:p w14:paraId="6FF7A530">
      <w:pPr>
        <w:pageBreakBefore w:val="0"/>
        <w:kinsoku/>
        <w:overflowPunct/>
        <w:topLinePunct w:val="0"/>
        <w:bidi w:val="0"/>
        <w:spacing w:line="360" w:lineRule="auto"/>
        <w:rPr>
          <w:rFonts w:hint="eastAsia" w:ascii="宋体" w:hAnsi="宋体" w:eastAsia="宋体" w:cs="宋体"/>
          <w:sz w:val="21"/>
          <w:szCs w:val="21"/>
          <w:highlight w:val="none"/>
          <w:lang w:val="en-US"/>
        </w:rPr>
      </w:pPr>
      <w:r>
        <w:rPr>
          <w:rFonts w:hint="eastAsia" w:ascii="宋体" w:hAnsi="宋体" w:eastAsia="宋体" w:cs="宋体"/>
          <w:sz w:val="21"/>
          <w:szCs w:val="21"/>
          <w:highlight w:val="none"/>
        </w:rPr>
        <w:t>规格(</w:t>
      </w:r>
      <w:r>
        <w:rPr>
          <w:rFonts w:hint="eastAsia" w:ascii="宋体" w:hAnsi="宋体" w:eastAsia="宋体" w:cs="宋体"/>
          <w:sz w:val="21"/>
          <w:szCs w:val="21"/>
          <w:highlight w:val="none"/>
          <w:lang w:val="en-US" w:eastAsia="zh-CN"/>
        </w:rPr>
        <w:t>m</w:t>
      </w:r>
      <w:r>
        <w:rPr>
          <w:rFonts w:hint="eastAsia" w:ascii="宋体" w:hAnsi="宋体" w:eastAsia="宋体" w:cs="宋体"/>
          <w:sz w:val="21"/>
          <w:szCs w:val="21"/>
          <w:highlight w:val="none"/>
        </w:rPr>
        <w:t>m)：</w:t>
      </w:r>
      <w:r>
        <w:rPr>
          <w:rFonts w:hint="eastAsia" w:ascii="宋体" w:hAnsi="宋体" w:eastAsia="宋体" w:cs="宋体"/>
          <w:sz w:val="21"/>
          <w:szCs w:val="21"/>
          <w:highlight w:val="none"/>
          <w:lang w:val="en-US" w:eastAsia="zh-CN"/>
        </w:rPr>
        <w:t>1975</w:t>
      </w:r>
      <w:r>
        <w:rPr>
          <w:rFonts w:hint="eastAsia" w:ascii="宋体" w:hAnsi="宋体" w:eastAsia="宋体" w:cs="宋体"/>
          <w:sz w:val="21"/>
          <w:szCs w:val="21"/>
          <w:highlight w:val="none"/>
        </w:rPr>
        <w:t>×12</w:t>
      </w:r>
      <w:r>
        <w:rPr>
          <w:rFonts w:hint="eastAsia" w:ascii="宋体" w:hAnsi="宋体" w:eastAsia="宋体" w:cs="宋体"/>
          <w:sz w:val="21"/>
          <w:szCs w:val="21"/>
          <w:highlight w:val="none"/>
          <w:lang w:val="en-US" w:eastAsia="zh-CN"/>
        </w:rPr>
        <w:t>35</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520±20</w:t>
      </w:r>
    </w:p>
    <w:p w14:paraId="3A374F76">
      <w:pPr>
        <w:pageBreakBefore w:val="0"/>
        <w:kinsoku/>
        <w:overflowPunct/>
        <w:topLinePunct w:val="0"/>
        <w:bidi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额定载荷：</w:t>
      </w:r>
      <w:r>
        <w:rPr>
          <w:rFonts w:hint="eastAsia" w:ascii="宋体" w:hAnsi="宋体" w:eastAsia="宋体" w:cs="宋体"/>
          <w:sz w:val="21"/>
          <w:szCs w:val="21"/>
          <w:highlight w:val="none"/>
          <w:lang w:val="en-US" w:eastAsia="zh-CN"/>
        </w:rPr>
        <w:t>200</w:t>
      </w:r>
      <w:r>
        <w:rPr>
          <w:rFonts w:hint="eastAsia" w:ascii="宋体" w:hAnsi="宋体" w:eastAsia="宋体" w:cs="宋体"/>
          <w:sz w:val="21"/>
          <w:szCs w:val="21"/>
          <w:highlight w:val="none"/>
        </w:rPr>
        <w:t>kg</w:t>
      </w:r>
    </w:p>
    <w:p w14:paraId="52872945">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rPr>
        <w:t>用途：用于PT训练患者床上活动</w:t>
      </w:r>
      <w:r>
        <w:rPr>
          <w:rFonts w:hint="eastAsia" w:ascii="宋体" w:hAnsi="宋体" w:eastAsia="宋体" w:cs="宋体"/>
          <w:sz w:val="21"/>
          <w:szCs w:val="21"/>
          <w:highlight w:val="none"/>
          <w:lang w:eastAsia="zh-CN"/>
        </w:rPr>
        <w:t>。</w:t>
      </w:r>
    </w:p>
    <w:p w14:paraId="08FAE485">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数量要求：2套</w:t>
      </w:r>
    </w:p>
    <w:p w14:paraId="6551106B">
      <w:pPr>
        <w:spacing w:line="360" w:lineRule="auto"/>
        <w:rPr>
          <w:rFonts w:hint="eastAsia" w:ascii="宋体" w:hAnsi="宋体" w:eastAsia="宋体" w:cs="宋体"/>
          <w:color w:val="auto"/>
          <w:sz w:val="21"/>
          <w:szCs w:val="21"/>
          <w:highlight w:val="none"/>
          <w:lang w:val="en-US" w:eastAsia="zh-CN"/>
        </w:rPr>
      </w:pPr>
    </w:p>
    <w:p w14:paraId="4AB2158C">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28、儿童保护腰带</w:t>
      </w:r>
    </w:p>
    <w:p w14:paraId="32AECE64">
      <w:pPr>
        <w:pageBreakBefore w:val="0"/>
        <w:kinsoku/>
        <w:overflowPunct/>
        <w:topLinePunct w:val="0"/>
        <w:bidi w:val="0"/>
        <w:spacing w:line="360" w:lineRule="auto"/>
        <w:jc w:val="both"/>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规格：800X150mm；</w:t>
      </w:r>
    </w:p>
    <w:p w14:paraId="7C2B1FF6">
      <w:pPr>
        <w:pageBreakBefore w:val="0"/>
        <w:kinsoku/>
        <w:overflowPunct/>
        <w:topLinePunct w:val="0"/>
        <w:bidi w:val="0"/>
        <w:spacing w:line="360" w:lineRule="auto"/>
        <w:jc w:val="both"/>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重量：0.5kg；</w:t>
      </w:r>
    </w:p>
    <w:p w14:paraId="35A1A556">
      <w:pPr>
        <w:pageBreakBefore w:val="0"/>
        <w:kinsoku/>
        <w:overflowPunct/>
        <w:topLinePunct w:val="0"/>
        <w:bidi w:val="0"/>
        <w:spacing w:line="360" w:lineRule="auto"/>
        <w:jc w:val="both"/>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材质：优质PU革。</w:t>
      </w:r>
    </w:p>
    <w:p w14:paraId="537D4F30">
      <w:pPr>
        <w:pageBreakBefore w:val="0"/>
        <w:kinsoku/>
        <w:overflowPunct/>
        <w:topLinePunct w:val="0"/>
        <w:bidi w:val="0"/>
        <w:spacing w:line="360" w:lineRule="auto"/>
        <w:jc w:val="both"/>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功能：保护患儿起立平衡。</w:t>
      </w:r>
    </w:p>
    <w:p w14:paraId="0549AD66">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3A95816D">
      <w:pPr>
        <w:spacing w:line="360" w:lineRule="auto"/>
        <w:rPr>
          <w:rFonts w:hint="eastAsia" w:ascii="宋体" w:hAnsi="宋体" w:eastAsia="宋体" w:cs="宋体"/>
          <w:color w:val="auto"/>
          <w:sz w:val="21"/>
          <w:szCs w:val="21"/>
          <w:highlight w:val="none"/>
          <w:lang w:val="en-US" w:eastAsia="zh-CN"/>
        </w:rPr>
      </w:pPr>
    </w:p>
    <w:p w14:paraId="502D9389">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29、巴氏球</w:t>
      </w:r>
    </w:p>
    <w:p w14:paraId="26414DD1">
      <w:pPr>
        <w:pageBreakBefore w:val="0"/>
        <w:kinsoku/>
        <w:overflowPunct/>
        <w:topLinePunct w:val="0"/>
        <w:bidi w:val="0"/>
        <w:spacing w:line="360" w:lineRule="auto"/>
        <w:jc w:val="both"/>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rPr>
        <w:t>规格（cm）：Ф</w:t>
      </w:r>
      <w:r>
        <w:rPr>
          <w:rFonts w:hint="eastAsia" w:ascii="宋体" w:hAnsi="宋体" w:eastAsia="宋体" w:cs="宋体"/>
          <w:b w:val="0"/>
          <w:bCs/>
          <w:sz w:val="21"/>
          <w:szCs w:val="21"/>
          <w:highlight w:val="none"/>
          <w:lang w:val="en-US" w:eastAsia="zh-CN"/>
        </w:rPr>
        <w:t>45/黄色、</w:t>
      </w:r>
      <w:r>
        <w:rPr>
          <w:rFonts w:hint="eastAsia" w:ascii="宋体" w:hAnsi="宋体" w:eastAsia="宋体" w:cs="宋体"/>
          <w:b w:val="0"/>
          <w:bCs/>
          <w:sz w:val="21"/>
          <w:szCs w:val="21"/>
          <w:highlight w:val="none"/>
        </w:rPr>
        <w:t>Ф</w:t>
      </w:r>
      <w:r>
        <w:rPr>
          <w:rFonts w:hint="eastAsia" w:ascii="宋体" w:hAnsi="宋体" w:eastAsia="宋体" w:cs="宋体"/>
          <w:b w:val="0"/>
          <w:bCs/>
          <w:sz w:val="21"/>
          <w:szCs w:val="21"/>
          <w:highlight w:val="none"/>
          <w:lang w:val="en-US" w:eastAsia="zh-CN"/>
        </w:rPr>
        <w:t>55/红色、</w:t>
      </w:r>
      <w:r>
        <w:rPr>
          <w:rFonts w:hint="eastAsia" w:ascii="宋体" w:hAnsi="宋体" w:eastAsia="宋体" w:cs="宋体"/>
          <w:b w:val="0"/>
          <w:bCs/>
          <w:sz w:val="21"/>
          <w:szCs w:val="21"/>
          <w:highlight w:val="none"/>
        </w:rPr>
        <w:t>Ф</w:t>
      </w:r>
      <w:r>
        <w:rPr>
          <w:rFonts w:hint="eastAsia" w:ascii="宋体" w:hAnsi="宋体" w:eastAsia="宋体" w:cs="宋体"/>
          <w:b w:val="0"/>
          <w:bCs/>
          <w:sz w:val="21"/>
          <w:szCs w:val="21"/>
          <w:highlight w:val="none"/>
          <w:lang w:val="en-US" w:eastAsia="zh-CN"/>
        </w:rPr>
        <w:t>65/绿色、</w:t>
      </w:r>
      <w:r>
        <w:rPr>
          <w:rFonts w:hint="eastAsia" w:ascii="宋体" w:hAnsi="宋体" w:eastAsia="宋体" w:cs="宋体"/>
          <w:b w:val="0"/>
          <w:bCs/>
          <w:sz w:val="21"/>
          <w:szCs w:val="21"/>
          <w:highlight w:val="none"/>
        </w:rPr>
        <w:t>Ф</w:t>
      </w:r>
      <w:r>
        <w:rPr>
          <w:rFonts w:hint="eastAsia" w:ascii="宋体" w:hAnsi="宋体" w:eastAsia="宋体" w:cs="宋体"/>
          <w:b w:val="0"/>
          <w:bCs/>
          <w:sz w:val="21"/>
          <w:szCs w:val="21"/>
          <w:highlight w:val="none"/>
          <w:lang w:val="en-US" w:eastAsia="zh-CN"/>
        </w:rPr>
        <w:t>75/蓝色，每种规格1个材质：进口优质PVC粉+环保增塑剂+环保发泡粉+环保着色剂</w:t>
      </w:r>
    </w:p>
    <w:p w14:paraId="6AD0E51D">
      <w:pPr>
        <w:spacing w:line="360" w:lineRule="auto"/>
        <w:rPr>
          <w:rFonts w:hint="eastAsia" w:ascii="宋体" w:hAnsi="宋体" w:eastAsia="宋体" w:cs="宋体"/>
          <w:b w:val="0"/>
          <w:bCs/>
          <w:sz w:val="21"/>
          <w:szCs w:val="21"/>
          <w:highlight w:val="none"/>
          <w:lang w:val="en-US" w:eastAsia="zh-CN"/>
        </w:rPr>
      </w:pPr>
      <w:r>
        <w:rPr>
          <w:rFonts w:hint="eastAsia" w:ascii="宋体" w:hAnsi="宋体" w:eastAsia="宋体" w:cs="宋体"/>
          <w:sz w:val="21"/>
          <w:szCs w:val="21"/>
          <w:highlight w:val="none"/>
        </w:rPr>
        <w:t>用途</w:t>
      </w:r>
      <w:r>
        <w:rPr>
          <w:rFonts w:hint="eastAsia" w:ascii="宋体" w:hAnsi="宋体" w:eastAsia="宋体" w:cs="宋体"/>
          <w:b w:val="0"/>
          <w:bCs/>
          <w:sz w:val="21"/>
          <w:szCs w:val="21"/>
          <w:highlight w:val="none"/>
          <w:lang w:val="en-US" w:eastAsia="zh-CN"/>
        </w:rPr>
        <w:t>：用于使用者的平衡感觉、协调性训练、反射协调训练、关节活动度训练等。</w:t>
      </w:r>
    </w:p>
    <w:p w14:paraId="7C187885">
      <w:pPr>
        <w:pageBreakBefore w:val="0"/>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配置</w:t>
      </w:r>
      <w:r>
        <w:rPr>
          <w:rFonts w:hint="eastAsia" w:ascii="宋体" w:hAnsi="宋体" w:eastAsia="宋体" w:cs="宋体"/>
          <w:b w:val="0"/>
          <w:bCs/>
          <w:sz w:val="21"/>
          <w:szCs w:val="21"/>
          <w:highlight w:val="none"/>
        </w:rPr>
        <w:t>：</w:t>
      </w:r>
    </w:p>
    <w:p w14:paraId="2429942B">
      <w:pPr>
        <w:pageBreakBefore w:val="0"/>
        <w:numPr>
          <w:ilvl w:val="0"/>
          <w:numId w:val="40"/>
        </w:numPr>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rPr>
        <w:t>巴氏球</w:t>
      </w:r>
      <w:r>
        <w:rPr>
          <w:rFonts w:hint="eastAsia" w:ascii="宋体" w:hAnsi="宋体" w:eastAsia="宋体" w:cs="宋体"/>
          <w:sz w:val="21"/>
          <w:szCs w:val="21"/>
          <w:highlight w:val="none"/>
          <w:lang w:val="en-US" w:eastAsia="zh-CN"/>
        </w:rPr>
        <w:t xml:space="preserve">1套（4个）             </w:t>
      </w:r>
    </w:p>
    <w:p w14:paraId="023644E6">
      <w:pPr>
        <w:pageBreakBefore w:val="0"/>
        <w:numPr>
          <w:ilvl w:val="0"/>
          <w:numId w:val="0"/>
        </w:numPr>
        <w:kinsoku/>
        <w:overflowPunct/>
        <w:topLinePunct w:val="0"/>
        <w:bidi w:val="0"/>
        <w:spacing w:line="360" w:lineRule="auto"/>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val="en-US"/>
        </w:rPr>
        <w:t>使用说明书</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val="en-US"/>
        </w:rPr>
        <w:t>份</w:t>
      </w:r>
    </w:p>
    <w:p w14:paraId="29ACCBE2">
      <w:pPr>
        <w:spacing w:line="360" w:lineRule="auto"/>
        <w:rPr>
          <w:rFonts w:hint="eastAsia" w:ascii="宋体" w:hAnsi="宋体" w:eastAsia="宋体" w:cs="宋体"/>
          <w:b w:val="0"/>
          <w:bCs/>
          <w:sz w:val="21"/>
          <w:szCs w:val="21"/>
          <w:highlight w:val="none"/>
          <w:lang w:val="en-US" w:eastAsia="zh-CN"/>
        </w:rPr>
      </w:pPr>
      <w:r>
        <w:rPr>
          <w:rFonts w:hint="eastAsia" w:ascii="宋体" w:hAnsi="宋体" w:eastAsia="宋体" w:cs="宋体"/>
          <w:sz w:val="21"/>
          <w:szCs w:val="21"/>
          <w:highlight w:val="none"/>
          <w:lang w:val="en-US" w:eastAsia="zh-CN"/>
        </w:rPr>
        <w:t>3、</w:t>
      </w:r>
      <w:r>
        <w:rPr>
          <w:rFonts w:hint="eastAsia" w:ascii="宋体" w:hAnsi="宋体" w:eastAsia="宋体" w:cs="宋体"/>
          <w:b w:val="0"/>
          <w:bCs w:val="0"/>
          <w:sz w:val="21"/>
          <w:szCs w:val="21"/>
          <w:highlight w:val="none"/>
          <w:lang w:val="en-US" w:eastAsia="zh-CN"/>
        </w:rPr>
        <w:t>合格证、保修卡1套</w:t>
      </w:r>
    </w:p>
    <w:p w14:paraId="7BEB04DB">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highlight w:val="none"/>
          <w:lang w:val="en-US" w:eastAsia="zh-CN" w:bidi="ar"/>
        </w:rPr>
      </w:pPr>
    </w:p>
    <w:p w14:paraId="208F06CF">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19460F0B">
      <w:pPr>
        <w:spacing w:line="360" w:lineRule="auto"/>
        <w:rPr>
          <w:rFonts w:hint="eastAsia" w:ascii="宋体" w:hAnsi="宋体" w:eastAsia="宋体" w:cs="宋体"/>
          <w:color w:val="auto"/>
          <w:sz w:val="21"/>
          <w:szCs w:val="21"/>
          <w:highlight w:val="none"/>
          <w:lang w:val="en-US" w:eastAsia="zh-CN"/>
        </w:rPr>
      </w:pPr>
    </w:p>
    <w:p w14:paraId="0CE71C20">
      <w:pPr>
        <w:widowControl w:val="0"/>
        <w:spacing w:line="480" w:lineRule="auto"/>
        <w:jc w:val="both"/>
        <w:rPr>
          <w:rFonts w:hint="eastAsia" w:asciiTheme="minorHAnsi" w:hAnsiTheme="minorHAnsi" w:eastAsiaTheme="minorEastAsia" w:cstheme="minorBidi"/>
          <w:kern w:val="2"/>
          <w:sz w:val="21"/>
          <w:szCs w:val="24"/>
          <w:highlight w:val="none"/>
          <w:lang w:val="en-US" w:eastAsia="zh-CN" w:bidi="ar-SA"/>
        </w:rPr>
      </w:pPr>
    </w:p>
    <w:p w14:paraId="7C3FF2AB">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30、斜形垫系列</w:t>
      </w:r>
    </w:p>
    <w:p w14:paraId="25ABD4D0">
      <w:pPr>
        <w:pageBreakBefore w:val="0"/>
        <w:numPr>
          <w:ilvl w:val="0"/>
          <w:numId w:val="0"/>
        </w:numPr>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1.规格：</w:t>
      </w:r>
    </w:p>
    <w:p w14:paraId="1EF641A0">
      <w:pPr>
        <w:pageBreakBefore w:val="0"/>
        <w:numPr>
          <w:ilvl w:val="0"/>
          <w:numId w:val="0"/>
        </w:numPr>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15°：480X450X130±30mm；</w:t>
      </w:r>
    </w:p>
    <w:p w14:paraId="2CB2F48C">
      <w:pPr>
        <w:pageBreakBefore w:val="0"/>
        <w:numPr>
          <w:ilvl w:val="0"/>
          <w:numId w:val="0"/>
        </w:numPr>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30°：480X450X270±30mm；</w:t>
      </w:r>
    </w:p>
    <w:p w14:paraId="041C5F5C">
      <w:pPr>
        <w:pageBreakBefore w:val="0"/>
        <w:numPr>
          <w:ilvl w:val="0"/>
          <w:numId w:val="0"/>
        </w:numPr>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45°：480X450X470±30mm；           </w:t>
      </w:r>
    </w:p>
    <w:p w14:paraId="022397B5">
      <w:pPr>
        <w:pageBreakBefore w:val="0"/>
        <w:numPr>
          <w:ilvl w:val="0"/>
          <w:numId w:val="0"/>
        </w:numPr>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重量：15º（4kg）、30º（6kg）、45º（7.2kg）；                         </w:t>
      </w:r>
    </w:p>
    <w:p w14:paraId="13905106">
      <w:pPr>
        <w:pageBreakBefore w:val="0"/>
        <w:numPr>
          <w:ilvl w:val="0"/>
          <w:numId w:val="0"/>
        </w:numPr>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材质：优质中纤板、高密度海棉、外包优质PU革。</w:t>
      </w:r>
    </w:p>
    <w:p w14:paraId="554BEEA0">
      <w:pPr>
        <w:pageBreakBefore w:val="0"/>
        <w:numPr>
          <w:ilvl w:val="0"/>
          <w:numId w:val="0"/>
        </w:numPr>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2.用途：用于手法治疗时铺垫使用，改善舒适性。</w:t>
      </w:r>
    </w:p>
    <w:p w14:paraId="0630A096">
      <w:pPr>
        <w:pageBreakBefore w:val="0"/>
        <w:numPr>
          <w:ilvl w:val="0"/>
          <w:numId w:val="0"/>
        </w:numPr>
        <w:kinsoku/>
        <w:overflowPunct/>
        <w:topLinePunct w:val="0"/>
        <w:bidi w:val="0"/>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3.配置：楔形垫1件、说明书、合格证、保修卡1套</w:t>
      </w:r>
    </w:p>
    <w:p w14:paraId="13912531">
      <w:pPr>
        <w:keepNext w:val="0"/>
        <w:keepLines w:val="0"/>
        <w:widowControl/>
        <w:suppressLineNumbers w:val="0"/>
        <w:spacing w:line="360" w:lineRule="auto"/>
        <w:jc w:val="left"/>
        <w:rPr>
          <w:rFonts w:hint="eastAsia" w:ascii="宋体" w:hAnsi="宋体" w:eastAsia="宋体" w:cs="宋体"/>
          <w:color w:val="auto"/>
          <w:sz w:val="21"/>
          <w:szCs w:val="21"/>
          <w:highlight w:val="none"/>
          <w:lang w:val="en-US" w:eastAsia="zh-CN"/>
        </w:rPr>
      </w:pPr>
    </w:p>
    <w:p w14:paraId="719E5D9D">
      <w:pPr>
        <w:keepNext w:val="0"/>
        <w:keepLines w:val="0"/>
        <w:widowControl/>
        <w:suppressLineNumbers w:val="0"/>
        <w:spacing w:line="360" w:lineRule="auto"/>
        <w:jc w:val="left"/>
        <w:rPr>
          <w:rFonts w:hint="default" w:ascii="宋体" w:hAnsi="宋体" w:eastAsia="宋体" w:cs="宋体"/>
          <w:sz w:val="21"/>
          <w:szCs w:val="21"/>
          <w:highlight w:val="none"/>
          <w:lang w:val="en-US"/>
        </w:rPr>
      </w:pPr>
      <w:r>
        <w:rPr>
          <w:rFonts w:hint="eastAsia" w:ascii="宋体" w:hAnsi="宋体" w:eastAsia="宋体" w:cs="宋体"/>
          <w:color w:val="auto"/>
          <w:sz w:val="21"/>
          <w:szCs w:val="21"/>
          <w:highlight w:val="none"/>
          <w:lang w:val="en-US" w:eastAsia="zh-CN"/>
        </w:rPr>
        <w:t>数量要求：1套</w:t>
      </w:r>
    </w:p>
    <w:p w14:paraId="062F35B6">
      <w:pPr>
        <w:spacing w:line="360" w:lineRule="auto"/>
        <w:rPr>
          <w:rFonts w:hint="eastAsia" w:ascii="宋体" w:hAnsi="宋体" w:eastAsia="宋体" w:cs="宋体"/>
          <w:color w:val="auto"/>
          <w:sz w:val="21"/>
          <w:szCs w:val="21"/>
          <w:highlight w:val="none"/>
          <w:lang w:val="en-US" w:eastAsia="zh-CN"/>
        </w:rPr>
      </w:pPr>
    </w:p>
    <w:p w14:paraId="165E617F">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31、儿童梯背架</w:t>
      </w:r>
    </w:p>
    <w:p w14:paraId="54978E9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规格：握手φ25cm；                  </w:t>
      </w:r>
    </w:p>
    <w:p w14:paraId="0DD3F331">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参数：790X580X1100±30mm；     </w:t>
      </w:r>
    </w:p>
    <w:p w14:paraId="2340ED97">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重量：3.5kg </w:t>
      </w:r>
    </w:p>
    <w:p w14:paraId="1ABAC8A2">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材质：优质木材表面清漆。</w:t>
      </w:r>
    </w:p>
    <w:p w14:paraId="04A40204">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功能：可用于步行用的辅助器或用于坐、站位时的支持器。</w:t>
      </w:r>
    </w:p>
    <w:p w14:paraId="3A83D092">
      <w:pPr>
        <w:keepNext w:val="0"/>
        <w:keepLines w:val="0"/>
        <w:widowControl/>
        <w:numPr>
          <w:ilvl w:val="0"/>
          <w:numId w:val="0"/>
        </w:numPr>
        <w:suppressLineNumbers w:val="0"/>
        <w:spacing w:line="360" w:lineRule="auto"/>
        <w:ind w:left="0" w:leftChars="0" w:firstLine="0" w:firstLineChars="0"/>
        <w:jc w:val="left"/>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数量要求：1套</w:t>
      </w:r>
    </w:p>
    <w:p w14:paraId="5FA6E3C4">
      <w:pPr>
        <w:spacing w:line="360" w:lineRule="auto"/>
        <w:rPr>
          <w:rFonts w:hint="eastAsia" w:ascii="宋体" w:hAnsi="宋体" w:eastAsia="宋体" w:cs="宋体"/>
          <w:color w:val="auto"/>
          <w:sz w:val="21"/>
          <w:szCs w:val="21"/>
          <w:highlight w:val="none"/>
          <w:lang w:val="en-US" w:eastAsia="zh-CN"/>
        </w:rPr>
      </w:pPr>
    </w:p>
    <w:p w14:paraId="2D2689F0">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32、脊柱侧弯训练用套件  </w:t>
      </w:r>
    </w:p>
    <w:p w14:paraId="1E9D2FB3">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小圆凳  2</w:t>
      </w:r>
    </w:p>
    <w:p w14:paraId="03B8036C">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瑜伽砖  10</w:t>
      </w:r>
    </w:p>
    <w:p w14:paraId="0463552F">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训练木棍8</w:t>
      </w:r>
    </w:p>
    <w:p w14:paraId="3EDB6175">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瑜伽垫  2</w:t>
      </w:r>
    </w:p>
    <w:p w14:paraId="2C6D1668">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镜子    1</w:t>
      </w:r>
    </w:p>
    <w:p w14:paraId="47D6E6CD">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肋木    1</w:t>
      </w:r>
    </w:p>
    <w:p w14:paraId="37CC12D4">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弹力带  6</w:t>
      </w:r>
    </w:p>
    <w:p w14:paraId="0CDD767F">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脊柱侧弯测量尺1</w:t>
      </w:r>
    </w:p>
    <w:p w14:paraId="463230C5">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体态图       1</w:t>
      </w:r>
    </w:p>
    <w:p w14:paraId="57295121">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身高测量尺   1</w:t>
      </w:r>
    </w:p>
    <w:p w14:paraId="64B50F72">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人体骨架模型 1</w:t>
      </w:r>
    </w:p>
    <w:p w14:paraId="1EF60881">
      <w:pPr>
        <w:numPr>
          <w:ilvl w:val="0"/>
          <w:numId w:val="0"/>
        </w:numPr>
        <w:spacing w:line="360" w:lineRule="auto"/>
        <w:rPr>
          <w:rFonts w:hint="eastAsia" w:ascii="宋体" w:hAnsi="宋体" w:cs="宋体"/>
          <w:b/>
          <w:bCs/>
          <w:sz w:val="28"/>
          <w:szCs w:val="28"/>
          <w:highlight w:val="none"/>
          <w:lang w:val="en-US" w:eastAsia="zh-CN"/>
        </w:rPr>
      </w:pPr>
      <w:r>
        <w:rPr>
          <w:rFonts w:hint="eastAsia" w:ascii="宋体" w:hAnsi="宋体" w:cs="宋体"/>
          <w:b/>
          <w:bCs/>
          <w:sz w:val="28"/>
          <w:szCs w:val="28"/>
          <w:highlight w:val="none"/>
          <w:lang w:val="en-US" w:eastAsia="zh-CN"/>
        </w:rPr>
        <w:br w:type="page"/>
      </w:r>
    </w:p>
    <w:p w14:paraId="4D171F38">
      <w:pPr>
        <w:pStyle w:val="2"/>
        <w:numPr>
          <w:ilvl w:val="0"/>
          <w:numId w:val="19"/>
        </w:numPr>
        <w:rPr>
          <w:rFonts w:hint="eastAsia" w:ascii="宋体" w:hAnsi="宋体"/>
          <w:color w:val="auto"/>
          <w:szCs w:val="32"/>
        </w:rPr>
      </w:pPr>
      <w:r>
        <w:rPr>
          <w:rFonts w:hint="eastAsia" w:ascii="宋体" w:hAnsi="宋体"/>
          <w:color w:val="auto"/>
          <w:szCs w:val="32"/>
        </w:rPr>
        <w:t xml:space="preserve">  </w:t>
      </w:r>
      <w:bookmarkStart w:id="488" w:name="_Toc3366"/>
      <w:r>
        <w:rPr>
          <w:rFonts w:hint="eastAsia" w:ascii="宋体" w:hAnsi="宋体"/>
          <w:color w:val="auto"/>
          <w:szCs w:val="32"/>
        </w:rPr>
        <w:t>投标文件资格审查文件册通用格式</w:t>
      </w:r>
      <w:bookmarkEnd w:id="488"/>
    </w:p>
    <w:p w14:paraId="1EE06799">
      <w:pPr>
        <w:pStyle w:val="17"/>
        <w:spacing w:before="312" w:beforeLines="100" w:after="312" w:afterLines="100" w:line="600" w:lineRule="exact"/>
        <w:jc w:val="center"/>
        <w:rPr>
          <w:rFonts w:hint="eastAsia"/>
          <w:b/>
          <w:color w:val="auto"/>
          <w:sz w:val="52"/>
          <w:szCs w:val="52"/>
        </w:rPr>
      </w:pPr>
    </w:p>
    <w:p w14:paraId="40E0C4DE">
      <w:pPr>
        <w:pStyle w:val="17"/>
        <w:spacing w:before="312" w:beforeLines="100" w:after="312" w:afterLines="100" w:line="600" w:lineRule="exact"/>
        <w:jc w:val="center"/>
        <w:rPr>
          <w:rFonts w:hint="default"/>
          <w:b/>
          <w:bCs/>
          <w:color w:val="auto"/>
          <w:sz w:val="32"/>
          <w:u w:val="single"/>
          <w:lang w:val="en-US"/>
        </w:rPr>
      </w:pPr>
      <w:r>
        <w:rPr>
          <w:rFonts w:hint="eastAsia"/>
          <w:b/>
          <w:color w:val="auto"/>
          <w:sz w:val="44"/>
          <w:szCs w:val="44"/>
          <w:u w:val="single"/>
        </w:rPr>
        <w:t xml:space="preserve">                    </w:t>
      </w:r>
      <w:r>
        <w:rPr>
          <w:rFonts w:hint="eastAsia"/>
          <w:b/>
          <w:color w:val="auto"/>
          <w:sz w:val="44"/>
          <w:szCs w:val="44"/>
        </w:rPr>
        <w:t>项目</w:t>
      </w:r>
    </w:p>
    <w:p w14:paraId="780C06EE">
      <w:pPr>
        <w:pStyle w:val="17"/>
        <w:spacing w:before="312" w:beforeLines="100" w:after="312" w:afterLines="100"/>
        <w:jc w:val="center"/>
        <w:rPr>
          <w:rFonts w:hint="eastAsia"/>
          <w:b/>
          <w:bCs/>
          <w:color w:val="auto"/>
          <w:sz w:val="84"/>
          <w:szCs w:val="84"/>
        </w:rPr>
      </w:pPr>
      <w:r>
        <w:rPr>
          <w:rFonts w:hint="eastAsia"/>
          <w:b/>
          <w:bCs/>
          <w:color w:val="auto"/>
          <w:sz w:val="84"/>
          <w:szCs w:val="84"/>
        </w:rPr>
        <w:t>投标文件</w:t>
      </w:r>
    </w:p>
    <w:p w14:paraId="57554613">
      <w:pPr>
        <w:pStyle w:val="17"/>
        <w:spacing w:before="312" w:beforeLines="100" w:after="312" w:afterLines="100"/>
        <w:jc w:val="center"/>
        <w:rPr>
          <w:rFonts w:hint="eastAsia"/>
          <w:b/>
          <w:bCs/>
          <w:color w:val="auto"/>
          <w:sz w:val="84"/>
          <w:szCs w:val="84"/>
        </w:rPr>
      </w:pPr>
      <w:r>
        <w:rPr>
          <w:rFonts w:hint="eastAsia"/>
          <w:b/>
          <w:bCs/>
          <w:color w:val="auto"/>
          <w:sz w:val="84"/>
          <w:szCs w:val="84"/>
        </w:rPr>
        <w:t>资格审查文件册</w:t>
      </w:r>
    </w:p>
    <w:p w14:paraId="2CFD10DD">
      <w:pPr>
        <w:pStyle w:val="17"/>
        <w:spacing w:before="312" w:beforeLines="100" w:after="312" w:afterLines="100" w:line="600" w:lineRule="exact"/>
        <w:jc w:val="center"/>
        <w:rPr>
          <w:rFonts w:hint="default" w:eastAsia="宋体"/>
          <w:b/>
          <w:bCs/>
          <w:color w:val="auto"/>
          <w:sz w:val="32"/>
          <w:lang w:val="en-US" w:eastAsia="zh-CN"/>
        </w:rPr>
      </w:pPr>
      <w:r>
        <w:rPr>
          <w:rFonts w:hint="eastAsia"/>
          <w:color w:val="auto"/>
          <w:sz w:val="28"/>
          <w:szCs w:val="28"/>
        </w:rPr>
        <w:t>采购编号：</w:t>
      </w:r>
    </w:p>
    <w:p w14:paraId="1AD1D6DB">
      <w:pPr>
        <w:pStyle w:val="17"/>
        <w:spacing w:before="312" w:beforeLines="100" w:after="312" w:afterLines="100" w:line="600" w:lineRule="exact"/>
        <w:jc w:val="center"/>
        <w:rPr>
          <w:rFonts w:hint="eastAsia"/>
          <w:b/>
          <w:bCs/>
          <w:color w:val="auto"/>
          <w:sz w:val="32"/>
        </w:rPr>
      </w:pPr>
      <w:r>
        <w:rPr>
          <w:rFonts w:hint="eastAsia"/>
          <w:b/>
          <w:bCs/>
          <w:color w:val="auto"/>
          <w:sz w:val="32"/>
        </w:rPr>
        <w:t>（封面）</w:t>
      </w:r>
    </w:p>
    <w:p w14:paraId="049A8B56">
      <w:pPr>
        <w:pStyle w:val="17"/>
        <w:spacing w:before="312" w:beforeLines="100" w:after="312" w:afterLines="100" w:line="600" w:lineRule="exact"/>
        <w:rPr>
          <w:rFonts w:hint="eastAsia"/>
          <w:b/>
          <w:bCs/>
          <w:color w:val="auto"/>
          <w:sz w:val="32"/>
          <w:u w:val="single"/>
        </w:rPr>
      </w:pPr>
    </w:p>
    <w:p w14:paraId="7132C3E0">
      <w:pPr>
        <w:pStyle w:val="17"/>
        <w:spacing w:before="312" w:beforeLines="100" w:after="312" w:afterLines="100" w:line="600" w:lineRule="exact"/>
        <w:rPr>
          <w:rFonts w:hint="eastAsia"/>
          <w:b/>
          <w:bCs/>
          <w:color w:val="auto"/>
          <w:sz w:val="32"/>
          <w:u w:val="single"/>
        </w:rPr>
      </w:pPr>
    </w:p>
    <w:p w14:paraId="22BDE277">
      <w:pPr>
        <w:pStyle w:val="17"/>
        <w:spacing w:before="312" w:beforeLines="100" w:after="312" w:afterLines="100" w:line="600" w:lineRule="exact"/>
        <w:jc w:val="center"/>
        <w:rPr>
          <w:rFonts w:hint="eastAsia"/>
          <w:b/>
          <w:bCs/>
          <w:color w:val="auto"/>
          <w:sz w:val="32"/>
          <w:u w:val="single"/>
        </w:rPr>
      </w:pPr>
      <w:r>
        <w:rPr>
          <w:rFonts w:hint="eastAsia"/>
          <w:b/>
          <w:bCs/>
          <w:color w:val="auto"/>
          <w:sz w:val="32"/>
        </w:rPr>
        <w:t>投  标  人：</w:t>
      </w:r>
      <w:r>
        <w:rPr>
          <w:rFonts w:hint="eastAsia"/>
          <w:b/>
          <w:bCs/>
          <w:color w:val="auto"/>
          <w:sz w:val="32"/>
          <w:u w:val="single"/>
        </w:rPr>
        <w:t xml:space="preserve">                      </w:t>
      </w:r>
      <w:r>
        <w:rPr>
          <w:rFonts w:hint="eastAsia"/>
          <w:b/>
          <w:bCs/>
          <w:color w:val="auto"/>
          <w:sz w:val="32"/>
        </w:rPr>
        <w:t>（盖单位章）</w:t>
      </w:r>
    </w:p>
    <w:p w14:paraId="162E2297">
      <w:pPr>
        <w:pStyle w:val="17"/>
        <w:spacing w:before="312" w:beforeLines="100" w:after="312" w:afterLines="100" w:line="600" w:lineRule="exact"/>
        <w:ind w:firstLine="596" w:firstLineChars="198"/>
        <w:rPr>
          <w:rFonts w:hint="eastAsia"/>
          <w:b/>
          <w:bCs/>
          <w:color w:val="auto"/>
          <w:sz w:val="30"/>
          <w:szCs w:val="30"/>
        </w:rPr>
      </w:pPr>
      <w:r>
        <w:rPr>
          <w:rFonts w:hint="eastAsia"/>
          <w:b/>
          <w:bCs/>
          <w:color w:val="auto"/>
          <w:sz w:val="30"/>
          <w:szCs w:val="30"/>
        </w:rPr>
        <w:t>法定代表人或其委托代理人：</w:t>
      </w:r>
      <w:r>
        <w:rPr>
          <w:rFonts w:hint="eastAsia"/>
          <w:b/>
          <w:bCs/>
          <w:color w:val="auto"/>
          <w:sz w:val="30"/>
          <w:szCs w:val="30"/>
          <w:u w:val="single"/>
        </w:rPr>
        <w:t xml:space="preserve">              </w:t>
      </w:r>
      <w:r>
        <w:rPr>
          <w:rFonts w:hint="eastAsia"/>
          <w:b/>
          <w:bCs/>
          <w:color w:val="auto"/>
          <w:sz w:val="30"/>
          <w:szCs w:val="30"/>
        </w:rPr>
        <w:t>（签字或盖章）</w:t>
      </w:r>
    </w:p>
    <w:p w14:paraId="24E5080A">
      <w:pPr>
        <w:pStyle w:val="14"/>
        <w:spacing w:line="500" w:lineRule="exact"/>
        <w:ind w:left="0" w:leftChars="0" w:firstLine="2129" w:firstLineChars="707"/>
        <w:rPr>
          <w:rFonts w:hint="eastAsia"/>
          <w:b/>
          <w:bCs/>
          <w:color w:val="auto"/>
          <w:sz w:val="30"/>
          <w:szCs w:val="30"/>
        </w:rPr>
      </w:pPr>
      <w:r>
        <w:rPr>
          <w:rFonts w:hint="eastAsia"/>
          <w:b/>
          <w:bCs/>
          <w:color w:val="auto"/>
          <w:sz w:val="30"/>
          <w:szCs w:val="30"/>
        </w:rPr>
        <w:t>日      期：       年    月    日</w:t>
      </w:r>
    </w:p>
    <w:p w14:paraId="0D320B84">
      <w:pPr>
        <w:jc w:val="center"/>
        <w:rPr>
          <w:rFonts w:hint="eastAsia"/>
          <w:b/>
          <w:color w:val="auto"/>
          <w:sz w:val="28"/>
          <w:szCs w:val="28"/>
        </w:rPr>
      </w:pPr>
      <w:r>
        <w:rPr>
          <w:rFonts w:hint="eastAsia"/>
          <w:b/>
          <w:color w:val="auto"/>
          <w:sz w:val="28"/>
          <w:szCs w:val="28"/>
        </w:rPr>
        <w:br w:type="page"/>
      </w:r>
      <w:r>
        <w:rPr>
          <w:rFonts w:hint="eastAsia"/>
          <w:b/>
          <w:color w:val="auto"/>
          <w:sz w:val="28"/>
          <w:szCs w:val="28"/>
        </w:rPr>
        <w:t>投标文件资格审查文件册目录</w:t>
      </w:r>
    </w:p>
    <w:p w14:paraId="045B1DBD">
      <w:pPr>
        <w:tabs>
          <w:tab w:val="left" w:pos="1080"/>
        </w:tabs>
        <w:spacing w:line="360" w:lineRule="auto"/>
        <w:rPr>
          <w:rFonts w:hint="eastAsia" w:ascii="宋体" w:hAnsi="宋体"/>
          <w:color w:val="auto"/>
          <w:szCs w:val="21"/>
        </w:rPr>
      </w:pPr>
    </w:p>
    <w:p w14:paraId="6C9231B9">
      <w:pPr>
        <w:numPr>
          <w:ilvl w:val="0"/>
          <w:numId w:val="41"/>
        </w:numPr>
        <w:tabs>
          <w:tab w:val="left" w:pos="1080"/>
        </w:tabs>
        <w:spacing w:line="360" w:lineRule="auto"/>
        <w:rPr>
          <w:rFonts w:hint="eastAsia" w:ascii="宋体" w:hAnsi="宋体"/>
          <w:color w:val="auto"/>
          <w:szCs w:val="21"/>
        </w:rPr>
      </w:pPr>
      <w:r>
        <w:rPr>
          <w:rFonts w:hint="eastAsia" w:ascii="宋体" w:hAnsi="宋体"/>
          <w:color w:val="auto"/>
          <w:szCs w:val="21"/>
        </w:rPr>
        <w:t>投标人资格声明函</w:t>
      </w:r>
    </w:p>
    <w:p w14:paraId="24961F36">
      <w:pPr>
        <w:numPr>
          <w:ilvl w:val="0"/>
          <w:numId w:val="41"/>
        </w:numPr>
        <w:tabs>
          <w:tab w:val="left" w:pos="1080"/>
        </w:tabs>
        <w:spacing w:line="360" w:lineRule="auto"/>
        <w:rPr>
          <w:rFonts w:hint="eastAsia" w:ascii="宋体" w:hAnsi="宋体"/>
          <w:color w:val="auto"/>
          <w:szCs w:val="21"/>
        </w:rPr>
      </w:pPr>
      <w:r>
        <w:rPr>
          <w:rFonts w:hint="eastAsia" w:ascii="宋体" w:hAnsi="宋体"/>
          <w:color w:val="auto"/>
          <w:szCs w:val="21"/>
        </w:rPr>
        <w:t>投标人基本情况</w:t>
      </w:r>
    </w:p>
    <w:p w14:paraId="059E36A4">
      <w:pPr>
        <w:numPr>
          <w:ilvl w:val="0"/>
          <w:numId w:val="41"/>
        </w:numPr>
        <w:tabs>
          <w:tab w:val="left" w:pos="1080"/>
        </w:tabs>
        <w:spacing w:line="360" w:lineRule="auto"/>
        <w:rPr>
          <w:rFonts w:hint="eastAsia" w:ascii="宋体" w:hAnsi="宋体"/>
          <w:color w:val="auto"/>
          <w:szCs w:val="21"/>
        </w:rPr>
      </w:pPr>
      <w:r>
        <w:rPr>
          <w:rFonts w:hint="eastAsia" w:ascii="宋体" w:hAnsi="宋体"/>
          <w:color w:val="auto"/>
          <w:szCs w:val="21"/>
        </w:rPr>
        <w:t>投标人资格证明文件</w:t>
      </w:r>
    </w:p>
    <w:p w14:paraId="0EE93A73">
      <w:pPr>
        <w:tabs>
          <w:tab w:val="left" w:pos="1080"/>
        </w:tabs>
        <w:spacing w:line="360" w:lineRule="auto"/>
        <w:jc w:val="center"/>
        <w:rPr>
          <w:rFonts w:hint="eastAsia" w:ascii="宋体" w:hAnsi="宋体"/>
          <w:color w:val="auto"/>
          <w:szCs w:val="21"/>
        </w:rPr>
      </w:pPr>
    </w:p>
    <w:p w14:paraId="56975DBF">
      <w:pPr>
        <w:tabs>
          <w:tab w:val="left" w:pos="1080"/>
        </w:tabs>
        <w:spacing w:line="360" w:lineRule="auto"/>
        <w:rPr>
          <w:rFonts w:hint="eastAsia" w:ascii="宋体" w:hAnsi="宋体"/>
          <w:color w:val="auto"/>
          <w:szCs w:val="21"/>
        </w:rPr>
      </w:pPr>
    </w:p>
    <w:p w14:paraId="48591A9B">
      <w:pPr>
        <w:tabs>
          <w:tab w:val="left" w:pos="1080"/>
        </w:tabs>
        <w:spacing w:line="360" w:lineRule="auto"/>
        <w:rPr>
          <w:rFonts w:hint="eastAsia" w:ascii="宋体" w:hAnsi="宋体"/>
          <w:color w:val="auto"/>
          <w:szCs w:val="21"/>
        </w:rPr>
      </w:pPr>
    </w:p>
    <w:p w14:paraId="339E2E7B">
      <w:pPr>
        <w:tabs>
          <w:tab w:val="left" w:pos="1080"/>
        </w:tabs>
        <w:spacing w:line="360" w:lineRule="auto"/>
        <w:rPr>
          <w:rFonts w:hint="eastAsia" w:ascii="宋体" w:hAnsi="宋体"/>
          <w:color w:val="auto"/>
          <w:szCs w:val="21"/>
        </w:rPr>
      </w:pPr>
    </w:p>
    <w:p w14:paraId="6D4AED05">
      <w:pPr>
        <w:tabs>
          <w:tab w:val="left" w:pos="1080"/>
        </w:tabs>
        <w:spacing w:line="360" w:lineRule="auto"/>
        <w:rPr>
          <w:rFonts w:hint="eastAsia" w:ascii="宋体" w:hAnsi="宋体"/>
          <w:color w:val="auto"/>
          <w:szCs w:val="21"/>
        </w:rPr>
      </w:pPr>
    </w:p>
    <w:p w14:paraId="2E6907F4">
      <w:pPr>
        <w:tabs>
          <w:tab w:val="left" w:pos="1080"/>
        </w:tabs>
        <w:spacing w:line="360" w:lineRule="auto"/>
        <w:rPr>
          <w:rFonts w:hint="eastAsia" w:ascii="宋体" w:hAnsi="宋体"/>
          <w:color w:val="auto"/>
          <w:szCs w:val="21"/>
        </w:rPr>
      </w:pPr>
    </w:p>
    <w:p w14:paraId="4E06837E">
      <w:pPr>
        <w:tabs>
          <w:tab w:val="left" w:pos="1080"/>
        </w:tabs>
        <w:spacing w:line="360" w:lineRule="auto"/>
        <w:rPr>
          <w:rFonts w:hint="eastAsia" w:ascii="宋体" w:hAnsi="宋体"/>
          <w:color w:val="auto"/>
          <w:szCs w:val="21"/>
        </w:rPr>
      </w:pPr>
    </w:p>
    <w:p w14:paraId="0EEA18B3">
      <w:pPr>
        <w:tabs>
          <w:tab w:val="left" w:pos="1080"/>
        </w:tabs>
        <w:spacing w:line="360" w:lineRule="auto"/>
        <w:rPr>
          <w:rFonts w:hint="eastAsia" w:ascii="宋体" w:hAnsi="宋体"/>
          <w:color w:val="auto"/>
          <w:szCs w:val="21"/>
        </w:rPr>
      </w:pPr>
    </w:p>
    <w:p w14:paraId="33CAF46B">
      <w:pPr>
        <w:tabs>
          <w:tab w:val="left" w:pos="1080"/>
        </w:tabs>
        <w:spacing w:line="360" w:lineRule="auto"/>
        <w:rPr>
          <w:rFonts w:hint="eastAsia" w:ascii="宋体" w:hAnsi="宋体"/>
          <w:color w:val="auto"/>
          <w:szCs w:val="21"/>
        </w:rPr>
      </w:pPr>
    </w:p>
    <w:p w14:paraId="771901E9">
      <w:pPr>
        <w:tabs>
          <w:tab w:val="left" w:pos="1080"/>
        </w:tabs>
        <w:spacing w:line="360" w:lineRule="auto"/>
        <w:rPr>
          <w:rFonts w:hint="eastAsia" w:ascii="宋体" w:hAnsi="宋体"/>
          <w:color w:val="auto"/>
          <w:szCs w:val="21"/>
        </w:rPr>
      </w:pPr>
    </w:p>
    <w:p w14:paraId="21E99972">
      <w:pPr>
        <w:tabs>
          <w:tab w:val="left" w:pos="1080"/>
        </w:tabs>
        <w:spacing w:line="360" w:lineRule="auto"/>
        <w:rPr>
          <w:rFonts w:hint="eastAsia" w:ascii="宋体" w:hAnsi="宋体"/>
          <w:color w:val="auto"/>
          <w:szCs w:val="21"/>
        </w:rPr>
      </w:pPr>
    </w:p>
    <w:p w14:paraId="7A113167">
      <w:pPr>
        <w:tabs>
          <w:tab w:val="left" w:pos="1080"/>
        </w:tabs>
        <w:spacing w:line="360" w:lineRule="auto"/>
        <w:rPr>
          <w:rFonts w:hint="eastAsia" w:ascii="宋体" w:hAnsi="宋体"/>
          <w:color w:val="auto"/>
          <w:szCs w:val="21"/>
        </w:rPr>
      </w:pPr>
    </w:p>
    <w:p w14:paraId="38632322">
      <w:pPr>
        <w:tabs>
          <w:tab w:val="left" w:pos="1080"/>
        </w:tabs>
        <w:spacing w:line="360" w:lineRule="auto"/>
        <w:rPr>
          <w:rFonts w:hint="eastAsia" w:ascii="宋体" w:hAnsi="宋体"/>
          <w:color w:val="auto"/>
          <w:szCs w:val="21"/>
        </w:rPr>
      </w:pPr>
    </w:p>
    <w:p w14:paraId="65E874BB">
      <w:pPr>
        <w:tabs>
          <w:tab w:val="left" w:pos="1080"/>
        </w:tabs>
        <w:spacing w:line="360" w:lineRule="auto"/>
        <w:rPr>
          <w:rFonts w:hint="eastAsia" w:ascii="宋体" w:hAnsi="宋体"/>
          <w:color w:val="auto"/>
          <w:szCs w:val="21"/>
        </w:rPr>
      </w:pPr>
    </w:p>
    <w:p w14:paraId="14615976">
      <w:pPr>
        <w:tabs>
          <w:tab w:val="left" w:pos="1080"/>
        </w:tabs>
        <w:spacing w:line="360" w:lineRule="auto"/>
        <w:rPr>
          <w:rFonts w:hint="eastAsia" w:ascii="宋体" w:hAnsi="宋体"/>
          <w:color w:val="auto"/>
          <w:szCs w:val="21"/>
        </w:rPr>
      </w:pPr>
    </w:p>
    <w:p w14:paraId="65E94688">
      <w:pPr>
        <w:tabs>
          <w:tab w:val="left" w:pos="1080"/>
        </w:tabs>
        <w:spacing w:line="360" w:lineRule="auto"/>
        <w:rPr>
          <w:rFonts w:hint="eastAsia" w:ascii="宋体" w:hAnsi="宋体"/>
          <w:color w:val="auto"/>
          <w:szCs w:val="21"/>
        </w:rPr>
      </w:pPr>
    </w:p>
    <w:p w14:paraId="6D4EB747">
      <w:pPr>
        <w:tabs>
          <w:tab w:val="left" w:pos="1080"/>
        </w:tabs>
        <w:spacing w:line="360" w:lineRule="auto"/>
        <w:rPr>
          <w:rFonts w:hint="eastAsia" w:ascii="宋体" w:hAnsi="宋体"/>
          <w:color w:val="auto"/>
          <w:szCs w:val="21"/>
        </w:rPr>
      </w:pPr>
    </w:p>
    <w:p w14:paraId="282A2711">
      <w:pPr>
        <w:tabs>
          <w:tab w:val="left" w:pos="1080"/>
        </w:tabs>
        <w:spacing w:line="360" w:lineRule="auto"/>
        <w:rPr>
          <w:rFonts w:hint="eastAsia" w:ascii="宋体" w:hAnsi="宋体"/>
          <w:color w:val="auto"/>
          <w:szCs w:val="21"/>
        </w:rPr>
      </w:pPr>
    </w:p>
    <w:p w14:paraId="6444E6F4">
      <w:pPr>
        <w:tabs>
          <w:tab w:val="left" w:pos="1080"/>
        </w:tabs>
        <w:spacing w:line="360" w:lineRule="auto"/>
        <w:rPr>
          <w:rFonts w:hint="eastAsia" w:ascii="宋体" w:hAnsi="宋体"/>
          <w:color w:val="auto"/>
          <w:szCs w:val="21"/>
        </w:rPr>
      </w:pPr>
    </w:p>
    <w:p w14:paraId="390E0A34">
      <w:pPr>
        <w:tabs>
          <w:tab w:val="left" w:pos="1080"/>
        </w:tabs>
        <w:spacing w:line="360" w:lineRule="auto"/>
        <w:rPr>
          <w:rFonts w:hint="eastAsia" w:ascii="宋体" w:hAnsi="宋体"/>
          <w:color w:val="auto"/>
          <w:szCs w:val="21"/>
        </w:rPr>
      </w:pPr>
    </w:p>
    <w:p w14:paraId="21DB36E7">
      <w:pPr>
        <w:tabs>
          <w:tab w:val="left" w:pos="1080"/>
        </w:tabs>
        <w:spacing w:line="360" w:lineRule="auto"/>
        <w:rPr>
          <w:rFonts w:hint="eastAsia" w:ascii="宋体" w:hAnsi="宋体"/>
          <w:color w:val="auto"/>
          <w:szCs w:val="21"/>
        </w:rPr>
      </w:pPr>
    </w:p>
    <w:p w14:paraId="3BC5EB36">
      <w:pPr>
        <w:tabs>
          <w:tab w:val="left" w:pos="1080"/>
        </w:tabs>
        <w:spacing w:line="360" w:lineRule="auto"/>
        <w:rPr>
          <w:rFonts w:hint="eastAsia" w:ascii="宋体" w:hAnsi="宋体"/>
          <w:color w:val="auto"/>
          <w:szCs w:val="21"/>
        </w:rPr>
      </w:pPr>
      <w:r>
        <w:rPr>
          <w:rFonts w:hint="eastAsia" w:ascii="宋体" w:hAnsi="宋体"/>
          <w:color w:val="auto"/>
          <w:szCs w:val="21"/>
        </w:rPr>
        <w:br w:type="page"/>
      </w:r>
    </w:p>
    <w:p w14:paraId="216BBB52">
      <w:pPr>
        <w:rPr>
          <w:rFonts w:hint="eastAsia"/>
          <w:color w:val="auto"/>
        </w:rPr>
      </w:pPr>
    </w:p>
    <w:p w14:paraId="6DA12CB4">
      <w:pPr>
        <w:pStyle w:val="3"/>
        <w:numPr>
          <w:ilvl w:val="0"/>
          <w:numId w:val="42"/>
        </w:numPr>
        <w:tabs>
          <w:tab w:val="left" w:pos="840"/>
        </w:tabs>
        <w:jc w:val="center"/>
        <w:rPr>
          <w:rFonts w:hint="eastAsia" w:ascii="宋体" w:hAnsi="宋体"/>
          <w:color w:val="auto"/>
          <w:szCs w:val="24"/>
        </w:rPr>
      </w:pPr>
      <w:bookmarkStart w:id="489" w:name="_Toc2531"/>
      <w:r>
        <w:rPr>
          <w:rFonts w:hint="eastAsia" w:ascii="宋体" w:hAnsi="宋体"/>
          <w:color w:val="auto"/>
          <w:szCs w:val="24"/>
        </w:rPr>
        <w:t>投标人资格声明函</w:t>
      </w:r>
      <w:bookmarkEnd w:id="489"/>
    </w:p>
    <w:p w14:paraId="7D385182">
      <w:pPr>
        <w:spacing w:line="360" w:lineRule="auto"/>
        <w:rPr>
          <w:rFonts w:hint="eastAsia" w:ascii="宋体" w:hAnsi="宋体" w:cs="宋体"/>
          <w:bCs/>
          <w:color w:val="auto"/>
          <w:szCs w:val="21"/>
        </w:rPr>
      </w:pPr>
    </w:p>
    <w:p w14:paraId="52894688">
      <w:pPr>
        <w:spacing w:line="360" w:lineRule="auto"/>
        <w:rPr>
          <w:rFonts w:hint="eastAsia"/>
          <w:color w:val="auto"/>
        </w:rPr>
      </w:pPr>
      <w:r>
        <w:rPr>
          <w:rFonts w:hint="eastAsia"/>
          <w:color w:val="auto"/>
          <w:u w:val="single"/>
        </w:rPr>
        <w:t>致     （采购人或采购代理机构名称）</w:t>
      </w:r>
      <w:r>
        <w:rPr>
          <w:rFonts w:hint="eastAsia"/>
          <w:color w:val="auto"/>
        </w:rPr>
        <w:t>：</w:t>
      </w:r>
    </w:p>
    <w:p w14:paraId="2489D4CA">
      <w:pPr>
        <w:spacing w:line="360" w:lineRule="auto"/>
        <w:ind w:firstLine="450"/>
        <w:rPr>
          <w:rFonts w:hint="eastAsia" w:ascii="宋体" w:hAnsi="宋体" w:cs="宋体"/>
          <w:color w:val="auto"/>
          <w:szCs w:val="21"/>
        </w:rPr>
      </w:pPr>
      <w:r>
        <w:rPr>
          <w:rFonts w:hint="eastAsia" w:ascii="宋体" w:hAnsi="宋体" w:cs="宋体"/>
          <w:color w:val="auto"/>
          <w:szCs w:val="21"/>
        </w:rPr>
        <w:t>关于贵方</w:t>
      </w:r>
      <w:r>
        <w:rPr>
          <w:rFonts w:hint="eastAsia" w:ascii="宋体" w:hAnsi="宋体" w:cs="宋体"/>
          <w:color w:val="auto"/>
          <w:szCs w:val="21"/>
          <w:u w:val="single"/>
        </w:rPr>
        <w:t xml:space="preserve">       项目名称           </w:t>
      </w:r>
      <w:r>
        <w:rPr>
          <w:rFonts w:hint="eastAsia" w:ascii="宋体" w:hAnsi="宋体" w:cs="宋体"/>
          <w:color w:val="auto"/>
          <w:szCs w:val="21"/>
        </w:rPr>
        <w:t>的投标邀请，本公司愿意参加投标，提供招标内容中规定的货物及其伴随的服务，并声明提交的下列文件是准确的和真实的。</w:t>
      </w:r>
    </w:p>
    <w:p w14:paraId="6AC46B28">
      <w:pPr>
        <w:spacing w:line="360" w:lineRule="auto"/>
        <w:ind w:firstLine="420" w:firstLineChars="200"/>
        <w:rPr>
          <w:rFonts w:hint="eastAsia" w:ascii="宋体" w:hAnsi="宋体" w:cs="宋体"/>
          <w:color w:val="auto"/>
          <w:szCs w:val="21"/>
        </w:rPr>
      </w:pPr>
      <w:r>
        <w:rPr>
          <w:rFonts w:hint="eastAsia" w:ascii="宋体" w:hAnsi="宋体" w:cs="宋体"/>
          <w:bCs/>
          <w:color w:val="auto"/>
          <w:szCs w:val="21"/>
        </w:rPr>
        <w:t>1.</w:t>
      </w:r>
      <w:r>
        <w:rPr>
          <w:rFonts w:hint="eastAsia" w:ascii="宋体" w:hAnsi="宋体" w:cs="宋体"/>
          <w:color w:val="auto"/>
          <w:szCs w:val="21"/>
        </w:rPr>
        <w:t>投标人基本情况</w:t>
      </w:r>
    </w:p>
    <w:p w14:paraId="035401F2">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2.投标人资格证明文件</w:t>
      </w:r>
    </w:p>
    <w:p w14:paraId="0EC5008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我方在此声明：</w:t>
      </w:r>
    </w:p>
    <w:p w14:paraId="445A284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（1）我方具备并满足《中华人民共和国政府采购法》第二十二条及实施条例第十七条所规定的投标人的条件；</w:t>
      </w:r>
    </w:p>
    <w:p w14:paraId="490440E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（2）我方未被列入失信被执行人、重大税收违法案件当事人名单、政府采购严重违法失信行为记录名单及其他不符合《中华人民共和国政府采购法》第二十二条规定条件的投标人。</w:t>
      </w:r>
    </w:p>
    <w:p w14:paraId="47E540F2">
      <w:pPr>
        <w:spacing w:line="360" w:lineRule="auto"/>
        <w:rPr>
          <w:rFonts w:hint="eastAsia" w:ascii="宋体" w:hAnsi="宋体" w:cs="宋体"/>
          <w:color w:val="auto"/>
          <w:szCs w:val="21"/>
        </w:rPr>
      </w:pPr>
    </w:p>
    <w:p w14:paraId="62138BD5">
      <w:pPr>
        <w:rPr>
          <w:rFonts w:hint="eastAsia" w:ascii="宋体" w:hAnsi="宋体"/>
          <w:color w:val="auto"/>
          <w:szCs w:val="21"/>
        </w:rPr>
      </w:pPr>
    </w:p>
    <w:p w14:paraId="711BB06B">
      <w:pPr>
        <w:rPr>
          <w:rFonts w:hint="eastAsia" w:ascii="宋体" w:hAnsi="宋体"/>
          <w:color w:val="auto"/>
          <w:szCs w:val="21"/>
        </w:rPr>
      </w:pPr>
    </w:p>
    <w:p w14:paraId="6E08AD8B">
      <w:pPr>
        <w:ind w:firstLine="2940" w:firstLineChars="1400"/>
        <w:rPr>
          <w:rFonts w:hint="eastAsia" w:ascii="宋体" w:hAnsi="宋体"/>
          <w:color w:val="auto"/>
          <w:szCs w:val="21"/>
        </w:rPr>
      </w:pPr>
      <w:r>
        <w:rPr>
          <w:rFonts w:hint="eastAsia" w:ascii="宋体" w:hAnsi="宋体"/>
          <w:color w:val="auto"/>
          <w:szCs w:val="21"/>
        </w:rPr>
        <w:t>投标人：</w:t>
      </w:r>
      <w:r>
        <w:rPr>
          <w:rFonts w:hint="eastAsia" w:ascii="宋体" w:hAnsi="宋体"/>
          <w:color w:val="auto"/>
          <w:szCs w:val="21"/>
          <w:u w:val="single"/>
        </w:rPr>
        <w:t xml:space="preserve">                               </w:t>
      </w:r>
      <w:r>
        <w:rPr>
          <w:rFonts w:hint="eastAsia" w:ascii="宋体" w:hAnsi="宋体"/>
          <w:color w:val="auto"/>
          <w:szCs w:val="21"/>
        </w:rPr>
        <w:t>（盖章）</w:t>
      </w:r>
    </w:p>
    <w:p w14:paraId="3BE40BE4">
      <w:pPr>
        <w:rPr>
          <w:rFonts w:hint="eastAsia" w:ascii="宋体" w:hAnsi="宋体"/>
          <w:color w:val="auto"/>
          <w:szCs w:val="21"/>
        </w:rPr>
      </w:pPr>
      <w:r>
        <w:rPr>
          <w:rFonts w:hint="eastAsia" w:ascii="宋体" w:hAnsi="宋体"/>
          <w:color w:val="auto"/>
          <w:szCs w:val="21"/>
        </w:rPr>
        <w:t xml:space="preserve">     </w:t>
      </w:r>
    </w:p>
    <w:p w14:paraId="14362784">
      <w:pPr>
        <w:ind w:firstLine="2940" w:firstLineChars="1400"/>
        <w:rPr>
          <w:rFonts w:hint="eastAsia" w:ascii="宋体" w:hAnsi="宋体"/>
          <w:color w:val="auto"/>
          <w:szCs w:val="21"/>
        </w:rPr>
      </w:pPr>
      <w:r>
        <w:rPr>
          <w:rFonts w:hint="eastAsia" w:ascii="宋体" w:hAnsi="宋体"/>
          <w:color w:val="auto"/>
          <w:szCs w:val="21"/>
        </w:rPr>
        <w:t>法定代表人或其委托代理人：</w:t>
      </w:r>
      <w:r>
        <w:rPr>
          <w:rFonts w:hint="eastAsia" w:ascii="宋体" w:hAnsi="宋体"/>
          <w:color w:val="auto"/>
          <w:szCs w:val="21"/>
          <w:u w:val="single"/>
        </w:rPr>
        <w:t xml:space="preserve">        </w:t>
      </w:r>
      <w:r>
        <w:rPr>
          <w:rFonts w:hint="eastAsia" w:ascii="宋体" w:hAnsi="宋体"/>
          <w:color w:val="auto"/>
          <w:szCs w:val="21"/>
        </w:rPr>
        <w:t>（签字或盖章）</w:t>
      </w:r>
    </w:p>
    <w:p w14:paraId="4CF3548F">
      <w:pPr>
        <w:rPr>
          <w:rFonts w:hint="eastAsia" w:ascii="宋体" w:hAnsi="宋体"/>
          <w:color w:val="auto"/>
          <w:szCs w:val="21"/>
        </w:rPr>
      </w:pPr>
    </w:p>
    <w:p w14:paraId="04CEF7E1">
      <w:pPr>
        <w:tabs>
          <w:tab w:val="left" w:pos="5380"/>
          <w:tab w:val="left" w:pos="6520"/>
          <w:tab w:val="left" w:pos="7680"/>
        </w:tabs>
        <w:autoSpaceDE w:val="0"/>
        <w:autoSpaceDN w:val="0"/>
        <w:adjustRightInd w:val="0"/>
        <w:ind w:right="-20" w:firstLine="3780" w:firstLineChars="1800"/>
        <w:jc w:val="left"/>
        <w:rPr>
          <w:rFonts w:hint="eastAsia" w:ascii="宋体" w:hAnsi="宋体" w:cs="宋体"/>
          <w:color w:val="auto"/>
          <w:kern w:val="0"/>
          <w:szCs w:val="21"/>
        </w:rPr>
      </w:pPr>
      <w:r>
        <w:rPr>
          <w:rFonts w:hint="eastAsia" w:ascii="宋体" w:hAnsi="宋体" w:cs="宋体"/>
          <w:color w:val="auto"/>
          <w:kern w:val="0"/>
          <w:szCs w:val="21"/>
          <w:u w:val="single"/>
        </w:rPr>
        <w:t xml:space="preserve">     </w:t>
      </w:r>
      <w:r>
        <w:rPr>
          <w:rFonts w:hint="eastAsia" w:ascii="宋体" w:hAnsi="宋体" w:cs="宋体"/>
          <w:color w:val="auto"/>
          <w:spacing w:val="43"/>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w:t>
      </w:r>
    </w:p>
    <w:p w14:paraId="343C476E">
      <w:pPr>
        <w:rPr>
          <w:rFonts w:hint="eastAsia" w:ascii="宋体" w:hAnsi="宋体"/>
          <w:color w:val="auto"/>
          <w:szCs w:val="21"/>
        </w:rPr>
      </w:pPr>
    </w:p>
    <w:p w14:paraId="266AEC50">
      <w:pPr>
        <w:pStyle w:val="5"/>
        <w:rPr>
          <w:rFonts w:ascii="仿宋" w:hAnsi="仿宋" w:eastAsia="仿宋"/>
          <w:color w:val="auto"/>
          <w:sz w:val="24"/>
        </w:rPr>
      </w:pPr>
    </w:p>
    <w:p w14:paraId="7E8CC3D5">
      <w:pPr>
        <w:pStyle w:val="5"/>
        <w:rPr>
          <w:rFonts w:ascii="仿宋" w:hAnsi="仿宋" w:eastAsia="仿宋"/>
          <w:color w:val="auto"/>
          <w:sz w:val="24"/>
        </w:rPr>
      </w:pPr>
    </w:p>
    <w:p w14:paraId="45696040">
      <w:pPr>
        <w:rPr>
          <w:rFonts w:hint="eastAsia"/>
          <w:color w:val="auto"/>
        </w:rPr>
      </w:pPr>
      <w:r>
        <w:rPr>
          <w:rFonts w:hint="eastAsia"/>
          <w:color w:val="auto"/>
        </w:rPr>
        <w:br w:type="page"/>
      </w:r>
    </w:p>
    <w:p w14:paraId="10089ED8">
      <w:pPr>
        <w:pStyle w:val="3"/>
        <w:numPr>
          <w:ilvl w:val="0"/>
          <w:numId w:val="42"/>
        </w:numPr>
        <w:tabs>
          <w:tab w:val="left" w:pos="840"/>
        </w:tabs>
        <w:jc w:val="center"/>
        <w:rPr>
          <w:rFonts w:hint="eastAsia" w:ascii="宋体" w:hAnsi="宋体"/>
          <w:color w:val="auto"/>
          <w:szCs w:val="24"/>
        </w:rPr>
      </w:pPr>
      <w:bookmarkStart w:id="490" w:name="_Toc15631"/>
      <w:r>
        <w:rPr>
          <w:rFonts w:hint="eastAsia" w:ascii="宋体" w:hAnsi="宋体"/>
          <w:color w:val="auto"/>
          <w:szCs w:val="24"/>
        </w:rPr>
        <w:t>投标人基本情况</w:t>
      </w:r>
      <w:bookmarkEnd w:id="490"/>
    </w:p>
    <w:p w14:paraId="6D8BD7C7">
      <w:pPr>
        <w:rPr>
          <w:rFonts w:hint="eastAsia" w:ascii="仿宋" w:hAnsi="仿宋" w:eastAsia="仿宋"/>
          <w:color w:val="auto"/>
          <w:sz w:val="24"/>
        </w:rPr>
      </w:pPr>
    </w:p>
    <w:p w14:paraId="27C82075">
      <w:pPr>
        <w:spacing w:line="360" w:lineRule="auto"/>
        <w:rPr>
          <w:rFonts w:hint="eastAsia" w:ascii="宋体" w:hAnsi="宋体" w:cs="宋体"/>
          <w:b/>
          <w:color w:val="auto"/>
          <w:szCs w:val="21"/>
        </w:rPr>
      </w:pPr>
      <w:r>
        <w:rPr>
          <w:rFonts w:hint="eastAsia" w:ascii="宋体" w:hAnsi="宋体" w:cs="宋体"/>
          <w:b/>
          <w:color w:val="auto"/>
          <w:szCs w:val="21"/>
        </w:rPr>
        <w:t>1.投标人概况</w:t>
      </w:r>
    </w:p>
    <w:p w14:paraId="3902AEBE">
      <w:pPr>
        <w:spacing w:line="360" w:lineRule="auto"/>
        <w:rPr>
          <w:rFonts w:hint="eastAsia" w:ascii="宋体" w:hAnsi="宋体" w:cs="宋体"/>
          <w:color w:val="auto"/>
          <w:szCs w:val="21"/>
          <w:u w:val="single"/>
        </w:rPr>
      </w:pPr>
      <w:r>
        <w:rPr>
          <w:rFonts w:hint="eastAsia" w:ascii="宋体" w:hAnsi="宋体" w:cs="宋体"/>
          <w:color w:val="auto"/>
          <w:szCs w:val="21"/>
        </w:rPr>
        <w:t>（1）投标人名称：</w:t>
      </w:r>
    </w:p>
    <w:p w14:paraId="494FAE6A">
      <w:pPr>
        <w:spacing w:line="360" w:lineRule="auto"/>
        <w:rPr>
          <w:rFonts w:hint="eastAsia" w:ascii="宋体" w:hAnsi="宋体" w:cs="宋体"/>
          <w:color w:val="auto"/>
          <w:szCs w:val="21"/>
          <w:u w:val="single"/>
        </w:rPr>
      </w:pPr>
      <w:r>
        <w:rPr>
          <w:rFonts w:hint="eastAsia" w:ascii="宋体" w:hAnsi="宋体" w:cs="宋体"/>
          <w:color w:val="auto"/>
          <w:szCs w:val="21"/>
        </w:rPr>
        <w:t>（2）注册地址：</w:t>
      </w:r>
    </w:p>
    <w:p w14:paraId="52F099FB">
      <w:pPr>
        <w:spacing w:line="360" w:lineRule="auto"/>
        <w:rPr>
          <w:rFonts w:hint="eastAsia" w:ascii="宋体" w:hAnsi="宋体" w:cs="宋体"/>
          <w:color w:val="auto"/>
          <w:szCs w:val="21"/>
          <w:u w:val="single"/>
        </w:rPr>
      </w:pPr>
      <w:r>
        <w:rPr>
          <w:rFonts w:hint="eastAsia" w:ascii="宋体" w:hAnsi="宋体" w:cs="宋体"/>
          <w:color w:val="auto"/>
          <w:szCs w:val="21"/>
        </w:rPr>
        <w:t>（3）成立或注册日期：</w:t>
      </w:r>
    </w:p>
    <w:p w14:paraId="504545B6">
      <w:pPr>
        <w:spacing w:line="360" w:lineRule="auto"/>
        <w:rPr>
          <w:rFonts w:hint="eastAsia" w:ascii="宋体" w:hAnsi="宋体" w:cs="宋体"/>
          <w:color w:val="auto"/>
          <w:szCs w:val="21"/>
        </w:rPr>
      </w:pPr>
      <w:r>
        <w:rPr>
          <w:rFonts w:hint="eastAsia" w:ascii="宋体" w:hAnsi="宋体" w:cs="宋体"/>
          <w:color w:val="auto"/>
          <w:szCs w:val="21"/>
        </w:rPr>
        <w:t>（4）法定代表人（姓名、职务）：</w:t>
      </w:r>
    </w:p>
    <w:p w14:paraId="0CE5DFD6">
      <w:pPr>
        <w:spacing w:line="360" w:lineRule="auto"/>
        <w:rPr>
          <w:rFonts w:hint="eastAsia" w:ascii="宋体" w:hAnsi="宋体" w:cs="宋体"/>
          <w:color w:val="auto"/>
          <w:szCs w:val="21"/>
        </w:rPr>
      </w:pPr>
      <w:r>
        <w:rPr>
          <w:rFonts w:hint="eastAsia" w:ascii="宋体" w:hAnsi="宋体" w:cs="宋体"/>
          <w:color w:val="auto"/>
          <w:szCs w:val="21"/>
        </w:rPr>
        <w:t>（5）注册资本：</w:t>
      </w:r>
      <w:r>
        <w:rPr>
          <w:rFonts w:hint="eastAsia" w:ascii="宋体" w:hAnsi="宋体" w:cs="宋体"/>
          <w:color w:val="auto"/>
          <w:szCs w:val="21"/>
          <w:u w:val="single"/>
        </w:rPr>
        <w:t xml:space="preserve">          </w:t>
      </w:r>
      <w:r>
        <w:rPr>
          <w:rFonts w:hint="eastAsia" w:ascii="宋体" w:hAnsi="宋体" w:cs="宋体"/>
          <w:color w:val="auto"/>
          <w:szCs w:val="21"/>
        </w:rPr>
        <w:t>万元</w:t>
      </w:r>
    </w:p>
    <w:p w14:paraId="4F9DB164">
      <w:pPr>
        <w:spacing w:line="360" w:lineRule="auto"/>
        <w:rPr>
          <w:rFonts w:hint="eastAsia" w:ascii="宋体" w:hAnsi="宋体" w:cs="宋体"/>
          <w:color w:val="auto"/>
          <w:szCs w:val="21"/>
        </w:rPr>
      </w:pPr>
      <w:r>
        <w:rPr>
          <w:rFonts w:hint="eastAsia" w:ascii="宋体" w:hAnsi="宋体" w:cs="宋体"/>
          <w:color w:val="auto"/>
          <w:szCs w:val="21"/>
        </w:rPr>
        <w:t>（6）投标人邮箱：</w:t>
      </w:r>
    </w:p>
    <w:p w14:paraId="153A7FBD">
      <w:pPr>
        <w:spacing w:line="360" w:lineRule="auto"/>
        <w:rPr>
          <w:rFonts w:hint="eastAsia" w:ascii="宋体" w:hAnsi="宋体" w:cs="宋体"/>
          <w:b/>
          <w:color w:val="auto"/>
          <w:szCs w:val="21"/>
        </w:rPr>
      </w:pPr>
      <w:r>
        <w:rPr>
          <w:rFonts w:hint="eastAsia" w:ascii="宋体" w:hAnsi="宋体" w:cs="宋体"/>
          <w:color w:val="auto"/>
          <w:szCs w:val="21"/>
        </w:rPr>
        <w:t>（7）投标人关联企业情况（包括但不限于与投标人法定代表人（单位负责人）为同一人或者存在控股、管理关系的不同单位）：</w:t>
      </w:r>
    </w:p>
    <w:p w14:paraId="7985A242">
      <w:pPr>
        <w:spacing w:line="360" w:lineRule="auto"/>
        <w:rPr>
          <w:rFonts w:hint="eastAsia" w:ascii="宋体" w:hAnsi="宋体" w:cs="宋体"/>
          <w:b/>
          <w:color w:val="auto"/>
          <w:szCs w:val="21"/>
        </w:rPr>
      </w:pPr>
      <w:r>
        <w:rPr>
          <w:rFonts w:hint="eastAsia" w:ascii="宋体" w:hAnsi="宋体" w:cs="宋体"/>
          <w:b/>
          <w:color w:val="auto"/>
          <w:szCs w:val="21"/>
        </w:rPr>
        <w:t>2.投标人财务状况</w:t>
      </w:r>
    </w:p>
    <w:p w14:paraId="029A35F2">
      <w:pPr>
        <w:spacing w:line="360" w:lineRule="auto"/>
        <w:rPr>
          <w:rFonts w:hint="eastAsia" w:ascii="宋体" w:hAnsi="宋体" w:cs="宋体"/>
          <w:color w:val="auto"/>
          <w:szCs w:val="21"/>
        </w:rPr>
      </w:pPr>
      <w:r>
        <w:rPr>
          <w:rFonts w:hint="eastAsia" w:ascii="宋体" w:hAnsi="宋体" w:cs="宋体"/>
          <w:color w:val="auto"/>
          <w:szCs w:val="21"/>
        </w:rPr>
        <w:t>（1）资产负债表（到  年  月  日为止）</w:t>
      </w:r>
    </w:p>
    <w:p w14:paraId="2087FAAC">
      <w:pPr>
        <w:spacing w:line="360" w:lineRule="auto"/>
        <w:rPr>
          <w:rFonts w:hint="eastAsia" w:ascii="宋体" w:hAnsi="宋体" w:cs="宋体"/>
          <w:color w:val="auto"/>
          <w:szCs w:val="21"/>
          <w:u w:val="single"/>
        </w:rPr>
      </w:pPr>
      <w:r>
        <w:rPr>
          <w:rFonts w:hint="eastAsia" w:ascii="宋体" w:hAnsi="宋体" w:cs="宋体"/>
          <w:color w:val="auto"/>
          <w:szCs w:val="21"/>
        </w:rPr>
        <w:t>固定资产合计:</w:t>
      </w:r>
      <w:r>
        <w:rPr>
          <w:rFonts w:hint="eastAsia" w:ascii="宋体" w:hAnsi="宋体" w:cs="宋体"/>
          <w:color w:val="auto"/>
          <w:szCs w:val="21"/>
          <w:u w:val="single"/>
        </w:rPr>
        <w:t xml:space="preserve">          </w:t>
      </w:r>
      <w:r>
        <w:rPr>
          <w:rFonts w:hint="eastAsia" w:ascii="宋体" w:hAnsi="宋体" w:cs="宋体"/>
          <w:color w:val="auto"/>
          <w:szCs w:val="21"/>
        </w:rPr>
        <w:t>元</w:t>
      </w:r>
    </w:p>
    <w:p w14:paraId="4A2AEBE5">
      <w:pPr>
        <w:spacing w:line="360" w:lineRule="auto"/>
        <w:rPr>
          <w:rFonts w:hint="eastAsia" w:ascii="宋体" w:hAnsi="宋体" w:cs="宋体"/>
          <w:color w:val="auto"/>
          <w:szCs w:val="21"/>
        </w:rPr>
      </w:pPr>
      <w:r>
        <w:rPr>
          <w:rFonts w:hint="eastAsia" w:ascii="宋体" w:hAnsi="宋体" w:cs="宋体"/>
          <w:color w:val="auto"/>
          <w:szCs w:val="21"/>
        </w:rPr>
        <w:t>流动资产合计:</w:t>
      </w:r>
      <w:r>
        <w:rPr>
          <w:rFonts w:hint="eastAsia" w:ascii="宋体" w:hAnsi="宋体" w:cs="宋体"/>
          <w:color w:val="auto"/>
          <w:szCs w:val="21"/>
          <w:u w:val="single"/>
        </w:rPr>
        <w:t xml:space="preserve">          </w:t>
      </w:r>
      <w:r>
        <w:rPr>
          <w:rFonts w:hint="eastAsia" w:ascii="宋体" w:hAnsi="宋体" w:cs="宋体"/>
          <w:color w:val="auto"/>
          <w:szCs w:val="21"/>
        </w:rPr>
        <w:t>元</w:t>
      </w:r>
    </w:p>
    <w:p w14:paraId="59291D9F">
      <w:pPr>
        <w:spacing w:line="360" w:lineRule="auto"/>
        <w:rPr>
          <w:rFonts w:hint="eastAsia" w:ascii="宋体" w:hAnsi="宋体" w:cs="宋体"/>
          <w:color w:val="auto"/>
          <w:szCs w:val="21"/>
        </w:rPr>
      </w:pPr>
      <w:r>
        <w:rPr>
          <w:rFonts w:hint="eastAsia" w:ascii="宋体" w:hAnsi="宋体" w:cs="宋体"/>
          <w:color w:val="auto"/>
          <w:szCs w:val="21"/>
        </w:rPr>
        <w:t>长期负债合计:</w:t>
      </w:r>
      <w:r>
        <w:rPr>
          <w:rFonts w:hint="eastAsia" w:ascii="宋体" w:hAnsi="宋体" w:cs="宋体"/>
          <w:color w:val="auto"/>
          <w:szCs w:val="21"/>
          <w:u w:val="single"/>
        </w:rPr>
        <w:t xml:space="preserve">          </w:t>
      </w:r>
      <w:r>
        <w:rPr>
          <w:rFonts w:hint="eastAsia" w:ascii="宋体" w:hAnsi="宋体" w:cs="宋体"/>
          <w:color w:val="auto"/>
          <w:szCs w:val="21"/>
        </w:rPr>
        <w:t>元</w:t>
      </w:r>
    </w:p>
    <w:p w14:paraId="53D2BC11">
      <w:pPr>
        <w:spacing w:line="360" w:lineRule="auto"/>
        <w:rPr>
          <w:rFonts w:hint="eastAsia" w:ascii="宋体" w:hAnsi="宋体" w:cs="宋体"/>
          <w:color w:val="auto"/>
          <w:szCs w:val="21"/>
        </w:rPr>
      </w:pPr>
      <w:r>
        <w:rPr>
          <w:rFonts w:hint="eastAsia" w:ascii="宋体" w:hAnsi="宋体" w:cs="宋体"/>
          <w:color w:val="auto"/>
          <w:szCs w:val="21"/>
        </w:rPr>
        <w:t>流动负债合计:</w:t>
      </w:r>
      <w:r>
        <w:rPr>
          <w:rFonts w:hint="eastAsia" w:ascii="宋体" w:hAnsi="宋体" w:cs="宋体"/>
          <w:color w:val="auto"/>
          <w:szCs w:val="21"/>
          <w:u w:val="single"/>
        </w:rPr>
        <w:t xml:space="preserve">          </w:t>
      </w:r>
      <w:r>
        <w:rPr>
          <w:rFonts w:hint="eastAsia" w:ascii="宋体" w:hAnsi="宋体" w:cs="宋体"/>
          <w:color w:val="auto"/>
          <w:szCs w:val="21"/>
        </w:rPr>
        <w:t>元</w:t>
      </w:r>
    </w:p>
    <w:p w14:paraId="1B89EE04">
      <w:pPr>
        <w:spacing w:line="360" w:lineRule="auto"/>
        <w:rPr>
          <w:rFonts w:hint="eastAsia" w:ascii="宋体" w:hAnsi="宋体" w:cs="宋体"/>
          <w:color w:val="auto"/>
          <w:szCs w:val="21"/>
        </w:rPr>
      </w:pPr>
      <w:r>
        <w:rPr>
          <w:rFonts w:hint="eastAsia" w:ascii="宋体" w:hAnsi="宋体" w:cs="宋体"/>
          <w:color w:val="auto"/>
          <w:szCs w:val="21"/>
        </w:rPr>
        <w:t>（2）损益表（到  年  月  日为止）</w:t>
      </w:r>
    </w:p>
    <w:p w14:paraId="4F69C260">
      <w:pPr>
        <w:spacing w:line="360" w:lineRule="auto"/>
        <w:rPr>
          <w:rFonts w:hint="eastAsia" w:ascii="宋体" w:hAnsi="宋体" w:cs="宋体"/>
          <w:color w:val="auto"/>
          <w:szCs w:val="21"/>
          <w:u w:val="single"/>
        </w:rPr>
      </w:pPr>
      <w:r>
        <w:rPr>
          <w:rFonts w:hint="eastAsia" w:ascii="宋体" w:hAnsi="宋体" w:cs="宋体"/>
          <w:color w:val="auto"/>
          <w:szCs w:val="21"/>
        </w:rPr>
        <w:t>利润总额累计：</w:t>
      </w:r>
      <w:r>
        <w:rPr>
          <w:rFonts w:hint="eastAsia" w:ascii="宋体" w:hAnsi="宋体" w:cs="宋体"/>
          <w:color w:val="auto"/>
          <w:szCs w:val="21"/>
          <w:u w:val="single"/>
        </w:rPr>
        <w:t xml:space="preserve">          </w:t>
      </w:r>
      <w:r>
        <w:rPr>
          <w:rFonts w:hint="eastAsia" w:ascii="宋体" w:hAnsi="宋体" w:cs="宋体"/>
          <w:color w:val="auto"/>
          <w:szCs w:val="21"/>
        </w:rPr>
        <w:t>元</w:t>
      </w:r>
    </w:p>
    <w:p w14:paraId="49757E8A">
      <w:pPr>
        <w:spacing w:line="360" w:lineRule="auto"/>
        <w:rPr>
          <w:rFonts w:hint="eastAsia" w:ascii="宋体" w:hAnsi="宋体" w:cs="宋体"/>
          <w:color w:val="auto"/>
          <w:szCs w:val="21"/>
        </w:rPr>
      </w:pPr>
      <w:r>
        <w:rPr>
          <w:rFonts w:hint="eastAsia" w:ascii="宋体" w:hAnsi="宋体" w:cs="宋体"/>
          <w:color w:val="auto"/>
          <w:szCs w:val="21"/>
        </w:rPr>
        <w:t>净利润累计：</w:t>
      </w:r>
      <w:r>
        <w:rPr>
          <w:rFonts w:hint="eastAsia" w:ascii="宋体" w:hAnsi="宋体" w:cs="宋体"/>
          <w:color w:val="auto"/>
          <w:szCs w:val="21"/>
          <w:u w:val="single"/>
        </w:rPr>
        <w:t xml:space="preserve">          </w:t>
      </w:r>
      <w:r>
        <w:rPr>
          <w:rFonts w:hint="eastAsia" w:ascii="宋体" w:hAnsi="宋体" w:cs="宋体"/>
          <w:color w:val="auto"/>
          <w:szCs w:val="21"/>
        </w:rPr>
        <w:t>元</w:t>
      </w:r>
    </w:p>
    <w:p w14:paraId="48282464">
      <w:pPr>
        <w:spacing w:line="360" w:lineRule="auto"/>
        <w:rPr>
          <w:rFonts w:hint="eastAsia" w:ascii="宋体" w:hAnsi="宋体" w:cs="宋体"/>
          <w:color w:val="auto"/>
          <w:szCs w:val="21"/>
        </w:rPr>
      </w:pPr>
    </w:p>
    <w:p w14:paraId="12838F88">
      <w:pPr>
        <w:spacing w:line="360" w:lineRule="auto"/>
        <w:rPr>
          <w:rFonts w:hint="eastAsia" w:ascii="宋体" w:hAnsi="宋体" w:cs="宋体"/>
          <w:color w:val="auto"/>
          <w:szCs w:val="21"/>
        </w:rPr>
      </w:pPr>
    </w:p>
    <w:p w14:paraId="31257248">
      <w:pPr>
        <w:rPr>
          <w:rFonts w:hint="eastAsia" w:ascii="宋体" w:hAnsi="宋体"/>
          <w:color w:val="auto"/>
          <w:szCs w:val="21"/>
        </w:rPr>
      </w:pPr>
    </w:p>
    <w:p w14:paraId="525C8D82">
      <w:pPr>
        <w:ind w:firstLine="2940" w:firstLineChars="1400"/>
        <w:rPr>
          <w:rFonts w:hint="eastAsia" w:ascii="宋体" w:hAnsi="宋体"/>
          <w:color w:val="auto"/>
          <w:szCs w:val="21"/>
        </w:rPr>
      </w:pPr>
      <w:r>
        <w:rPr>
          <w:rFonts w:hint="eastAsia" w:ascii="宋体" w:hAnsi="宋体"/>
          <w:color w:val="auto"/>
          <w:szCs w:val="21"/>
        </w:rPr>
        <w:t>投标人：</w:t>
      </w:r>
      <w:r>
        <w:rPr>
          <w:rFonts w:hint="eastAsia" w:ascii="宋体" w:hAnsi="宋体"/>
          <w:color w:val="auto"/>
          <w:szCs w:val="21"/>
          <w:u w:val="single"/>
        </w:rPr>
        <w:t xml:space="preserve">                               </w:t>
      </w:r>
      <w:r>
        <w:rPr>
          <w:rFonts w:hint="eastAsia" w:ascii="宋体" w:hAnsi="宋体"/>
          <w:color w:val="auto"/>
          <w:szCs w:val="21"/>
        </w:rPr>
        <w:t>（盖章）</w:t>
      </w:r>
    </w:p>
    <w:p w14:paraId="0F4714A8">
      <w:pPr>
        <w:rPr>
          <w:rFonts w:hint="eastAsia" w:ascii="宋体" w:hAnsi="宋体"/>
          <w:color w:val="auto"/>
          <w:szCs w:val="21"/>
        </w:rPr>
      </w:pPr>
      <w:r>
        <w:rPr>
          <w:rFonts w:hint="eastAsia" w:ascii="宋体" w:hAnsi="宋体"/>
          <w:color w:val="auto"/>
          <w:szCs w:val="21"/>
        </w:rPr>
        <w:t xml:space="preserve">     </w:t>
      </w:r>
    </w:p>
    <w:p w14:paraId="7B5052FF">
      <w:pPr>
        <w:ind w:firstLine="2940" w:firstLineChars="1400"/>
        <w:rPr>
          <w:rFonts w:hint="eastAsia" w:ascii="宋体" w:hAnsi="宋体"/>
          <w:color w:val="auto"/>
          <w:szCs w:val="21"/>
        </w:rPr>
      </w:pPr>
      <w:r>
        <w:rPr>
          <w:rFonts w:hint="eastAsia" w:ascii="宋体" w:hAnsi="宋体"/>
          <w:color w:val="auto"/>
          <w:szCs w:val="21"/>
        </w:rPr>
        <w:t>法定代表人或其委托代理人：</w:t>
      </w:r>
      <w:r>
        <w:rPr>
          <w:rFonts w:hint="eastAsia" w:ascii="宋体" w:hAnsi="宋体"/>
          <w:color w:val="auto"/>
          <w:szCs w:val="21"/>
          <w:u w:val="single"/>
        </w:rPr>
        <w:t xml:space="preserve">        </w:t>
      </w:r>
      <w:r>
        <w:rPr>
          <w:rFonts w:hint="eastAsia" w:ascii="宋体" w:hAnsi="宋体"/>
          <w:color w:val="auto"/>
          <w:szCs w:val="21"/>
        </w:rPr>
        <w:t>（签字或盖章）</w:t>
      </w:r>
    </w:p>
    <w:p w14:paraId="67A3F1EF">
      <w:pPr>
        <w:rPr>
          <w:rFonts w:hint="eastAsia" w:ascii="宋体" w:hAnsi="宋体"/>
          <w:color w:val="auto"/>
          <w:szCs w:val="21"/>
        </w:rPr>
      </w:pPr>
    </w:p>
    <w:p w14:paraId="0DFA13F1">
      <w:pPr>
        <w:tabs>
          <w:tab w:val="left" w:pos="5380"/>
          <w:tab w:val="left" w:pos="6520"/>
          <w:tab w:val="left" w:pos="7680"/>
        </w:tabs>
        <w:autoSpaceDE w:val="0"/>
        <w:autoSpaceDN w:val="0"/>
        <w:adjustRightInd w:val="0"/>
        <w:ind w:right="-20" w:firstLine="3780" w:firstLineChars="1800"/>
        <w:jc w:val="left"/>
        <w:rPr>
          <w:rFonts w:hint="eastAsia" w:ascii="宋体" w:hAnsi="宋体" w:cs="宋体"/>
          <w:color w:val="auto"/>
          <w:kern w:val="0"/>
          <w:szCs w:val="21"/>
        </w:rPr>
      </w:pPr>
      <w:r>
        <w:rPr>
          <w:rFonts w:hint="eastAsia" w:ascii="宋体" w:hAnsi="宋体" w:cs="宋体"/>
          <w:color w:val="auto"/>
          <w:kern w:val="0"/>
          <w:szCs w:val="21"/>
          <w:u w:val="single"/>
        </w:rPr>
        <w:t xml:space="preserve">     </w:t>
      </w:r>
      <w:r>
        <w:rPr>
          <w:rFonts w:hint="eastAsia" w:ascii="宋体" w:hAnsi="宋体" w:cs="宋体"/>
          <w:color w:val="auto"/>
          <w:spacing w:val="43"/>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w:t>
      </w:r>
    </w:p>
    <w:p w14:paraId="12B2137A">
      <w:pPr>
        <w:spacing w:line="360" w:lineRule="auto"/>
        <w:rPr>
          <w:rFonts w:hint="eastAsia" w:ascii="宋体" w:hAnsi="宋体" w:cs="宋体"/>
          <w:color w:val="auto"/>
          <w:szCs w:val="21"/>
        </w:rPr>
      </w:pPr>
    </w:p>
    <w:p w14:paraId="1DA38440">
      <w:pPr>
        <w:rPr>
          <w:rFonts w:ascii="宋体" w:hAnsi="宋体"/>
          <w:color w:val="auto"/>
          <w:sz w:val="24"/>
        </w:rPr>
      </w:pPr>
    </w:p>
    <w:p w14:paraId="65E0DF70">
      <w:pPr>
        <w:rPr>
          <w:rFonts w:ascii="宋体" w:hAnsi="宋体"/>
          <w:color w:val="auto"/>
          <w:sz w:val="24"/>
        </w:rPr>
      </w:pPr>
    </w:p>
    <w:p w14:paraId="3BE18CF5">
      <w:pPr>
        <w:rPr>
          <w:rFonts w:ascii="宋体" w:hAnsi="宋体"/>
          <w:color w:val="auto"/>
          <w:sz w:val="24"/>
        </w:rPr>
      </w:pPr>
    </w:p>
    <w:p w14:paraId="7E221541">
      <w:pPr>
        <w:pStyle w:val="3"/>
        <w:numPr>
          <w:ilvl w:val="0"/>
          <w:numId w:val="42"/>
        </w:numPr>
        <w:tabs>
          <w:tab w:val="left" w:pos="840"/>
        </w:tabs>
        <w:jc w:val="center"/>
        <w:rPr>
          <w:rFonts w:hint="eastAsia" w:ascii="宋体" w:hAnsi="宋体"/>
          <w:color w:val="auto"/>
          <w:szCs w:val="24"/>
        </w:rPr>
      </w:pPr>
      <w:r>
        <w:rPr>
          <w:rFonts w:hint="eastAsia" w:ascii="宋体" w:hAnsi="宋体"/>
          <w:color w:val="auto"/>
          <w:szCs w:val="24"/>
        </w:rPr>
        <w:br w:type="page"/>
      </w:r>
      <w:bookmarkStart w:id="491" w:name="_Toc4815"/>
      <w:r>
        <w:rPr>
          <w:rFonts w:hint="eastAsia" w:ascii="宋体" w:hAnsi="宋体"/>
          <w:color w:val="auto"/>
          <w:szCs w:val="24"/>
        </w:rPr>
        <w:t>投标人资格证明文件</w:t>
      </w:r>
      <w:bookmarkEnd w:id="491"/>
    </w:p>
    <w:p w14:paraId="21376064">
      <w:pPr>
        <w:pStyle w:val="5"/>
        <w:rPr>
          <w:rFonts w:hint="eastAsia"/>
          <w:color w:val="auto"/>
        </w:rPr>
      </w:pPr>
    </w:p>
    <w:p w14:paraId="2B0728F1">
      <w:pPr>
        <w:pStyle w:val="34"/>
        <w:spacing w:line="480" w:lineRule="exact"/>
        <w:jc w:val="center"/>
        <w:rPr>
          <w:rFonts w:hint="eastAsia" w:cs="黑体"/>
          <w:b/>
          <w:color w:val="auto"/>
        </w:rPr>
      </w:pPr>
      <w:r>
        <w:rPr>
          <w:rFonts w:hint="eastAsia" w:cs="黑体"/>
          <w:b/>
          <w:color w:val="auto"/>
        </w:rPr>
        <w:t>声明函</w:t>
      </w:r>
    </w:p>
    <w:p w14:paraId="7EFA0227">
      <w:pPr>
        <w:pStyle w:val="23"/>
        <w:rPr>
          <w:rFonts w:hint="eastAsia"/>
          <w:color w:val="auto"/>
        </w:rPr>
      </w:pPr>
    </w:p>
    <w:p w14:paraId="5D728259">
      <w:pPr>
        <w:spacing w:before="156" w:beforeLines="50" w:after="156" w:afterLines="50" w:line="440" w:lineRule="exact"/>
        <w:rPr>
          <w:rFonts w:hint="eastAsia"/>
          <w:color w:val="auto"/>
        </w:rPr>
      </w:pPr>
      <w:r>
        <w:rPr>
          <w:rFonts w:hint="eastAsia"/>
          <w:color w:val="auto"/>
          <w:u w:val="single"/>
          <w:shd w:val="clear" w:color="auto" w:fill="FFFFFF"/>
        </w:rPr>
        <w:t xml:space="preserve">              </w:t>
      </w:r>
      <w:r>
        <w:rPr>
          <w:rFonts w:hint="eastAsia"/>
          <w:color w:val="auto"/>
          <w:shd w:val="clear" w:color="auto" w:fill="FFFFFF"/>
        </w:rPr>
        <w:t>（采购人）</w:t>
      </w:r>
      <w:r>
        <w:rPr>
          <w:rFonts w:hint="eastAsia"/>
          <w:color w:val="auto"/>
          <w:lang w:bidi="ar"/>
        </w:rPr>
        <w:t>：</w:t>
      </w:r>
    </w:p>
    <w:p w14:paraId="6030DF2E">
      <w:pPr>
        <w:spacing w:line="360" w:lineRule="auto"/>
        <w:ind w:firstLine="420" w:firstLineChars="200"/>
        <w:rPr>
          <w:rFonts w:hint="eastAsia" w:ascii="宋体" w:hAnsi="宋体" w:cs="宋体"/>
          <w:bCs/>
          <w:color w:val="auto"/>
          <w:szCs w:val="21"/>
          <w:shd w:val="clear" w:color="auto" w:fill="FFFFFF"/>
        </w:rPr>
      </w:pPr>
      <w:r>
        <w:rPr>
          <w:rFonts w:hint="eastAsia"/>
          <w:color w:val="auto"/>
          <w:lang w:bidi="ar"/>
        </w:rPr>
        <w:t>我单位</w:t>
      </w:r>
      <w:r>
        <w:rPr>
          <w:rFonts w:hint="eastAsia" w:ascii="宋体" w:hAnsi="宋体" w:cs="宋体"/>
          <w:bCs/>
          <w:color w:val="auto"/>
          <w:szCs w:val="21"/>
          <w:shd w:val="clear" w:color="auto" w:fill="FFFFFF"/>
        </w:rPr>
        <w:t>满足《中华人民共和国政府采购法》第二十二条规定</w:t>
      </w:r>
      <w:r>
        <w:rPr>
          <w:rFonts w:hint="eastAsia" w:cs="宋体"/>
          <w:bCs/>
          <w:color w:val="auto"/>
          <w:szCs w:val="21"/>
          <w:shd w:val="clear" w:color="auto" w:fill="FFFFFF"/>
        </w:rPr>
        <w:t>：</w:t>
      </w:r>
    </w:p>
    <w:p w14:paraId="2E5328C5">
      <w:pPr>
        <w:wordWrap w:val="0"/>
        <w:topLinePunct/>
        <w:spacing w:line="360" w:lineRule="auto"/>
        <w:ind w:firstLine="420" w:firstLineChars="200"/>
        <w:rPr>
          <w:rFonts w:ascii="宋体" w:hAnsi="宋体" w:cs="宋体"/>
          <w:color w:val="auto"/>
        </w:rPr>
      </w:pPr>
      <w:r>
        <w:rPr>
          <w:rFonts w:hint="eastAsia" w:ascii="宋体" w:hAnsi="宋体" w:cs="宋体"/>
          <w:color w:val="auto"/>
        </w:rPr>
        <w:t>1.1 具有独立承担民事责任的能力。</w:t>
      </w:r>
    </w:p>
    <w:p w14:paraId="5606F54B">
      <w:pPr>
        <w:wordWrap w:val="0"/>
        <w:topLinePunct/>
        <w:spacing w:line="360" w:lineRule="auto"/>
        <w:ind w:firstLine="420" w:firstLineChars="200"/>
        <w:rPr>
          <w:rFonts w:ascii="宋体" w:hAnsi="宋体" w:cs="宋体"/>
          <w:color w:val="auto"/>
        </w:rPr>
      </w:pPr>
      <w:r>
        <w:rPr>
          <w:rFonts w:hint="eastAsia" w:ascii="宋体" w:hAnsi="宋体" w:cs="宋体"/>
          <w:color w:val="auto"/>
        </w:rPr>
        <w:t>1.2 具有良好的商业信誉和健全的财务会计制度。</w:t>
      </w:r>
    </w:p>
    <w:p w14:paraId="51674DC3">
      <w:pPr>
        <w:wordWrap w:val="0"/>
        <w:topLinePunct/>
        <w:spacing w:line="360" w:lineRule="auto"/>
        <w:ind w:firstLine="420" w:firstLineChars="200"/>
        <w:rPr>
          <w:rFonts w:ascii="宋体" w:hAnsi="宋体" w:cs="宋体"/>
          <w:color w:val="auto"/>
        </w:rPr>
      </w:pPr>
      <w:r>
        <w:rPr>
          <w:rFonts w:hint="eastAsia" w:ascii="宋体" w:hAnsi="宋体" w:cs="宋体"/>
          <w:color w:val="auto"/>
        </w:rPr>
        <w:t>1.3 具有履行合同所必需的设备和专业技术能力。</w:t>
      </w:r>
    </w:p>
    <w:p w14:paraId="06DA03AA">
      <w:pPr>
        <w:wordWrap w:val="0"/>
        <w:topLinePunct/>
        <w:spacing w:line="360" w:lineRule="auto"/>
        <w:ind w:firstLine="420" w:firstLineChars="200"/>
        <w:rPr>
          <w:rFonts w:ascii="宋体" w:hAnsi="宋体" w:cs="宋体"/>
          <w:color w:val="auto"/>
        </w:rPr>
      </w:pPr>
      <w:r>
        <w:rPr>
          <w:rFonts w:hint="eastAsia" w:ascii="宋体" w:hAnsi="宋体" w:cs="宋体"/>
          <w:color w:val="auto"/>
        </w:rPr>
        <w:t>1.4 有依法缴纳税收和社会保障资金的良好记录。</w:t>
      </w:r>
    </w:p>
    <w:p w14:paraId="188FF32E">
      <w:pPr>
        <w:wordWrap w:val="0"/>
        <w:topLinePunct/>
        <w:spacing w:line="360" w:lineRule="auto"/>
        <w:ind w:firstLine="420" w:firstLineChars="200"/>
        <w:rPr>
          <w:rFonts w:hint="eastAsia"/>
          <w:color w:val="auto"/>
        </w:rPr>
      </w:pPr>
      <w:r>
        <w:rPr>
          <w:rFonts w:hint="eastAsia" w:ascii="宋体" w:hAnsi="宋体" w:cs="宋体"/>
          <w:color w:val="auto"/>
        </w:rPr>
        <w:t xml:space="preserve">1.5 参加政府采购活动前三年内，在经营活动中没有重大违法记录。  </w:t>
      </w:r>
    </w:p>
    <w:p w14:paraId="3B3A27B2">
      <w:pPr>
        <w:spacing w:before="156" w:beforeLines="50" w:after="156" w:afterLines="50" w:line="440" w:lineRule="exact"/>
        <w:ind w:firstLine="420" w:firstLineChars="200"/>
        <w:rPr>
          <w:rFonts w:hint="eastAsia"/>
          <w:color w:val="auto"/>
        </w:rPr>
      </w:pPr>
      <w:r>
        <w:rPr>
          <w:rFonts w:hint="eastAsia"/>
          <w:color w:val="auto"/>
        </w:rPr>
        <w:t>特此声明！</w:t>
      </w:r>
    </w:p>
    <w:p w14:paraId="63A166C0">
      <w:pPr>
        <w:spacing w:before="156" w:beforeLines="50" w:after="156" w:afterLines="50" w:line="440" w:lineRule="exact"/>
        <w:ind w:left="687" w:leftChars="227" w:hanging="210" w:hangingChars="100"/>
        <w:rPr>
          <w:rFonts w:hint="eastAsia"/>
          <w:color w:val="auto"/>
        </w:rPr>
      </w:pPr>
    </w:p>
    <w:p w14:paraId="31466E16">
      <w:pPr>
        <w:spacing w:before="156" w:beforeLines="50" w:after="156" w:afterLines="50" w:line="440" w:lineRule="exact"/>
        <w:ind w:left="687" w:leftChars="227" w:hanging="210" w:hangingChars="100"/>
        <w:rPr>
          <w:rFonts w:hint="eastAsia"/>
          <w:color w:val="auto"/>
        </w:rPr>
      </w:pPr>
    </w:p>
    <w:p w14:paraId="52C0F159">
      <w:pPr>
        <w:spacing w:before="156" w:beforeLines="50" w:after="156" w:afterLines="50" w:line="440" w:lineRule="exact"/>
        <w:ind w:left="687" w:leftChars="227" w:hanging="210" w:hangingChars="100"/>
        <w:rPr>
          <w:rFonts w:hint="eastAsia"/>
          <w:color w:val="auto"/>
        </w:rPr>
      </w:pPr>
    </w:p>
    <w:p w14:paraId="394B079B">
      <w:pPr>
        <w:spacing w:before="156" w:beforeLines="50" w:after="156" w:afterLines="50" w:line="440" w:lineRule="exact"/>
        <w:ind w:left="687" w:leftChars="227" w:hanging="210" w:hangingChars="100"/>
        <w:rPr>
          <w:rFonts w:hint="eastAsia"/>
          <w:color w:val="auto"/>
        </w:rPr>
      </w:pPr>
    </w:p>
    <w:p w14:paraId="14D5A7EB">
      <w:pPr>
        <w:spacing w:before="156" w:beforeLines="50" w:after="156" w:afterLines="50" w:line="440" w:lineRule="exact"/>
        <w:ind w:left="687" w:leftChars="227" w:hanging="210" w:hangingChars="100"/>
        <w:rPr>
          <w:rFonts w:hint="eastAsia"/>
          <w:color w:val="auto"/>
        </w:rPr>
      </w:pPr>
    </w:p>
    <w:p w14:paraId="1270F4F1">
      <w:pPr>
        <w:ind w:firstLine="3570" w:firstLineChars="1700"/>
        <w:rPr>
          <w:rFonts w:hint="eastAsia"/>
          <w:color w:val="auto"/>
        </w:rPr>
      </w:pPr>
      <w:r>
        <w:rPr>
          <w:rFonts w:hint="eastAsia"/>
          <w:color w:val="auto"/>
        </w:rPr>
        <w:t>投标人：</w:t>
      </w:r>
      <w:r>
        <w:rPr>
          <w:rFonts w:hint="eastAsia"/>
          <w:color w:val="auto"/>
          <w:u w:val="single"/>
        </w:rPr>
        <w:t xml:space="preserve">                               </w:t>
      </w:r>
      <w:r>
        <w:rPr>
          <w:rFonts w:hint="eastAsia"/>
          <w:color w:val="auto"/>
        </w:rPr>
        <w:t>（盖章）</w:t>
      </w:r>
    </w:p>
    <w:p w14:paraId="067DC7FC">
      <w:pPr>
        <w:rPr>
          <w:rFonts w:hint="eastAsia"/>
          <w:color w:val="auto"/>
        </w:rPr>
      </w:pPr>
      <w:r>
        <w:rPr>
          <w:rFonts w:hint="eastAsia"/>
          <w:color w:val="auto"/>
        </w:rPr>
        <w:t xml:space="preserve">     </w:t>
      </w:r>
    </w:p>
    <w:p w14:paraId="2F9FA55E">
      <w:pPr>
        <w:ind w:firstLine="3570" w:firstLineChars="1700"/>
        <w:rPr>
          <w:rFonts w:hint="eastAsia"/>
          <w:color w:val="auto"/>
        </w:rPr>
      </w:pPr>
      <w:r>
        <w:rPr>
          <w:rFonts w:hint="eastAsia"/>
          <w:color w:val="auto"/>
        </w:rPr>
        <w:t>法定代表人或其委托代理人：</w:t>
      </w:r>
      <w:r>
        <w:rPr>
          <w:rFonts w:hint="eastAsia"/>
          <w:color w:val="auto"/>
          <w:u w:val="single"/>
        </w:rPr>
        <w:t xml:space="preserve">        </w:t>
      </w:r>
      <w:r>
        <w:rPr>
          <w:rFonts w:hint="eastAsia"/>
          <w:color w:val="auto"/>
        </w:rPr>
        <w:t>（签字或盖章）</w:t>
      </w:r>
    </w:p>
    <w:p w14:paraId="46DE99A0">
      <w:pPr>
        <w:rPr>
          <w:rFonts w:hint="eastAsia"/>
          <w:color w:val="auto"/>
        </w:rPr>
      </w:pPr>
    </w:p>
    <w:p w14:paraId="098B4E4A">
      <w:pPr>
        <w:tabs>
          <w:tab w:val="left" w:pos="5380"/>
          <w:tab w:val="left" w:pos="6520"/>
          <w:tab w:val="left" w:pos="7680"/>
        </w:tabs>
        <w:autoSpaceDE w:val="0"/>
        <w:autoSpaceDN w:val="0"/>
        <w:adjustRightInd w:val="0"/>
        <w:ind w:right="-20" w:firstLine="4830" w:firstLineChars="2300"/>
        <w:jc w:val="left"/>
        <w:rPr>
          <w:rFonts w:hint="eastAsia"/>
          <w:color w:val="auto"/>
          <w:kern w:val="0"/>
        </w:rPr>
      </w:pPr>
      <w:r>
        <w:rPr>
          <w:rFonts w:hint="eastAsia"/>
          <w:color w:val="auto"/>
          <w:kern w:val="0"/>
          <w:u w:val="single"/>
        </w:rPr>
        <w:t xml:space="preserve">     </w:t>
      </w:r>
      <w:r>
        <w:rPr>
          <w:rFonts w:hint="eastAsia"/>
          <w:color w:val="auto"/>
          <w:spacing w:val="43"/>
          <w:kern w:val="0"/>
          <w:u w:val="single"/>
        </w:rPr>
        <w:t xml:space="preserve"> </w:t>
      </w:r>
      <w:r>
        <w:rPr>
          <w:rFonts w:hint="eastAsia"/>
          <w:color w:val="auto"/>
          <w:kern w:val="0"/>
        </w:rPr>
        <w:t>年</w:t>
      </w:r>
      <w:r>
        <w:rPr>
          <w:rFonts w:hint="eastAsia"/>
          <w:color w:val="auto"/>
          <w:kern w:val="0"/>
          <w:u w:val="single"/>
        </w:rPr>
        <w:t xml:space="preserve">       </w:t>
      </w:r>
      <w:r>
        <w:rPr>
          <w:rFonts w:hint="eastAsia"/>
          <w:color w:val="auto"/>
          <w:kern w:val="0"/>
        </w:rPr>
        <w:t>月</w:t>
      </w:r>
      <w:r>
        <w:rPr>
          <w:rFonts w:hint="eastAsia"/>
          <w:color w:val="auto"/>
          <w:kern w:val="0"/>
          <w:u w:val="single"/>
        </w:rPr>
        <w:t xml:space="preserve">      </w:t>
      </w:r>
      <w:r>
        <w:rPr>
          <w:rFonts w:hint="eastAsia"/>
          <w:color w:val="auto"/>
          <w:kern w:val="0"/>
        </w:rPr>
        <w:t>日</w:t>
      </w:r>
    </w:p>
    <w:p w14:paraId="0F6B66B0">
      <w:pPr>
        <w:spacing w:before="156" w:beforeLines="50" w:after="156" w:afterLines="50" w:line="440" w:lineRule="exact"/>
        <w:ind w:left="687" w:leftChars="227" w:hanging="210" w:hangingChars="100"/>
        <w:rPr>
          <w:rFonts w:hint="eastAsia"/>
          <w:color w:val="auto"/>
        </w:rPr>
      </w:pPr>
    </w:p>
    <w:p w14:paraId="7C7D744D">
      <w:pPr>
        <w:spacing w:before="156" w:beforeLines="50" w:after="156" w:afterLines="50" w:line="440" w:lineRule="exact"/>
        <w:ind w:left="687" w:leftChars="227" w:hanging="210" w:hangingChars="100"/>
        <w:rPr>
          <w:rFonts w:hint="eastAsia"/>
          <w:color w:val="auto"/>
        </w:rPr>
      </w:pPr>
    </w:p>
    <w:p w14:paraId="3D4D34FD">
      <w:pPr>
        <w:spacing w:before="156" w:beforeLines="50" w:after="156" w:afterLines="50" w:line="440" w:lineRule="exact"/>
        <w:ind w:left="687" w:leftChars="227" w:hanging="210" w:hangingChars="100"/>
        <w:rPr>
          <w:rFonts w:hint="eastAsia"/>
          <w:color w:val="auto"/>
        </w:rPr>
      </w:pPr>
    </w:p>
    <w:p w14:paraId="1617A321">
      <w:pPr>
        <w:spacing w:before="156" w:beforeLines="50" w:after="156" w:afterLines="50" w:line="440" w:lineRule="exact"/>
        <w:ind w:left="687" w:leftChars="227" w:hanging="210" w:hangingChars="100"/>
        <w:rPr>
          <w:rFonts w:hint="eastAsia"/>
          <w:color w:val="auto"/>
        </w:rPr>
      </w:pPr>
    </w:p>
    <w:p w14:paraId="328B1BA7">
      <w:pPr>
        <w:pStyle w:val="34"/>
        <w:spacing w:line="480" w:lineRule="exact"/>
        <w:jc w:val="both"/>
        <w:rPr>
          <w:rFonts w:hint="eastAsia" w:cs="黑体"/>
          <w:b/>
          <w:color w:val="auto"/>
          <w:sz w:val="28"/>
          <w:szCs w:val="28"/>
        </w:rPr>
      </w:pPr>
      <w:r>
        <w:rPr>
          <w:rFonts w:hint="eastAsia"/>
          <w:color w:val="auto"/>
        </w:rPr>
        <w:br w:type="page"/>
      </w:r>
    </w:p>
    <w:p w14:paraId="55DDAF71">
      <w:pPr>
        <w:pStyle w:val="34"/>
        <w:spacing w:line="480" w:lineRule="exact"/>
        <w:ind w:left="425"/>
        <w:jc w:val="center"/>
        <w:rPr>
          <w:rFonts w:hint="eastAsia" w:cs="黑体"/>
          <w:b/>
          <w:color w:val="auto"/>
          <w:sz w:val="28"/>
          <w:szCs w:val="28"/>
        </w:rPr>
      </w:pPr>
      <w:r>
        <w:rPr>
          <w:rFonts w:hint="eastAsia" w:cs="黑体"/>
          <w:b/>
          <w:color w:val="auto"/>
          <w:sz w:val="28"/>
          <w:szCs w:val="28"/>
        </w:rPr>
        <w:t>能证明响应人资格的其他资料</w:t>
      </w:r>
    </w:p>
    <w:p w14:paraId="27E6F11A">
      <w:pPr>
        <w:pStyle w:val="34"/>
        <w:spacing w:line="480" w:lineRule="exact"/>
        <w:ind w:left="425"/>
        <w:jc w:val="center"/>
        <w:rPr>
          <w:rFonts w:hint="eastAsia" w:cs="黑体"/>
          <w:b/>
          <w:color w:val="auto"/>
          <w:sz w:val="28"/>
          <w:szCs w:val="28"/>
        </w:rPr>
      </w:pPr>
    </w:p>
    <w:p w14:paraId="2E6F4FA0">
      <w:pPr>
        <w:pStyle w:val="34"/>
        <w:spacing w:line="480" w:lineRule="exact"/>
        <w:jc w:val="both"/>
        <w:rPr>
          <w:rFonts w:hint="eastAsia" w:cs="Times New Roman"/>
          <w:bCs/>
          <w:color w:val="auto"/>
          <w:kern w:val="2"/>
          <w:sz w:val="21"/>
        </w:rPr>
      </w:pPr>
      <w:bookmarkStart w:id="492" w:name="_Toc428351719"/>
      <w:bookmarkStart w:id="493" w:name="_Toc454788099"/>
      <w:bookmarkStart w:id="494" w:name="_Toc463011363"/>
      <w:bookmarkStart w:id="495" w:name="_Toc428276628"/>
      <w:bookmarkStart w:id="496" w:name="_Toc462934384"/>
      <w:bookmarkStart w:id="497" w:name="_Toc481092974"/>
      <w:bookmarkStart w:id="498" w:name="_Toc480226503"/>
      <w:bookmarkStart w:id="499" w:name="_Toc480385614"/>
      <w:bookmarkStart w:id="500" w:name="_Toc455678211"/>
      <w:r>
        <w:rPr>
          <w:rFonts w:hint="eastAsia" w:cs="Times New Roman"/>
          <w:bCs/>
          <w:color w:val="auto"/>
          <w:kern w:val="2"/>
          <w:sz w:val="21"/>
        </w:rPr>
        <w:t>1.营业执照</w:t>
      </w:r>
      <w:bookmarkEnd w:id="492"/>
      <w:bookmarkEnd w:id="493"/>
      <w:bookmarkEnd w:id="494"/>
      <w:bookmarkEnd w:id="495"/>
      <w:bookmarkEnd w:id="496"/>
      <w:bookmarkEnd w:id="497"/>
      <w:bookmarkEnd w:id="498"/>
      <w:bookmarkEnd w:id="499"/>
      <w:bookmarkEnd w:id="500"/>
      <w:r>
        <w:rPr>
          <w:rFonts w:hint="eastAsia" w:cs="Times New Roman"/>
          <w:bCs/>
          <w:color w:val="auto"/>
          <w:kern w:val="2"/>
          <w:sz w:val="21"/>
        </w:rPr>
        <w:t>或其他证明材料。</w:t>
      </w:r>
    </w:p>
    <w:p w14:paraId="756485C0">
      <w:pPr>
        <w:pStyle w:val="26"/>
        <w:widowControl/>
        <w:spacing w:before="0" w:beforeAutospacing="0" w:after="0" w:afterAutospacing="0" w:line="360" w:lineRule="auto"/>
        <w:rPr>
          <w:rFonts w:ascii="宋体" w:hAnsi="宋体" w:cs="宋体"/>
          <w:bCs/>
          <w:color w:val="auto"/>
          <w:sz w:val="21"/>
          <w:szCs w:val="21"/>
          <w:shd w:val="clear" w:color="auto" w:fill="FFFFFF"/>
        </w:rPr>
      </w:pPr>
      <w:r>
        <w:rPr>
          <w:rFonts w:hint="eastAsia" w:ascii="宋体" w:hAnsi="宋体" w:cs="宋体"/>
          <w:bCs/>
          <w:color w:val="auto"/>
          <w:sz w:val="21"/>
          <w:szCs w:val="21"/>
          <w:shd w:val="clear" w:color="auto" w:fill="FFFFFF"/>
        </w:rPr>
        <w:t>2.</w:t>
      </w:r>
      <w:r>
        <w:rPr>
          <w:rFonts w:hint="eastAsia" w:ascii="宋体" w:hAnsi="宋体" w:cs="宋体"/>
          <w:color w:val="auto"/>
          <w:sz w:val="21"/>
          <w:szCs w:val="21"/>
        </w:rPr>
        <w:t>投标产品具有《医疗器械监督管理条例》（国务院令第739号)</w:t>
      </w:r>
      <w:r>
        <w:rPr>
          <w:rFonts w:hint="eastAsia" w:ascii="宋体" w:hAnsi="宋体" w:cs="宋体"/>
          <w:color w:val="auto"/>
          <w:sz w:val="21"/>
          <w:szCs w:val="21"/>
          <w:lang w:eastAsia="zh-CN"/>
        </w:rPr>
        <w:t>规定的有效</w:t>
      </w:r>
      <w:r>
        <w:rPr>
          <w:rFonts w:hint="eastAsia" w:ascii="宋体" w:hAnsi="宋体" w:cs="宋体"/>
          <w:color w:val="auto"/>
          <w:sz w:val="21"/>
          <w:szCs w:val="21"/>
        </w:rPr>
        <w:t>的医疗器械注册证</w:t>
      </w:r>
      <w:r>
        <w:rPr>
          <w:rFonts w:hint="eastAsia" w:ascii="宋体" w:hAnsi="宋体" w:cs="宋体"/>
          <w:color w:val="auto"/>
          <w:sz w:val="21"/>
          <w:szCs w:val="21"/>
          <w:lang w:eastAsia="zh-CN"/>
        </w:rPr>
        <w:t>或备案凭证</w:t>
      </w:r>
      <w:r>
        <w:rPr>
          <w:rFonts w:hint="eastAsia" w:ascii="宋体" w:hAnsi="宋体" w:cs="宋体"/>
          <w:bCs/>
          <w:color w:val="auto"/>
          <w:sz w:val="21"/>
          <w:szCs w:val="21"/>
          <w:shd w:val="clear" w:color="auto" w:fill="FFFFFF"/>
        </w:rPr>
        <w:t>。</w:t>
      </w:r>
    </w:p>
    <w:p w14:paraId="1964BF2C">
      <w:pPr>
        <w:pStyle w:val="26"/>
        <w:widowControl/>
        <w:spacing w:before="0" w:beforeAutospacing="0" w:after="0" w:afterAutospacing="0" w:line="360" w:lineRule="auto"/>
        <w:rPr>
          <w:rFonts w:hint="eastAsia" w:ascii="微软雅黑" w:hAnsi="微软雅黑" w:cs="微软雅黑"/>
          <w:color w:val="auto"/>
          <w:sz w:val="19"/>
          <w:szCs w:val="19"/>
          <w:shd w:val="clear" w:color="auto" w:fill="F9F9F9"/>
        </w:rPr>
      </w:pPr>
      <w:r>
        <w:rPr>
          <w:rFonts w:hint="eastAsia" w:ascii="宋体" w:hAnsi="宋体" w:cs="宋体"/>
          <w:bCs/>
          <w:color w:val="auto"/>
          <w:sz w:val="21"/>
          <w:szCs w:val="21"/>
          <w:shd w:val="clear" w:color="auto" w:fill="FFFFFF"/>
        </w:rPr>
        <w:t>3.</w:t>
      </w:r>
      <w:r>
        <w:rPr>
          <w:rFonts w:hint="eastAsia" w:ascii="宋体" w:hAnsi="宋体" w:cs="宋体"/>
          <w:bCs/>
          <w:color w:val="auto"/>
          <w:sz w:val="21"/>
          <w:szCs w:val="21"/>
          <w:shd w:val="clear" w:color="auto" w:fill="FFFFFF"/>
          <w:lang w:val="en-US" w:eastAsia="zh-CN"/>
        </w:rPr>
        <w:t>投标人</w:t>
      </w:r>
      <w:r>
        <w:rPr>
          <w:rFonts w:hint="eastAsia" w:ascii="宋体" w:hAnsi="宋体" w:cs="宋体"/>
          <w:bCs/>
          <w:color w:val="auto"/>
          <w:sz w:val="21"/>
          <w:szCs w:val="21"/>
          <w:shd w:val="clear" w:color="auto" w:fill="FFFFFF"/>
        </w:rPr>
        <w:t>为境内生产企业时须具有医疗器械生产许可证（从事第一类医疗器械生产的须具有备案凭证）；</w:t>
      </w:r>
      <w:r>
        <w:rPr>
          <w:rFonts w:hint="eastAsia" w:ascii="宋体" w:hAnsi="宋体" w:cs="宋体"/>
          <w:bCs/>
          <w:color w:val="auto"/>
          <w:sz w:val="21"/>
          <w:szCs w:val="21"/>
          <w:shd w:val="clear" w:color="auto" w:fill="FFFFFF"/>
          <w:lang w:val="en-US" w:eastAsia="zh-CN"/>
        </w:rPr>
        <w:t>投标人</w:t>
      </w:r>
      <w:r>
        <w:rPr>
          <w:rFonts w:hint="eastAsia" w:ascii="宋体" w:hAnsi="宋体" w:cs="宋体"/>
          <w:bCs/>
          <w:color w:val="auto"/>
          <w:sz w:val="21"/>
          <w:szCs w:val="21"/>
          <w:shd w:val="clear" w:color="auto" w:fill="FFFFFF"/>
        </w:rPr>
        <w:t>为代理商时须具有医疗器械经营许可证或医疗器械经营备案凭证（从事第一类医疗器械经营活动的除外）</w:t>
      </w:r>
      <w:r>
        <w:rPr>
          <w:rFonts w:hint="eastAsia" w:ascii="宋体" w:hAnsi="宋体" w:cs="宋体"/>
          <w:color w:val="auto"/>
          <w:sz w:val="21"/>
          <w:szCs w:val="21"/>
          <w:shd w:val="clear" w:color="auto" w:fill="FFFFFF"/>
        </w:rPr>
        <w:t>。</w:t>
      </w:r>
    </w:p>
    <w:p w14:paraId="6C8BABDF">
      <w:pPr>
        <w:wordWrap w:val="0"/>
        <w:topLinePunct/>
        <w:spacing w:line="420" w:lineRule="exact"/>
        <w:rPr>
          <w:rFonts w:hint="eastAsia"/>
          <w:color w:val="auto"/>
        </w:rPr>
      </w:pPr>
      <w:r>
        <w:rPr>
          <w:rFonts w:hint="eastAsia" w:ascii="宋体" w:hAnsi="宋体" w:cs="宋体"/>
          <w:color w:val="auto"/>
          <w:szCs w:val="21"/>
          <w:lang w:val="en-US" w:eastAsia="zh-CN"/>
        </w:rPr>
        <w:t>4</w:t>
      </w:r>
      <w:r>
        <w:rPr>
          <w:rFonts w:hint="eastAsia" w:ascii="宋体" w:hAnsi="宋体" w:cs="宋体"/>
          <w:color w:val="auto"/>
          <w:szCs w:val="21"/>
        </w:rPr>
        <w:t>.</w:t>
      </w:r>
      <w:r>
        <w:rPr>
          <w:rFonts w:hint="eastAsia"/>
          <w:color w:val="auto"/>
        </w:rPr>
        <w:t>单位负责人为同一人或者存在直接控股、管理关系的不同供应商，不得参加同一合同项下的政府采购活动</w:t>
      </w:r>
      <w:r>
        <w:rPr>
          <w:rFonts w:hint="eastAsia" w:ascii="宋体" w:hAnsi="宋体" w:cs="宋体"/>
          <w:color w:val="auto"/>
          <w:szCs w:val="21"/>
        </w:rPr>
        <w:t>（</w:t>
      </w:r>
      <w:r>
        <w:rPr>
          <w:rFonts w:hint="eastAsia" w:ascii="宋体" w:hAnsi="宋体" w:cs="宋体"/>
          <w:color w:val="auto"/>
          <w:szCs w:val="21"/>
          <w:lang w:val="en-US" w:eastAsia="zh-CN"/>
        </w:rPr>
        <w:t>提供承诺书</w:t>
      </w:r>
      <w:r>
        <w:rPr>
          <w:rFonts w:hint="eastAsia" w:ascii="宋体" w:hAnsi="宋体" w:cs="宋体"/>
          <w:color w:val="auto"/>
          <w:szCs w:val="21"/>
        </w:rPr>
        <w:t>）。</w:t>
      </w:r>
    </w:p>
    <w:p w14:paraId="6F085F2D">
      <w:pPr>
        <w:pStyle w:val="5"/>
        <w:rPr>
          <w:rFonts w:hint="eastAsia" w:ascii="宋体" w:hAnsi="宋体"/>
          <w:b/>
          <w:color w:val="auto"/>
          <w:sz w:val="24"/>
        </w:rPr>
      </w:pPr>
      <w:r>
        <w:rPr>
          <w:rFonts w:hint="eastAsia" w:ascii="宋体" w:hAnsi="宋体"/>
          <w:b/>
          <w:color w:val="auto"/>
          <w:sz w:val="24"/>
        </w:rPr>
        <w:br w:type="page"/>
      </w:r>
    </w:p>
    <w:p w14:paraId="7FEB9969">
      <w:pPr>
        <w:pStyle w:val="2"/>
        <w:numPr>
          <w:ilvl w:val="0"/>
          <w:numId w:val="19"/>
        </w:numPr>
        <w:rPr>
          <w:rFonts w:hint="eastAsia" w:ascii="宋体" w:hAnsi="宋体"/>
          <w:color w:val="auto"/>
          <w:szCs w:val="32"/>
        </w:rPr>
      </w:pPr>
      <w:r>
        <w:rPr>
          <w:rFonts w:hint="eastAsia" w:ascii="宋体" w:hAnsi="宋体"/>
          <w:color w:val="auto"/>
          <w:szCs w:val="32"/>
        </w:rPr>
        <w:t xml:space="preserve">  </w:t>
      </w:r>
      <w:bookmarkStart w:id="501" w:name="_Toc16755"/>
      <w:r>
        <w:rPr>
          <w:rFonts w:hint="eastAsia" w:ascii="宋体" w:hAnsi="宋体"/>
          <w:color w:val="auto"/>
          <w:szCs w:val="32"/>
        </w:rPr>
        <w:t>投标文件通用格式</w:t>
      </w:r>
      <w:bookmarkEnd w:id="501"/>
    </w:p>
    <w:p w14:paraId="73D5631E">
      <w:pPr>
        <w:pStyle w:val="17"/>
        <w:spacing w:before="312" w:beforeLines="100" w:after="312" w:afterLines="100" w:line="600" w:lineRule="exact"/>
        <w:jc w:val="center"/>
        <w:rPr>
          <w:rFonts w:hint="eastAsia"/>
          <w:b/>
          <w:color w:val="auto"/>
          <w:sz w:val="52"/>
          <w:szCs w:val="52"/>
        </w:rPr>
      </w:pPr>
    </w:p>
    <w:p w14:paraId="00BAD80F">
      <w:pPr>
        <w:rPr>
          <w:rFonts w:hint="eastAsia"/>
          <w:color w:val="auto"/>
        </w:rPr>
      </w:pPr>
    </w:p>
    <w:p w14:paraId="306DD07E">
      <w:pPr>
        <w:pStyle w:val="17"/>
        <w:spacing w:before="312" w:beforeLines="100" w:after="312" w:afterLines="100" w:line="600" w:lineRule="exact"/>
        <w:jc w:val="center"/>
        <w:rPr>
          <w:rFonts w:hint="eastAsia"/>
          <w:b/>
          <w:bCs/>
          <w:color w:val="auto"/>
          <w:sz w:val="32"/>
          <w:u w:val="single"/>
        </w:rPr>
      </w:pPr>
      <w:r>
        <w:rPr>
          <w:rFonts w:hint="eastAsia"/>
          <w:b/>
          <w:color w:val="auto"/>
          <w:sz w:val="44"/>
          <w:szCs w:val="44"/>
          <w:u w:val="single"/>
        </w:rPr>
        <w:t xml:space="preserve">                    </w:t>
      </w:r>
      <w:r>
        <w:rPr>
          <w:rFonts w:hint="eastAsia"/>
          <w:b/>
          <w:color w:val="auto"/>
          <w:sz w:val="44"/>
          <w:szCs w:val="44"/>
        </w:rPr>
        <w:t>项目</w:t>
      </w:r>
    </w:p>
    <w:p w14:paraId="370BE6AC">
      <w:pPr>
        <w:pStyle w:val="17"/>
        <w:spacing w:before="312" w:beforeLines="100" w:after="312" w:afterLines="100"/>
        <w:jc w:val="center"/>
        <w:rPr>
          <w:rFonts w:hint="eastAsia"/>
          <w:b/>
          <w:bCs/>
          <w:color w:val="auto"/>
          <w:sz w:val="84"/>
          <w:szCs w:val="84"/>
        </w:rPr>
      </w:pPr>
      <w:r>
        <w:rPr>
          <w:rFonts w:hint="eastAsia"/>
          <w:b/>
          <w:bCs/>
          <w:color w:val="auto"/>
          <w:sz w:val="84"/>
          <w:szCs w:val="84"/>
        </w:rPr>
        <w:t>投标文件</w:t>
      </w:r>
    </w:p>
    <w:p w14:paraId="23AD4C6E">
      <w:pPr>
        <w:pStyle w:val="17"/>
        <w:spacing w:before="312" w:beforeLines="100" w:after="312" w:afterLines="100"/>
        <w:jc w:val="center"/>
        <w:rPr>
          <w:rFonts w:hint="default" w:eastAsia="宋体"/>
          <w:bCs/>
          <w:color w:val="auto"/>
          <w:sz w:val="28"/>
          <w:szCs w:val="28"/>
          <w:lang w:val="en-US" w:eastAsia="zh-CN"/>
        </w:rPr>
      </w:pPr>
      <w:r>
        <w:rPr>
          <w:rFonts w:hint="eastAsia"/>
          <w:bCs/>
          <w:color w:val="auto"/>
          <w:sz w:val="28"/>
          <w:szCs w:val="28"/>
        </w:rPr>
        <w:t>采购编号：</w:t>
      </w:r>
    </w:p>
    <w:p w14:paraId="29B5E307">
      <w:pPr>
        <w:pStyle w:val="17"/>
        <w:spacing w:before="312" w:beforeLines="100" w:after="312" w:afterLines="100" w:line="600" w:lineRule="exact"/>
        <w:jc w:val="center"/>
        <w:rPr>
          <w:rFonts w:hint="eastAsia"/>
          <w:bCs/>
          <w:color w:val="auto"/>
          <w:sz w:val="32"/>
        </w:rPr>
      </w:pPr>
      <w:r>
        <w:rPr>
          <w:rFonts w:hint="eastAsia"/>
          <w:bCs/>
          <w:color w:val="auto"/>
          <w:sz w:val="32"/>
        </w:rPr>
        <w:t>（封面）</w:t>
      </w:r>
    </w:p>
    <w:p w14:paraId="6D4360E5">
      <w:pPr>
        <w:pStyle w:val="17"/>
        <w:spacing w:before="312" w:beforeLines="100" w:after="312" w:afterLines="100" w:line="600" w:lineRule="exact"/>
        <w:jc w:val="center"/>
        <w:rPr>
          <w:rFonts w:hint="eastAsia"/>
          <w:b/>
          <w:bCs/>
          <w:color w:val="auto"/>
          <w:sz w:val="32"/>
          <w:u w:val="single"/>
        </w:rPr>
      </w:pPr>
    </w:p>
    <w:p w14:paraId="7BD7F6A7">
      <w:pPr>
        <w:pStyle w:val="17"/>
        <w:spacing w:before="312" w:beforeLines="100" w:after="312" w:afterLines="100" w:line="600" w:lineRule="exact"/>
        <w:jc w:val="center"/>
        <w:rPr>
          <w:rFonts w:hint="eastAsia"/>
          <w:b/>
          <w:bCs/>
          <w:color w:val="auto"/>
          <w:sz w:val="32"/>
          <w:u w:val="single"/>
        </w:rPr>
      </w:pPr>
    </w:p>
    <w:p w14:paraId="42DDE909">
      <w:pPr>
        <w:pStyle w:val="17"/>
        <w:spacing w:before="312" w:beforeLines="100" w:after="312" w:afterLines="100" w:line="600" w:lineRule="exact"/>
        <w:rPr>
          <w:rFonts w:hint="eastAsia"/>
          <w:b/>
          <w:bCs/>
          <w:color w:val="auto"/>
          <w:sz w:val="32"/>
          <w:u w:val="single"/>
        </w:rPr>
      </w:pPr>
    </w:p>
    <w:p w14:paraId="6E507DB9">
      <w:pPr>
        <w:pStyle w:val="17"/>
        <w:spacing w:before="312" w:beforeLines="100" w:after="312" w:afterLines="100" w:line="600" w:lineRule="exact"/>
        <w:jc w:val="center"/>
        <w:rPr>
          <w:rFonts w:hint="eastAsia"/>
          <w:b/>
          <w:bCs/>
          <w:color w:val="auto"/>
          <w:sz w:val="32"/>
          <w:u w:val="single"/>
        </w:rPr>
      </w:pPr>
    </w:p>
    <w:p w14:paraId="3671A2E6">
      <w:pPr>
        <w:pStyle w:val="17"/>
        <w:spacing w:before="312" w:beforeLines="100" w:after="312" w:afterLines="100" w:line="600" w:lineRule="exact"/>
        <w:jc w:val="center"/>
        <w:rPr>
          <w:rFonts w:hint="eastAsia"/>
          <w:b/>
          <w:bCs/>
          <w:color w:val="auto"/>
          <w:sz w:val="32"/>
          <w:u w:val="single"/>
        </w:rPr>
      </w:pPr>
      <w:r>
        <w:rPr>
          <w:rFonts w:hint="eastAsia"/>
          <w:b/>
          <w:bCs/>
          <w:color w:val="auto"/>
          <w:sz w:val="32"/>
        </w:rPr>
        <w:t xml:space="preserve"> 投   标  人：</w:t>
      </w:r>
      <w:r>
        <w:rPr>
          <w:rFonts w:hint="eastAsia"/>
          <w:b/>
          <w:bCs/>
          <w:color w:val="auto"/>
          <w:sz w:val="32"/>
          <w:u w:val="single"/>
        </w:rPr>
        <w:t xml:space="preserve">                     </w:t>
      </w:r>
      <w:r>
        <w:rPr>
          <w:rFonts w:hint="eastAsia"/>
          <w:b/>
          <w:bCs/>
          <w:color w:val="auto"/>
          <w:sz w:val="32"/>
        </w:rPr>
        <w:t>（盖章）</w:t>
      </w:r>
    </w:p>
    <w:p w14:paraId="5C6C8904">
      <w:pPr>
        <w:pStyle w:val="17"/>
        <w:spacing w:before="312" w:beforeLines="100" w:after="312" w:afterLines="100" w:line="600" w:lineRule="exact"/>
        <w:ind w:firstLine="596" w:firstLineChars="198"/>
        <w:rPr>
          <w:rFonts w:hint="eastAsia"/>
          <w:b/>
          <w:bCs/>
          <w:color w:val="auto"/>
          <w:sz w:val="30"/>
          <w:szCs w:val="30"/>
        </w:rPr>
      </w:pPr>
      <w:r>
        <w:rPr>
          <w:rFonts w:hint="eastAsia"/>
          <w:b/>
          <w:bCs/>
          <w:color w:val="auto"/>
          <w:sz w:val="30"/>
          <w:szCs w:val="30"/>
        </w:rPr>
        <w:t>法定代表人或其委托代理人：</w:t>
      </w:r>
      <w:r>
        <w:rPr>
          <w:rFonts w:hint="eastAsia"/>
          <w:b/>
          <w:bCs/>
          <w:color w:val="auto"/>
          <w:sz w:val="30"/>
          <w:szCs w:val="30"/>
          <w:u w:val="single"/>
        </w:rPr>
        <w:t xml:space="preserve">              </w:t>
      </w:r>
      <w:r>
        <w:rPr>
          <w:rFonts w:hint="eastAsia"/>
          <w:b/>
          <w:bCs/>
          <w:color w:val="auto"/>
          <w:sz w:val="30"/>
          <w:szCs w:val="30"/>
        </w:rPr>
        <w:t>（签字或盖章）</w:t>
      </w:r>
    </w:p>
    <w:p w14:paraId="431A40F2">
      <w:pPr>
        <w:pStyle w:val="14"/>
        <w:spacing w:line="500" w:lineRule="exact"/>
        <w:ind w:left="0" w:leftChars="0" w:firstLine="2129" w:firstLineChars="707"/>
        <w:rPr>
          <w:rFonts w:hint="eastAsia"/>
          <w:b/>
          <w:bCs/>
          <w:color w:val="auto"/>
          <w:sz w:val="30"/>
          <w:szCs w:val="30"/>
        </w:rPr>
      </w:pPr>
      <w:r>
        <w:rPr>
          <w:rFonts w:hint="eastAsia"/>
          <w:b/>
          <w:bCs/>
          <w:color w:val="auto"/>
          <w:sz w:val="30"/>
          <w:szCs w:val="30"/>
        </w:rPr>
        <w:t>日      期：       年    月    日</w:t>
      </w:r>
    </w:p>
    <w:p w14:paraId="5C7C7D9A">
      <w:pPr>
        <w:pStyle w:val="14"/>
        <w:spacing w:line="500" w:lineRule="exact"/>
        <w:ind w:left="0" w:leftChars="0" w:firstLine="2129" w:firstLineChars="707"/>
        <w:rPr>
          <w:rFonts w:hint="eastAsia"/>
          <w:b/>
          <w:bCs/>
          <w:color w:val="auto"/>
          <w:sz w:val="30"/>
          <w:szCs w:val="30"/>
        </w:rPr>
      </w:pPr>
    </w:p>
    <w:p w14:paraId="5926CD72">
      <w:pPr>
        <w:jc w:val="center"/>
        <w:rPr>
          <w:rFonts w:hint="eastAsia" w:ascii="宋体" w:hAnsi="宋体"/>
          <w:b/>
          <w:color w:val="auto"/>
          <w:sz w:val="24"/>
        </w:rPr>
      </w:pPr>
      <w:r>
        <w:rPr>
          <w:rFonts w:hint="eastAsia" w:ascii="宋体" w:hAnsi="宋体"/>
          <w:b/>
          <w:color w:val="auto"/>
          <w:sz w:val="24"/>
        </w:rPr>
        <w:br w:type="page"/>
      </w:r>
    </w:p>
    <w:p w14:paraId="657FF9DC">
      <w:pPr>
        <w:jc w:val="center"/>
        <w:rPr>
          <w:rFonts w:hint="eastAsia"/>
          <w:b/>
          <w:color w:val="auto"/>
          <w:sz w:val="28"/>
          <w:szCs w:val="28"/>
        </w:rPr>
      </w:pPr>
      <w:r>
        <w:rPr>
          <w:rFonts w:hint="eastAsia"/>
          <w:b/>
          <w:color w:val="auto"/>
          <w:sz w:val="28"/>
          <w:szCs w:val="28"/>
        </w:rPr>
        <w:t>投标文件目录</w:t>
      </w:r>
    </w:p>
    <w:p w14:paraId="0EFF097F">
      <w:pPr>
        <w:jc w:val="center"/>
        <w:rPr>
          <w:rFonts w:hint="eastAsia" w:ascii="宋体" w:hAnsi="宋体"/>
          <w:b/>
          <w:color w:val="auto"/>
          <w:sz w:val="24"/>
        </w:rPr>
      </w:pPr>
    </w:p>
    <w:p w14:paraId="182AA235">
      <w:pPr>
        <w:numPr>
          <w:ilvl w:val="0"/>
          <w:numId w:val="43"/>
        </w:numPr>
        <w:spacing w:line="360" w:lineRule="auto"/>
        <w:rPr>
          <w:rFonts w:hint="eastAsia" w:ascii="宋体" w:hAnsi="宋体"/>
          <w:color w:val="auto"/>
          <w:szCs w:val="21"/>
        </w:rPr>
      </w:pPr>
      <w:r>
        <w:rPr>
          <w:rFonts w:hint="eastAsia" w:ascii="宋体" w:hAnsi="宋体"/>
          <w:color w:val="auto"/>
          <w:szCs w:val="21"/>
        </w:rPr>
        <w:t>法定代表人身份证明（</w:t>
      </w:r>
      <w:r>
        <w:rPr>
          <w:rFonts w:hint="eastAsia" w:ascii="宋体" w:hAnsi="宋体" w:cs="宋体"/>
          <w:color w:val="auto"/>
          <w:kern w:val="0"/>
          <w:szCs w:val="21"/>
        </w:rPr>
        <w:t>适</w:t>
      </w:r>
      <w:r>
        <w:rPr>
          <w:rFonts w:hint="eastAsia" w:ascii="宋体" w:hAnsi="宋体" w:cs="宋体"/>
          <w:color w:val="auto"/>
          <w:spacing w:val="-2"/>
          <w:kern w:val="0"/>
          <w:szCs w:val="21"/>
        </w:rPr>
        <w:t>用</w:t>
      </w:r>
      <w:r>
        <w:rPr>
          <w:rFonts w:hint="eastAsia" w:ascii="宋体" w:hAnsi="宋体" w:cs="宋体"/>
          <w:color w:val="auto"/>
          <w:kern w:val="0"/>
          <w:szCs w:val="21"/>
        </w:rPr>
        <w:t>于</w:t>
      </w:r>
      <w:r>
        <w:rPr>
          <w:rFonts w:hint="eastAsia" w:ascii="宋体" w:hAnsi="宋体" w:cs="宋体"/>
          <w:color w:val="auto"/>
          <w:spacing w:val="-2"/>
          <w:kern w:val="0"/>
          <w:szCs w:val="21"/>
        </w:rPr>
        <w:t>无</w:t>
      </w:r>
      <w:r>
        <w:rPr>
          <w:rFonts w:hint="eastAsia" w:ascii="宋体" w:hAnsi="宋体" w:cs="宋体"/>
          <w:color w:val="auto"/>
          <w:kern w:val="0"/>
          <w:szCs w:val="21"/>
        </w:rPr>
        <w:t>委</w:t>
      </w:r>
      <w:r>
        <w:rPr>
          <w:rFonts w:hint="eastAsia" w:ascii="宋体" w:hAnsi="宋体" w:cs="宋体"/>
          <w:color w:val="auto"/>
          <w:spacing w:val="-2"/>
          <w:kern w:val="0"/>
          <w:szCs w:val="21"/>
        </w:rPr>
        <w:t>托</w:t>
      </w:r>
      <w:r>
        <w:rPr>
          <w:rFonts w:hint="eastAsia" w:ascii="宋体" w:hAnsi="宋体" w:cs="宋体"/>
          <w:color w:val="auto"/>
          <w:kern w:val="0"/>
          <w:szCs w:val="21"/>
        </w:rPr>
        <w:t>代</w:t>
      </w:r>
      <w:r>
        <w:rPr>
          <w:rFonts w:hint="eastAsia" w:ascii="宋体" w:hAnsi="宋体" w:cs="宋体"/>
          <w:color w:val="auto"/>
          <w:spacing w:val="-2"/>
          <w:kern w:val="0"/>
          <w:szCs w:val="21"/>
        </w:rPr>
        <w:t>理</w:t>
      </w:r>
      <w:r>
        <w:rPr>
          <w:rFonts w:hint="eastAsia" w:ascii="宋体" w:hAnsi="宋体" w:cs="宋体"/>
          <w:color w:val="auto"/>
          <w:kern w:val="0"/>
          <w:szCs w:val="21"/>
        </w:rPr>
        <w:t>人</w:t>
      </w:r>
      <w:r>
        <w:rPr>
          <w:rFonts w:hint="eastAsia" w:ascii="宋体" w:hAnsi="宋体" w:cs="宋体"/>
          <w:color w:val="auto"/>
          <w:spacing w:val="-2"/>
          <w:kern w:val="0"/>
          <w:szCs w:val="21"/>
        </w:rPr>
        <w:t>的</w:t>
      </w:r>
      <w:r>
        <w:rPr>
          <w:rFonts w:hint="eastAsia" w:ascii="宋体" w:hAnsi="宋体" w:cs="宋体"/>
          <w:color w:val="auto"/>
          <w:kern w:val="0"/>
          <w:szCs w:val="21"/>
        </w:rPr>
        <w:t>情况</w:t>
      </w:r>
      <w:r>
        <w:rPr>
          <w:rFonts w:hint="eastAsia" w:ascii="宋体" w:hAnsi="宋体"/>
          <w:color w:val="auto"/>
          <w:szCs w:val="21"/>
        </w:rPr>
        <w:t>）</w:t>
      </w:r>
    </w:p>
    <w:p w14:paraId="202F411C">
      <w:pPr>
        <w:numPr>
          <w:ilvl w:val="0"/>
          <w:numId w:val="44"/>
        </w:numPr>
        <w:spacing w:line="360" w:lineRule="auto"/>
        <w:rPr>
          <w:rFonts w:hint="eastAsia" w:ascii="宋体" w:hAnsi="宋体"/>
          <w:color w:val="auto"/>
          <w:szCs w:val="21"/>
        </w:rPr>
      </w:pPr>
      <w:r>
        <w:rPr>
          <w:rFonts w:hint="eastAsia" w:ascii="宋体" w:hAnsi="宋体"/>
          <w:color w:val="auto"/>
          <w:szCs w:val="21"/>
        </w:rPr>
        <w:t>法定代表人授权委托书（</w:t>
      </w:r>
      <w:r>
        <w:rPr>
          <w:rFonts w:hint="eastAsia" w:ascii="宋体" w:hAnsi="宋体" w:cs="宋体"/>
          <w:color w:val="auto"/>
          <w:spacing w:val="-2"/>
          <w:kern w:val="0"/>
          <w:szCs w:val="21"/>
        </w:rPr>
        <w:t>适</w:t>
      </w:r>
      <w:r>
        <w:rPr>
          <w:rFonts w:hint="eastAsia" w:ascii="宋体" w:hAnsi="宋体" w:cs="宋体"/>
          <w:color w:val="auto"/>
          <w:kern w:val="0"/>
          <w:szCs w:val="21"/>
        </w:rPr>
        <w:t>用</w:t>
      </w:r>
      <w:r>
        <w:rPr>
          <w:rFonts w:hint="eastAsia" w:ascii="宋体" w:hAnsi="宋体" w:cs="宋体"/>
          <w:color w:val="auto"/>
          <w:spacing w:val="-2"/>
          <w:kern w:val="0"/>
          <w:szCs w:val="21"/>
        </w:rPr>
        <w:t>于</w:t>
      </w:r>
      <w:r>
        <w:rPr>
          <w:rFonts w:hint="eastAsia" w:ascii="宋体" w:hAnsi="宋体" w:cs="宋体"/>
          <w:color w:val="auto"/>
          <w:kern w:val="0"/>
          <w:szCs w:val="21"/>
        </w:rPr>
        <w:t>有委</w:t>
      </w:r>
      <w:r>
        <w:rPr>
          <w:rFonts w:hint="eastAsia" w:ascii="宋体" w:hAnsi="宋体" w:cs="宋体"/>
          <w:color w:val="auto"/>
          <w:spacing w:val="-2"/>
          <w:kern w:val="0"/>
          <w:szCs w:val="21"/>
        </w:rPr>
        <w:t>托</w:t>
      </w:r>
      <w:r>
        <w:rPr>
          <w:rFonts w:hint="eastAsia" w:ascii="宋体" w:hAnsi="宋体" w:cs="宋体"/>
          <w:color w:val="auto"/>
          <w:kern w:val="0"/>
          <w:szCs w:val="21"/>
        </w:rPr>
        <w:t>代</w:t>
      </w:r>
      <w:r>
        <w:rPr>
          <w:rFonts w:hint="eastAsia" w:ascii="宋体" w:hAnsi="宋体" w:cs="宋体"/>
          <w:color w:val="auto"/>
          <w:spacing w:val="-2"/>
          <w:kern w:val="0"/>
          <w:szCs w:val="21"/>
        </w:rPr>
        <w:t>理</w:t>
      </w:r>
      <w:r>
        <w:rPr>
          <w:rFonts w:hint="eastAsia" w:ascii="宋体" w:hAnsi="宋体" w:cs="宋体"/>
          <w:color w:val="auto"/>
          <w:kern w:val="0"/>
          <w:szCs w:val="21"/>
        </w:rPr>
        <w:t>人</w:t>
      </w:r>
      <w:r>
        <w:rPr>
          <w:rFonts w:hint="eastAsia" w:ascii="宋体" w:hAnsi="宋体" w:cs="宋体"/>
          <w:color w:val="auto"/>
          <w:spacing w:val="-2"/>
          <w:kern w:val="0"/>
          <w:szCs w:val="21"/>
        </w:rPr>
        <w:t>的</w:t>
      </w:r>
      <w:r>
        <w:rPr>
          <w:rFonts w:hint="eastAsia" w:ascii="宋体" w:hAnsi="宋体" w:cs="宋体"/>
          <w:color w:val="auto"/>
          <w:kern w:val="0"/>
          <w:szCs w:val="21"/>
        </w:rPr>
        <w:t>情</w:t>
      </w:r>
      <w:r>
        <w:rPr>
          <w:rFonts w:hint="eastAsia" w:ascii="宋体" w:hAnsi="宋体" w:cs="宋体"/>
          <w:color w:val="auto"/>
          <w:spacing w:val="-2"/>
          <w:kern w:val="0"/>
          <w:szCs w:val="21"/>
        </w:rPr>
        <w:t>况</w:t>
      </w:r>
      <w:r>
        <w:rPr>
          <w:rFonts w:hint="eastAsia" w:ascii="宋体" w:hAnsi="宋体"/>
          <w:color w:val="auto"/>
          <w:szCs w:val="21"/>
        </w:rPr>
        <w:t>）</w:t>
      </w:r>
    </w:p>
    <w:p w14:paraId="7B6AE9CF">
      <w:pPr>
        <w:numPr>
          <w:ilvl w:val="0"/>
          <w:numId w:val="43"/>
        </w:numPr>
        <w:spacing w:line="360" w:lineRule="auto"/>
        <w:rPr>
          <w:rFonts w:hint="eastAsia" w:ascii="宋体" w:hAnsi="宋体"/>
          <w:color w:val="auto"/>
          <w:szCs w:val="21"/>
        </w:rPr>
      </w:pPr>
      <w:r>
        <w:rPr>
          <w:rFonts w:hint="eastAsia" w:ascii="宋体" w:hAnsi="宋体"/>
          <w:color w:val="auto"/>
          <w:szCs w:val="21"/>
        </w:rPr>
        <w:t>投标书</w:t>
      </w:r>
    </w:p>
    <w:p w14:paraId="04E26B2A">
      <w:pPr>
        <w:numPr>
          <w:ilvl w:val="0"/>
          <w:numId w:val="43"/>
        </w:numPr>
        <w:spacing w:line="360" w:lineRule="auto"/>
        <w:rPr>
          <w:rFonts w:hint="eastAsia" w:ascii="宋体" w:hAnsi="宋体"/>
          <w:color w:val="auto"/>
          <w:szCs w:val="21"/>
        </w:rPr>
      </w:pPr>
      <w:r>
        <w:rPr>
          <w:rFonts w:hint="eastAsia" w:ascii="宋体" w:hAnsi="宋体" w:cs="宋体"/>
          <w:color w:val="auto"/>
          <w:kern w:val="0"/>
          <w:szCs w:val="21"/>
        </w:rPr>
        <w:t>投标承诺函</w:t>
      </w:r>
    </w:p>
    <w:p w14:paraId="4043EC18">
      <w:pPr>
        <w:numPr>
          <w:ilvl w:val="0"/>
          <w:numId w:val="43"/>
        </w:numPr>
        <w:spacing w:line="360" w:lineRule="auto"/>
        <w:rPr>
          <w:rFonts w:hint="eastAsia" w:ascii="宋体" w:hAnsi="宋体"/>
          <w:color w:val="auto"/>
          <w:szCs w:val="21"/>
        </w:rPr>
      </w:pPr>
      <w:r>
        <w:rPr>
          <w:rFonts w:hint="eastAsia" w:ascii="宋体" w:hAnsi="宋体"/>
          <w:color w:val="auto"/>
          <w:szCs w:val="21"/>
        </w:rPr>
        <w:t>投标报价表格</w:t>
      </w:r>
    </w:p>
    <w:p w14:paraId="77A69CF4">
      <w:pPr>
        <w:numPr>
          <w:ilvl w:val="0"/>
          <w:numId w:val="45"/>
        </w:numPr>
        <w:tabs>
          <w:tab w:val="left" w:pos="1080"/>
          <w:tab w:val="clear" w:pos="420"/>
        </w:tabs>
        <w:spacing w:line="360" w:lineRule="auto"/>
        <w:ind w:firstLine="120"/>
        <w:rPr>
          <w:rFonts w:hint="eastAsia" w:ascii="宋体" w:hAnsi="宋体"/>
          <w:color w:val="auto"/>
          <w:szCs w:val="21"/>
        </w:rPr>
      </w:pPr>
      <w:r>
        <w:rPr>
          <w:rFonts w:hint="eastAsia" w:ascii="宋体" w:hAnsi="宋体"/>
          <w:color w:val="auto"/>
          <w:szCs w:val="21"/>
        </w:rPr>
        <w:t>开标一览表</w:t>
      </w:r>
    </w:p>
    <w:p w14:paraId="46FA4CD8">
      <w:pPr>
        <w:numPr>
          <w:ilvl w:val="0"/>
          <w:numId w:val="45"/>
        </w:numPr>
        <w:tabs>
          <w:tab w:val="left" w:pos="1080"/>
          <w:tab w:val="clear" w:pos="420"/>
        </w:tabs>
        <w:spacing w:line="360" w:lineRule="auto"/>
        <w:ind w:firstLine="120"/>
        <w:rPr>
          <w:rFonts w:hint="eastAsia" w:ascii="宋体" w:hAnsi="宋体"/>
          <w:color w:val="auto"/>
          <w:szCs w:val="21"/>
        </w:rPr>
      </w:pPr>
      <w:r>
        <w:rPr>
          <w:rFonts w:hint="eastAsia" w:ascii="宋体" w:hAnsi="宋体"/>
          <w:color w:val="auto"/>
          <w:szCs w:val="21"/>
        </w:rPr>
        <w:t>投标报价一览表</w:t>
      </w:r>
    </w:p>
    <w:p w14:paraId="580CA68F">
      <w:pPr>
        <w:numPr>
          <w:ilvl w:val="0"/>
          <w:numId w:val="45"/>
        </w:numPr>
        <w:tabs>
          <w:tab w:val="left" w:pos="1080"/>
          <w:tab w:val="clear" w:pos="420"/>
        </w:tabs>
        <w:spacing w:line="360" w:lineRule="auto"/>
        <w:ind w:firstLine="120"/>
        <w:rPr>
          <w:rFonts w:hint="eastAsia" w:ascii="宋体" w:hAnsi="宋体"/>
          <w:color w:val="auto"/>
          <w:szCs w:val="21"/>
        </w:rPr>
      </w:pPr>
      <w:r>
        <w:rPr>
          <w:rFonts w:hint="eastAsia" w:ascii="宋体" w:hAnsi="宋体"/>
          <w:color w:val="auto"/>
          <w:szCs w:val="21"/>
        </w:rPr>
        <w:t>备件、专用工具和消耗品价格表</w:t>
      </w:r>
    </w:p>
    <w:p w14:paraId="2F75B215">
      <w:pPr>
        <w:numPr>
          <w:ilvl w:val="0"/>
          <w:numId w:val="45"/>
        </w:numPr>
        <w:tabs>
          <w:tab w:val="left" w:pos="1080"/>
          <w:tab w:val="clear" w:pos="420"/>
        </w:tabs>
        <w:spacing w:line="360" w:lineRule="auto"/>
        <w:ind w:firstLine="120"/>
        <w:rPr>
          <w:rFonts w:hint="eastAsia" w:ascii="宋体" w:hAnsi="宋体"/>
          <w:color w:val="auto"/>
          <w:szCs w:val="21"/>
        </w:rPr>
      </w:pPr>
      <w:r>
        <w:rPr>
          <w:rFonts w:hint="eastAsia" w:ascii="宋体" w:hAnsi="宋体"/>
          <w:color w:val="auto"/>
          <w:szCs w:val="21"/>
        </w:rPr>
        <w:t>货物分项报价一览表</w:t>
      </w:r>
    </w:p>
    <w:p w14:paraId="26C1DD3B">
      <w:pPr>
        <w:numPr>
          <w:ilvl w:val="0"/>
          <w:numId w:val="43"/>
        </w:numPr>
        <w:spacing w:line="360" w:lineRule="auto"/>
        <w:rPr>
          <w:rFonts w:hint="eastAsia" w:ascii="宋体" w:hAnsi="宋体"/>
          <w:color w:val="auto"/>
          <w:szCs w:val="21"/>
        </w:rPr>
      </w:pPr>
      <w:r>
        <w:rPr>
          <w:rFonts w:hint="eastAsia" w:ascii="宋体" w:hAnsi="宋体"/>
          <w:color w:val="auto"/>
          <w:szCs w:val="21"/>
        </w:rPr>
        <w:t>商务和技术偏差表</w:t>
      </w:r>
    </w:p>
    <w:p w14:paraId="52C535B8">
      <w:pPr>
        <w:numPr>
          <w:ilvl w:val="0"/>
          <w:numId w:val="43"/>
        </w:numPr>
        <w:spacing w:line="360" w:lineRule="auto"/>
        <w:rPr>
          <w:rFonts w:hint="eastAsia" w:ascii="宋体" w:hAnsi="宋体"/>
          <w:color w:val="auto"/>
          <w:szCs w:val="21"/>
        </w:rPr>
      </w:pPr>
      <w:r>
        <w:rPr>
          <w:rFonts w:hint="eastAsia" w:ascii="宋体" w:hAnsi="宋体"/>
          <w:color w:val="auto"/>
          <w:szCs w:val="21"/>
        </w:rPr>
        <w:t>售后服务计划</w:t>
      </w:r>
    </w:p>
    <w:p w14:paraId="4326AEC1">
      <w:pPr>
        <w:numPr>
          <w:ilvl w:val="0"/>
          <w:numId w:val="43"/>
        </w:numPr>
        <w:spacing w:line="360" w:lineRule="auto"/>
        <w:rPr>
          <w:rFonts w:hint="eastAsia" w:ascii="宋体" w:hAnsi="宋体"/>
          <w:color w:val="auto"/>
          <w:szCs w:val="21"/>
        </w:rPr>
      </w:pPr>
      <w:r>
        <w:rPr>
          <w:rFonts w:hint="eastAsia" w:ascii="宋体" w:hAnsi="宋体"/>
          <w:color w:val="auto"/>
          <w:szCs w:val="21"/>
        </w:rPr>
        <w:t>投标人及投标产品简介</w:t>
      </w:r>
    </w:p>
    <w:p w14:paraId="21FD5311">
      <w:pPr>
        <w:numPr>
          <w:ilvl w:val="0"/>
          <w:numId w:val="43"/>
        </w:numPr>
        <w:spacing w:line="360" w:lineRule="auto"/>
        <w:rPr>
          <w:rFonts w:hint="eastAsia" w:ascii="宋体" w:hAnsi="宋体"/>
          <w:color w:val="auto"/>
          <w:szCs w:val="21"/>
        </w:rPr>
      </w:pPr>
      <w:r>
        <w:rPr>
          <w:rFonts w:hint="eastAsia" w:ascii="宋体" w:hAnsi="宋体"/>
          <w:color w:val="auto"/>
          <w:szCs w:val="21"/>
        </w:rPr>
        <w:t>投标人提供的其他优惠条件</w:t>
      </w:r>
    </w:p>
    <w:p w14:paraId="06293134">
      <w:pPr>
        <w:numPr>
          <w:ilvl w:val="0"/>
          <w:numId w:val="43"/>
        </w:numPr>
        <w:spacing w:line="360" w:lineRule="auto"/>
        <w:rPr>
          <w:rFonts w:hint="eastAsia" w:ascii="宋体" w:hAnsi="宋体"/>
          <w:color w:val="auto"/>
          <w:szCs w:val="21"/>
        </w:rPr>
      </w:pPr>
      <w:r>
        <w:rPr>
          <w:rFonts w:hint="eastAsia" w:ascii="宋体" w:hAnsi="宋体"/>
          <w:color w:val="auto"/>
          <w:szCs w:val="21"/>
        </w:rPr>
        <w:t>反商业贿赂承诺书</w:t>
      </w:r>
    </w:p>
    <w:p w14:paraId="0BE8A714">
      <w:pPr>
        <w:numPr>
          <w:ilvl w:val="0"/>
          <w:numId w:val="43"/>
        </w:numPr>
        <w:spacing w:line="360" w:lineRule="auto"/>
        <w:rPr>
          <w:rFonts w:hint="eastAsia" w:ascii="宋体" w:hAnsi="宋体"/>
          <w:color w:val="auto"/>
          <w:szCs w:val="21"/>
        </w:rPr>
      </w:pPr>
      <w:r>
        <w:rPr>
          <w:rFonts w:hint="eastAsia" w:ascii="宋体" w:hAnsi="宋体"/>
          <w:color w:val="auto"/>
          <w:szCs w:val="21"/>
        </w:rPr>
        <w:t>中小企业声明函（如有）</w:t>
      </w:r>
    </w:p>
    <w:p w14:paraId="274B76F2">
      <w:pPr>
        <w:numPr>
          <w:ilvl w:val="0"/>
          <w:numId w:val="43"/>
        </w:numPr>
        <w:spacing w:line="360" w:lineRule="auto"/>
        <w:rPr>
          <w:rFonts w:hint="eastAsia" w:ascii="宋体" w:hAnsi="宋体"/>
          <w:color w:val="auto"/>
          <w:szCs w:val="21"/>
        </w:rPr>
      </w:pPr>
      <w:r>
        <w:rPr>
          <w:rFonts w:hint="eastAsia" w:ascii="宋体" w:hAnsi="宋体"/>
          <w:color w:val="auto"/>
          <w:szCs w:val="21"/>
        </w:rPr>
        <w:t>残疾人福利性单位声明函（如有）</w:t>
      </w:r>
    </w:p>
    <w:p w14:paraId="5BBB661C">
      <w:pPr>
        <w:numPr>
          <w:ilvl w:val="0"/>
          <w:numId w:val="43"/>
        </w:numPr>
        <w:spacing w:line="360" w:lineRule="auto"/>
        <w:rPr>
          <w:rFonts w:hint="eastAsia" w:ascii="宋体" w:hAnsi="宋体"/>
          <w:color w:val="auto"/>
          <w:szCs w:val="21"/>
        </w:rPr>
      </w:pPr>
      <w:r>
        <w:rPr>
          <w:rFonts w:hint="eastAsia" w:ascii="宋体" w:hAnsi="宋体"/>
          <w:color w:val="auto"/>
          <w:szCs w:val="21"/>
        </w:rPr>
        <w:t>监狱企业证明材料（如有）</w:t>
      </w:r>
    </w:p>
    <w:p w14:paraId="50542EBE">
      <w:pPr>
        <w:numPr>
          <w:ilvl w:val="0"/>
          <w:numId w:val="43"/>
        </w:numPr>
        <w:spacing w:line="360" w:lineRule="auto"/>
        <w:rPr>
          <w:rFonts w:hint="eastAsia" w:ascii="宋体" w:hAnsi="宋体"/>
          <w:color w:val="auto"/>
          <w:szCs w:val="21"/>
          <w:lang w:val="en-GB"/>
        </w:rPr>
      </w:pPr>
      <w:r>
        <w:rPr>
          <w:rFonts w:hint="eastAsia" w:ascii="宋体" w:hAnsi="宋体"/>
          <w:color w:val="auto"/>
          <w:szCs w:val="21"/>
          <w:lang w:val="en-GB"/>
        </w:rPr>
        <w:t>节能产品、环境标志产品明细表</w:t>
      </w:r>
      <w:r>
        <w:rPr>
          <w:rFonts w:hint="eastAsia" w:ascii="宋体" w:hAnsi="宋体" w:cs="微软雅黑"/>
          <w:color w:val="auto"/>
          <w:kern w:val="0"/>
          <w:szCs w:val="21"/>
        </w:rPr>
        <w:t>（如有）</w:t>
      </w:r>
    </w:p>
    <w:p w14:paraId="52C2CD34">
      <w:pPr>
        <w:numPr>
          <w:ilvl w:val="0"/>
          <w:numId w:val="43"/>
        </w:numPr>
        <w:spacing w:line="360" w:lineRule="auto"/>
        <w:rPr>
          <w:rFonts w:hint="eastAsia" w:ascii="宋体" w:hAnsi="宋体"/>
          <w:color w:val="auto"/>
          <w:szCs w:val="21"/>
        </w:rPr>
      </w:pPr>
      <w:r>
        <w:rPr>
          <w:rFonts w:hint="eastAsia" w:ascii="宋体" w:hAnsi="宋体"/>
          <w:color w:val="auto"/>
          <w:szCs w:val="21"/>
        </w:rPr>
        <w:t>其他资料</w:t>
      </w:r>
    </w:p>
    <w:p w14:paraId="62098BCF">
      <w:pPr>
        <w:rPr>
          <w:rFonts w:hint="eastAsia"/>
          <w:color w:val="auto"/>
        </w:rPr>
      </w:pPr>
    </w:p>
    <w:p w14:paraId="3CB3B2FB">
      <w:pPr>
        <w:pStyle w:val="3"/>
        <w:numPr>
          <w:ilvl w:val="0"/>
          <w:numId w:val="0"/>
        </w:numPr>
        <w:jc w:val="center"/>
        <w:rPr>
          <w:color w:val="auto"/>
        </w:rPr>
      </w:pPr>
      <w:r>
        <w:rPr>
          <w:rFonts w:ascii="宋体" w:hAnsi="宋体"/>
          <w:color w:val="auto"/>
          <w:sz w:val="36"/>
        </w:rPr>
        <w:br w:type="page"/>
      </w:r>
      <w:bookmarkStart w:id="502" w:name="_Toc17342"/>
      <w:bookmarkStart w:id="503" w:name="_Toc26039"/>
      <w:bookmarkStart w:id="504" w:name="_Toc27849"/>
      <w:bookmarkStart w:id="505" w:name="_Toc2504"/>
      <w:bookmarkStart w:id="506" w:name="_Toc312133589"/>
      <w:r>
        <w:rPr>
          <w:rFonts w:hint="eastAsia" w:ascii="宋体" w:hAnsi="宋体"/>
          <w:color w:val="auto"/>
          <w:szCs w:val="24"/>
        </w:rPr>
        <w:t>一、法定代表人身份证明</w:t>
      </w:r>
      <w:bookmarkEnd w:id="502"/>
      <w:bookmarkEnd w:id="503"/>
      <w:bookmarkEnd w:id="504"/>
      <w:bookmarkEnd w:id="505"/>
    </w:p>
    <w:p w14:paraId="2EB8777F">
      <w:pPr>
        <w:autoSpaceDE w:val="0"/>
        <w:autoSpaceDN w:val="0"/>
        <w:adjustRightInd w:val="0"/>
        <w:spacing w:line="480" w:lineRule="auto"/>
        <w:rPr>
          <w:rFonts w:hint="eastAsia" w:ascii="宋体" w:hAnsi="宋体" w:cs="宋体"/>
          <w:color w:val="auto"/>
          <w:kern w:val="0"/>
          <w:szCs w:val="21"/>
        </w:rPr>
      </w:pPr>
    </w:p>
    <w:p w14:paraId="4D4FF8E0">
      <w:pPr>
        <w:autoSpaceDE w:val="0"/>
        <w:autoSpaceDN w:val="0"/>
        <w:adjustRightInd w:val="0"/>
        <w:spacing w:line="480" w:lineRule="auto"/>
        <w:rPr>
          <w:rFonts w:hint="eastAsia" w:ascii="宋体" w:hAnsi="宋体" w:cs="宋体"/>
          <w:color w:val="auto"/>
          <w:kern w:val="0"/>
          <w:szCs w:val="21"/>
          <w:u w:val="single"/>
        </w:rPr>
      </w:pPr>
      <w:r>
        <w:rPr>
          <w:rFonts w:hint="eastAsia" w:ascii="宋体" w:hAnsi="宋体" w:cs="宋体"/>
          <w:color w:val="auto"/>
          <w:kern w:val="0"/>
          <w:szCs w:val="21"/>
        </w:rPr>
        <w:t>投标人名称：</w:t>
      </w:r>
      <w:r>
        <w:rPr>
          <w:rFonts w:hint="eastAsia" w:ascii="宋体" w:hAnsi="宋体" w:cs="宋体"/>
          <w:color w:val="auto"/>
          <w:kern w:val="0"/>
          <w:szCs w:val="21"/>
          <w:u w:val="single"/>
        </w:rPr>
        <w:t xml:space="preserve">                          </w:t>
      </w:r>
    </w:p>
    <w:p w14:paraId="74BB84D6">
      <w:pPr>
        <w:autoSpaceDE w:val="0"/>
        <w:autoSpaceDN w:val="0"/>
        <w:adjustRightInd w:val="0"/>
        <w:spacing w:line="480" w:lineRule="auto"/>
        <w:rPr>
          <w:rFonts w:hint="eastAsia" w:ascii="宋体" w:hAnsi="宋体" w:cs="宋体"/>
          <w:color w:val="auto"/>
          <w:kern w:val="0"/>
          <w:szCs w:val="21"/>
          <w:u w:val="single"/>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职务：</w:t>
      </w:r>
      <w:r>
        <w:rPr>
          <w:rFonts w:hint="eastAsia" w:ascii="宋体" w:hAnsi="宋体" w:cs="宋体"/>
          <w:color w:val="auto"/>
          <w:kern w:val="0"/>
          <w:szCs w:val="21"/>
          <w:u w:val="single"/>
        </w:rPr>
        <w:t xml:space="preserve">                 </w:t>
      </w:r>
    </w:p>
    <w:p w14:paraId="69CA5434">
      <w:pPr>
        <w:autoSpaceDE w:val="0"/>
        <w:autoSpaceDN w:val="0"/>
        <w:adjustRightInd w:val="0"/>
        <w:spacing w:line="480" w:lineRule="auto"/>
        <w:rPr>
          <w:rFonts w:hint="eastAsia" w:ascii="宋体" w:hAnsi="宋体" w:cs="宋体"/>
          <w:color w:val="auto"/>
          <w:kern w:val="0"/>
          <w:szCs w:val="21"/>
        </w:rPr>
      </w:pPr>
      <w:r>
        <w:rPr>
          <w:rFonts w:hint="eastAsia" w:ascii="宋体" w:hAnsi="宋体" w:cs="宋体"/>
          <w:color w:val="auto"/>
          <w:kern w:val="0"/>
          <w:szCs w:val="21"/>
        </w:rPr>
        <w:t>系</w:t>
      </w:r>
      <w:r>
        <w:rPr>
          <w:rFonts w:hint="eastAsia" w:ascii="宋体" w:hAnsi="宋体" w:cs="宋体"/>
          <w:color w:val="auto"/>
          <w:kern w:val="0"/>
          <w:szCs w:val="21"/>
          <w:u w:val="single"/>
        </w:rPr>
        <w:t xml:space="preserve">                                </w:t>
      </w:r>
      <w:r>
        <w:rPr>
          <w:rFonts w:hint="eastAsia" w:ascii="宋体" w:hAnsi="宋体" w:cs="宋体"/>
          <w:color w:val="auto"/>
          <w:kern w:val="0"/>
          <w:szCs w:val="21"/>
        </w:rPr>
        <w:t>（投标人名称）的法定代表人。</w:t>
      </w:r>
    </w:p>
    <w:p w14:paraId="0A21EBB6">
      <w:pPr>
        <w:autoSpaceDE w:val="0"/>
        <w:autoSpaceDN w:val="0"/>
        <w:adjustRightInd w:val="0"/>
        <w:spacing w:line="480" w:lineRule="auto"/>
        <w:rPr>
          <w:rFonts w:hint="eastAsia" w:ascii="宋体" w:hAnsi="宋体" w:cs="宋体"/>
          <w:color w:val="auto"/>
          <w:kern w:val="0"/>
          <w:szCs w:val="21"/>
        </w:rPr>
      </w:pPr>
      <w:r>
        <w:rPr>
          <w:rFonts w:hint="eastAsia" w:ascii="宋体" w:hAnsi="宋体" w:cs="宋体"/>
          <w:color w:val="auto"/>
          <w:kern w:val="0"/>
          <w:szCs w:val="21"/>
        </w:rPr>
        <w:t>特此证明。</w:t>
      </w:r>
    </w:p>
    <w:p w14:paraId="163208E4">
      <w:pPr>
        <w:autoSpaceDE w:val="0"/>
        <w:autoSpaceDN w:val="0"/>
        <w:adjustRightInd w:val="0"/>
        <w:spacing w:line="480" w:lineRule="auto"/>
        <w:rPr>
          <w:rFonts w:hint="eastAsia" w:ascii="宋体" w:hAnsi="宋体" w:cs="宋体"/>
          <w:color w:val="auto"/>
          <w:kern w:val="0"/>
          <w:szCs w:val="21"/>
        </w:rPr>
      </w:pPr>
      <w:r>
        <w:rPr>
          <w:rFonts w:hint="eastAsia" w:ascii="宋体" w:hAnsi="宋体" w:cs="宋体"/>
          <w:color w:val="auto"/>
          <w:kern w:val="0"/>
          <w:szCs w:val="21"/>
        </w:rPr>
        <w:t xml:space="preserve">附：法定代表人身份证复印件。 </w:t>
      </w:r>
    </w:p>
    <w:p w14:paraId="0F34569F">
      <w:pPr>
        <w:autoSpaceDE w:val="0"/>
        <w:autoSpaceDN w:val="0"/>
        <w:adjustRightInd w:val="0"/>
        <w:spacing w:line="480" w:lineRule="auto"/>
        <w:rPr>
          <w:rFonts w:hint="eastAsia" w:ascii="宋体" w:hAnsi="宋体" w:cs="宋体"/>
          <w:color w:val="auto"/>
          <w:kern w:val="0"/>
          <w:szCs w:val="21"/>
        </w:rPr>
      </w:pPr>
      <w:r>
        <w:rPr>
          <w:rFonts w:hint="eastAsia" w:ascii="宋体" w:hAnsi="宋体" w:cs="宋体"/>
          <w:color w:val="auto"/>
          <w:kern w:val="0"/>
          <w:szCs w:val="21"/>
        </w:rPr>
        <w:t>注：本身份证明需由投标人加盖单位公章。</w:t>
      </w:r>
    </w:p>
    <w:p w14:paraId="6959985D">
      <w:pPr>
        <w:autoSpaceDE w:val="0"/>
        <w:autoSpaceDN w:val="0"/>
        <w:adjustRightInd w:val="0"/>
        <w:spacing w:line="480" w:lineRule="auto"/>
        <w:rPr>
          <w:rFonts w:hint="eastAsia" w:ascii="宋体" w:hAnsi="宋体" w:cs="宋体"/>
          <w:color w:val="auto"/>
          <w:kern w:val="0"/>
          <w:szCs w:val="21"/>
        </w:rPr>
      </w:pPr>
    </w:p>
    <w:p w14:paraId="5E12D9E3">
      <w:pPr>
        <w:autoSpaceDE w:val="0"/>
        <w:autoSpaceDN w:val="0"/>
        <w:adjustRightInd w:val="0"/>
        <w:spacing w:line="480" w:lineRule="auto"/>
        <w:rPr>
          <w:rFonts w:hint="eastAsia" w:ascii="宋体" w:hAnsi="宋体" w:cs="宋体"/>
          <w:color w:val="auto"/>
          <w:kern w:val="0"/>
          <w:szCs w:val="21"/>
        </w:rPr>
      </w:pPr>
    </w:p>
    <w:p w14:paraId="21354744">
      <w:pPr>
        <w:autoSpaceDE w:val="0"/>
        <w:autoSpaceDN w:val="0"/>
        <w:adjustRightInd w:val="0"/>
        <w:spacing w:line="480" w:lineRule="auto"/>
        <w:rPr>
          <w:rFonts w:hint="eastAsia" w:ascii="宋体" w:hAnsi="宋体" w:cs="宋体"/>
          <w:color w:val="auto"/>
          <w:kern w:val="0"/>
          <w:szCs w:val="21"/>
        </w:rPr>
      </w:pPr>
    </w:p>
    <w:p w14:paraId="6327AC22">
      <w:pPr>
        <w:autoSpaceDE w:val="0"/>
        <w:autoSpaceDN w:val="0"/>
        <w:adjustRightInd w:val="0"/>
        <w:spacing w:line="480" w:lineRule="auto"/>
        <w:rPr>
          <w:rFonts w:hint="eastAsia" w:ascii="宋体" w:hAnsi="宋体" w:cs="宋体"/>
          <w:color w:val="auto"/>
          <w:kern w:val="0"/>
          <w:szCs w:val="21"/>
        </w:rPr>
      </w:pPr>
    </w:p>
    <w:p w14:paraId="7BE20D8C">
      <w:pPr>
        <w:ind w:firstLine="3150" w:firstLineChars="1500"/>
        <w:rPr>
          <w:rFonts w:hint="eastAsia" w:ascii="宋体" w:hAnsi="宋体"/>
          <w:color w:val="auto"/>
          <w:szCs w:val="21"/>
        </w:rPr>
      </w:pPr>
      <w:r>
        <w:rPr>
          <w:rFonts w:hint="eastAsia" w:ascii="宋体" w:hAnsi="宋体"/>
          <w:color w:val="auto"/>
          <w:szCs w:val="21"/>
        </w:rPr>
        <w:t>投标人：</w:t>
      </w:r>
      <w:r>
        <w:rPr>
          <w:rFonts w:hint="eastAsia" w:ascii="宋体" w:hAnsi="宋体"/>
          <w:color w:val="auto"/>
          <w:szCs w:val="21"/>
          <w:u w:val="single"/>
        </w:rPr>
        <w:t xml:space="preserve">                               </w:t>
      </w:r>
      <w:r>
        <w:rPr>
          <w:rFonts w:hint="eastAsia" w:ascii="宋体" w:hAnsi="宋体"/>
          <w:color w:val="auto"/>
          <w:szCs w:val="21"/>
        </w:rPr>
        <w:t>（盖章）</w:t>
      </w:r>
    </w:p>
    <w:p w14:paraId="494E5A6E">
      <w:pPr>
        <w:rPr>
          <w:rFonts w:hint="eastAsia" w:ascii="宋体" w:hAnsi="宋体"/>
          <w:color w:val="auto"/>
          <w:szCs w:val="21"/>
        </w:rPr>
      </w:pPr>
      <w:r>
        <w:rPr>
          <w:rFonts w:hint="eastAsia" w:ascii="宋体" w:hAnsi="宋体"/>
          <w:color w:val="auto"/>
          <w:szCs w:val="21"/>
        </w:rPr>
        <w:t xml:space="preserve">     </w:t>
      </w:r>
    </w:p>
    <w:p w14:paraId="78EAA932">
      <w:pPr>
        <w:tabs>
          <w:tab w:val="left" w:pos="5380"/>
          <w:tab w:val="left" w:pos="6520"/>
          <w:tab w:val="left" w:pos="7680"/>
        </w:tabs>
        <w:autoSpaceDE w:val="0"/>
        <w:autoSpaceDN w:val="0"/>
        <w:adjustRightInd w:val="0"/>
        <w:ind w:right="-20" w:firstLine="4410" w:firstLineChars="2100"/>
        <w:jc w:val="left"/>
        <w:rPr>
          <w:rFonts w:hint="eastAsia" w:ascii="宋体" w:hAnsi="宋体" w:cs="宋体"/>
          <w:color w:val="auto"/>
          <w:kern w:val="0"/>
          <w:szCs w:val="21"/>
        </w:rPr>
      </w:pPr>
      <w:r>
        <w:rPr>
          <w:rFonts w:hint="eastAsia" w:ascii="宋体" w:hAnsi="宋体" w:cs="宋体"/>
          <w:color w:val="auto"/>
          <w:kern w:val="0"/>
          <w:szCs w:val="21"/>
          <w:u w:val="single"/>
        </w:rPr>
        <w:t xml:space="preserve">     </w:t>
      </w:r>
      <w:r>
        <w:rPr>
          <w:rFonts w:hint="eastAsia" w:ascii="宋体" w:hAnsi="宋体" w:cs="宋体"/>
          <w:color w:val="auto"/>
          <w:spacing w:val="43"/>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w:t>
      </w:r>
    </w:p>
    <w:p w14:paraId="03BD803C">
      <w:pPr>
        <w:tabs>
          <w:tab w:val="left" w:pos="5340"/>
          <w:tab w:val="left" w:pos="6180"/>
          <w:tab w:val="left" w:pos="7020"/>
        </w:tabs>
        <w:autoSpaceDE w:val="0"/>
        <w:autoSpaceDN w:val="0"/>
        <w:adjustRightInd w:val="0"/>
        <w:ind w:left="4721" w:right="-20"/>
        <w:rPr>
          <w:rFonts w:hint="eastAsia" w:ascii="宋体" w:hAnsi="宋体" w:cs="宋体"/>
          <w:color w:val="auto"/>
          <w:kern w:val="0"/>
          <w:szCs w:val="21"/>
        </w:rPr>
      </w:pPr>
    </w:p>
    <w:p w14:paraId="2B04B111">
      <w:pPr>
        <w:rPr>
          <w:rFonts w:hint="eastAsia"/>
          <w:color w:val="auto"/>
        </w:rPr>
      </w:pPr>
      <w:r>
        <w:rPr>
          <w:rFonts w:hint="eastAsia"/>
          <w:color w:val="auto"/>
        </w:rPr>
        <w:br w:type="page"/>
      </w:r>
    </w:p>
    <w:p w14:paraId="125F95E9">
      <w:pPr>
        <w:pStyle w:val="3"/>
        <w:numPr>
          <w:ilvl w:val="0"/>
          <w:numId w:val="46"/>
        </w:numPr>
        <w:jc w:val="center"/>
        <w:rPr>
          <w:rFonts w:hint="eastAsia" w:ascii="宋体" w:hAnsi="宋体"/>
          <w:color w:val="auto"/>
          <w:szCs w:val="24"/>
        </w:rPr>
      </w:pPr>
      <w:bookmarkStart w:id="507" w:name="_Toc12134"/>
      <w:bookmarkStart w:id="508" w:name="_Toc12341"/>
      <w:r>
        <w:rPr>
          <w:rFonts w:hint="eastAsia" w:ascii="宋体" w:hAnsi="宋体"/>
          <w:color w:val="auto"/>
          <w:szCs w:val="24"/>
        </w:rPr>
        <w:t>法定代表人授权委托书</w:t>
      </w:r>
      <w:bookmarkEnd w:id="506"/>
      <w:bookmarkEnd w:id="507"/>
      <w:bookmarkEnd w:id="508"/>
    </w:p>
    <w:p w14:paraId="023160B5">
      <w:pPr>
        <w:autoSpaceDE w:val="0"/>
        <w:autoSpaceDN w:val="0"/>
        <w:adjustRightInd w:val="0"/>
        <w:spacing w:line="200" w:lineRule="exact"/>
        <w:rPr>
          <w:rFonts w:ascii="微软雅黑" w:eastAsia="微软雅黑" w:cs="微软雅黑"/>
          <w:color w:val="auto"/>
          <w:kern w:val="0"/>
          <w:sz w:val="20"/>
          <w:szCs w:val="20"/>
        </w:rPr>
      </w:pPr>
    </w:p>
    <w:p w14:paraId="595AF2B5">
      <w:pPr>
        <w:tabs>
          <w:tab w:val="left" w:pos="3880"/>
        </w:tabs>
        <w:autoSpaceDE w:val="0"/>
        <w:autoSpaceDN w:val="0"/>
        <w:adjustRightInd w:val="0"/>
        <w:spacing w:line="360" w:lineRule="auto"/>
        <w:ind w:firstLine="420" w:firstLineChars="200"/>
        <w:rPr>
          <w:rFonts w:hint="eastAsia" w:ascii="宋体" w:hAnsi="宋体"/>
          <w:color w:val="auto"/>
          <w:szCs w:val="21"/>
        </w:rPr>
      </w:pPr>
      <w:r>
        <w:rPr>
          <w:rFonts w:hint="eastAsia" w:ascii="宋体" w:hAnsi="宋体"/>
          <w:color w:val="auto"/>
          <w:szCs w:val="21"/>
        </w:rPr>
        <w:t>本人</w:t>
      </w:r>
      <w:r>
        <w:rPr>
          <w:rFonts w:hint="eastAsia" w:ascii="宋体" w:hAnsi="宋体"/>
          <w:color w:val="auto"/>
          <w:szCs w:val="21"/>
          <w:u w:val="single"/>
        </w:rPr>
        <w:t xml:space="preserve">                  </w:t>
      </w:r>
      <w:r>
        <w:rPr>
          <w:rFonts w:hint="eastAsia" w:ascii="宋体" w:hAnsi="宋体"/>
          <w:color w:val="auto"/>
          <w:szCs w:val="21"/>
        </w:rPr>
        <w:t>（姓名）系</w:t>
      </w:r>
      <w:r>
        <w:rPr>
          <w:rFonts w:hint="eastAsia" w:ascii="宋体" w:hAnsi="宋体"/>
          <w:color w:val="auto"/>
          <w:szCs w:val="21"/>
          <w:u w:val="single"/>
        </w:rPr>
        <w:t xml:space="preserve">                      </w:t>
      </w:r>
      <w:r>
        <w:rPr>
          <w:rFonts w:hint="eastAsia" w:ascii="宋体" w:hAnsi="宋体"/>
          <w:color w:val="auto"/>
          <w:szCs w:val="21"/>
        </w:rPr>
        <w:t>（投标人名称）的法定代表人，现委托</w:t>
      </w:r>
      <w:r>
        <w:rPr>
          <w:rFonts w:hint="eastAsia" w:ascii="宋体" w:hAnsi="宋体"/>
          <w:color w:val="auto"/>
          <w:szCs w:val="21"/>
          <w:u w:val="single"/>
        </w:rPr>
        <w:t xml:space="preserve">                 </w:t>
      </w:r>
      <w:r>
        <w:rPr>
          <w:rFonts w:hint="eastAsia" w:ascii="宋体" w:hAnsi="宋体"/>
          <w:color w:val="auto"/>
          <w:szCs w:val="21"/>
        </w:rPr>
        <w:t>（姓名、职务）为我方代理人。</w:t>
      </w:r>
      <w:r>
        <w:rPr>
          <w:rFonts w:hint="eastAsia" w:ascii="宋体" w:hAnsi="宋体" w:cs="宋体"/>
          <w:color w:val="auto"/>
          <w:kern w:val="0"/>
          <w:position w:val="-2"/>
          <w:szCs w:val="21"/>
        </w:rPr>
        <w:t>代理</w:t>
      </w:r>
      <w:r>
        <w:rPr>
          <w:rFonts w:hint="eastAsia" w:ascii="宋体" w:hAnsi="宋体" w:cs="宋体"/>
          <w:color w:val="auto"/>
          <w:spacing w:val="-2"/>
          <w:kern w:val="0"/>
          <w:position w:val="-2"/>
          <w:szCs w:val="21"/>
        </w:rPr>
        <w:t>人</w:t>
      </w:r>
      <w:r>
        <w:rPr>
          <w:rFonts w:hint="eastAsia" w:ascii="宋体" w:hAnsi="宋体" w:cs="宋体"/>
          <w:color w:val="auto"/>
          <w:kern w:val="0"/>
          <w:position w:val="-2"/>
          <w:szCs w:val="21"/>
        </w:rPr>
        <w:t>根据授权，</w:t>
      </w:r>
      <w:r>
        <w:rPr>
          <w:rFonts w:hint="eastAsia" w:ascii="宋体" w:hAnsi="宋体" w:cs="宋体"/>
          <w:color w:val="auto"/>
          <w:spacing w:val="-2"/>
          <w:kern w:val="0"/>
          <w:position w:val="-2"/>
          <w:szCs w:val="21"/>
        </w:rPr>
        <w:t>以</w:t>
      </w:r>
      <w:r>
        <w:rPr>
          <w:rFonts w:hint="eastAsia" w:ascii="宋体" w:hAnsi="宋体" w:cs="宋体"/>
          <w:color w:val="auto"/>
          <w:kern w:val="0"/>
          <w:position w:val="-2"/>
          <w:szCs w:val="21"/>
        </w:rPr>
        <w:t>我方名</w:t>
      </w:r>
      <w:r>
        <w:rPr>
          <w:rFonts w:hint="eastAsia" w:ascii="宋体" w:hAnsi="宋体"/>
          <w:color w:val="auto"/>
          <w:szCs w:val="21"/>
        </w:rPr>
        <w:t>义签署、澄清确认、递交、撤回、修改</w:t>
      </w:r>
      <w:r>
        <w:rPr>
          <w:rFonts w:hint="eastAsia" w:ascii="宋体" w:hAnsi="宋体"/>
          <w:color w:val="auto"/>
          <w:szCs w:val="21"/>
          <w:u w:val="single"/>
          <w:lang w:val="en-US" w:eastAsia="zh-CN"/>
        </w:rPr>
        <w:t xml:space="preserve"> </w:t>
      </w:r>
      <w:r>
        <w:rPr>
          <w:rFonts w:hint="eastAsia" w:ascii="宋体" w:hAnsi="宋体"/>
          <w:color w:val="auto"/>
          <w:szCs w:val="21"/>
          <w:u w:val="single"/>
          <w:lang w:eastAsia="zh-CN"/>
        </w:rPr>
        <w:t>尉氏县中心医院（尉氏县第三医共体总医院）儿童康复设备一批采购项目</w:t>
      </w:r>
      <w:r>
        <w:rPr>
          <w:rFonts w:hint="eastAsia" w:ascii="宋体" w:hAnsi="宋体"/>
          <w:color w:val="auto"/>
          <w:szCs w:val="21"/>
          <w:u w:val="single"/>
          <w:lang w:val="en-US" w:eastAsia="zh-CN"/>
        </w:rPr>
        <w:t xml:space="preserve">   </w:t>
      </w:r>
      <w:r>
        <w:rPr>
          <w:rFonts w:hint="eastAsia" w:ascii="宋体" w:hAnsi="宋体"/>
          <w:color w:val="auto"/>
          <w:szCs w:val="21"/>
        </w:rPr>
        <w:t>投标文件、签订合同和处理有关事宜，其法律后果由我方承担。</w:t>
      </w:r>
    </w:p>
    <w:p w14:paraId="3EDE7393">
      <w:pPr>
        <w:spacing w:line="360" w:lineRule="auto"/>
        <w:ind w:firstLine="420"/>
        <w:rPr>
          <w:rFonts w:hint="eastAsia" w:ascii="宋体" w:hAnsi="宋体"/>
          <w:color w:val="auto"/>
          <w:szCs w:val="21"/>
        </w:rPr>
      </w:pPr>
    </w:p>
    <w:p w14:paraId="4418B823">
      <w:pPr>
        <w:spacing w:line="500" w:lineRule="exact"/>
        <w:ind w:firstLine="420" w:firstLineChars="200"/>
        <w:rPr>
          <w:rFonts w:hint="eastAsia" w:ascii="宋体" w:hAnsi="宋体"/>
          <w:color w:val="auto"/>
          <w:szCs w:val="21"/>
          <w:u w:val="single"/>
        </w:rPr>
      </w:pPr>
      <w:r>
        <w:rPr>
          <w:rFonts w:hint="eastAsia" w:ascii="宋体" w:hAnsi="宋体"/>
          <w:color w:val="auto"/>
          <w:szCs w:val="21"/>
        </w:rPr>
        <w:t>委托期限：</w:t>
      </w:r>
      <w:r>
        <w:rPr>
          <w:rFonts w:hint="eastAsia" w:ascii="宋体" w:hAnsi="宋体"/>
          <w:color w:val="auto"/>
          <w:szCs w:val="21"/>
          <w:u w:val="single"/>
        </w:rPr>
        <w:t>递交投标文件的截止之日起90日历天</w:t>
      </w:r>
      <w:r>
        <w:rPr>
          <w:rFonts w:hint="eastAsia" w:ascii="宋体" w:hAnsi="宋体" w:cs="宋体"/>
          <w:color w:val="auto"/>
        </w:rPr>
        <w:t>。</w:t>
      </w:r>
    </w:p>
    <w:p w14:paraId="1B4917D4">
      <w:pPr>
        <w:spacing w:line="500" w:lineRule="exact"/>
        <w:ind w:firstLine="420" w:firstLineChars="200"/>
        <w:rPr>
          <w:rFonts w:hint="eastAsia" w:ascii="宋体" w:hAnsi="宋体"/>
          <w:color w:val="auto"/>
          <w:szCs w:val="21"/>
        </w:rPr>
      </w:pPr>
      <w:r>
        <w:rPr>
          <w:rFonts w:hint="eastAsia" w:ascii="宋体" w:hAnsi="宋体"/>
          <w:color w:val="auto"/>
          <w:szCs w:val="21"/>
        </w:rPr>
        <w:t>代理人无转委托权。</w:t>
      </w:r>
    </w:p>
    <w:p w14:paraId="21B064C3">
      <w:pPr>
        <w:spacing w:line="500" w:lineRule="exact"/>
        <w:ind w:firstLine="420" w:firstLineChars="200"/>
        <w:rPr>
          <w:rFonts w:hint="eastAsia" w:ascii="宋体" w:hAnsi="宋体"/>
          <w:color w:val="auto"/>
          <w:szCs w:val="21"/>
        </w:rPr>
      </w:pPr>
      <w:r>
        <w:rPr>
          <w:rFonts w:hint="eastAsia" w:ascii="宋体" w:hAnsi="宋体"/>
          <w:color w:val="auto"/>
          <w:szCs w:val="21"/>
        </w:rPr>
        <w:t>附：</w:t>
      </w:r>
      <w:r>
        <w:rPr>
          <w:rFonts w:hint="eastAsia" w:ascii="宋体" w:hAnsi="宋体" w:cs="宋体"/>
          <w:color w:val="auto"/>
          <w:spacing w:val="-2"/>
          <w:kern w:val="0"/>
          <w:szCs w:val="21"/>
        </w:rPr>
        <w:t>法</w:t>
      </w:r>
      <w:r>
        <w:rPr>
          <w:rFonts w:hint="eastAsia" w:ascii="宋体" w:hAnsi="宋体" w:cs="宋体"/>
          <w:color w:val="auto"/>
          <w:kern w:val="0"/>
          <w:szCs w:val="21"/>
        </w:rPr>
        <w:t>定</w:t>
      </w:r>
      <w:r>
        <w:rPr>
          <w:rFonts w:hint="eastAsia" w:ascii="宋体" w:hAnsi="宋体" w:cs="宋体"/>
          <w:color w:val="auto"/>
          <w:spacing w:val="-2"/>
          <w:kern w:val="0"/>
          <w:szCs w:val="21"/>
        </w:rPr>
        <w:t>代</w:t>
      </w:r>
      <w:r>
        <w:rPr>
          <w:rFonts w:hint="eastAsia" w:ascii="宋体" w:hAnsi="宋体" w:cs="宋体"/>
          <w:color w:val="auto"/>
          <w:kern w:val="0"/>
          <w:szCs w:val="21"/>
        </w:rPr>
        <w:t>表</w:t>
      </w:r>
      <w:r>
        <w:rPr>
          <w:rFonts w:hint="eastAsia" w:ascii="宋体" w:hAnsi="宋体" w:cs="宋体"/>
          <w:color w:val="auto"/>
          <w:spacing w:val="-2"/>
          <w:kern w:val="0"/>
          <w:szCs w:val="21"/>
        </w:rPr>
        <w:t>人</w:t>
      </w:r>
      <w:r>
        <w:rPr>
          <w:rFonts w:hint="eastAsia" w:ascii="宋体" w:hAnsi="宋体" w:cs="宋体"/>
          <w:color w:val="auto"/>
          <w:kern w:val="0"/>
          <w:szCs w:val="21"/>
        </w:rPr>
        <w:t>身</w:t>
      </w:r>
      <w:r>
        <w:rPr>
          <w:rFonts w:hint="eastAsia" w:ascii="宋体" w:hAnsi="宋体" w:cs="宋体"/>
          <w:color w:val="auto"/>
          <w:spacing w:val="-2"/>
          <w:kern w:val="0"/>
          <w:szCs w:val="21"/>
        </w:rPr>
        <w:t>份</w:t>
      </w:r>
      <w:r>
        <w:rPr>
          <w:rFonts w:hint="eastAsia" w:ascii="宋体" w:hAnsi="宋体" w:cs="宋体"/>
          <w:color w:val="auto"/>
          <w:kern w:val="0"/>
          <w:szCs w:val="21"/>
        </w:rPr>
        <w:t>证</w:t>
      </w:r>
      <w:r>
        <w:rPr>
          <w:rFonts w:hint="eastAsia" w:ascii="宋体" w:hAnsi="宋体" w:cs="宋体"/>
          <w:color w:val="auto"/>
          <w:spacing w:val="-2"/>
          <w:kern w:val="0"/>
          <w:szCs w:val="21"/>
        </w:rPr>
        <w:t>复</w:t>
      </w:r>
      <w:r>
        <w:rPr>
          <w:rFonts w:hint="eastAsia" w:ascii="宋体" w:hAnsi="宋体" w:cs="宋体"/>
          <w:color w:val="auto"/>
          <w:kern w:val="0"/>
          <w:szCs w:val="21"/>
        </w:rPr>
        <w:t>印件</w:t>
      </w:r>
      <w:r>
        <w:rPr>
          <w:rFonts w:hint="eastAsia" w:ascii="宋体" w:hAnsi="宋体" w:cs="宋体"/>
          <w:color w:val="auto"/>
          <w:spacing w:val="-2"/>
          <w:kern w:val="0"/>
          <w:szCs w:val="21"/>
        </w:rPr>
        <w:t>及</w:t>
      </w:r>
      <w:r>
        <w:rPr>
          <w:rFonts w:hint="eastAsia" w:ascii="宋体" w:hAnsi="宋体" w:cs="宋体"/>
          <w:color w:val="auto"/>
          <w:kern w:val="0"/>
          <w:szCs w:val="21"/>
        </w:rPr>
        <w:t>委</w:t>
      </w:r>
      <w:r>
        <w:rPr>
          <w:rFonts w:hint="eastAsia" w:ascii="宋体" w:hAnsi="宋体" w:cs="宋体"/>
          <w:color w:val="auto"/>
          <w:spacing w:val="-2"/>
          <w:kern w:val="0"/>
          <w:szCs w:val="21"/>
        </w:rPr>
        <w:t>托</w:t>
      </w:r>
      <w:r>
        <w:rPr>
          <w:rFonts w:hint="eastAsia" w:ascii="宋体" w:hAnsi="宋体" w:cs="宋体"/>
          <w:color w:val="auto"/>
          <w:kern w:val="0"/>
          <w:szCs w:val="21"/>
        </w:rPr>
        <w:t>代</w:t>
      </w:r>
      <w:r>
        <w:rPr>
          <w:rFonts w:hint="eastAsia" w:ascii="宋体" w:hAnsi="宋体" w:cs="宋体"/>
          <w:color w:val="auto"/>
          <w:spacing w:val="-2"/>
          <w:kern w:val="0"/>
          <w:szCs w:val="21"/>
        </w:rPr>
        <w:t>理</w:t>
      </w:r>
      <w:r>
        <w:rPr>
          <w:rFonts w:hint="eastAsia" w:ascii="宋体" w:hAnsi="宋体" w:cs="宋体"/>
          <w:color w:val="auto"/>
          <w:kern w:val="0"/>
          <w:szCs w:val="21"/>
        </w:rPr>
        <w:t>人</w:t>
      </w:r>
      <w:r>
        <w:rPr>
          <w:rFonts w:hint="eastAsia" w:ascii="宋体" w:hAnsi="宋体" w:cs="宋体"/>
          <w:color w:val="auto"/>
          <w:spacing w:val="-2"/>
          <w:kern w:val="0"/>
          <w:szCs w:val="21"/>
        </w:rPr>
        <w:t>身</w:t>
      </w:r>
      <w:r>
        <w:rPr>
          <w:rFonts w:hint="eastAsia" w:ascii="宋体" w:hAnsi="宋体" w:cs="宋体"/>
          <w:color w:val="auto"/>
          <w:kern w:val="0"/>
          <w:szCs w:val="21"/>
        </w:rPr>
        <w:t>份</w:t>
      </w:r>
      <w:r>
        <w:rPr>
          <w:rFonts w:hint="eastAsia" w:ascii="宋体" w:hAnsi="宋体" w:cs="宋体"/>
          <w:color w:val="auto"/>
          <w:spacing w:val="-2"/>
          <w:kern w:val="0"/>
          <w:szCs w:val="21"/>
        </w:rPr>
        <w:t>证</w:t>
      </w:r>
      <w:r>
        <w:rPr>
          <w:rFonts w:hint="eastAsia" w:ascii="宋体" w:hAnsi="宋体" w:cs="宋体"/>
          <w:color w:val="auto"/>
          <w:kern w:val="0"/>
          <w:szCs w:val="21"/>
        </w:rPr>
        <w:t>复印件</w:t>
      </w:r>
    </w:p>
    <w:p w14:paraId="53C56C88">
      <w:pPr>
        <w:spacing w:line="500" w:lineRule="exact"/>
        <w:rPr>
          <w:rFonts w:hint="eastAsia" w:ascii="宋体" w:hAnsi="宋体"/>
          <w:color w:val="auto"/>
          <w:szCs w:val="21"/>
        </w:rPr>
      </w:pPr>
    </w:p>
    <w:p w14:paraId="0656C82A">
      <w:pPr>
        <w:spacing w:line="500" w:lineRule="exact"/>
        <w:rPr>
          <w:rFonts w:hint="eastAsia" w:ascii="宋体" w:hAnsi="宋体"/>
          <w:color w:val="auto"/>
          <w:szCs w:val="21"/>
        </w:rPr>
      </w:pPr>
    </w:p>
    <w:p w14:paraId="70672BAB">
      <w:pPr>
        <w:spacing w:line="480" w:lineRule="auto"/>
        <w:ind w:firstLine="2940" w:firstLineChars="1400"/>
        <w:rPr>
          <w:rFonts w:hint="eastAsia" w:ascii="宋体" w:hAnsi="宋体"/>
          <w:color w:val="auto"/>
          <w:szCs w:val="21"/>
        </w:rPr>
      </w:pPr>
      <w:r>
        <w:rPr>
          <w:rFonts w:hint="eastAsia" w:ascii="宋体" w:hAnsi="宋体"/>
          <w:color w:val="auto"/>
          <w:szCs w:val="21"/>
        </w:rPr>
        <w:t>投标人：</w:t>
      </w:r>
      <w:r>
        <w:rPr>
          <w:rFonts w:hint="eastAsia" w:ascii="宋体" w:hAnsi="宋体"/>
          <w:color w:val="auto"/>
          <w:szCs w:val="21"/>
          <w:u w:val="single"/>
        </w:rPr>
        <w:t xml:space="preserve">                               </w:t>
      </w:r>
      <w:r>
        <w:rPr>
          <w:rFonts w:hint="eastAsia" w:ascii="宋体" w:hAnsi="宋体"/>
          <w:color w:val="auto"/>
          <w:szCs w:val="21"/>
        </w:rPr>
        <w:t>（盖章）</w:t>
      </w:r>
    </w:p>
    <w:p w14:paraId="13A25DD5">
      <w:pPr>
        <w:pStyle w:val="34"/>
        <w:spacing w:line="480" w:lineRule="auto"/>
        <w:ind w:firstLine="2940" w:firstLineChars="1400"/>
        <w:rPr>
          <w:rFonts w:hint="eastAsia"/>
          <w:color w:val="auto"/>
          <w:kern w:val="2"/>
          <w:sz w:val="21"/>
          <w:szCs w:val="21"/>
        </w:rPr>
      </w:pPr>
      <w:r>
        <w:rPr>
          <w:rFonts w:hint="eastAsia"/>
          <w:color w:val="auto"/>
          <w:kern w:val="2"/>
          <w:sz w:val="21"/>
          <w:szCs w:val="21"/>
        </w:rPr>
        <w:t>法定代表人：</w:t>
      </w:r>
      <w:r>
        <w:rPr>
          <w:rFonts w:hint="eastAsia"/>
          <w:color w:val="auto"/>
          <w:szCs w:val="21"/>
          <w:u w:val="single"/>
        </w:rPr>
        <w:t xml:space="preserve">                    </w:t>
      </w:r>
      <w:r>
        <w:rPr>
          <w:rFonts w:hint="eastAsia"/>
          <w:color w:val="auto"/>
          <w:kern w:val="2"/>
          <w:sz w:val="21"/>
          <w:szCs w:val="21"/>
        </w:rPr>
        <w:t>（签字或盖章）</w:t>
      </w:r>
    </w:p>
    <w:p w14:paraId="6465016A">
      <w:pPr>
        <w:pStyle w:val="34"/>
        <w:spacing w:line="480" w:lineRule="auto"/>
        <w:ind w:firstLine="2940" w:firstLineChars="1400"/>
        <w:rPr>
          <w:rFonts w:hint="eastAsia"/>
          <w:color w:val="auto"/>
          <w:kern w:val="2"/>
          <w:sz w:val="21"/>
          <w:szCs w:val="21"/>
        </w:rPr>
      </w:pPr>
      <w:r>
        <w:rPr>
          <w:rFonts w:hint="eastAsia"/>
          <w:color w:val="auto"/>
          <w:kern w:val="2"/>
          <w:sz w:val="21"/>
          <w:szCs w:val="21"/>
        </w:rPr>
        <w:t>身份证号：</w:t>
      </w:r>
      <w:r>
        <w:rPr>
          <w:rFonts w:hint="eastAsia"/>
          <w:color w:val="auto"/>
          <w:kern w:val="2"/>
          <w:sz w:val="21"/>
          <w:szCs w:val="21"/>
          <w:u w:val="single"/>
        </w:rPr>
        <w:t xml:space="preserve">                                </w:t>
      </w:r>
    </w:p>
    <w:p w14:paraId="6F637C5A">
      <w:pPr>
        <w:spacing w:line="480" w:lineRule="auto"/>
        <w:ind w:firstLine="2940" w:firstLineChars="1400"/>
        <w:rPr>
          <w:rFonts w:hint="eastAsia" w:ascii="宋体" w:hAnsi="宋体"/>
          <w:color w:val="auto"/>
          <w:szCs w:val="21"/>
        </w:rPr>
      </w:pPr>
      <w:r>
        <w:rPr>
          <w:rFonts w:hint="eastAsia" w:ascii="宋体" w:hAnsi="宋体"/>
          <w:color w:val="auto"/>
          <w:szCs w:val="21"/>
        </w:rPr>
        <w:t>委托代理人：</w:t>
      </w:r>
      <w:r>
        <w:rPr>
          <w:rFonts w:hint="eastAsia" w:ascii="宋体" w:hAnsi="宋体"/>
          <w:color w:val="auto"/>
          <w:szCs w:val="21"/>
          <w:u w:val="single"/>
        </w:rPr>
        <w:t xml:space="preserve">                       </w:t>
      </w:r>
      <w:r>
        <w:rPr>
          <w:rFonts w:hint="eastAsia" w:ascii="宋体" w:hAnsi="宋体"/>
          <w:color w:val="auto"/>
          <w:szCs w:val="21"/>
        </w:rPr>
        <w:t>（签字或盖章）</w:t>
      </w:r>
    </w:p>
    <w:p w14:paraId="4F451E21">
      <w:pPr>
        <w:spacing w:line="480" w:lineRule="auto"/>
        <w:ind w:firstLine="2940" w:firstLineChars="1400"/>
        <w:rPr>
          <w:rFonts w:hint="eastAsia" w:hAnsi="宋体" w:cs="宋体"/>
          <w:color w:val="auto"/>
          <w:szCs w:val="21"/>
        </w:rPr>
      </w:pPr>
      <w:r>
        <w:rPr>
          <w:rFonts w:hint="eastAsia" w:ascii="宋体" w:hAnsi="宋体" w:cs="宋体"/>
          <w:color w:val="auto"/>
          <w:szCs w:val="21"/>
        </w:rPr>
        <w:t>身份证号：</w:t>
      </w:r>
      <w:r>
        <w:rPr>
          <w:rFonts w:hint="eastAsia" w:hAnsi="宋体" w:cs="宋体"/>
          <w:color w:val="auto"/>
          <w:szCs w:val="21"/>
          <w:u w:val="single"/>
        </w:rPr>
        <w:t xml:space="preserve">                                </w:t>
      </w:r>
      <w:r>
        <w:rPr>
          <w:rFonts w:hint="eastAsia" w:hAnsi="宋体" w:cs="宋体"/>
          <w:color w:val="auto"/>
          <w:szCs w:val="21"/>
        </w:rPr>
        <w:t xml:space="preserve">  </w:t>
      </w:r>
    </w:p>
    <w:p w14:paraId="3D7955B3">
      <w:pPr>
        <w:rPr>
          <w:rFonts w:hint="eastAsia" w:ascii="宋体" w:hAnsi="宋体"/>
          <w:color w:val="auto"/>
          <w:szCs w:val="21"/>
        </w:rPr>
      </w:pPr>
    </w:p>
    <w:p w14:paraId="03EE8475">
      <w:pPr>
        <w:tabs>
          <w:tab w:val="left" w:pos="5380"/>
          <w:tab w:val="left" w:pos="6520"/>
          <w:tab w:val="left" w:pos="7680"/>
        </w:tabs>
        <w:autoSpaceDE w:val="0"/>
        <w:autoSpaceDN w:val="0"/>
        <w:adjustRightInd w:val="0"/>
        <w:ind w:right="-20" w:firstLine="3780" w:firstLineChars="1800"/>
        <w:jc w:val="left"/>
        <w:rPr>
          <w:rFonts w:hint="eastAsia" w:ascii="宋体" w:hAnsi="宋体" w:cs="宋体"/>
          <w:color w:val="auto"/>
          <w:kern w:val="0"/>
          <w:szCs w:val="21"/>
        </w:rPr>
      </w:pPr>
      <w:r>
        <w:rPr>
          <w:rFonts w:hint="eastAsia" w:ascii="宋体" w:hAnsi="宋体" w:cs="宋体"/>
          <w:color w:val="auto"/>
          <w:kern w:val="0"/>
          <w:szCs w:val="21"/>
          <w:u w:val="single"/>
        </w:rPr>
        <w:t xml:space="preserve">     </w:t>
      </w:r>
      <w:r>
        <w:rPr>
          <w:rFonts w:hint="eastAsia" w:ascii="宋体" w:hAnsi="宋体" w:cs="宋体"/>
          <w:color w:val="auto"/>
          <w:spacing w:val="43"/>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w:t>
      </w:r>
    </w:p>
    <w:p w14:paraId="44941940">
      <w:pPr>
        <w:spacing w:line="500" w:lineRule="exact"/>
        <w:rPr>
          <w:rFonts w:hint="eastAsia" w:ascii="宋体" w:hAnsi="宋体"/>
          <w:color w:val="auto"/>
          <w:szCs w:val="21"/>
        </w:rPr>
      </w:pPr>
    </w:p>
    <w:p w14:paraId="19147F0D">
      <w:pPr>
        <w:tabs>
          <w:tab w:val="left" w:pos="5380"/>
          <w:tab w:val="left" w:pos="6520"/>
          <w:tab w:val="left" w:pos="7680"/>
        </w:tabs>
        <w:autoSpaceDE w:val="0"/>
        <w:autoSpaceDN w:val="0"/>
        <w:adjustRightInd w:val="0"/>
        <w:ind w:right="-20" w:firstLine="1050" w:firstLineChars="500"/>
        <w:jc w:val="left"/>
        <w:rPr>
          <w:rFonts w:hint="eastAsia" w:ascii="宋体" w:hAnsi="宋体" w:cs="宋体"/>
          <w:color w:val="auto"/>
          <w:kern w:val="0"/>
          <w:szCs w:val="21"/>
        </w:rPr>
      </w:pPr>
    </w:p>
    <w:p w14:paraId="394138B5">
      <w:pPr>
        <w:rPr>
          <w:rFonts w:hint="eastAsia" w:ascii="宋体" w:hAnsi="宋体"/>
          <w:b/>
          <w:color w:val="auto"/>
          <w:sz w:val="24"/>
        </w:rPr>
      </w:pPr>
      <w:r>
        <w:rPr>
          <w:rFonts w:ascii="宋体" w:hAnsi="宋体"/>
          <w:bCs/>
          <w:color w:val="auto"/>
          <w:szCs w:val="21"/>
        </w:rPr>
        <w:br w:type="page"/>
      </w:r>
    </w:p>
    <w:p w14:paraId="26D9D653">
      <w:pPr>
        <w:pStyle w:val="3"/>
        <w:numPr>
          <w:ilvl w:val="0"/>
          <w:numId w:val="46"/>
        </w:numPr>
        <w:tabs>
          <w:tab w:val="left" w:pos="840"/>
        </w:tabs>
        <w:jc w:val="center"/>
        <w:rPr>
          <w:rFonts w:hint="eastAsia" w:ascii="宋体" w:hAnsi="宋体"/>
          <w:color w:val="auto"/>
          <w:szCs w:val="24"/>
        </w:rPr>
      </w:pPr>
      <w:bookmarkStart w:id="509" w:name="_Toc5145"/>
      <w:r>
        <w:rPr>
          <w:rFonts w:hint="eastAsia" w:ascii="宋体" w:hAnsi="宋体"/>
          <w:color w:val="auto"/>
          <w:szCs w:val="24"/>
        </w:rPr>
        <w:t>投标书</w:t>
      </w:r>
      <w:bookmarkEnd w:id="509"/>
    </w:p>
    <w:p w14:paraId="1150E953">
      <w:pPr>
        <w:spacing w:line="440" w:lineRule="exact"/>
        <w:rPr>
          <w:rFonts w:hint="eastAsia" w:ascii="宋体" w:hAnsi="宋体"/>
          <w:color w:val="auto"/>
          <w:szCs w:val="21"/>
        </w:rPr>
      </w:pPr>
      <w:r>
        <w:rPr>
          <w:rFonts w:hint="eastAsia" w:ascii="宋体" w:hAnsi="宋体"/>
          <w:color w:val="auto"/>
          <w:szCs w:val="21"/>
        </w:rPr>
        <w:t>致：</w:t>
      </w:r>
      <w:r>
        <w:rPr>
          <w:rFonts w:hint="eastAsia" w:ascii="宋体" w:hAnsi="宋体"/>
          <w:color w:val="auto"/>
          <w:szCs w:val="21"/>
          <w:u w:val="single"/>
        </w:rPr>
        <w:t xml:space="preserve">           （采购人或采购代理机构名称</w:t>
      </w:r>
      <w:r>
        <w:rPr>
          <w:rFonts w:hint="eastAsia" w:ascii="宋体" w:hAnsi="宋体"/>
          <w:color w:val="auto"/>
          <w:szCs w:val="21"/>
        </w:rPr>
        <w:t>）</w:t>
      </w:r>
    </w:p>
    <w:p w14:paraId="7E259F96">
      <w:pPr>
        <w:pStyle w:val="15"/>
        <w:numPr>
          <w:ilvl w:val="0"/>
          <w:numId w:val="47"/>
        </w:numPr>
        <w:tabs>
          <w:tab w:val="left" w:pos="0"/>
          <w:tab w:val="clear" w:pos="420"/>
        </w:tabs>
        <w:spacing w:after="0" w:line="440" w:lineRule="exact"/>
        <w:ind w:left="0" w:firstLine="315" w:firstLineChars="150"/>
        <w:jc w:val="left"/>
        <w:rPr>
          <w:rFonts w:hint="eastAsia" w:ascii="宋体" w:hAnsi="宋体" w:eastAsia="宋体"/>
          <w:color w:val="auto"/>
          <w:sz w:val="21"/>
          <w:szCs w:val="21"/>
        </w:rPr>
      </w:pPr>
      <w:r>
        <w:rPr>
          <w:rFonts w:ascii="宋体" w:hAnsi="宋体" w:eastAsia="宋体"/>
          <w:color w:val="auto"/>
          <w:sz w:val="21"/>
          <w:szCs w:val="21"/>
        </w:rPr>
        <w:t xml:space="preserve"> </w:t>
      </w:r>
      <w:r>
        <w:rPr>
          <w:rFonts w:hint="eastAsia" w:ascii="宋体" w:hAnsi="宋体" w:eastAsia="宋体"/>
          <w:color w:val="auto"/>
          <w:sz w:val="21"/>
          <w:szCs w:val="21"/>
        </w:rPr>
        <w:t>我方已仔细研究了</w:t>
      </w:r>
      <w:r>
        <w:rPr>
          <w:rFonts w:hint="eastAsia" w:ascii="宋体" w:hAnsi="宋体" w:eastAsia="宋体"/>
          <w:color w:val="auto"/>
          <w:sz w:val="21"/>
          <w:szCs w:val="21"/>
          <w:u w:val="single"/>
        </w:rPr>
        <w:t xml:space="preserve"> </w:t>
      </w:r>
      <w:r>
        <w:rPr>
          <w:rFonts w:hint="eastAsia" w:ascii="宋体" w:hAnsi="宋体" w:eastAsia="宋体"/>
          <w:color w:val="auto"/>
          <w:sz w:val="21"/>
          <w:szCs w:val="21"/>
          <w:u w:val="single"/>
        </w:rPr>
        <w:tab/>
      </w:r>
      <w:r>
        <w:rPr>
          <w:rFonts w:hint="eastAsia" w:ascii="宋体" w:hAnsi="宋体" w:eastAsia="宋体"/>
          <w:color w:val="auto"/>
          <w:sz w:val="21"/>
          <w:szCs w:val="21"/>
          <w:u w:val="single"/>
        </w:rPr>
        <w:t xml:space="preserve">      </w:t>
      </w:r>
      <w:r>
        <w:rPr>
          <w:rFonts w:hint="eastAsia" w:ascii="宋体" w:hAnsi="宋体" w:eastAsia="宋体"/>
          <w:color w:val="auto"/>
          <w:sz w:val="21"/>
          <w:szCs w:val="21"/>
          <w:u w:val="single"/>
          <w:lang w:val="en-US" w:eastAsia="zh-CN"/>
        </w:rPr>
        <w:t xml:space="preserve">     </w:t>
      </w:r>
      <w:r>
        <w:rPr>
          <w:rFonts w:hint="eastAsia" w:ascii="宋体" w:hAnsi="宋体" w:eastAsia="宋体"/>
          <w:color w:val="auto"/>
          <w:sz w:val="21"/>
          <w:szCs w:val="21"/>
        </w:rPr>
        <w:t>（</w:t>
      </w:r>
      <w:r>
        <w:rPr>
          <w:rFonts w:hint="eastAsia" w:ascii="宋体" w:hAnsi="宋体" w:eastAsia="宋体"/>
          <w:color w:val="auto"/>
          <w:sz w:val="21"/>
          <w:szCs w:val="21"/>
          <w:lang w:val="en-US" w:eastAsia="zh-CN"/>
        </w:rPr>
        <w:t>包</w:t>
      </w:r>
      <w:r>
        <w:rPr>
          <w:rFonts w:hint="eastAsia" w:ascii="宋体" w:hAnsi="宋体" w:eastAsia="宋体"/>
          <w:color w:val="auto"/>
          <w:sz w:val="21"/>
          <w:szCs w:val="21"/>
        </w:rPr>
        <w:t>名称）招标文件的全部内容，愿意以人民币（大写）</w:t>
      </w:r>
      <w:r>
        <w:rPr>
          <w:rFonts w:hint="eastAsia" w:ascii="宋体" w:hAnsi="宋体" w:eastAsia="宋体"/>
          <w:color w:val="auto"/>
          <w:sz w:val="21"/>
          <w:szCs w:val="21"/>
          <w:u w:val="single"/>
        </w:rPr>
        <w:t xml:space="preserve">          </w:t>
      </w:r>
      <w:r>
        <w:rPr>
          <w:rFonts w:hint="eastAsia" w:ascii="宋体" w:hAnsi="宋体" w:eastAsia="宋体"/>
          <w:color w:val="auto"/>
          <w:sz w:val="21"/>
          <w:szCs w:val="21"/>
        </w:rPr>
        <w:t>（¥</w:t>
      </w:r>
      <w:r>
        <w:rPr>
          <w:rFonts w:hint="eastAsia" w:ascii="宋体" w:hAnsi="宋体" w:eastAsia="宋体"/>
          <w:color w:val="auto"/>
          <w:sz w:val="21"/>
          <w:szCs w:val="21"/>
          <w:u w:val="single"/>
        </w:rPr>
        <w:t xml:space="preserve">    </w:t>
      </w:r>
      <w:r>
        <w:rPr>
          <w:rFonts w:hint="eastAsia" w:ascii="宋体" w:hAnsi="宋体" w:eastAsia="宋体"/>
          <w:color w:val="auto"/>
          <w:sz w:val="21"/>
          <w:szCs w:val="21"/>
          <w:u w:val="single"/>
        </w:rPr>
        <w:tab/>
      </w:r>
      <w:r>
        <w:rPr>
          <w:rFonts w:hint="eastAsia" w:ascii="宋体" w:hAnsi="宋体" w:eastAsia="宋体"/>
          <w:color w:val="auto"/>
          <w:sz w:val="21"/>
          <w:szCs w:val="21"/>
        </w:rPr>
        <w:t>）的投标总报价，交货期：</w:t>
      </w:r>
      <w:r>
        <w:rPr>
          <w:rFonts w:hint="eastAsia" w:ascii="宋体" w:hAnsi="宋体" w:eastAsia="宋体"/>
          <w:color w:val="auto"/>
          <w:sz w:val="21"/>
          <w:szCs w:val="21"/>
          <w:u w:val="single"/>
        </w:rPr>
        <w:t xml:space="preserve">       </w:t>
      </w:r>
      <w:r>
        <w:rPr>
          <w:rFonts w:hint="eastAsia" w:ascii="宋体" w:hAnsi="宋体" w:eastAsia="宋体"/>
          <w:color w:val="auto"/>
          <w:sz w:val="21"/>
          <w:szCs w:val="21"/>
        </w:rPr>
        <w:t>，按合同约定完成全部工作。</w:t>
      </w:r>
    </w:p>
    <w:p w14:paraId="2F3C5372">
      <w:pPr>
        <w:pStyle w:val="15"/>
        <w:numPr>
          <w:ilvl w:val="0"/>
          <w:numId w:val="47"/>
        </w:numPr>
        <w:tabs>
          <w:tab w:val="left" w:pos="0"/>
          <w:tab w:val="clear" w:pos="420"/>
        </w:tabs>
        <w:spacing w:after="0" w:line="440" w:lineRule="exact"/>
        <w:ind w:left="0" w:firstLine="315" w:firstLineChars="150"/>
        <w:jc w:val="left"/>
        <w:rPr>
          <w:rFonts w:hint="eastAsia" w:ascii="宋体" w:hAnsi="宋体" w:eastAsia="宋体"/>
          <w:color w:val="auto"/>
          <w:sz w:val="21"/>
          <w:szCs w:val="21"/>
        </w:rPr>
      </w:pPr>
      <w:r>
        <w:rPr>
          <w:rFonts w:hint="eastAsia" w:ascii="宋体" w:hAnsi="宋体" w:eastAsia="宋体"/>
          <w:color w:val="auto"/>
          <w:sz w:val="21"/>
          <w:szCs w:val="21"/>
        </w:rPr>
        <w:t>如果我方中标，我方将按招标文件的规定签订并严格履行合同中的责任和义务，在签订合同时不向你方提出附加条件，按照招标文件要求提交履约保证金，在合同约定的期限内完成合同规定的全部内容。</w:t>
      </w:r>
    </w:p>
    <w:p w14:paraId="056DDB5B">
      <w:pPr>
        <w:pStyle w:val="15"/>
        <w:numPr>
          <w:ilvl w:val="0"/>
          <w:numId w:val="47"/>
        </w:numPr>
        <w:tabs>
          <w:tab w:val="left" w:pos="720"/>
          <w:tab w:val="clear" w:pos="420"/>
        </w:tabs>
        <w:spacing w:after="0" w:line="440" w:lineRule="exact"/>
        <w:ind w:left="0" w:firstLine="315" w:firstLineChars="150"/>
        <w:rPr>
          <w:rFonts w:hint="eastAsia" w:ascii="宋体" w:hAnsi="宋体" w:eastAsia="宋体"/>
          <w:color w:val="auto"/>
          <w:sz w:val="21"/>
          <w:szCs w:val="21"/>
        </w:rPr>
      </w:pPr>
      <w:r>
        <w:rPr>
          <w:rFonts w:hint="eastAsia" w:ascii="宋体" w:hAnsi="宋体" w:eastAsia="宋体"/>
          <w:color w:val="auto"/>
          <w:sz w:val="21"/>
          <w:szCs w:val="21"/>
        </w:rPr>
        <w:t>我方已详细审查全部招标文件，包括修改文件以及全部参考资料和有关附件。我们完全理解并同意放弃对这方面有不明及误解的权力。</w:t>
      </w:r>
    </w:p>
    <w:p w14:paraId="29AABF5C">
      <w:pPr>
        <w:pStyle w:val="15"/>
        <w:numPr>
          <w:ilvl w:val="0"/>
          <w:numId w:val="47"/>
        </w:numPr>
        <w:tabs>
          <w:tab w:val="left" w:pos="720"/>
          <w:tab w:val="clear" w:pos="420"/>
        </w:tabs>
        <w:spacing w:after="0" w:line="440" w:lineRule="exact"/>
        <w:ind w:hanging="60"/>
        <w:rPr>
          <w:rFonts w:hint="eastAsia" w:ascii="宋体" w:hAnsi="宋体" w:eastAsia="宋体"/>
          <w:color w:val="auto"/>
          <w:sz w:val="21"/>
          <w:szCs w:val="21"/>
        </w:rPr>
      </w:pPr>
      <w:r>
        <w:rPr>
          <w:rFonts w:hint="eastAsia" w:ascii="宋体" w:hAnsi="宋体" w:eastAsia="宋体"/>
          <w:color w:val="auto"/>
          <w:sz w:val="21"/>
          <w:szCs w:val="21"/>
        </w:rPr>
        <w:t>投标有效期为提交投标文件的截止之日起</w:t>
      </w:r>
      <w:r>
        <w:rPr>
          <w:rFonts w:hint="eastAsia" w:ascii="宋体" w:hAnsi="宋体" w:eastAsia="宋体"/>
          <w:color w:val="auto"/>
          <w:sz w:val="21"/>
          <w:szCs w:val="21"/>
          <w:u w:val="single"/>
        </w:rPr>
        <w:t xml:space="preserve">  90  </w:t>
      </w:r>
      <w:r>
        <w:rPr>
          <w:rFonts w:hint="eastAsia" w:ascii="宋体" w:hAnsi="宋体" w:eastAsia="宋体"/>
          <w:color w:val="auto"/>
          <w:sz w:val="21"/>
          <w:szCs w:val="21"/>
        </w:rPr>
        <w:t>日历天。</w:t>
      </w:r>
    </w:p>
    <w:p w14:paraId="0B024B1D">
      <w:pPr>
        <w:pStyle w:val="15"/>
        <w:numPr>
          <w:ilvl w:val="0"/>
          <w:numId w:val="47"/>
        </w:numPr>
        <w:tabs>
          <w:tab w:val="left" w:pos="720"/>
          <w:tab w:val="clear" w:pos="420"/>
        </w:tabs>
        <w:spacing w:after="0" w:line="440" w:lineRule="exact"/>
        <w:ind w:left="0" w:firstLine="360"/>
        <w:rPr>
          <w:rFonts w:hint="eastAsia" w:ascii="宋体" w:hAnsi="宋体" w:eastAsia="宋体"/>
          <w:color w:val="auto"/>
          <w:sz w:val="21"/>
          <w:szCs w:val="21"/>
        </w:rPr>
      </w:pPr>
      <w:r>
        <w:rPr>
          <w:rFonts w:hint="eastAsia" w:ascii="宋体" w:hAnsi="宋体" w:eastAsia="宋体"/>
          <w:color w:val="auto"/>
          <w:sz w:val="21"/>
          <w:szCs w:val="21"/>
        </w:rPr>
        <w:t>我方在此声明，所递交的投标文件及有关资料内容完整、真实和准确，且不存在第二章“投标人须知”第 1.2.12 项规定的任何一种情形。</w:t>
      </w:r>
    </w:p>
    <w:p w14:paraId="45CC1009">
      <w:pPr>
        <w:pStyle w:val="15"/>
        <w:numPr>
          <w:ilvl w:val="0"/>
          <w:numId w:val="47"/>
        </w:numPr>
        <w:tabs>
          <w:tab w:val="left" w:pos="720"/>
          <w:tab w:val="clear" w:pos="420"/>
        </w:tabs>
        <w:spacing w:after="0" w:line="440" w:lineRule="exact"/>
        <w:ind w:left="0" w:firstLine="360"/>
        <w:rPr>
          <w:rFonts w:hint="eastAsia" w:ascii="宋体" w:hAnsi="宋体" w:eastAsia="宋体"/>
          <w:color w:val="auto"/>
          <w:sz w:val="21"/>
          <w:szCs w:val="21"/>
        </w:rPr>
      </w:pPr>
      <w:r>
        <w:rPr>
          <w:rFonts w:hint="eastAsia" w:ascii="宋体" w:hAnsi="宋体" w:eastAsia="宋体"/>
          <w:color w:val="auto"/>
          <w:sz w:val="21"/>
          <w:szCs w:val="21"/>
        </w:rPr>
        <w:t>我方同意提供按照贵方可能要求的与其投标有关的一切数据或资料，完全理解贵方不一定接受最低价的投标或收到的任何投标。</w:t>
      </w:r>
    </w:p>
    <w:p w14:paraId="2D19F9F1">
      <w:pPr>
        <w:spacing w:line="500" w:lineRule="exact"/>
        <w:rPr>
          <w:rFonts w:hint="eastAsia" w:ascii="宋体" w:hAnsi="宋体"/>
          <w:color w:val="auto"/>
          <w:szCs w:val="21"/>
        </w:rPr>
      </w:pPr>
    </w:p>
    <w:p w14:paraId="32610447">
      <w:pPr>
        <w:spacing w:line="500" w:lineRule="exact"/>
        <w:rPr>
          <w:rFonts w:hint="eastAsia" w:ascii="宋体" w:hAnsi="宋体"/>
          <w:color w:val="auto"/>
          <w:szCs w:val="21"/>
        </w:rPr>
      </w:pPr>
      <w:r>
        <w:rPr>
          <w:rFonts w:hint="eastAsia" w:ascii="宋体" w:hAnsi="宋体"/>
          <w:color w:val="auto"/>
          <w:szCs w:val="21"/>
        </w:rPr>
        <w:t>地址：　　　　　　　        投标人：</w:t>
      </w:r>
      <w:r>
        <w:rPr>
          <w:rFonts w:hint="eastAsia" w:ascii="宋体" w:hAnsi="宋体"/>
          <w:color w:val="auto"/>
          <w:szCs w:val="21"/>
          <w:u w:val="single"/>
        </w:rPr>
        <w:t xml:space="preserve">                              </w:t>
      </w:r>
      <w:r>
        <w:rPr>
          <w:rFonts w:hint="eastAsia" w:ascii="宋体" w:hAnsi="宋体"/>
          <w:color w:val="auto"/>
          <w:szCs w:val="21"/>
        </w:rPr>
        <w:t>（盖章）</w:t>
      </w:r>
    </w:p>
    <w:p w14:paraId="75BADD02">
      <w:pPr>
        <w:spacing w:line="440" w:lineRule="exact"/>
        <w:rPr>
          <w:rFonts w:hint="eastAsia" w:ascii="宋体" w:hAnsi="宋体"/>
          <w:color w:val="auto"/>
          <w:szCs w:val="21"/>
        </w:rPr>
      </w:pPr>
      <w:r>
        <w:rPr>
          <w:rFonts w:hint="eastAsia" w:ascii="宋体" w:hAnsi="宋体"/>
          <w:color w:val="auto"/>
          <w:szCs w:val="21"/>
        </w:rPr>
        <w:t>邮政编码：                  法定代表人或其委托代理人：</w:t>
      </w:r>
      <w:r>
        <w:rPr>
          <w:rFonts w:hint="eastAsia" w:ascii="宋体" w:hAnsi="宋体"/>
          <w:color w:val="auto"/>
          <w:szCs w:val="21"/>
          <w:u w:val="single"/>
        </w:rPr>
        <w:t xml:space="preserve">       </w:t>
      </w:r>
      <w:r>
        <w:rPr>
          <w:rFonts w:hint="eastAsia" w:ascii="宋体" w:hAnsi="宋体"/>
          <w:color w:val="auto"/>
          <w:szCs w:val="21"/>
        </w:rPr>
        <w:t>（签字或盖章）</w:t>
      </w:r>
    </w:p>
    <w:p w14:paraId="61EEFD88">
      <w:pPr>
        <w:spacing w:line="440" w:lineRule="exact"/>
        <w:rPr>
          <w:rFonts w:hint="eastAsia" w:ascii="宋体" w:hAnsi="宋体"/>
          <w:color w:val="auto"/>
          <w:szCs w:val="21"/>
        </w:rPr>
      </w:pPr>
      <w:r>
        <w:rPr>
          <w:rFonts w:hint="eastAsia" w:ascii="宋体" w:hAnsi="宋体"/>
          <w:color w:val="auto"/>
          <w:szCs w:val="21"/>
        </w:rPr>
        <w:t>项目负责人电话（手机号）：</w:t>
      </w:r>
    </w:p>
    <w:p w14:paraId="240E753A">
      <w:pPr>
        <w:spacing w:line="440" w:lineRule="exact"/>
        <w:rPr>
          <w:rFonts w:hint="eastAsia" w:ascii="宋体" w:hAnsi="宋体"/>
          <w:color w:val="auto"/>
          <w:szCs w:val="21"/>
        </w:rPr>
      </w:pPr>
      <w:r>
        <w:rPr>
          <w:rFonts w:hint="eastAsia" w:ascii="宋体" w:hAnsi="宋体"/>
          <w:color w:val="auto"/>
          <w:szCs w:val="21"/>
          <w:lang w:val="en-US" w:eastAsia="zh-CN"/>
        </w:rPr>
        <w:t>邮箱：</w:t>
      </w:r>
      <w:r>
        <w:rPr>
          <w:rFonts w:hint="eastAsia" w:ascii="宋体" w:hAnsi="宋体"/>
          <w:color w:val="auto"/>
          <w:szCs w:val="21"/>
        </w:rPr>
        <w:t xml:space="preserve">  </w:t>
      </w:r>
    </w:p>
    <w:p w14:paraId="35FFEC33">
      <w:pPr>
        <w:spacing w:line="440" w:lineRule="exact"/>
        <w:rPr>
          <w:rFonts w:hint="eastAsia" w:ascii="宋体" w:hAnsi="宋体"/>
          <w:color w:val="auto"/>
          <w:szCs w:val="21"/>
        </w:rPr>
      </w:pPr>
    </w:p>
    <w:p w14:paraId="505389BD">
      <w:pPr>
        <w:spacing w:line="440" w:lineRule="exact"/>
        <w:jc w:val="right"/>
        <w:rPr>
          <w:rFonts w:hint="eastAsia" w:ascii="宋体" w:hAnsi="宋体"/>
          <w:color w:val="auto"/>
          <w:szCs w:val="21"/>
        </w:rPr>
      </w:pPr>
      <w:r>
        <w:rPr>
          <w:rFonts w:hint="eastAsia" w:ascii="宋体" w:hAnsi="宋体"/>
          <w:color w:val="auto"/>
          <w:szCs w:val="21"/>
        </w:rPr>
        <w:t>日期：    年   月    日</w:t>
      </w:r>
    </w:p>
    <w:p w14:paraId="34A71DBD">
      <w:pPr>
        <w:spacing w:line="440" w:lineRule="exact"/>
        <w:rPr>
          <w:rFonts w:hint="eastAsia" w:ascii="宋体" w:hAnsi="宋体"/>
          <w:color w:val="auto"/>
          <w:szCs w:val="21"/>
        </w:rPr>
      </w:pPr>
    </w:p>
    <w:p w14:paraId="31AC6790">
      <w:pPr>
        <w:spacing w:line="440" w:lineRule="exact"/>
        <w:rPr>
          <w:rFonts w:hint="eastAsia" w:ascii="宋体" w:hAnsi="宋体"/>
          <w:color w:val="auto"/>
          <w:szCs w:val="21"/>
        </w:rPr>
      </w:pPr>
      <w:r>
        <w:rPr>
          <w:rFonts w:hint="eastAsia" w:ascii="宋体" w:hAnsi="宋体"/>
          <w:color w:val="auto"/>
          <w:szCs w:val="21"/>
        </w:rPr>
        <w:t xml:space="preserve">   </w:t>
      </w:r>
    </w:p>
    <w:p w14:paraId="625C640C">
      <w:pPr>
        <w:spacing w:line="360" w:lineRule="auto"/>
        <w:ind w:left="840"/>
        <w:rPr>
          <w:rFonts w:hint="eastAsia" w:ascii="宋体" w:hAnsi="宋体"/>
          <w:color w:val="auto"/>
          <w:szCs w:val="21"/>
        </w:rPr>
      </w:pPr>
    </w:p>
    <w:p w14:paraId="3DE4538F">
      <w:pPr>
        <w:spacing w:line="360" w:lineRule="auto"/>
        <w:ind w:left="840"/>
        <w:rPr>
          <w:rFonts w:hint="eastAsia" w:ascii="宋体" w:hAnsi="宋体"/>
          <w:color w:val="auto"/>
          <w:szCs w:val="21"/>
        </w:rPr>
      </w:pPr>
    </w:p>
    <w:p w14:paraId="68D2D3D5">
      <w:pPr>
        <w:spacing w:line="360" w:lineRule="auto"/>
        <w:ind w:left="840"/>
        <w:rPr>
          <w:rFonts w:hint="eastAsia" w:ascii="宋体" w:hAnsi="宋体"/>
          <w:color w:val="auto"/>
          <w:szCs w:val="21"/>
        </w:rPr>
      </w:pPr>
    </w:p>
    <w:p w14:paraId="5CFDE75D">
      <w:pPr>
        <w:spacing w:line="360" w:lineRule="auto"/>
        <w:ind w:left="840"/>
        <w:rPr>
          <w:rFonts w:hint="eastAsia" w:ascii="宋体" w:hAnsi="宋体"/>
          <w:color w:val="auto"/>
          <w:szCs w:val="21"/>
        </w:rPr>
      </w:pPr>
    </w:p>
    <w:p w14:paraId="3A00C77E">
      <w:pPr>
        <w:spacing w:line="360" w:lineRule="auto"/>
        <w:ind w:left="840"/>
        <w:rPr>
          <w:rFonts w:hint="eastAsia" w:ascii="宋体" w:hAnsi="宋体"/>
          <w:color w:val="auto"/>
          <w:szCs w:val="21"/>
        </w:rPr>
      </w:pPr>
    </w:p>
    <w:p w14:paraId="5E50B3B5">
      <w:pPr>
        <w:pStyle w:val="3"/>
        <w:numPr>
          <w:ilvl w:val="0"/>
          <w:numId w:val="46"/>
        </w:numPr>
        <w:tabs>
          <w:tab w:val="left" w:pos="840"/>
        </w:tabs>
        <w:jc w:val="center"/>
        <w:rPr>
          <w:rFonts w:hint="eastAsia"/>
          <w:color w:val="auto"/>
          <w:sz w:val="21"/>
          <w:szCs w:val="21"/>
          <w:u w:val="single"/>
        </w:rPr>
      </w:pPr>
      <w:bookmarkStart w:id="510" w:name="_Toc312133598"/>
      <w:r>
        <w:rPr>
          <w:rFonts w:hint="eastAsia" w:ascii="宋体" w:hAnsi="宋体"/>
          <w:color w:val="auto"/>
          <w:szCs w:val="24"/>
        </w:rPr>
        <w:br w:type="page"/>
      </w:r>
      <w:bookmarkStart w:id="511" w:name="_Toc14937"/>
      <w:r>
        <w:rPr>
          <w:rFonts w:hint="eastAsia" w:ascii="宋体" w:hAnsi="宋体"/>
          <w:color w:val="auto"/>
          <w:szCs w:val="24"/>
        </w:rPr>
        <w:t>投标承诺函</w:t>
      </w:r>
      <w:bookmarkEnd w:id="511"/>
    </w:p>
    <w:p w14:paraId="4D51896D">
      <w:pPr>
        <w:spacing w:line="360" w:lineRule="auto"/>
        <w:rPr>
          <w:rFonts w:hint="eastAsia" w:ascii="宋体" w:hAnsi="宋体"/>
          <w:color w:val="auto"/>
          <w:szCs w:val="21"/>
        </w:rPr>
      </w:pPr>
      <w:r>
        <w:rPr>
          <w:rFonts w:hint="eastAsia"/>
          <w:color w:val="auto"/>
          <w:szCs w:val="21"/>
          <w:u w:val="single"/>
        </w:rPr>
        <w:t xml:space="preserve">                   </w:t>
      </w:r>
      <w:r>
        <w:rPr>
          <w:rFonts w:hint="eastAsia" w:ascii="宋体" w:hAnsi="宋体"/>
          <w:color w:val="auto"/>
          <w:szCs w:val="21"/>
        </w:rPr>
        <w:t>（采购人或采购代理机构）：</w:t>
      </w:r>
    </w:p>
    <w:p w14:paraId="0438C768">
      <w:pPr>
        <w:pStyle w:val="34"/>
        <w:spacing w:line="360" w:lineRule="auto"/>
        <w:ind w:firstLine="420" w:firstLineChars="200"/>
        <w:rPr>
          <w:rFonts w:hint="eastAsia" w:cs="Times New Roman"/>
          <w:color w:val="auto"/>
          <w:kern w:val="2"/>
          <w:sz w:val="21"/>
          <w:szCs w:val="21"/>
        </w:rPr>
      </w:pPr>
      <w:r>
        <w:rPr>
          <w:rFonts w:hint="eastAsia" w:cs="Times New Roman"/>
          <w:color w:val="auto"/>
          <w:kern w:val="2"/>
          <w:sz w:val="21"/>
          <w:szCs w:val="21"/>
        </w:rPr>
        <w:t>我单位在此郑重承诺,如有以下情形之一的：</w:t>
      </w:r>
    </w:p>
    <w:p w14:paraId="042A80CC">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在招标文件规定的投标有效期内撤回投标；</w:t>
      </w:r>
    </w:p>
    <w:p w14:paraId="4D6F295D">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在投标文件中提供虚假材料；</w:t>
      </w:r>
    </w:p>
    <w:p w14:paraId="02526203">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中标后无正当理由不与采购人或者采购代理机构签订合同；</w:t>
      </w:r>
    </w:p>
    <w:p w14:paraId="71AA4F32">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未能按招标文件规定提交履约保证金；</w:t>
      </w:r>
    </w:p>
    <w:p w14:paraId="24231A71">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将中标项目转让给他人，或者在投标文件中未说明，且未经采购人同意，将中标项目分包给他人的；</w:t>
      </w:r>
    </w:p>
    <w:p w14:paraId="5FD30BEE">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拒绝履行合同义务；</w:t>
      </w:r>
    </w:p>
    <w:p w14:paraId="0C768030">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与采购人、其他投标人或者采购代理机构恶意串通；</w:t>
      </w:r>
    </w:p>
    <w:p w14:paraId="74D5F1F4">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在履约过程中未按招标文件、中标的投标文件、生效的政府采购合同等约定,提供货物、工程和服务；</w:t>
      </w:r>
    </w:p>
    <w:p w14:paraId="08587AC8">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未按招标文件规定缴纳招标代理服务费；</w:t>
      </w:r>
    </w:p>
    <w:p w14:paraId="105DD2F3">
      <w:pPr>
        <w:numPr>
          <w:ilvl w:val="0"/>
          <w:numId w:val="48"/>
        </w:numPr>
        <w:autoSpaceDE w:val="0"/>
        <w:autoSpaceDN w:val="0"/>
        <w:adjustRightInd w:val="0"/>
        <w:spacing w:line="360" w:lineRule="auto"/>
        <w:ind w:left="420" w:leftChars="200" w:right="40"/>
        <w:jc w:val="left"/>
        <w:rPr>
          <w:rFonts w:hint="eastAsia" w:ascii="宋体" w:hAnsi="宋体" w:cs="微软雅黑"/>
          <w:color w:val="auto"/>
          <w:kern w:val="0"/>
          <w:szCs w:val="21"/>
        </w:rPr>
      </w:pPr>
      <w:r>
        <w:rPr>
          <w:rFonts w:hint="eastAsia" w:ascii="宋体" w:hAnsi="宋体" w:cs="微软雅黑"/>
          <w:color w:val="auto"/>
          <w:kern w:val="0"/>
          <w:szCs w:val="21"/>
        </w:rPr>
        <w:t>存在其他违法违规行为。</w:t>
      </w:r>
    </w:p>
    <w:p w14:paraId="79A8BC44">
      <w:pPr>
        <w:autoSpaceDE w:val="0"/>
        <w:autoSpaceDN w:val="0"/>
        <w:adjustRightInd w:val="0"/>
        <w:spacing w:line="360" w:lineRule="auto"/>
        <w:ind w:right="40" w:firstLine="420" w:firstLineChars="200"/>
        <w:jc w:val="left"/>
        <w:rPr>
          <w:rFonts w:hint="eastAsia"/>
          <w:color w:val="auto"/>
          <w:szCs w:val="21"/>
        </w:rPr>
      </w:pPr>
      <w:r>
        <w:rPr>
          <w:rFonts w:hint="eastAsia" w:ascii="宋体" w:hAnsi="宋体" w:cs="微软雅黑"/>
          <w:color w:val="auto"/>
          <w:kern w:val="0"/>
          <w:szCs w:val="21"/>
        </w:rPr>
        <w:t>我单位</w:t>
      </w:r>
      <w:r>
        <w:rPr>
          <w:rFonts w:hint="eastAsia"/>
          <w:color w:val="auto"/>
          <w:szCs w:val="21"/>
        </w:rPr>
        <w:t>自愿接受被处以中标无效，采购金额千分之五以上千分之十以下的罚款并赔偿采购人及采购代理机构的损失</w:t>
      </w:r>
      <w:r>
        <w:rPr>
          <w:rFonts w:hint="eastAsia" w:ascii="宋体" w:hAnsi="宋体" w:cs="微软雅黑"/>
          <w:color w:val="auto"/>
          <w:kern w:val="0"/>
          <w:szCs w:val="21"/>
        </w:rPr>
        <w:t>，</w:t>
      </w:r>
      <w:r>
        <w:rPr>
          <w:rFonts w:hint="eastAsia"/>
          <w:color w:val="auto"/>
          <w:szCs w:val="21"/>
        </w:rPr>
        <w:t>列入不良行为记录名单</w:t>
      </w:r>
      <w:r>
        <w:rPr>
          <w:rFonts w:hint="eastAsia" w:ascii="宋体" w:hAnsi="宋体" w:cs="微软雅黑"/>
          <w:color w:val="auto"/>
          <w:kern w:val="0"/>
          <w:szCs w:val="21"/>
        </w:rPr>
        <w:t>，</w:t>
      </w:r>
      <w:r>
        <w:rPr>
          <w:rFonts w:hint="eastAsia"/>
          <w:color w:val="auto"/>
          <w:szCs w:val="21"/>
        </w:rPr>
        <w:t>在一至三年内禁止参加政府采购活动</w:t>
      </w:r>
      <w:r>
        <w:rPr>
          <w:rFonts w:hint="eastAsia" w:ascii="宋体" w:hAnsi="宋体" w:cs="微软雅黑"/>
          <w:color w:val="auto"/>
          <w:kern w:val="0"/>
          <w:szCs w:val="21"/>
        </w:rPr>
        <w:t>，</w:t>
      </w:r>
      <w:r>
        <w:rPr>
          <w:rFonts w:hint="eastAsia"/>
          <w:color w:val="auto"/>
          <w:szCs w:val="21"/>
        </w:rPr>
        <w:t>有违法所得的</w:t>
      </w:r>
      <w:r>
        <w:rPr>
          <w:rFonts w:hint="eastAsia" w:ascii="宋体" w:hAnsi="宋体" w:cs="微软雅黑"/>
          <w:color w:val="auto"/>
          <w:kern w:val="0"/>
          <w:szCs w:val="21"/>
        </w:rPr>
        <w:t>，</w:t>
      </w:r>
      <w:r>
        <w:rPr>
          <w:rFonts w:hint="eastAsia"/>
          <w:color w:val="auto"/>
          <w:szCs w:val="21"/>
        </w:rPr>
        <w:t>并处没收违法所得，情节严重的，由市场监督管理部门吊销营业执照；构成犯罪的，依法追究刑事责任。</w:t>
      </w:r>
    </w:p>
    <w:p w14:paraId="0EDE47C5">
      <w:pPr>
        <w:pStyle w:val="34"/>
        <w:rPr>
          <w:rFonts w:hint="eastAsia"/>
          <w:color w:val="auto"/>
          <w:sz w:val="21"/>
          <w:szCs w:val="21"/>
        </w:rPr>
      </w:pPr>
    </w:p>
    <w:p w14:paraId="1EEF91F5">
      <w:pPr>
        <w:pStyle w:val="34"/>
        <w:rPr>
          <w:rFonts w:hint="eastAsia"/>
          <w:color w:val="auto"/>
        </w:rPr>
      </w:pPr>
    </w:p>
    <w:p w14:paraId="78542B4A">
      <w:pPr>
        <w:pStyle w:val="34"/>
        <w:rPr>
          <w:rFonts w:hint="eastAsia" w:cs="微软雅黑"/>
          <w:color w:val="auto"/>
          <w:sz w:val="21"/>
          <w:szCs w:val="21"/>
        </w:rPr>
      </w:pPr>
    </w:p>
    <w:p w14:paraId="70FDB0FB">
      <w:pPr>
        <w:spacing w:line="480" w:lineRule="exact"/>
        <w:ind w:firstLine="3360" w:firstLineChars="1600"/>
        <w:rPr>
          <w:rFonts w:hint="eastAsia" w:ascii="宋体" w:hAnsi="宋体"/>
          <w:bCs/>
          <w:color w:val="auto"/>
          <w:szCs w:val="21"/>
        </w:rPr>
      </w:pPr>
      <w:r>
        <w:rPr>
          <w:rFonts w:hint="eastAsia" w:ascii="宋体" w:hAnsi="宋体" w:cs="微软雅黑"/>
          <w:color w:val="auto"/>
          <w:kern w:val="0"/>
          <w:szCs w:val="21"/>
        </w:rPr>
        <w:t>投 标 人</w:t>
      </w:r>
      <w:r>
        <w:rPr>
          <w:rFonts w:hint="eastAsia" w:ascii="宋体" w:hAnsi="宋体"/>
          <w:bCs/>
          <w:color w:val="auto"/>
          <w:szCs w:val="21"/>
        </w:rPr>
        <w:t>：</w:t>
      </w:r>
      <w:r>
        <w:rPr>
          <w:rFonts w:hint="eastAsia" w:ascii="宋体" w:hAnsi="宋体"/>
          <w:bCs/>
          <w:color w:val="auto"/>
          <w:szCs w:val="21"/>
          <w:u w:val="single"/>
        </w:rPr>
        <w:t xml:space="preserve">                      </w:t>
      </w:r>
      <w:r>
        <w:rPr>
          <w:rFonts w:hint="eastAsia" w:ascii="宋体" w:hAnsi="宋体"/>
          <w:bCs/>
          <w:color w:val="auto"/>
          <w:szCs w:val="21"/>
        </w:rPr>
        <w:t>（盖章）</w:t>
      </w:r>
    </w:p>
    <w:p w14:paraId="53E88A0B">
      <w:pPr>
        <w:spacing w:line="480" w:lineRule="exact"/>
        <w:ind w:firstLine="3360" w:firstLineChars="1600"/>
        <w:rPr>
          <w:rFonts w:hint="eastAsia" w:ascii="宋体" w:hAnsi="宋体"/>
          <w:bCs/>
          <w:color w:val="auto"/>
          <w:szCs w:val="21"/>
        </w:rPr>
      </w:pPr>
      <w:r>
        <w:rPr>
          <w:rFonts w:hint="eastAsia" w:ascii="宋体" w:hAnsi="宋体"/>
          <w:bCs/>
          <w:color w:val="auto"/>
          <w:szCs w:val="21"/>
        </w:rPr>
        <w:t>法定代表人或其委托代理人：</w:t>
      </w: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签字或盖章</w:t>
      </w:r>
      <w:r>
        <w:rPr>
          <w:rFonts w:hint="eastAsia" w:ascii="宋体" w:hAnsi="宋体"/>
          <w:bCs/>
          <w:color w:val="auto"/>
          <w:szCs w:val="21"/>
        </w:rPr>
        <w:t>）</w:t>
      </w:r>
    </w:p>
    <w:p w14:paraId="1DFFF619">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rPr>
      </w:pPr>
      <w:r>
        <w:rPr>
          <w:rFonts w:hint="eastAsia" w:ascii="宋体" w:hAnsi="宋体" w:cs="宋体"/>
          <w:bCs/>
          <w:color w:val="auto"/>
          <w:kern w:val="0"/>
          <w:szCs w:val="21"/>
          <w:u w:val="single"/>
        </w:rPr>
        <w:t xml:space="preserve">     </w:t>
      </w:r>
      <w:r>
        <w:rPr>
          <w:rFonts w:hint="eastAsia" w:ascii="宋体" w:hAnsi="宋体" w:cs="宋体"/>
          <w:bCs/>
          <w:color w:val="auto"/>
          <w:spacing w:val="43"/>
          <w:kern w:val="0"/>
          <w:szCs w:val="21"/>
          <w:u w:val="single"/>
        </w:rPr>
        <w:t xml:space="preserve"> </w:t>
      </w:r>
      <w:r>
        <w:rPr>
          <w:rFonts w:hint="eastAsia" w:ascii="宋体" w:hAnsi="宋体" w:cs="宋体"/>
          <w:bCs/>
          <w:color w:val="auto"/>
          <w:kern w:val="0"/>
          <w:szCs w:val="21"/>
        </w:rPr>
        <w:t>年</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月</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日</w:t>
      </w:r>
    </w:p>
    <w:p w14:paraId="58DF8CAC">
      <w:pPr>
        <w:pStyle w:val="34"/>
        <w:rPr>
          <w:rFonts w:hint="eastAsia"/>
          <w:color w:val="auto"/>
        </w:rPr>
      </w:pPr>
    </w:p>
    <w:p w14:paraId="50C3967A">
      <w:pPr>
        <w:pStyle w:val="3"/>
        <w:numPr>
          <w:ilvl w:val="0"/>
          <w:numId w:val="46"/>
        </w:numPr>
        <w:tabs>
          <w:tab w:val="left" w:pos="840"/>
        </w:tabs>
        <w:jc w:val="center"/>
        <w:rPr>
          <w:rFonts w:hint="eastAsia" w:ascii="宋体" w:hAnsi="宋体"/>
          <w:color w:val="auto"/>
          <w:szCs w:val="24"/>
        </w:rPr>
      </w:pPr>
      <w:r>
        <w:rPr>
          <w:rFonts w:hint="eastAsia" w:ascii="宋体" w:hAnsi="宋体"/>
          <w:color w:val="auto"/>
          <w:szCs w:val="24"/>
        </w:rPr>
        <w:br w:type="page"/>
      </w:r>
      <w:bookmarkStart w:id="512" w:name="_Toc4969"/>
      <w:r>
        <w:rPr>
          <w:rFonts w:hint="eastAsia" w:ascii="宋体" w:hAnsi="宋体"/>
          <w:color w:val="auto"/>
          <w:szCs w:val="24"/>
        </w:rPr>
        <w:t>投标报价表格</w:t>
      </w:r>
      <w:bookmarkEnd w:id="510"/>
      <w:bookmarkEnd w:id="512"/>
    </w:p>
    <w:p w14:paraId="41A5D695">
      <w:pPr>
        <w:pStyle w:val="4"/>
        <w:numPr>
          <w:ilvl w:val="0"/>
          <w:numId w:val="49"/>
        </w:numPr>
        <w:jc w:val="center"/>
        <w:rPr>
          <w:rFonts w:hint="eastAsia"/>
          <w:color w:val="auto"/>
        </w:rPr>
      </w:pPr>
      <w:r>
        <w:rPr>
          <w:rFonts w:hint="eastAsia"/>
          <w:color w:val="auto"/>
        </w:rPr>
        <w:t xml:space="preserve"> </w:t>
      </w:r>
      <w:bookmarkStart w:id="513" w:name="_Toc463003910"/>
      <w:bookmarkStart w:id="514" w:name="_Toc495304002"/>
      <w:bookmarkStart w:id="515" w:name="_Toc10515"/>
      <w:r>
        <w:rPr>
          <w:rFonts w:hint="eastAsia"/>
          <w:color w:val="auto"/>
        </w:rPr>
        <w:t>开标一览表</w:t>
      </w:r>
      <w:bookmarkEnd w:id="513"/>
      <w:bookmarkEnd w:id="514"/>
      <w:bookmarkEnd w:id="515"/>
    </w:p>
    <w:p w14:paraId="42D6B7E2">
      <w:pPr>
        <w:pStyle w:val="34"/>
        <w:rPr>
          <w:rFonts w:hint="eastAsia"/>
          <w:color w:val="auto"/>
          <w:sz w:val="21"/>
          <w:szCs w:val="21"/>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9"/>
        <w:gridCol w:w="6015"/>
      </w:tblGrid>
      <w:tr w14:paraId="17A0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1F7DF02E">
            <w:pPr>
              <w:widowControl/>
              <w:spacing w:line="360" w:lineRule="auto"/>
              <w:jc w:val="center"/>
              <w:rPr>
                <w:rFonts w:hint="eastAsia" w:ascii="宋体" w:hAnsi="宋体"/>
                <w:color w:val="auto"/>
                <w:szCs w:val="21"/>
              </w:rPr>
            </w:pPr>
            <w:r>
              <w:rPr>
                <w:rFonts w:hint="eastAsia"/>
                <w:color w:val="auto"/>
                <w:szCs w:val="21"/>
              </w:rPr>
              <w:t>项目名称</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3305C8B2">
            <w:pPr>
              <w:widowControl/>
              <w:spacing w:line="360" w:lineRule="auto"/>
              <w:jc w:val="center"/>
              <w:rPr>
                <w:rFonts w:hint="eastAsia" w:ascii="宋体" w:hAnsi="宋体" w:eastAsia="宋体"/>
                <w:color w:val="auto"/>
                <w:szCs w:val="21"/>
                <w:lang w:eastAsia="zh-CN"/>
              </w:rPr>
            </w:pPr>
            <w:r>
              <w:rPr>
                <w:rFonts w:hint="eastAsia" w:ascii="宋体" w:hAnsi="宋体" w:cs="宋体"/>
                <w:color w:val="auto"/>
                <w:szCs w:val="21"/>
              </w:rPr>
              <w:t xml:space="preserve"> </w:t>
            </w:r>
            <w:r>
              <w:rPr>
                <w:rFonts w:hint="eastAsia" w:ascii="宋体" w:hAnsi="宋体" w:cs="宋体"/>
                <w:color w:val="auto"/>
                <w:szCs w:val="21"/>
                <w:lang w:eastAsia="zh-CN"/>
              </w:rPr>
              <w:t>尉氏县中心医院（尉氏县第三医共体总医院）儿童康复设备一批采购项目</w:t>
            </w:r>
          </w:p>
        </w:tc>
      </w:tr>
      <w:tr w14:paraId="4D97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0FBB9D6D">
            <w:pPr>
              <w:widowControl/>
              <w:spacing w:line="360" w:lineRule="auto"/>
              <w:jc w:val="center"/>
              <w:rPr>
                <w:rFonts w:hint="eastAsia" w:ascii="宋体" w:hAnsi="宋体"/>
                <w:color w:val="auto"/>
                <w:szCs w:val="21"/>
              </w:rPr>
            </w:pPr>
            <w:r>
              <w:rPr>
                <w:rFonts w:hint="eastAsia" w:ascii="宋体" w:hAnsi="宋体"/>
                <w:color w:val="auto"/>
                <w:szCs w:val="21"/>
              </w:rPr>
              <w:t>投标人</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1771C39A">
            <w:pPr>
              <w:widowControl/>
              <w:spacing w:line="360" w:lineRule="auto"/>
              <w:jc w:val="center"/>
              <w:rPr>
                <w:rFonts w:hint="eastAsia" w:ascii="宋体" w:hAnsi="宋体"/>
                <w:color w:val="auto"/>
                <w:szCs w:val="21"/>
              </w:rPr>
            </w:pPr>
          </w:p>
        </w:tc>
      </w:tr>
      <w:tr w14:paraId="1D92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12C543FC">
            <w:pPr>
              <w:widowControl/>
              <w:spacing w:line="360" w:lineRule="auto"/>
              <w:jc w:val="center"/>
              <w:rPr>
                <w:rFonts w:hint="eastAsia" w:ascii="宋体" w:hAnsi="宋体"/>
                <w:color w:val="auto"/>
                <w:szCs w:val="21"/>
              </w:rPr>
            </w:pPr>
            <w:r>
              <w:rPr>
                <w:rFonts w:hint="eastAsia"/>
                <w:color w:val="auto"/>
                <w:szCs w:val="21"/>
              </w:rPr>
              <w:t>投标内容</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03137B7B">
            <w:pPr>
              <w:widowControl/>
              <w:spacing w:line="360" w:lineRule="auto"/>
              <w:jc w:val="left"/>
              <w:rPr>
                <w:rFonts w:hint="eastAsia" w:ascii="宋体" w:hAnsi="宋体"/>
                <w:color w:val="auto"/>
                <w:szCs w:val="21"/>
              </w:rPr>
            </w:pPr>
          </w:p>
        </w:tc>
      </w:tr>
      <w:tr w14:paraId="2C10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56752660">
            <w:pPr>
              <w:widowControl/>
              <w:spacing w:line="360" w:lineRule="auto"/>
              <w:jc w:val="center"/>
              <w:rPr>
                <w:rFonts w:hint="eastAsia" w:ascii="宋体" w:hAnsi="宋体"/>
                <w:color w:val="auto"/>
                <w:szCs w:val="21"/>
              </w:rPr>
            </w:pPr>
            <w:r>
              <w:rPr>
                <w:rFonts w:hint="eastAsia" w:ascii="宋体" w:hAnsi="宋体"/>
                <w:color w:val="auto"/>
                <w:szCs w:val="21"/>
              </w:rPr>
              <w:t>采购编号</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2F2D1392">
            <w:pPr>
              <w:widowControl/>
              <w:spacing w:line="500" w:lineRule="exact"/>
              <w:jc w:val="center"/>
              <w:rPr>
                <w:rFonts w:hint="default" w:ascii="宋体" w:hAnsi="宋体" w:eastAsia="宋体"/>
                <w:b/>
                <w:bCs/>
                <w:color w:val="auto"/>
                <w:szCs w:val="21"/>
                <w:lang w:val="en-US" w:eastAsia="zh-CN"/>
              </w:rPr>
            </w:pPr>
          </w:p>
        </w:tc>
      </w:tr>
      <w:tr w14:paraId="2AD9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389" w:type="dxa"/>
            <w:vMerge w:val="restart"/>
            <w:tcBorders>
              <w:top w:val="single" w:color="auto" w:sz="4" w:space="0"/>
              <w:left w:val="single" w:color="auto" w:sz="4" w:space="0"/>
              <w:right w:val="single" w:color="auto" w:sz="4" w:space="0"/>
            </w:tcBorders>
            <w:noWrap w:val="0"/>
            <w:vAlign w:val="center"/>
          </w:tcPr>
          <w:p w14:paraId="281F4365">
            <w:pPr>
              <w:widowControl/>
              <w:jc w:val="center"/>
              <w:rPr>
                <w:rFonts w:hint="eastAsia" w:ascii="宋体" w:hAnsi="宋体"/>
                <w:color w:val="auto"/>
                <w:szCs w:val="21"/>
              </w:rPr>
            </w:pPr>
            <w:r>
              <w:rPr>
                <w:rFonts w:hint="eastAsia"/>
                <w:color w:val="auto"/>
                <w:szCs w:val="21"/>
              </w:rPr>
              <w:t>投标报价</w:t>
            </w:r>
          </w:p>
        </w:tc>
        <w:tc>
          <w:tcPr>
            <w:tcW w:w="6015" w:type="dxa"/>
            <w:tcBorders>
              <w:top w:val="single" w:color="auto" w:sz="4" w:space="0"/>
              <w:left w:val="single" w:color="auto" w:sz="4" w:space="0"/>
              <w:right w:val="single" w:color="auto" w:sz="4" w:space="0"/>
            </w:tcBorders>
            <w:noWrap w:val="0"/>
            <w:vAlign w:val="center"/>
          </w:tcPr>
          <w:p w14:paraId="3EB4B654">
            <w:pPr>
              <w:spacing w:line="480" w:lineRule="auto"/>
              <w:rPr>
                <w:rFonts w:hint="eastAsia" w:ascii="宋体" w:hAnsi="宋体"/>
                <w:b/>
                <w:bCs/>
                <w:color w:val="auto"/>
                <w:szCs w:val="21"/>
              </w:rPr>
            </w:pPr>
            <w:r>
              <w:rPr>
                <w:rFonts w:hint="eastAsia" w:ascii="宋体" w:hAnsi="宋体"/>
                <w:color w:val="auto"/>
                <w:szCs w:val="21"/>
              </w:rPr>
              <w:t>小写：¥</w:t>
            </w:r>
            <w:r>
              <w:rPr>
                <w:rFonts w:hint="eastAsia" w:ascii="宋体" w:hAnsi="宋体"/>
                <w:color w:val="auto"/>
                <w:szCs w:val="21"/>
                <w:u w:val="single"/>
              </w:rPr>
              <w:t xml:space="preserve">              </w:t>
            </w:r>
          </w:p>
        </w:tc>
      </w:tr>
      <w:tr w14:paraId="3D3E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389" w:type="dxa"/>
            <w:vMerge w:val="continue"/>
            <w:tcBorders>
              <w:left w:val="single" w:color="auto" w:sz="4" w:space="0"/>
              <w:right w:val="single" w:color="auto" w:sz="4" w:space="0"/>
            </w:tcBorders>
            <w:noWrap w:val="0"/>
            <w:vAlign w:val="center"/>
          </w:tcPr>
          <w:p w14:paraId="45EA8788">
            <w:pPr>
              <w:spacing w:line="480" w:lineRule="auto"/>
              <w:rPr>
                <w:color w:val="auto"/>
              </w:rPr>
            </w:pPr>
          </w:p>
        </w:tc>
        <w:tc>
          <w:tcPr>
            <w:tcW w:w="6015" w:type="dxa"/>
            <w:tcBorders>
              <w:top w:val="single" w:color="auto" w:sz="4" w:space="0"/>
              <w:left w:val="single" w:color="auto" w:sz="4" w:space="0"/>
              <w:right w:val="single" w:color="auto" w:sz="4" w:space="0"/>
            </w:tcBorders>
            <w:noWrap w:val="0"/>
            <w:vAlign w:val="center"/>
          </w:tcPr>
          <w:p w14:paraId="3309A438">
            <w:pPr>
              <w:spacing w:line="480" w:lineRule="auto"/>
              <w:rPr>
                <w:rFonts w:hint="eastAsia" w:ascii="宋体" w:hAnsi="宋体"/>
                <w:color w:val="auto"/>
                <w:szCs w:val="21"/>
              </w:rPr>
            </w:pPr>
            <w:r>
              <w:rPr>
                <w:rFonts w:hint="eastAsia" w:ascii="宋体" w:hAnsi="宋体"/>
                <w:color w:val="auto"/>
                <w:szCs w:val="21"/>
              </w:rPr>
              <w:t>大写：</w:t>
            </w:r>
            <w:r>
              <w:rPr>
                <w:rFonts w:hint="eastAsia" w:ascii="宋体" w:hAnsi="宋体"/>
                <w:color w:val="auto"/>
                <w:szCs w:val="21"/>
                <w:u w:val="single"/>
              </w:rPr>
              <w:t xml:space="preserve">                </w:t>
            </w:r>
          </w:p>
        </w:tc>
      </w:tr>
      <w:tr w14:paraId="0F4F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389" w:type="dxa"/>
            <w:tcBorders>
              <w:top w:val="single" w:color="auto" w:sz="4" w:space="0"/>
              <w:left w:val="single" w:color="auto" w:sz="4" w:space="0"/>
              <w:right w:val="single" w:color="auto" w:sz="4" w:space="0"/>
            </w:tcBorders>
            <w:noWrap w:val="0"/>
            <w:vAlign w:val="center"/>
          </w:tcPr>
          <w:p w14:paraId="5B31BB94">
            <w:pPr>
              <w:widowControl/>
              <w:jc w:val="center"/>
              <w:rPr>
                <w:rFonts w:hint="eastAsia" w:ascii="宋体" w:hAnsi="宋体"/>
                <w:color w:val="auto"/>
                <w:szCs w:val="21"/>
              </w:rPr>
            </w:pPr>
            <w:r>
              <w:rPr>
                <w:rFonts w:hint="eastAsia" w:ascii="宋体" w:hAnsi="宋体"/>
                <w:color w:val="auto"/>
                <w:szCs w:val="21"/>
              </w:rPr>
              <w:t>交货地点</w:t>
            </w:r>
          </w:p>
        </w:tc>
        <w:tc>
          <w:tcPr>
            <w:tcW w:w="6015" w:type="dxa"/>
            <w:tcBorders>
              <w:top w:val="single" w:color="auto" w:sz="4" w:space="0"/>
              <w:left w:val="single" w:color="auto" w:sz="4" w:space="0"/>
              <w:right w:val="single" w:color="auto" w:sz="4" w:space="0"/>
            </w:tcBorders>
            <w:noWrap w:val="0"/>
            <w:vAlign w:val="center"/>
          </w:tcPr>
          <w:p w14:paraId="05FE4A0B">
            <w:pPr>
              <w:widowControl/>
              <w:spacing w:line="500" w:lineRule="exact"/>
              <w:jc w:val="center"/>
              <w:rPr>
                <w:rFonts w:ascii="宋体" w:hAnsi="宋体"/>
                <w:b/>
                <w:bCs/>
                <w:color w:val="auto"/>
                <w:szCs w:val="21"/>
              </w:rPr>
            </w:pPr>
            <w:r>
              <w:rPr>
                <w:rFonts w:hint="eastAsia" w:ascii="宋体" w:hAnsi="宋体"/>
                <w:b w:val="0"/>
                <w:bCs w:val="0"/>
                <w:color w:val="auto"/>
                <w:szCs w:val="21"/>
              </w:rPr>
              <w:t>河南省尉氏县光明路与福星大道交叉口尉氏县中心医院7号楼二楼儿童康复科</w:t>
            </w:r>
          </w:p>
        </w:tc>
      </w:tr>
      <w:tr w14:paraId="435A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19204463">
            <w:pPr>
              <w:widowControl/>
              <w:spacing w:line="360" w:lineRule="auto"/>
              <w:jc w:val="center"/>
              <w:rPr>
                <w:rFonts w:hint="eastAsia" w:ascii="宋体" w:hAnsi="宋体"/>
                <w:color w:val="auto"/>
                <w:szCs w:val="21"/>
              </w:rPr>
            </w:pPr>
            <w:r>
              <w:rPr>
                <w:rFonts w:hint="eastAsia" w:ascii="宋体" w:hAnsi="宋体"/>
                <w:color w:val="auto"/>
                <w:szCs w:val="21"/>
              </w:rPr>
              <w:t>交货期</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3F816F83">
            <w:pPr>
              <w:widowControl/>
              <w:spacing w:line="360" w:lineRule="auto"/>
              <w:jc w:val="center"/>
              <w:rPr>
                <w:rFonts w:hint="eastAsia" w:ascii="宋体" w:hAnsi="宋体"/>
                <w:color w:val="auto"/>
                <w:szCs w:val="21"/>
              </w:rPr>
            </w:pPr>
            <w:r>
              <w:rPr>
                <w:rFonts w:hint="eastAsia" w:ascii="宋体" w:hAnsi="宋体" w:cs="宋体"/>
                <w:color w:val="auto"/>
                <w:szCs w:val="21"/>
              </w:rPr>
              <w:t>接采购人通知之日起</w:t>
            </w:r>
            <w:r>
              <w:rPr>
                <w:rFonts w:hint="eastAsia" w:ascii="宋体" w:hAnsi="宋体" w:cs="宋体"/>
                <w:color w:val="auto"/>
                <w:szCs w:val="21"/>
                <w:u w:val="single"/>
              </w:rPr>
              <w:t xml:space="preserve">    </w:t>
            </w:r>
            <w:r>
              <w:rPr>
                <w:rFonts w:hint="eastAsia" w:ascii="宋体" w:hAnsi="宋体" w:cs="宋体"/>
                <w:color w:val="auto"/>
                <w:szCs w:val="21"/>
              </w:rPr>
              <w:t>个日历天内完成交货及安装调试</w:t>
            </w:r>
            <w:r>
              <w:rPr>
                <w:rFonts w:hint="eastAsia" w:ascii="宋体" w:hAnsi="宋体"/>
                <w:color w:val="auto"/>
                <w:szCs w:val="21"/>
              </w:rPr>
              <w:t xml:space="preserve"> </w:t>
            </w:r>
          </w:p>
        </w:tc>
      </w:tr>
      <w:tr w14:paraId="0DAD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3A3C0BA5">
            <w:pPr>
              <w:widowControl/>
              <w:spacing w:line="360" w:lineRule="auto"/>
              <w:jc w:val="center"/>
              <w:rPr>
                <w:rFonts w:hint="eastAsia" w:ascii="宋体" w:hAnsi="宋体"/>
                <w:color w:val="auto"/>
                <w:szCs w:val="21"/>
              </w:rPr>
            </w:pPr>
            <w:r>
              <w:rPr>
                <w:rFonts w:hint="eastAsia"/>
                <w:color w:val="auto"/>
                <w:szCs w:val="21"/>
              </w:rPr>
              <w:t>质量标准</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5E5B52F8">
            <w:pPr>
              <w:widowControl/>
              <w:spacing w:line="360" w:lineRule="auto"/>
              <w:jc w:val="center"/>
              <w:rPr>
                <w:rFonts w:hint="eastAsia" w:ascii="宋体" w:hAnsi="宋体"/>
                <w:color w:val="auto"/>
                <w:szCs w:val="21"/>
              </w:rPr>
            </w:pPr>
            <w:r>
              <w:rPr>
                <w:rFonts w:hint="eastAsia"/>
                <w:color w:val="auto"/>
                <w:szCs w:val="21"/>
                <w:lang w:val="zh-CN"/>
              </w:rPr>
              <w:t>符合相关的国家标准、行业标准和专业标准</w:t>
            </w:r>
          </w:p>
        </w:tc>
      </w:tr>
      <w:tr w14:paraId="40E1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4DE52B2C">
            <w:pPr>
              <w:widowControl/>
              <w:spacing w:line="360" w:lineRule="auto"/>
              <w:jc w:val="center"/>
              <w:rPr>
                <w:rFonts w:hint="eastAsia" w:ascii="宋体" w:hAnsi="宋体"/>
                <w:color w:val="auto"/>
                <w:szCs w:val="21"/>
              </w:rPr>
            </w:pPr>
            <w:r>
              <w:rPr>
                <w:rFonts w:hint="eastAsia" w:ascii="宋体" w:hAnsi="宋体"/>
                <w:color w:val="auto"/>
                <w:szCs w:val="21"/>
              </w:rPr>
              <w:t>质保期</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1FD7AC5D">
            <w:pPr>
              <w:widowControl/>
              <w:spacing w:line="360" w:lineRule="auto"/>
              <w:jc w:val="center"/>
              <w:rPr>
                <w:rFonts w:hint="eastAsia" w:ascii="宋体" w:hAnsi="宋体"/>
                <w:color w:val="auto"/>
                <w:szCs w:val="21"/>
              </w:rPr>
            </w:pPr>
            <w:r>
              <w:rPr>
                <w:rFonts w:hint="eastAsia" w:ascii="宋体" w:hAnsi="宋体" w:cs="宋体"/>
                <w:color w:val="auto"/>
                <w:kern w:val="0"/>
                <w:szCs w:val="21"/>
                <w:u w:val="single"/>
              </w:rPr>
              <w:t xml:space="preserve">         </w:t>
            </w:r>
            <w:r>
              <w:rPr>
                <w:rFonts w:hint="eastAsia" w:ascii="宋体" w:hAnsi="宋体" w:cs="宋体"/>
                <w:color w:val="auto"/>
                <w:kern w:val="0"/>
                <w:szCs w:val="21"/>
              </w:rPr>
              <w:t>年</w:t>
            </w:r>
          </w:p>
        </w:tc>
      </w:tr>
      <w:tr w14:paraId="52E6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74E6E7A0">
            <w:pPr>
              <w:widowControl/>
              <w:spacing w:line="360" w:lineRule="exact"/>
              <w:jc w:val="center"/>
              <w:rPr>
                <w:rFonts w:hint="eastAsia" w:ascii="宋体" w:hAnsi="宋体"/>
                <w:color w:val="auto"/>
                <w:szCs w:val="21"/>
              </w:rPr>
            </w:pPr>
            <w:r>
              <w:rPr>
                <w:rFonts w:hint="eastAsia" w:ascii="宋体" w:hAnsi="宋体"/>
                <w:color w:val="auto"/>
                <w:szCs w:val="21"/>
              </w:rPr>
              <w:t>其他</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61D45315">
            <w:pPr>
              <w:widowControl/>
              <w:spacing w:line="360" w:lineRule="exact"/>
              <w:jc w:val="center"/>
              <w:rPr>
                <w:rFonts w:hint="eastAsia" w:ascii="宋体" w:hAnsi="宋体"/>
                <w:color w:val="auto"/>
                <w:szCs w:val="21"/>
              </w:rPr>
            </w:pPr>
          </w:p>
        </w:tc>
      </w:tr>
      <w:tr w14:paraId="5A25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72BA3022">
            <w:pPr>
              <w:spacing w:line="360" w:lineRule="auto"/>
              <w:jc w:val="center"/>
              <w:rPr>
                <w:rFonts w:hint="eastAsia" w:ascii="宋体" w:hAnsi="宋体"/>
                <w:color w:val="auto"/>
                <w:szCs w:val="21"/>
              </w:rPr>
            </w:pPr>
            <w:r>
              <w:rPr>
                <w:rFonts w:hint="eastAsia" w:ascii="宋体" w:hAnsi="宋体"/>
                <w:color w:val="auto"/>
                <w:szCs w:val="21"/>
              </w:rPr>
              <w:t>备  注</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0F15816A">
            <w:pPr>
              <w:widowControl/>
              <w:spacing w:line="360" w:lineRule="auto"/>
              <w:jc w:val="center"/>
              <w:rPr>
                <w:rFonts w:hint="eastAsia" w:ascii="宋体" w:hAnsi="宋体"/>
                <w:color w:val="auto"/>
                <w:szCs w:val="21"/>
              </w:rPr>
            </w:pPr>
          </w:p>
        </w:tc>
      </w:tr>
    </w:tbl>
    <w:p w14:paraId="01462B69">
      <w:pPr>
        <w:pStyle w:val="34"/>
        <w:spacing w:line="360" w:lineRule="auto"/>
        <w:rPr>
          <w:rFonts w:hint="eastAsia" w:cs="Times New Roman"/>
          <w:b/>
          <w:bCs/>
          <w:color w:val="auto"/>
          <w:kern w:val="2"/>
          <w:sz w:val="21"/>
          <w:szCs w:val="21"/>
        </w:rPr>
      </w:pPr>
      <w:r>
        <w:rPr>
          <w:rFonts w:hint="eastAsia" w:cs="Times New Roman"/>
          <w:b/>
          <w:bCs/>
          <w:color w:val="auto"/>
          <w:kern w:val="2"/>
          <w:sz w:val="21"/>
          <w:szCs w:val="21"/>
        </w:rPr>
        <w:t>说明：</w:t>
      </w:r>
    </w:p>
    <w:p w14:paraId="3A5FFE66">
      <w:pPr>
        <w:pStyle w:val="34"/>
        <w:numPr>
          <w:ilvl w:val="0"/>
          <w:numId w:val="50"/>
        </w:numPr>
        <w:spacing w:line="360" w:lineRule="auto"/>
        <w:ind w:firstLine="420" w:firstLineChars="200"/>
        <w:rPr>
          <w:rFonts w:hint="eastAsia" w:cs="Times New Roman"/>
          <w:color w:val="auto"/>
          <w:kern w:val="2"/>
          <w:sz w:val="21"/>
          <w:szCs w:val="21"/>
        </w:rPr>
      </w:pPr>
      <w:r>
        <w:rPr>
          <w:rFonts w:hint="eastAsia" w:cs="Times New Roman"/>
          <w:color w:val="auto"/>
          <w:kern w:val="2"/>
          <w:sz w:val="21"/>
          <w:szCs w:val="21"/>
        </w:rPr>
        <w:t>本表投标报价应与投标文件中投标报价一览表的总报价一致。</w:t>
      </w:r>
    </w:p>
    <w:p w14:paraId="034766F9">
      <w:pPr>
        <w:pStyle w:val="34"/>
        <w:numPr>
          <w:ilvl w:val="0"/>
          <w:numId w:val="50"/>
        </w:numPr>
        <w:spacing w:line="360" w:lineRule="auto"/>
        <w:ind w:firstLine="420" w:firstLineChars="200"/>
        <w:rPr>
          <w:rFonts w:hint="eastAsia" w:cs="Times New Roman"/>
          <w:color w:val="auto"/>
          <w:kern w:val="2"/>
          <w:sz w:val="21"/>
          <w:szCs w:val="21"/>
        </w:rPr>
      </w:pPr>
      <w:r>
        <w:rPr>
          <w:rFonts w:hint="eastAsia" w:cs="Times New Roman"/>
          <w:color w:val="auto"/>
          <w:kern w:val="2"/>
          <w:sz w:val="21"/>
          <w:szCs w:val="21"/>
        </w:rPr>
        <w:t>与本表同时公开唱标的内容包括对其投标文件的修改或撤回通知、投标价折扣声明、其他采购人认为应该宣读的内容等。</w:t>
      </w:r>
    </w:p>
    <w:p w14:paraId="28135363">
      <w:pPr>
        <w:pStyle w:val="34"/>
        <w:numPr>
          <w:ilvl w:val="0"/>
          <w:numId w:val="50"/>
        </w:numPr>
        <w:spacing w:line="360" w:lineRule="auto"/>
        <w:ind w:firstLine="420" w:firstLineChars="200"/>
        <w:rPr>
          <w:rFonts w:hint="eastAsia"/>
          <w:color w:val="auto"/>
          <w:szCs w:val="21"/>
        </w:rPr>
      </w:pPr>
      <w:r>
        <w:rPr>
          <w:rFonts w:hint="eastAsia"/>
          <w:color w:val="auto"/>
          <w:kern w:val="2"/>
          <w:sz w:val="21"/>
          <w:szCs w:val="21"/>
          <w:lang w:eastAsia="zh-CN"/>
        </w:rPr>
        <w:t>开封市公共资源交易中心</w:t>
      </w:r>
      <w:r>
        <w:rPr>
          <w:rFonts w:hint="eastAsia" w:cs="Times New Roman"/>
          <w:color w:val="auto"/>
          <w:kern w:val="2"/>
          <w:sz w:val="21"/>
          <w:szCs w:val="21"/>
        </w:rPr>
        <w:t>系统中的开标一览表为模板，格式无法修改，以投标正文中的开标一览表为准。</w:t>
      </w:r>
    </w:p>
    <w:p w14:paraId="5C76DAEA">
      <w:pPr>
        <w:spacing w:line="480" w:lineRule="exact"/>
        <w:ind w:firstLine="3360" w:firstLineChars="1600"/>
        <w:rPr>
          <w:rFonts w:hint="eastAsia" w:ascii="宋体" w:hAnsi="宋体"/>
          <w:bCs/>
          <w:color w:val="auto"/>
          <w:szCs w:val="21"/>
        </w:rPr>
      </w:pPr>
      <w:r>
        <w:rPr>
          <w:rFonts w:hint="eastAsia" w:ascii="宋体" w:hAnsi="宋体" w:cs="微软雅黑"/>
          <w:color w:val="auto"/>
          <w:kern w:val="0"/>
          <w:szCs w:val="21"/>
        </w:rPr>
        <w:t>投 标 人</w:t>
      </w:r>
      <w:r>
        <w:rPr>
          <w:rFonts w:hint="eastAsia" w:ascii="宋体" w:hAnsi="宋体"/>
          <w:bCs/>
          <w:color w:val="auto"/>
          <w:szCs w:val="21"/>
        </w:rPr>
        <w:t>：</w:t>
      </w:r>
      <w:r>
        <w:rPr>
          <w:rFonts w:hint="eastAsia" w:ascii="宋体" w:hAnsi="宋体"/>
          <w:bCs/>
          <w:color w:val="auto"/>
          <w:szCs w:val="21"/>
          <w:u w:val="single"/>
        </w:rPr>
        <w:t xml:space="preserve">                      </w:t>
      </w:r>
      <w:r>
        <w:rPr>
          <w:rFonts w:hint="eastAsia" w:ascii="宋体" w:hAnsi="宋体"/>
          <w:bCs/>
          <w:color w:val="auto"/>
          <w:szCs w:val="21"/>
        </w:rPr>
        <w:t>（盖章）</w:t>
      </w:r>
    </w:p>
    <w:p w14:paraId="6B9695EB">
      <w:pPr>
        <w:spacing w:line="480" w:lineRule="exact"/>
        <w:ind w:firstLine="3360" w:firstLineChars="1600"/>
        <w:rPr>
          <w:rFonts w:hint="eastAsia" w:ascii="宋体" w:hAnsi="宋体"/>
          <w:bCs/>
          <w:color w:val="auto"/>
          <w:szCs w:val="21"/>
        </w:rPr>
      </w:pPr>
      <w:r>
        <w:rPr>
          <w:rFonts w:hint="eastAsia" w:ascii="宋体" w:hAnsi="宋体"/>
          <w:bCs/>
          <w:color w:val="auto"/>
          <w:szCs w:val="21"/>
        </w:rPr>
        <w:t>法定代表人或其委托代理人：</w:t>
      </w: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签字或盖章</w:t>
      </w:r>
      <w:r>
        <w:rPr>
          <w:rFonts w:hint="eastAsia" w:ascii="宋体" w:hAnsi="宋体"/>
          <w:bCs/>
          <w:color w:val="auto"/>
          <w:szCs w:val="21"/>
        </w:rPr>
        <w:t>）</w:t>
      </w:r>
    </w:p>
    <w:p w14:paraId="5C80D588">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rPr>
      </w:pPr>
      <w:r>
        <w:rPr>
          <w:rFonts w:hint="eastAsia" w:ascii="宋体" w:hAnsi="宋体" w:cs="宋体"/>
          <w:bCs/>
          <w:color w:val="auto"/>
          <w:kern w:val="0"/>
          <w:szCs w:val="21"/>
          <w:u w:val="single"/>
        </w:rPr>
        <w:t xml:space="preserve">     </w:t>
      </w:r>
      <w:r>
        <w:rPr>
          <w:rFonts w:hint="eastAsia" w:ascii="宋体" w:hAnsi="宋体" w:cs="宋体"/>
          <w:bCs/>
          <w:color w:val="auto"/>
          <w:spacing w:val="43"/>
          <w:kern w:val="0"/>
          <w:szCs w:val="21"/>
          <w:u w:val="single"/>
        </w:rPr>
        <w:t xml:space="preserve"> </w:t>
      </w:r>
      <w:r>
        <w:rPr>
          <w:rFonts w:hint="eastAsia" w:ascii="宋体" w:hAnsi="宋体" w:cs="宋体"/>
          <w:bCs/>
          <w:color w:val="auto"/>
          <w:kern w:val="0"/>
          <w:szCs w:val="21"/>
        </w:rPr>
        <w:t>年</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月</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日</w:t>
      </w:r>
    </w:p>
    <w:p w14:paraId="56C1EA73">
      <w:pPr>
        <w:rPr>
          <w:rFonts w:ascii="宋体" w:hAnsi="宋体"/>
          <w:color w:val="auto"/>
          <w:szCs w:val="21"/>
        </w:rPr>
      </w:pPr>
    </w:p>
    <w:p w14:paraId="08321D73">
      <w:pPr>
        <w:pStyle w:val="4"/>
        <w:numPr>
          <w:ilvl w:val="0"/>
          <w:numId w:val="49"/>
        </w:numPr>
        <w:jc w:val="center"/>
        <w:rPr>
          <w:rFonts w:hint="eastAsia"/>
          <w:color w:val="auto"/>
        </w:rPr>
      </w:pPr>
      <w:r>
        <w:rPr>
          <w:rFonts w:hint="eastAsia"/>
          <w:color w:val="auto"/>
        </w:rPr>
        <w:br w:type="page"/>
      </w:r>
      <w:r>
        <w:rPr>
          <w:rFonts w:hint="eastAsia"/>
          <w:color w:val="auto"/>
        </w:rPr>
        <w:t xml:space="preserve"> </w:t>
      </w:r>
      <w:bookmarkStart w:id="516" w:name="_Toc16691"/>
      <w:bookmarkStart w:id="517" w:name="_Toc463003911"/>
      <w:bookmarkStart w:id="518" w:name="_Toc495304003"/>
      <w:r>
        <w:rPr>
          <w:rFonts w:hint="eastAsia"/>
          <w:color w:val="auto"/>
        </w:rPr>
        <w:t>投标报价一览表</w:t>
      </w:r>
      <w:bookmarkEnd w:id="516"/>
      <w:bookmarkEnd w:id="517"/>
      <w:bookmarkEnd w:id="518"/>
    </w:p>
    <w:tbl>
      <w:tblPr>
        <w:tblStyle w:val="29"/>
        <w:tblW w:w="0" w:type="auto"/>
        <w:tblInd w:w="15" w:type="dxa"/>
        <w:tblLayout w:type="fixed"/>
        <w:tblCellMar>
          <w:top w:w="0" w:type="dxa"/>
          <w:left w:w="0" w:type="dxa"/>
          <w:bottom w:w="0" w:type="dxa"/>
          <w:right w:w="0" w:type="dxa"/>
        </w:tblCellMar>
      </w:tblPr>
      <w:tblGrid>
        <w:gridCol w:w="1080"/>
        <w:gridCol w:w="5314"/>
        <w:gridCol w:w="1380"/>
        <w:gridCol w:w="1290"/>
      </w:tblGrid>
      <w:tr w14:paraId="0E6A9873">
        <w:tblPrEx>
          <w:tblCellMar>
            <w:top w:w="0" w:type="dxa"/>
            <w:left w:w="0" w:type="dxa"/>
            <w:bottom w:w="0" w:type="dxa"/>
            <w:right w:w="0" w:type="dxa"/>
          </w:tblCellMar>
        </w:tblPrEx>
        <w:trPr>
          <w:trHeight w:val="506" w:hRule="atLeast"/>
        </w:trPr>
        <w:tc>
          <w:tcPr>
            <w:tcW w:w="108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31649DA9">
            <w:pPr>
              <w:jc w:val="center"/>
              <w:rPr>
                <w:rFonts w:ascii="宋体" w:hAnsi="宋体"/>
                <w:color w:val="auto"/>
                <w:szCs w:val="21"/>
              </w:rPr>
            </w:pPr>
            <w:r>
              <w:rPr>
                <w:rFonts w:hint="eastAsia" w:ascii="宋体" w:hAnsi="宋体"/>
                <w:color w:val="auto"/>
                <w:szCs w:val="21"/>
              </w:rPr>
              <w:t>序号</w:t>
            </w:r>
          </w:p>
        </w:tc>
        <w:tc>
          <w:tcPr>
            <w:tcW w:w="531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018AE987">
            <w:pPr>
              <w:jc w:val="center"/>
              <w:rPr>
                <w:rFonts w:ascii="宋体" w:hAnsi="宋体"/>
                <w:color w:val="auto"/>
                <w:szCs w:val="21"/>
              </w:rPr>
            </w:pPr>
            <w:r>
              <w:rPr>
                <w:rFonts w:hint="eastAsia" w:ascii="宋体" w:hAnsi="宋体"/>
                <w:color w:val="auto"/>
                <w:szCs w:val="21"/>
              </w:rPr>
              <w:t>项目</w:t>
            </w:r>
          </w:p>
        </w:tc>
        <w:tc>
          <w:tcPr>
            <w:tcW w:w="1380"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1C6E5F3F">
            <w:pPr>
              <w:jc w:val="center"/>
              <w:rPr>
                <w:rFonts w:ascii="宋体" w:hAnsi="宋体"/>
                <w:color w:val="auto"/>
                <w:szCs w:val="21"/>
              </w:rPr>
            </w:pPr>
            <w:r>
              <w:rPr>
                <w:rFonts w:hint="eastAsia" w:ascii="宋体" w:hAnsi="宋体"/>
                <w:color w:val="auto"/>
                <w:szCs w:val="21"/>
              </w:rPr>
              <w:t>报价</w:t>
            </w:r>
          </w:p>
        </w:tc>
        <w:tc>
          <w:tcPr>
            <w:tcW w:w="1290"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68DC6E8C">
            <w:pPr>
              <w:jc w:val="center"/>
              <w:rPr>
                <w:rFonts w:ascii="宋体" w:hAnsi="宋体"/>
                <w:color w:val="auto"/>
                <w:szCs w:val="21"/>
              </w:rPr>
            </w:pPr>
            <w:r>
              <w:rPr>
                <w:rFonts w:hint="eastAsia" w:ascii="宋体" w:hAnsi="宋体"/>
                <w:color w:val="auto"/>
                <w:szCs w:val="21"/>
              </w:rPr>
              <w:t>备注</w:t>
            </w:r>
          </w:p>
        </w:tc>
      </w:tr>
      <w:tr w14:paraId="690A4B89">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7F08C2F3">
            <w:pPr>
              <w:jc w:val="center"/>
              <w:rPr>
                <w:rFonts w:ascii="宋体" w:hAnsi="宋体"/>
                <w:color w:val="auto"/>
                <w:szCs w:val="21"/>
              </w:rPr>
            </w:pPr>
            <w:r>
              <w:rPr>
                <w:rFonts w:ascii="宋体" w:hAnsi="宋体"/>
                <w:color w:val="auto"/>
                <w:szCs w:val="21"/>
              </w:rPr>
              <w:t>1</w:t>
            </w:r>
          </w:p>
        </w:tc>
        <w:tc>
          <w:tcPr>
            <w:tcW w:w="5314"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57D9A5E">
            <w:pPr>
              <w:rPr>
                <w:rFonts w:ascii="宋体" w:hAnsi="宋体"/>
                <w:color w:val="auto"/>
                <w:szCs w:val="21"/>
              </w:rPr>
            </w:pPr>
            <w:r>
              <w:rPr>
                <w:rFonts w:hint="eastAsia" w:ascii="宋体" w:hAnsi="宋体"/>
                <w:color w:val="auto"/>
                <w:szCs w:val="21"/>
              </w:rPr>
              <w:t>设备和附属装置</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37CC10A">
            <w:pPr>
              <w:rPr>
                <w:rFonts w:ascii="宋体" w:hAnsi="宋体"/>
                <w:color w:val="auto"/>
                <w:szCs w:val="21"/>
              </w:rPr>
            </w:pPr>
            <w:r>
              <w:rPr>
                <w:rFonts w:hint="eastAsia" w:ascii="宋体" w:hAnsi="宋体"/>
                <w:color w:val="auto"/>
                <w:szCs w:val="21"/>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50F3F2B">
            <w:pPr>
              <w:rPr>
                <w:rFonts w:ascii="宋体" w:hAnsi="宋体"/>
                <w:color w:val="auto"/>
                <w:szCs w:val="21"/>
              </w:rPr>
            </w:pPr>
            <w:r>
              <w:rPr>
                <w:rFonts w:hint="eastAsia" w:ascii="宋体" w:hAnsi="宋体"/>
                <w:color w:val="auto"/>
                <w:szCs w:val="21"/>
              </w:rPr>
              <w:t>　</w:t>
            </w:r>
          </w:p>
        </w:tc>
      </w:tr>
      <w:tr w14:paraId="4B6002C4">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119E929F">
            <w:pPr>
              <w:jc w:val="center"/>
              <w:rPr>
                <w:rFonts w:ascii="宋体" w:hAnsi="宋体"/>
                <w:color w:val="auto"/>
                <w:szCs w:val="21"/>
              </w:rPr>
            </w:pPr>
            <w:r>
              <w:rPr>
                <w:rFonts w:ascii="宋体" w:hAnsi="宋体"/>
                <w:color w:val="auto"/>
                <w:szCs w:val="21"/>
              </w:rPr>
              <w:t>2</w:t>
            </w:r>
          </w:p>
        </w:tc>
        <w:tc>
          <w:tcPr>
            <w:tcW w:w="5314" w:type="dxa"/>
            <w:tcBorders>
              <w:top w:val="nil"/>
              <w:left w:val="nil"/>
              <w:bottom w:val="nil"/>
              <w:right w:val="nil"/>
            </w:tcBorders>
            <w:noWrap w:val="0"/>
            <w:tcMar>
              <w:top w:w="15" w:type="dxa"/>
              <w:left w:w="15" w:type="dxa"/>
              <w:bottom w:w="0" w:type="dxa"/>
              <w:right w:w="15" w:type="dxa"/>
            </w:tcMar>
            <w:vAlign w:val="bottom"/>
          </w:tcPr>
          <w:p w14:paraId="335657DA">
            <w:pPr>
              <w:rPr>
                <w:rFonts w:ascii="宋体" w:hAnsi="宋体"/>
                <w:color w:val="auto"/>
                <w:szCs w:val="21"/>
              </w:rPr>
            </w:pPr>
            <w:r>
              <w:rPr>
                <w:rFonts w:hint="eastAsia" w:ascii="宋体" w:hAnsi="宋体"/>
                <w:color w:val="auto"/>
                <w:szCs w:val="21"/>
              </w:rPr>
              <w:t>备件、专用工具和消耗品</w:t>
            </w:r>
          </w:p>
        </w:tc>
        <w:tc>
          <w:tcPr>
            <w:tcW w:w="13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3312006">
            <w:pPr>
              <w:rPr>
                <w:rFonts w:ascii="宋体" w:hAnsi="宋体"/>
                <w:color w:val="auto"/>
                <w:szCs w:val="21"/>
              </w:rPr>
            </w:pPr>
            <w:r>
              <w:rPr>
                <w:rFonts w:hint="eastAsia" w:ascii="宋体" w:hAnsi="宋体"/>
                <w:color w:val="auto"/>
                <w:szCs w:val="21"/>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FF00DA6">
            <w:pPr>
              <w:rPr>
                <w:rFonts w:ascii="宋体" w:hAnsi="宋体"/>
                <w:color w:val="auto"/>
                <w:szCs w:val="21"/>
              </w:rPr>
            </w:pPr>
            <w:r>
              <w:rPr>
                <w:rFonts w:hint="eastAsia" w:ascii="宋体" w:hAnsi="宋体"/>
                <w:color w:val="auto"/>
                <w:szCs w:val="21"/>
              </w:rPr>
              <w:t>　</w:t>
            </w:r>
          </w:p>
        </w:tc>
      </w:tr>
      <w:tr w14:paraId="08ECCA33">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5D126873">
            <w:pPr>
              <w:jc w:val="center"/>
              <w:rPr>
                <w:rFonts w:ascii="宋体" w:hAnsi="宋体"/>
                <w:color w:val="auto"/>
                <w:szCs w:val="21"/>
              </w:rPr>
            </w:pPr>
            <w:r>
              <w:rPr>
                <w:rFonts w:ascii="宋体" w:hAnsi="宋体"/>
                <w:color w:val="auto"/>
                <w:szCs w:val="21"/>
              </w:rPr>
              <w:t>3</w:t>
            </w:r>
          </w:p>
        </w:tc>
        <w:tc>
          <w:tcPr>
            <w:tcW w:w="531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0763F93F">
            <w:pPr>
              <w:rPr>
                <w:rFonts w:ascii="宋体" w:hAnsi="宋体"/>
                <w:color w:val="auto"/>
                <w:szCs w:val="21"/>
              </w:rPr>
            </w:pPr>
            <w:r>
              <w:rPr>
                <w:rFonts w:hint="eastAsia" w:ascii="宋体" w:hAnsi="宋体"/>
                <w:color w:val="auto"/>
                <w:szCs w:val="21"/>
              </w:rPr>
              <w:t>卖方技术服务（安装、调试、试车、运行）</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D5672A6">
            <w:pPr>
              <w:rPr>
                <w:rFonts w:ascii="宋体" w:hAnsi="宋体"/>
                <w:color w:val="auto"/>
                <w:szCs w:val="21"/>
              </w:rPr>
            </w:pPr>
            <w:r>
              <w:rPr>
                <w:rFonts w:hint="eastAsia" w:ascii="宋体" w:hAnsi="宋体"/>
                <w:color w:val="auto"/>
                <w:szCs w:val="21"/>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A4F2C90">
            <w:pPr>
              <w:rPr>
                <w:rFonts w:ascii="宋体" w:hAnsi="宋体"/>
                <w:color w:val="auto"/>
                <w:szCs w:val="21"/>
              </w:rPr>
            </w:pPr>
            <w:r>
              <w:rPr>
                <w:rFonts w:hint="eastAsia" w:ascii="宋体" w:hAnsi="宋体"/>
                <w:color w:val="auto"/>
                <w:szCs w:val="21"/>
              </w:rPr>
              <w:t>　</w:t>
            </w:r>
          </w:p>
        </w:tc>
      </w:tr>
      <w:tr w14:paraId="74E38B90">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5606EC4C">
            <w:pPr>
              <w:jc w:val="center"/>
              <w:rPr>
                <w:rFonts w:ascii="宋体" w:hAnsi="宋体"/>
                <w:color w:val="auto"/>
                <w:szCs w:val="21"/>
              </w:rPr>
            </w:pPr>
            <w:r>
              <w:rPr>
                <w:rFonts w:ascii="宋体" w:hAnsi="宋体"/>
                <w:color w:val="auto"/>
                <w:szCs w:val="21"/>
              </w:rPr>
              <w:t>4</w:t>
            </w:r>
          </w:p>
        </w:tc>
        <w:tc>
          <w:tcPr>
            <w:tcW w:w="5314"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0FA9C6A">
            <w:pPr>
              <w:rPr>
                <w:rFonts w:ascii="宋体" w:hAnsi="宋体"/>
                <w:color w:val="auto"/>
                <w:szCs w:val="21"/>
              </w:rPr>
            </w:pPr>
            <w:r>
              <w:rPr>
                <w:rFonts w:hint="eastAsia" w:ascii="宋体" w:hAnsi="宋体"/>
                <w:color w:val="auto"/>
                <w:szCs w:val="21"/>
              </w:rPr>
              <w:t>买方参与技术联络和监造、检验等费</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1528B69">
            <w:pPr>
              <w:rPr>
                <w:rFonts w:ascii="宋体" w:hAnsi="宋体"/>
                <w:color w:val="auto"/>
                <w:szCs w:val="21"/>
              </w:rPr>
            </w:pPr>
            <w:r>
              <w:rPr>
                <w:rFonts w:hint="eastAsia" w:ascii="宋体" w:hAnsi="宋体"/>
                <w:color w:val="auto"/>
                <w:szCs w:val="21"/>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44E1523">
            <w:pPr>
              <w:rPr>
                <w:rFonts w:ascii="宋体" w:hAnsi="宋体"/>
                <w:color w:val="auto"/>
                <w:szCs w:val="21"/>
              </w:rPr>
            </w:pPr>
            <w:r>
              <w:rPr>
                <w:rFonts w:hint="eastAsia" w:ascii="宋体" w:hAnsi="宋体"/>
                <w:color w:val="auto"/>
                <w:szCs w:val="21"/>
              </w:rPr>
              <w:t>　</w:t>
            </w:r>
          </w:p>
        </w:tc>
      </w:tr>
      <w:tr w14:paraId="098E43CE">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1A9D6EF7">
            <w:pPr>
              <w:jc w:val="center"/>
              <w:rPr>
                <w:rFonts w:ascii="宋体" w:hAnsi="宋体"/>
                <w:color w:val="auto"/>
                <w:szCs w:val="21"/>
              </w:rPr>
            </w:pPr>
            <w:r>
              <w:rPr>
                <w:rFonts w:ascii="宋体" w:hAnsi="宋体"/>
                <w:color w:val="auto"/>
                <w:szCs w:val="21"/>
              </w:rPr>
              <w:t>5</w:t>
            </w:r>
          </w:p>
        </w:tc>
        <w:tc>
          <w:tcPr>
            <w:tcW w:w="5314"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0EA530E">
            <w:pPr>
              <w:rPr>
                <w:rFonts w:ascii="宋体" w:hAnsi="宋体"/>
                <w:color w:val="auto"/>
                <w:szCs w:val="21"/>
              </w:rPr>
            </w:pPr>
            <w:r>
              <w:rPr>
                <w:rFonts w:hint="eastAsia" w:ascii="宋体" w:hAnsi="宋体"/>
                <w:color w:val="auto"/>
                <w:szCs w:val="21"/>
              </w:rPr>
              <w:t>人员培训</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56CA5DE">
            <w:pPr>
              <w:rPr>
                <w:rFonts w:ascii="宋体" w:hAnsi="宋体"/>
                <w:color w:val="auto"/>
                <w:szCs w:val="21"/>
              </w:rPr>
            </w:pPr>
            <w:r>
              <w:rPr>
                <w:rFonts w:hint="eastAsia" w:ascii="宋体" w:hAnsi="宋体"/>
                <w:color w:val="auto"/>
                <w:szCs w:val="21"/>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DD83D48">
            <w:pPr>
              <w:rPr>
                <w:rFonts w:ascii="宋体" w:hAnsi="宋体"/>
                <w:color w:val="auto"/>
                <w:szCs w:val="21"/>
              </w:rPr>
            </w:pPr>
            <w:r>
              <w:rPr>
                <w:rFonts w:hint="eastAsia" w:ascii="宋体" w:hAnsi="宋体"/>
                <w:color w:val="auto"/>
                <w:szCs w:val="21"/>
              </w:rPr>
              <w:t>　</w:t>
            </w:r>
          </w:p>
        </w:tc>
      </w:tr>
      <w:tr w14:paraId="0469BC30">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53D0648E">
            <w:pPr>
              <w:jc w:val="center"/>
              <w:rPr>
                <w:rFonts w:ascii="宋体" w:hAnsi="宋体"/>
                <w:color w:val="auto"/>
                <w:szCs w:val="21"/>
              </w:rPr>
            </w:pPr>
            <w:r>
              <w:rPr>
                <w:rFonts w:ascii="宋体" w:hAnsi="宋体"/>
                <w:color w:val="auto"/>
                <w:szCs w:val="21"/>
              </w:rPr>
              <w:t>6</w:t>
            </w:r>
          </w:p>
        </w:tc>
        <w:tc>
          <w:tcPr>
            <w:tcW w:w="5314"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870FBC3">
            <w:pPr>
              <w:rPr>
                <w:rFonts w:ascii="宋体" w:hAnsi="宋体"/>
                <w:color w:val="auto"/>
                <w:szCs w:val="21"/>
              </w:rPr>
            </w:pPr>
            <w:r>
              <w:rPr>
                <w:rFonts w:hint="eastAsia" w:ascii="宋体" w:hAnsi="宋体"/>
                <w:color w:val="auto"/>
                <w:szCs w:val="21"/>
              </w:rPr>
              <w:t>运费和保险费</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63BB78F">
            <w:pPr>
              <w:rPr>
                <w:rFonts w:ascii="宋体" w:hAnsi="宋体"/>
                <w:color w:val="auto"/>
                <w:szCs w:val="21"/>
              </w:rPr>
            </w:pPr>
            <w:r>
              <w:rPr>
                <w:rFonts w:hint="eastAsia" w:ascii="宋体" w:hAnsi="宋体"/>
                <w:color w:val="auto"/>
                <w:szCs w:val="21"/>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7D17CA3">
            <w:pPr>
              <w:rPr>
                <w:rFonts w:ascii="宋体" w:hAnsi="宋体"/>
                <w:color w:val="auto"/>
                <w:szCs w:val="21"/>
              </w:rPr>
            </w:pPr>
            <w:r>
              <w:rPr>
                <w:rFonts w:hint="eastAsia" w:ascii="宋体" w:hAnsi="宋体"/>
                <w:color w:val="auto"/>
                <w:szCs w:val="21"/>
              </w:rPr>
              <w:t>　</w:t>
            </w:r>
          </w:p>
        </w:tc>
      </w:tr>
      <w:tr w14:paraId="48754283">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52838D5">
            <w:pPr>
              <w:jc w:val="center"/>
              <w:rPr>
                <w:rFonts w:ascii="宋体" w:hAnsi="宋体"/>
                <w:color w:val="auto"/>
                <w:szCs w:val="21"/>
              </w:rPr>
            </w:pPr>
            <w:r>
              <w:rPr>
                <w:rFonts w:ascii="宋体" w:hAnsi="宋体"/>
                <w:color w:val="auto"/>
                <w:szCs w:val="21"/>
              </w:rPr>
              <w:t>7</w:t>
            </w:r>
          </w:p>
        </w:tc>
        <w:tc>
          <w:tcPr>
            <w:tcW w:w="5314" w:type="dxa"/>
            <w:tcBorders>
              <w:top w:val="nil"/>
              <w:left w:val="nil"/>
              <w:bottom w:val="nil"/>
              <w:right w:val="single" w:color="auto" w:sz="4" w:space="0"/>
            </w:tcBorders>
            <w:noWrap w:val="0"/>
            <w:tcMar>
              <w:top w:w="15" w:type="dxa"/>
              <w:left w:w="15" w:type="dxa"/>
              <w:bottom w:w="0" w:type="dxa"/>
              <w:right w:w="15" w:type="dxa"/>
            </w:tcMar>
            <w:vAlign w:val="bottom"/>
          </w:tcPr>
          <w:p w14:paraId="2B1E07BB">
            <w:pPr>
              <w:rPr>
                <w:rFonts w:ascii="宋体" w:hAnsi="宋体"/>
                <w:color w:val="auto"/>
                <w:szCs w:val="21"/>
              </w:rPr>
            </w:pPr>
            <w:r>
              <w:rPr>
                <w:rFonts w:hint="eastAsia" w:ascii="宋体" w:hAnsi="宋体"/>
                <w:color w:val="auto"/>
                <w:szCs w:val="21"/>
              </w:rPr>
              <w:t>其他</w:t>
            </w:r>
          </w:p>
        </w:tc>
        <w:tc>
          <w:tcPr>
            <w:tcW w:w="1380" w:type="dxa"/>
            <w:tcBorders>
              <w:top w:val="nil"/>
              <w:left w:val="nil"/>
              <w:bottom w:val="nil"/>
              <w:right w:val="nil"/>
            </w:tcBorders>
            <w:noWrap w:val="0"/>
            <w:tcMar>
              <w:top w:w="15" w:type="dxa"/>
              <w:left w:w="15" w:type="dxa"/>
              <w:bottom w:w="0" w:type="dxa"/>
              <w:right w:w="15" w:type="dxa"/>
            </w:tcMar>
            <w:vAlign w:val="bottom"/>
          </w:tcPr>
          <w:p w14:paraId="7DF9D6BB">
            <w:pPr>
              <w:rPr>
                <w:rFonts w:ascii="宋体" w:hAnsi="宋体"/>
                <w:color w:val="auto"/>
                <w:szCs w:val="21"/>
              </w:rPr>
            </w:pPr>
          </w:p>
        </w:tc>
        <w:tc>
          <w:tcPr>
            <w:tcW w:w="129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24912D78">
            <w:pPr>
              <w:rPr>
                <w:rFonts w:ascii="宋体" w:hAnsi="宋体"/>
                <w:color w:val="auto"/>
                <w:szCs w:val="21"/>
              </w:rPr>
            </w:pPr>
            <w:r>
              <w:rPr>
                <w:rFonts w:hint="eastAsia" w:ascii="宋体" w:hAnsi="宋体"/>
                <w:color w:val="auto"/>
                <w:szCs w:val="21"/>
              </w:rPr>
              <w:t>　</w:t>
            </w:r>
          </w:p>
        </w:tc>
      </w:tr>
      <w:tr w14:paraId="45AEB013">
        <w:tblPrEx>
          <w:tblCellMar>
            <w:top w:w="0" w:type="dxa"/>
            <w:left w:w="0" w:type="dxa"/>
            <w:bottom w:w="0" w:type="dxa"/>
            <w:right w:w="0" w:type="dxa"/>
          </w:tblCellMar>
        </w:tblPrEx>
        <w:trPr>
          <w:trHeight w:val="439" w:hRule="atLeast"/>
        </w:trPr>
        <w:tc>
          <w:tcPr>
            <w:tcW w:w="1080" w:type="dxa"/>
            <w:tcBorders>
              <w:top w:val="nil"/>
              <w:left w:val="single" w:color="auto" w:sz="4" w:space="0"/>
              <w:bottom w:val="nil"/>
              <w:right w:val="single" w:color="auto" w:sz="4" w:space="0"/>
            </w:tcBorders>
            <w:noWrap w:val="0"/>
            <w:tcMar>
              <w:top w:w="15" w:type="dxa"/>
              <w:left w:w="15" w:type="dxa"/>
              <w:bottom w:w="0" w:type="dxa"/>
              <w:right w:w="15" w:type="dxa"/>
            </w:tcMar>
            <w:vAlign w:val="bottom"/>
          </w:tcPr>
          <w:p w14:paraId="15CFBA2F">
            <w:pPr>
              <w:jc w:val="center"/>
              <w:rPr>
                <w:rFonts w:ascii="宋体" w:hAnsi="宋体"/>
                <w:color w:val="auto"/>
                <w:szCs w:val="21"/>
              </w:rPr>
            </w:pPr>
            <w:r>
              <w:rPr>
                <w:rFonts w:ascii="宋体" w:hAnsi="宋体"/>
                <w:color w:val="auto"/>
                <w:szCs w:val="21"/>
              </w:rPr>
              <w:t>8</w:t>
            </w:r>
          </w:p>
        </w:tc>
        <w:tc>
          <w:tcPr>
            <w:tcW w:w="531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67A94B96">
            <w:pPr>
              <w:rPr>
                <w:rFonts w:ascii="宋体" w:hAnsi="宋体"/>
                <w:color w:val="auto"/>
                <w:szCs w:val="21"/>
              </w:rPr>
            </w:pPr>
            <w:r>
              <w:rPr>
                <w:rFonts w:hint="eastAsia" w:ascii="宋体" w:hAnsi="宋体"/>
                <w:color w:val="auto"/>
                <w:szCs w:val="21"/>
              </w:rPr>
              <w:t>税费</w:t>
            </w:r>
          </w:p>
        </w:tc>
        <w:tc>
          <w:tcPr>
            <w:tcW w:w="1380"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44B6FFE6">
            <w:pPr>
              <w:rPr>
                <w:rFonts w:ascii="宋体" w:hAnsi="宋体"/>
                <w:color w:val="auto"/>
                <w:szCs w:val="21"/>
              </w:rPr>
            </w:pPr>
            <w:r>
              <w:rPr>
                <w:rFonts w:hint="eastAsia" w:ascii="宋体" w:hAnsi="宋体"/>
                <w:color w:val="auto"/>
                <w:szCs w:val="21"/>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146E5F7">
            <w:pPr>
              <w:rPr>
                <w:rFonts w:ascii="宋体" w:hAnsi="宋体"/>
                <w:color w:val="auto"/>
                <w:szCs w:val="21"/>
              </w:rPr>
            </w:pPr>
            <w:r>
              <w:rPr>
                <w:rFonts w:hint="eastAsia" w:ascii="宋体" w:hAnsi="宋体"/>
                <w:color w:val="auto"/>
                <w:szCs w:val="21"/>
              </w:rPr>
              <w:t>　</w:t>
            </w:r>
          </w:p>
        </w:tc>
      </w:tr>
      <w:tr w14:paraId="2362F847">
        <w:tblPrEx>
          <w:tblCellMar>
            <w:top w:w="0" w:type="dxa"/>
            <w:left w:w="0" w:type="dxa"/>
            <w:bottom w:w="0" w:type="dxa"/>
            <w:right w:w="0" w:type="dxa"/>
          </w:tblCellMar>
        </w:tblPrEx>
        <w:trPr>
          <w:trHeight w:val="643" w:hRule="atLeast"/>
        </w:trPr>
        <w:tc>
          <w:tcPr>
            <w:tcW w:w="6394" w:type="dxa"/>
            <w:gridSpan w:val="2"/>
            <w:tcBorders>
              <w:top w:val="single" w:color="auto" w:sz="4" w:space="0"/>
              <w:left w:val="single" w:color="auto" w:sz="4" w:space="0"/>
              <w:bottom w:val="single" w:color="auto" w:sz="4" w:space="0"/>
              <w:right w:val="single" w:color="000000" w:sz="4" w:space="0"/>
            </w:tcBorders>
            <w:noWrap w:val="0"/>
            <w:tcMar>
              <w:top w:w="15" w:type="dxa"/>
              <w:left w:w="15" w:type="dxa"/>
              <w:bottom w:w="0" w:type="dxa"/>
              <w:right w:w="15" w:type="dxa"/>
            </w:tcMar>
            <w:vAlign w:val="bottom"/>
          </w:tcPr>
          <w:p w14:paraId="3D93EABB">
            <w:pPr>
              <w:jc w:val="center"/>
              <w:rPr>
                <w:rFonts w:ascii="宋体" w:hAnsi="宋体"/>
                <w:color w:val="auto"/>
                <w:szCs w:val="21"/>
              </w:rPr>
            </w:pPr>
            <w:r>
              <w:rPr>
                <w:rFonts w:hint="eastAsia" w:ascii="宋体" w:hAnsi="宋体"/>
                <w:color w:val="auto"/>
                <w:szCs w:val="21"/>
              </w:rPr>
              <w:t>总</w:t>
            </w:r>
            <w:r>
              <w:rPr>
                <w:rFonts w:ascii="宋体" w:hAnsi="宋体"/>
                <w:color w:val="auto"/>
                <w:szCs w:val="21"/>
              </w:rPr>
              <w:t xml:space="preserve">               </w:t>
            </w:r>
            <w:r>
              <w:rPr>
                <w:rFonts w:hint="eastAsia" w:ascii="宋体" w:hAnsi="宋体"/>
                <w:color w:val="auto"/>
                <w:szCs w:val="21"/>
              </w:rPr>
              <w:t>计</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1+2+3+4+5+6+7+8</w:t>
            </w:r>
            <w:r>
              <w:rPr>
                <w:rFonts w:hint="eastAsia" w:ascii="宋体" w:hAnsi="宋体"/>
                <w:color w:val="auto"/>
                <w:szCs w:val="21"/>
              </w:rPr>
              <w:t>）</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330CA01">
            <w:pPr>
              <w:rPr>
                <w:rFonts w:ascii="宋体" w:hAnsi="宋体"/>
                <w:color w:val="auto"/>
                <w:szCs w:val="21"/>
              </w:rPr>
            </w:pPr>
            <w:r>
              <w:rPr>
                <w:rFonts w:hint="eastAsia" w:ascii="宋体" w:hAnsi="宋体"/>
                <w:color w:val="auto"/>
                <w:szCs w:val="21"/>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CE7C8E8">
            <w:pPr>
              <w:rPr>
                <w:rFonts w:ascii="宋体" w:hAnsi="宋体"/>
                <w:color w:val="auto"/>
                <w:szCs w:val="21"/>
              </w:rPr>
            </w:pPr>
            <w:r>
              <w:rPr>
                <w:rFonts w:hint="eastAsia" w:ascii="宋体" w:hAnsi="宋体"/>
                <w:color w:val="auto"/>
                <w:szCs w:val="21"/>
              </w:rPr>
              <w:t>　</w:t>
            </w:r>
          </w:p>
        </w:tc>
      </w:tr>
    </w:tbl>
    <w:p w14:paraId="32143608">
      <w:pPr>
        <w:rPr>
          <w:rFonts w:hint="eastAsia" w:ascii="宋体" w:hAnsi="宋体"/>
          <w:color w:val="auto"/>
          <w:szCs w:val="21"/>
        </w:rPr>
      </w:pPr>
    </w:p>
    <w:p w14:paraId="47CEB008">
      <w:pPr>
        <w:rPr>
          <w:rFonts w:hint="eastAsia" w:ascii="宋体" w:hAnsi="宋体"/>
          <w:color w:val="auto"/>
          <w:szCs w:val="21"/>
        </w:rPr>
      </w:pPr>
    </w:p>
    <w:p w14:paraId="6D212655">
      <w:pPr>
        <w:pStyle w:val="27"/>
        <w:rPr>
          <w:rFonts w:hint="eastAsia"/>
          <w:color w:val="auto"/>
        </w:rPr>
      </w:pPr>
    </w:p>
    <w:p w14:paraId="33491527">
      <w:pPr>
        <w:spacing w:line="480" w:lineRule="exact"/>
        <w:ind w:firstLine="3360" w:firstLineChars="1600"/>
        <w:rPr>
          <w:rFonts w:hint="eastAsia" w:ascii="宋体" w:hAnsi="宋体"/>
          <w:bCs/>
          <w:color w:val="auto"/>
          <w:szCs w:val="21"/>
        </w:rPr>
      </w:pPr>
      <w:r>
        <w:rPr>
          <w:rFonts w:hint="eastAsia" w:ascii="宋体" w:hAnsi="宋体" w:cs="微软雅黑"/>
          <w:color w:val="auto"/>
          <w:kern w:val="0"/>
          <w:szCs w:val="21"/>
        </w:rPr>
        <w:t>投 标 人</w:t>
      </w:r>
      <w:r>
        <w:rPr>
          <w:rFonts w:hint="eastAsia" w:ascii="宋体" w:hAnsi="宋体"/>
          <w:bCs/>
          <w:color w:val="auto"/>
          <w:szCs w:val="21"/>
        </w:rPr>
        <w:t>：</w:t>
      </w:r>
      <w:r>
        <w:rPr>
          <w:rFonts w:hint="eastAsia" w:ascii="宋体" w:hAnsi="宋体"/>
          <w:bCs/>
          <w:color w:val="auto"/>
          <w:szCs w:val="21"/>
          <w:u w:val="single"/>
        </w:rPr>
        <w:t xml:space="preserve">                      </w:t>
      </w:r>
      <w:r>
        <w:rPr>
          <w:rFonts w:hint="eastAsia" w:ascii="宋体" w:hAnsi="宋体"/>
          <w:bCs/>
          <w:color w:val="auto"/>
          <w:szCs w:val="21"/>
        </w:rPr>
        <w:t>（盖章）</w:t>
      </w:r>
    </w:p>
    <w:p w14:paraId="579C2C33">
      <w:pPr>
        <w:spacing w:line="480" w:lineRule="exact"/>
        <w:ind w:firstLine="3360" w:firstLineChars="1600"/>
        <w:rPr>
          <w:rFonts w:hint="eastAsia" w:ascii="宋体" w:hAnsi="宋体"/>
          <w:bCs/>
          <w:color w:val="auto"/>
          <w:szCs w:val="21"/>
        </w:rPr>
      </w:pPr>
      <w:r>
        <w:rPr>
          <w:rFonts w:hint="eastAsia" w:ascii="宋体" w:hAnsi="宋体"/>
          <w:bCs/>
          <w:color w:val="auto"/>
          <w:szCs w:val="21"/>
        </w:rPr>
        <w:t>法定代表人或其委托代理人：</w:t>
      </w: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签字或盖章</w:t>
      </w:r>
      <w:r>
        <w:rPr>
          <w:rFonts w:hint="eastAsia" w:ascii="宋体" w:hAnsi="宋体"/>
          <w:bCs/>
          <w:color w:val="auto"/>
          <w:szCs w:val="21"/>
        </w:rPr>
        <w:t>）</w:t>
      </w:r>
    </w:p>
    <w:p w14:paraId="3A23CF60">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rPr>
      </w:pPr>
      <w:r>
        <w:rPr>
          <w:rFonts w:hint="eastAsia" w:ascii="宋体" w:hAnsi="宋体" w:cs="宋体"/>
          <w:bCs/>
          <w:color w:val="auto"/>
          <w:kern w:val="0"/>
          <w:szCs w:val="21"/>
          <w:u w:val="single"/>
        </w:rPr>
        <w:t xml:space="preserve">     </w:t>
      </w:r>
      <w:r>
        <w:rPr>
          <w:rFonts w:hint="eastAsia" w:ascii="宋体" w:hAnsi="宋体" w:cs="宋体"/>
          <w:bCs/>
          <w:color w:val="auto"/>
          <w:spacing w:val="43"/>
          <w:kern w:val="0"/>
          <w:szCs w:val="21"/>
          <w:u w:val="single"/>
        </w:rPr>
        <w:t xml:space="preserve"> </w:t>
      </w:r>
      <w:r>
        <w:rPr>
          <w:rFonts w:hint="eastAsia" w:ascii="宋体" w:hAnsi="宋体" w:cs="宋体"/>
          <w:bCs/>
          <w:color w:val="auto"/>
          <w:kern w:val="0"/>
          <w:szCs w:val="21"/>
        </w:rPr>
        <w:t>年</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月</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日</w:t>
      </w:r>
    </w:p>
    <w:p w14:paraId="431818FF">
      <w:pPr>
        <w:rPr>
          <w:rFonts w:hint="eastAsia" w:ascii="宋体" w:hAnsi="宋体"/>
          <w:color w:val="auto"/>
          <w:szCs w:val="21"/>
        </w:rPr>
      </w:pPr>
      <w:r>
        <w:rPr>
          <w:rFonts w:ascii="宋体" w:hAnsi="宋体"/>
          <w:color w:val="auto"/>
          <w:szCs w:val="21"/>
        </w:rPr>
        <w:br w:type="page"/>
      </w:r>
    </w:p>
    <w:p w14:paraId="511C0252">
      <w:pPr>
        <w:pStyle w:val="4"/>
        <w:numPr>
          <w:ilvl w:val="0"/>
          <w:numId w:val="49"/>
        </w:numPr>
        <w:jc w:val="center"/>
        <w:rPr>
          <w:rFonts w:hint="eastAsia"/>
          <w:color w:val="auto"/>
        </w:rPr>
      </w:pPr>
      <w:r>
        <w:rPr>
          <w:rFonts w:hint="eastAsia"/>
          <w:color w:val="auto"/>
        </w:rPr>
        <w:t xml:space="preserve"> </w:t>
      </w:r>
      <w:bookmarkStart w:id="519" w:name="_Toc463003912"/>
      <w:bookmarkStart w:id="520" w:name="_Toc495304004"/>
      <w:bookmarkStart w:id="521" w:name="_Toc31337"/>
      <w:r>
        <w:rPr>
          <w:rFonts w:hint="eastAsia"/>
          <w:color w:val="auto"/>
        </w:rPr>
        <w:t>备件、专用工具和消耗品价格表</w:t>
      </w:r>
      <w:bookmarkEnd w:id="519"/>
      <w:bookmarkEnd w:id="520"/>
      <w:bookmarkEnd w:id="521"/>
    </w:p>
    <w:tbl>
      <w:tblPr>
        <w:tblStyle w:val="29"/>
        <w:tblW w:w="9791" w:type="dxa"/>
        <w:jc w:val="center"/>
        <w:tblLayout w:type="fixed"/>
        <w:tblCellMar>
          <w:top w:w="0" w:type="dxa"/>
          <w:left w:w="0" w:type="dxa"/>
          <w:bottom w:w="0" w:type="dxa"/>
          <w:right w:w="0" w:type="dxa"/>
        </w:tblCellMar>
      </w:tblPr>
      <w:tblGrid>
        <w:gridCol w:w="1349"/>
        <w:gridCol w:w="1707"/>
        <w:gridCol w:w="2222"/>
        <w:gridCol w:w="1023"/>
        <w:gridCol w:w="698"/>
        <w:gridCol w:w="698"/>
        <w:gridCol w:w="698"/>
        <w:gridCol w:w="698"/>
        <w:gridCol w:w="698"/>
      </w:tblGrid>
      <w:tr w14:paraId="42C2F5F4">
        <w:tblPrEx>
          <w:tblCellMar>
            <w:top w:w="0" w:type="dxa"/>
            <w:left w:w="0" w:type="dxa"/>
            <w:bottom w:w="0" w:type="dxa"/>
            <w:right w:w="0" w:type="dxa"/>
          </w:tblCellMar>
        </w:tblPrEx>
        <w:trPr>
          <w:trHeight w:val="90" w:hRule="atLeast"/>
          <w:jc w:val="center"/>
        </w:trPr>
        <w:tc>
          <w:tcPr>
            <w:tcW w:w="1349"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7BF905EE">
            <w:pPr>
              <w:jc w:val="center"/>
              <w:rPr>
                <w:rFonts w:ascii="宋体" w:hAnsi="宋体"/>
                <w:color w:val="auto"/>
                <w:szCs w:val="21"/>
              </w:rPr>
            </w:pPr>
            <w:r>
              <w:rPr>
                <w:rFonts w:hint="eastAsia" w:ascii="宋体" w:hAnsi="宋体"/>
                <w:color w:val="auto"/>
                <w:szCs w:val="21"/>
              </w:rPr>
              <w:t>序号</w:t>
            </w:r>
          </w:p>
        </w:tc>
        <w:tc>
          <w:tcPr>
            <w:tcW w:w="1707"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1E9D818B">
            <w:pPr>
              <w:jc w:val="center"/>
              <w:rPr>
                <w:rFonts w:ascii="宋体" w:hAnsi="宋体"/>
                <w:color w:val="auto"/>
                <w:szCs w:val="21"/>
              </w:rPr>
            </w:pPr>
            <w:r>
              <w:rPr>
                <w:rFonts w:hint="eastAsia" w:ascii="宋体" w:hAnsi="宋体"/>
                <w:color w:val="auto"/>
                <w:szCs w:val="21"/>
              </w:rPr>
              <w:t>名称</w:t>
            </w:r>
          </w:p>
        </w:tc>
        <w:tc>
          <w:tcPr>
            <w:tcW w:w="2222"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35D90CA7">
            <w:pPr>
              <w:jc w:val="center"/>
              <w:rPr>
                <w:rFonts w:ascii="宋体" w:hAnsi="宋体"/>
                <w:color w:val="auto"/>
                <w:szCs w:val="21"/>
              </w:rPr>
            </w:pPr>
            <w:r>
              <w:rPr>
                <w:rFonts w:hint="eastAsia" w:ascii="宋体" w:hAnsi="宋体"/>
                <w:color w:val="auto"/>
                <w:szCs w:val="21"/>
              </w:rPr>
              <w:t>规格型号</w:t>
            </w:r>
          </w:p>
        </w:tc>
        <w:tc>
          <w:tcPr>
            <w:tcW w:w="1023"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5B76C2B7">
            <w:pPr>
              <w:jc w:val="center"/>
              <w:rPr>
                <w:rFonts w:ascii="宋体" w:hAnsi="宋体"/>
                <w:color w:val="auto"/>
                <w:szCs w:val="21"/>
              </w:rPr>
            </w:pPr>
            <w:r>
              <w:rPr>
                <w:rFonts w:hint="eastAsia" w:ascii="宋体" w:hAnsi="宋体"/>
                <w:color w:val="auto"/>
                <w:szCs w:val="21"/>
              </w:rPr>
              <w:t>制造商</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388C838D">
            <w:pPr>
              <w:jc w:val="center"/>
              <w:rPr>
                <w:rFonts w:ascii="宋体" w:hAnsi="宋体"/>
                <w:color w:val="auto"/>
                <w:szCs w:val="21"/>
              </w:rPr>
            </w:pPr>
            <w:r>
              <w:rPr>
                <w:rFonts w:hint="eastAsia" w:ascii="宋体" w:hAnsi="宋体"/>
                <w:color w:val="auto"/>
                <w:szCs w:val="21"/>
              </w:rPr>
              <w:t>单位</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297AC1CE">
            <w:pPr>
              <w:jc w:val="center"/>
              <w:rPr>
                <w:rFonts w:ascii="宋体" w:hAnsi="宋体"/>
                <w:color w:val="auto"/>
                <w:szCs w:val="21"/>
              </w:rPr>
            </w:pPr>
            <w:r>
              <w:rPr>
                <w:rFonts w:hint="eastAsia" w:ascii="宋体" w:hAnsi="宋体"/>
                <w:color w:val="auto"/>
                <w:szCs w:val="21"/>
              </w:rPr>
              <w:t>数量</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4DDCEAFD">
            <w:pPr>
              <w:jc w:val="center"/>
              <w:rPr>
                <w:rFonts w:ascii="宋体" w:hAnsi="宋体"/>
                <w:color w:val="auto"/>
                <w:szCs w:val="21"/>
              </w:rPr>
            </w:pPr>
            <w:r>
              <w:rPr>
                <w:rFonts w:hint="eastAsia" w:ascii="宋体" w:hAnsi="宋体"/>
                <w:color w:val="auto"/>
                <w:szCs w:val="21"/>
              </w:rPr>
              <w:t>单价</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7FB2FFAA">
            <w:pPr>
              <w:jc w:val="center"/>
              <w:rPr>
                <w:rFonts w:ascii="宋体" w:hAnsi="宋体"/>
                <w:color w:val="auto"/>
                <w:szCs w:val="21"/>
              </w:rPr>
            </w:pPr>
            <w:r>
              <w:rPr>
                <w:rFonts w:hint="eastAsia" w:ascii="宋体" w:hAnsi="宋体"/>
                <w:color w:val="auto"/>
                <w:szCs w:val="21"/>
              </w:rPr>
              <w:t>合计</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31961E92">
            <w:pPr>
              <w:jc w:val="center"/>
              <w:rPr>
                <w:rFonts w:ascii="宋体" w:hAnsi="宋体"/>
                <w:color w:val="auto"/>
                <w:szCs w:val="21"/>
              </w:rPr>
            </w:pPr>
            <w:r>
              <w:rPr>
                <w:rFonts w:hint="eastAsia" w:ascii="宋体" w:hAnsi="宋体"/>
                <w:color w:val="auto"/>
                <w:szCs w:val="21"/>
              </w:rPr>
              <w:t>备注</w:t>
            </w:r>
          </w:p>
        </w:tc>
      </w:tr>
      <w:tr w14:paraId="1D565060">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AEC7137">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409B1D3">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A743CF4">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1DD2124">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FECE66C">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9CC8445">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9BB1AB3">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2AD8D6A">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FCB0425">
            <w:pPr>
              <w:rPr>
                <w:rFonts w:ascii="宋体" w:hAnsi="宋体"/>
                <w:color w:val="auto"/>
                <w:szCs w:val="21"/>
              </w:rPr>
            </w:pPr>
            <w:r>
              <w:rPr>
                <w:rFonts w:hint="eastAsia" w:ascii="宋体" w:hAnsi="宋体"/>
                <w:color w:val="auto"/>
                <w:szCs w:val="21"/>
              </w:rPr>
              <w:t>　</w:t>
            </w:r>
          </w:p>
        </w:tc>
      </w:tr>
      <w:tr w14:paraId="737EBCB8">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1C641826">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AA76A47">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FF64E90">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2F05F69">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EF98C68">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C4118FA">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25CD0C0">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90E0676">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8E4D8BA">
            <w:pPr>
              <w:rPr>
                <w:rFonts w:ascii="宋体" w:hAnsi="宋体"/>
                <w:color w:val="auto"/>
                <w:szCs w:val="21"/>
              </w:rPr>
            </w:pPr>
            <w:r>
              <w:rPr>
                <w:rFonts w:hint="eastAsia" w:ascii="宋体" w:hAnsi="宋体"/>
                <w:color w:val="auto"/>
                <w:szCs w:val="21"/>
              </w:rPr>
              <w:t>　</w:t>
            </w:r>
          </w:p>
        </w:tc>
      </w:tr>
      <w:tr w14:paraId="7FAD9119">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32C102A8">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FC8EFC9">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24C40D1">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AAEA314">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B651B4C">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EE11E33">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90886BC">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4EDA0A2">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6EBDBF2">
            <w:pPr>
              <w:rPr>
                <w:rFonts w:ascii="宋体" w:hAnsi="宋体"/>
                <w:color w:val="auto"/>
                <w:szCs w:val="21"/>
              </w:rPr>
            </w:pPr>
            <w:r>
              <w:rPr>
                <w:rFonts w:hint="eastAsia" w:ascii="宋体" w:hAnsi="宋体"/>
                <w:color w:val="auto"/>
                <w:szCs w:val="21"/>
              </w:rPr>
              <w:t>　</w:t>
            </w:r>
          </w:p>
        </w:tc>
      </w:tr>
      <w:tr w14:paraId="5B15CA89">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18DA2BD9">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D2FF0AA">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BC52519">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3F15D81">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F573EB4">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2E22F81">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2856A24">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7F49F10">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C1059B6">
            <w:pPr>
              <w:rPr>
                <w:rFonts w:ascii="宋体" w:hAnsi="宋体"/>
                <w:color w:val="auto"/>
                <w:szCs w:val="21"/>
              </w:rPr>
            </w:pPr>
            <w:r>
              <w:rPr>
                <w:rFonts w:hint="eastAsia" w:ascii="宋体" w:hAnsi="宋体"/>
                <w:color w:val="auto"/>
                <w:szCs w:val="21"/>
              </w:rPr>
              <w:t>　</w:t>
            </w:r>
          </w:p>
        </w:tc>
      </w:tr>
      <w:tr w14:paraId="61728E68">
        <w:tblPrEx>
          <w:tblCellMar>
            <w:top w:w="0" w:type="dxa"/>
            <w:left w:w="0" w:type="dxa"/>
            <w:bottom w:w="0" w:type="dxa"/>
            <w:right w:w="0" w:type="dxa"/>
          </w:tblCellMar>
        </w:tblPrEx>
        <w:trPr>
          <w:trHeight w:val="90"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6ACE3EA9">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BC6AF6C">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E2FBC4D">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E38F93D">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87E8CCF">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B69794B">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E86CE79">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C5442CD">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0CC6A53">
            <w:pPr>
              <w:rPr>
                <w:rFonts w:ascii="宋体" w:hAnsi="宋体"/>
                <w:color w:val="auto"/>
                <w:szCs w:val="21"/>
              </w:rPr>
            </w:pPr>
            <w:r>
              <w:rPr>
                <w:rFonts w:hint="eastAsia" w:ascii="宋体" w:hAnsi="宋体"/>
                <w:color w:val="auto"/>
                <w:szCs w:val="21"/>
              </w:rPr>
              <w:t>　</w:t>
            </w:r>
          </w:p>
        </w:tc>
      </w:tr>
      <w:tr w14:paraId="41711AC9">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33156704">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CAA51BE">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A1D5C50">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9D20438">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37AB3F7">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70C9D66">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2D6E361">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A8CDC23">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408B78A">
            <w:pPr>
              <w:rPr>
                <w:rFonts w:ascii="宋体" w:hAnsi="宋体"/>
                <w:color w:val="auto"/>
                <w:szCs w:val="21"/>
              </w:rPr>
            </w:pPr>
            <w:r>
              <w:rPr>
                <w:rFonts w:hint="eastAsia" w:ascii="宋体" w:hAnsi="宋体"/>
                <w:color w:val="auto"/>
                <w:szCs w:val="21"/>
              </w:rPr>
              <w:t>　</w:t>
            </w:r>
          </w:p>
        </w:tc>
      </w:tr>
      <w:tr w14:paraId="20C50F5A">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3F7DB08E">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458CA08">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F215054">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ACA1837">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8230B7A">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257F323">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5449DD7">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61B56DE">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DFDC32A">
            <w:pPr>
              <w:rPr>
                <w:rFonts w:ascii="宋体" w:hAnsi="宋体"/>
                <w:color w:val="auto"/>
                <w:szCs w:val="21"/>
              </w:rPr>
            </w:pPr>
            <w:r>
              <w:rPr>
                <w:rFonts w:hint="eastAsia" w:ascii="宋体" w:hAnsi="宋体"/>
                <w:color w:val="auto"/>
                <w:szCs w:val="21"/>
              </w:rPr>
              <w:t>　</w:t>
            </w:r>
          </w:p>
        </w:tc>
      </w:tr>
      <w:tr w14:paraId="7326017F">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62FDCAAB">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46A7E83">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B3963C7">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0CF9078">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D8C1585">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2F31E0A">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13BD2FD">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1A57E33">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DF1E6C7">
            <w:pPr>
              <w:rPr>
                <w:rFonts w:ascii="宋体" w:hAnsi="宋体"/>
                <w:color w:val="auto"/>
                <w:szCs w:val="21"/>
              </w:rPr>
            </w:pPr>
            <w:r>
              <w:rPr>
                <w:rFonts w:hint="eastAsia" w:ascii="宋体" w:hAnsi="宋体"/>
                <w:color w:val="auto"/>
                <w:szCs w:val="21"/>
              </w:rPr>
              <w:t>　</w:t>
            </w:r>
          </w:p>
        </w:tc>
      </w:tr>
      <w:tr w14:paraId="14E0BE12">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2A73D1A9">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850CA78">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8C5C74C">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4BE1A42">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04FEB7A">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D624CC6">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9FABD2C">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66D9D42">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85C2144">
            <w:pPr>
              <w:rPr>
                <w:rFonts w:ascii="宋体" w:hAnsi="宋体"/>
                <w:color w:val="auto"/>
                <w:szCs w:val="21"/>
              </w:rPr>
            </w:pPr>
            <w:r>
              <w:rPr>
                <w:rFonts w:hint="eastAsia" w:ascii="宋体" w:hAnsi="宋体"/>
                <w:color w:val="auto"/>
                <w:szCs w:val="21"/>
              </w:rPr>
              <w:t>　</w:t>
            </w:r>
          </w:p>
        </w:tc>
      </w:tr>
      <w:tr w14:paraId="18F0D70D">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5CB1A521">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B18182B">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2C6DB3E">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4335579">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2E90633">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AD06487">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FC59938">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C124011">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635AF4D">
            <w:pPr>
              <w:rPr>
                <w:rFonts w:ascii="宋体" w:hAnsi="宋体"/>
                <w:color w:val="auto"/>
                <w:szCs w:val="21"/>
              </w:rPr>
            </w:pPr>
            <w:r>
              <w:rPr>
                <w:rFonts w:hint="eastAsia" w:ascii="宋体" w:hAnsi="宋体"/>
                <w:color w:val="auto"/>
                <w:szCs w:val="21"/>
              </w:rPr>
              <w:t>　</w:t>
            </w:r>
          </w:p>
        </w:tc>
      </w:tr>
      <w:tr w14:paraId="4888B676">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4A42CC98">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DD813BB">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72EBBBD">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FC7FC1E">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2CC5E67">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347D6ED">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101F998">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9C9A732">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82F83CB">
            <w:pPr>
              <w:rPr>
                <w:rFonts w:ascii="宋体" w:hAnsi="宋体"/>
                <w:color w:val="auto"/>
                <w:szCs w:val="21"/>
              </w:rPr>
            </w:pPr>
            <w:r>
              <w:rPr>
                <w:rFonts w:hint="eastAsia" w:ascii="宋体" w:hAnsi="宋体"/>
                <w:color w:val="auto"/>
                <w:szCs w:val="21"/>
              </w:rPr>
              <w:t>　</w:t>
            </w:r>
          </w:p>
        </w:tc>
      </w:tr>
      <w:tr w14:paraId="3D05814B">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DAF4329">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0AAA9A6">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EC2491E">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856AE27">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6941BCB">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520B843">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A44EAE3">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B601B69">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156CD08">
            <w:pPr>
              <w:rPr>
                <w:rFonts w:ascii="宋体" w:hAnsi="宋体"/>
                <w:color w:val="auto"/>
                <w:szCs w:val="21"/>
              </w:rPr>
            </w:pPr>
            <w:r>
              <w:rPr>
                <w:rFonts w:hint="eastAsia" w:ascii="宋体" w:hAnsi="宋体"/>
                <w:color w:val="auto"/>
                <w:szCs w:val="21"/>
              </w:rPr>
              <w:t>　</w:t>
            </w:r>
          </w:p>
        </w:tc>
      </w:tr>
      <w:tr w14:paraId="4A03276E">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6312D02D">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763F020">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C61DED0">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62FC056">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DC32440">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009A870">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68CAA8E">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53E88EC">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C859FB4">
            <w:pPr>
              <w:rPr>
                <w:rFonts w:ascii="宋体" w:hAnsi="宋体"/>
                <w:color w:val="auto"/>
                <w:szCs w:val="21"/>
              </w:rPr>
            </w:pPr>
            <w:r>
              <w:rPr>
                <w:rFonts w:hint="eastAsia" w:ascii="宋体" w:hAnsi="宋体"/>
                <w:color w:val="auto"/>
                <w:szCs w:val="21"/>
              </w:rPr>
              <w:t>　</w:t>
            </w:r>
          </w:p>
        </w:tc>
      </w:tr>
      <w:tr w14:paraId="317BD461">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090864B">
            <w:pPr>
              <w:rPr>
                <w:rFonts w:ascii="宋体" w:hAnsi="宋体"/>
                <w:color w:val="auto"/>
                <w:szCs w:val="21"/>
              </w:rPr>
            </w:pPr>
            <w:r>
              <w:rPr>
                <w:rFonts w:hint="eastAsia" w:ascii="宋体" w:hAnsi="宋体"/>
                <w:color w:val="auto"/>
                <w:szCs w:val="21"/>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8E4005E">
            <w:pPr>
              <w:rPr>
                <w:rFonts w:ascii="宋体" w:hAnsi="宋体"/>
                <w:color w:val="auto"/>
                <w:szCs w:val="21"/>
              </w:rPr>
            </w:pPr>
            <w:r>
              <w:rPr>
                <w:rFonts w:hint="eastAsia" w:ascii="宋体" w:hAnsi="宋体"/>
                <w:color w:val="auto"/>
                <w:szCs w:val="21"/>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5EB5973">
            <w:pPr>
              <w:rPr>
                <w:rFonts w:ascii="宋体" w:hAnsi="宋体"/>
                <w:color w:val="auto"/>
                <w:szCs w:val="21"/>
              </w:rPr>
            </w:pPr>
            <w:r>
              <w:rPr>
                <w:rFonts w:hint="eastAsia" w:ascii="宋体" w:hAnsi="宋体"/>
                <w:color w:val="auto"/>
                <w:szCs w:val="21"/>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5B47F5B">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4B57E2F">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2AE5BDC">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4997CD3">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9963205">
            <w:pPr>
              <w:rPr>
                <w:rFonts w:ascii="宋体" w:hAnsi="宋体"/>
                <w:color w:val="auto"/>
                <w:szCs w:val="21"/>
              </w:rPr>
            </w:pPr>
            <w:r>
              <w:rPr>
                <w:rFonts w:hint="eastAsia" w:ascii="宋体" w:hAnsi="宋体"/>
                <w:color w:val="auto"/>
                <w:szCs w:val="21"/>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5B4B805">
            <w:pPr>
              <w:rPr>
                <w:rFonts w:ascii="宋体" w:hAnsi="宋体"/>
                <w:color w:val="auto"/>
                <w:szCs w:val="21"/>
              </w:rPr>
            </w:pPr>
            <w:r>
              <w:rPr>
                <w:rFonts w:hint="eastAsia" w:ascii="宋体" w:hAnsi="宋体"/>
                <w:color w:val="auto"/>
                <w:szCs w:val="21"/>
              </w:rPr>
              <w:t>　</w:t>
            </w:r>
          </w:p>
        </w:tc>
      </w:tr>
      <w:tr w14:paraId="7419C5C1">
        <w:tblPrEx>
          <w:tblCellMar>
            <w:top w:w="0" w:type="dxa"/>
            <w:left w:w="0" w:type="dxa"/>
            <w:bottom w:w="0" w:type="dxa"/>
            <w:right w:w="0" w:type="dxa"/>
          </w:tblCellMar>
        </w:tblPrEx>
        <w:trPr>
          <w:trHeight w:val="540" w:hRule="atLeast"/>
          <w:jc w:val="center"/>
        </w:trPr>
        <w:tc>
          <w:tcPr>
            <w:tcW w:w="1349" w:type="dxa"/>
            <w:tcBorders>
              <w:top w:val="nil"/>
              <w:left w:val="nil"/>
              <w:bottom w:val="nil"/>
              <w:right w:val="nil"/>
            </w:tcBorders>
            <w:noWrap w:val="0"/>
            <w:tcMar>
              <w:top w:w="15" w:type="dxa"/>
              <w:left w:w="15" w:type="dxa"/>
              <w:bottom w:w="0" w:type="dxa"/>
              <w:right w:w="15" w:type="dxa"/>
            </w:tcMar>
            <w:vAlign w:val="bottom"/>
          </w:tcPr>
          <w:p w14:paraId="0F0D5E4D">
            <w:pPr>
              <w:rPr>
                <w:rFonts w:ascii="宋体" w:hAnsi="宋体"/>
                <w:color w:val="auto"/>
                <w:szCs w:val="21"/>
              </w:rPr>
            </w:pPr>
            <w:r>
              <w:rPr>
                <w:rFonts w:hint="eastAsia" w:ascii="宋体" w:hAnsi="宋体"/>
                <w:color w:val="auto"/>
                <w:szCs w:val="21"/>
              </w:rPr>
              <w:t>说明：</w:t>
            </w:r>
          </w:p>
        </w:tc>
        <w:tc>
          <w:tcPr>
            <w:tcW w:w="6348" w:type="dxa"/>
            <w:gridSpan w:val="5"/>
            <w:tcBorders>
              <w:top w:val="nil"/>
              <w:left w:val="nil"/>
              <w:bottom w:val="nil"/>
              <w:right w:val="nil"/>
            </w:tcBorders>
            <w:noWrap w:val="0"/>
            <w:tcMar>
              <w:top w:w="15" w:type="dxa"/>
              <w:left w:w="15" w:type="dxa"/>
              <w:bottom w:w="0" w:type="dxa"/>
              <w:right w:w="15" w:type="dxa"/>
            </w:tcMar>
            <w:vAlign w:val="bottom"/>
          </w:tcPr>
          <w:p w14:paraId="4B7D495B">
            <w:pPr>
              <w:rPr>
                <w:rFonts w:ascii="宋体" w:hAnsi="宋体"/>
                <w:color w:val="auto"/>
                <w:szCs w:val="21"/>
              </w:rPr>
            </w:pPr>
            <w:r>
              <w:rPr>
                <w:rFonts w:hint="eastAsia" w:ascii="宋体" w:hAnsi="宋体"/>
                <w:color w:val="auto"/>
                <w:szCs w:val="21"/>
              </w:rPr>
              <w:t>1. 此表名称栏填写备件、专用工具和消耗品名称。</w:t>
            </w:r>
          </w:p>
        </w:tc>
        <w:tc>
          <w:tcPr>
            <w:tcW w:w="698" w:type="dxa"/>
            <w:tcBorders>
              <w:top w:val="nil"/>
              <w:left w:val="nil"/>
              <w:bottom w:val="nil"/>
              <w:right w:val="nil"/>
            </w:tcBorders>
            <w:noWrap w:val="0"/>
            <w:tcMar>
              <w:top w:w="15" w:type="dxa"/>
              <w:left w:w="15" w:type="dxa"/>
              <w:bottom w:w="0" w:type="dxa"/>
              <w:right w:w="15" w:type="dxa"/>
            </w:tcMar>
            <w:vAlign w:val="bottom"/>
          </w:tcPr>
          <w:p w14:paraId="199F8868">
            <w:pPr>
              <w:rPr>
                <w:rFonts w:ascii="宋体" w:hAnsi="宋体"/>
                <w:color w:val="auto"/>
                <w:szCs w:val="21"/>
              </w:rPr>
            </w:pPr>
          </w:p>
        </w:tc>
        <w:tc>
          <w:tcPr>
            <w:tcW w:w="698" w:type="dxa"/>
            <w:tcBorders>
              <w:top w:val="nil"/>
              <w:left w:val="nil"/>
              <w:bottom w:val="nil"/>
              <w:right w:val="nil"/>
            </w:tcBorders>
            <w:noWrap w:val="0"/>
            <w:tcMar>
              <w:top w:w="15" w:type="dxa"/>
              <w:left w:w="15" w:type="dxa"/>
              <w:bottom w:w="0" w:type="dxa"/>
              <w:right w:w="15" w:type="dxa"/>
            </w:tcMar>
            <w:vAlign w:val="bottom"/>
          </w:tcPr>
          <w:p w14:paraId="1135D051">
            <w:pPr>
              <w:rPr>
                <w:rFonts w:ascii="宋体" w:hAnsi="宋体"/>
                <w:color w:val="auto"/>
                <w:szCs w:val="21"/>
              </w:rPr>
            </w:pPr>
          </w:p>
        </w:tc>
        <w:tc>
          <w:tcPr>
            <w:tcW w:w="698" w:type="dxa"/>
            <w:tcBorders>
              <w:top w:val="nil"/>
              <w:left w:val="nil"/>
              <w:bottom w:val="nil"/>
              <w:right w:val="nil"/>
            </w:tcBorders>
            <w:noWrap w:val="0"/>
            <w:tcMar>
              <w:top w:w="15" w:type="dxa"/>
              <w:left w:w="15" w:type="dxa"/>
              <w:bottom w:w="0" w:type="dxa"/>
              <w:right w:w="15" w:type="dxa"/>
            </w:tcMar>
            <w:vAlign w:val="bottom"/>
          </w:tcPr>
          <w:p w14:paraId="6995362E">
            <w:pPr>
              <w:rPr>
                <w:rFonts w:ascii="宋体" w:hAnsi="宋体"/>
                <w:color w:val="auto"/>
                <w:szCs w:val="21"/>
              </w:rPr>
            </w:pPr>
          </w:p>
        </w:tc>
      </w:tr>
      <w:tr w14:paraId="6080935A">
        <w:tblPrEx>
          <w:tblCellMar>
            <w:top w:w="0" w:type="dxa"/>
            <w:left w:w="0" w:type="dxa"/>
            <w:bottom w:w="0" w:type="dxa"/>
            <w:right w:w="0" w:type="dxa"/>
          </w:tblCellMar>
        </w:tblPrEx>
        <w:trPr>
          <w:trHeight w:val="540" w:hRule="atLeast"/>
          <w:jc w:val="center"/>
        </w:trPr>
        <w:tc>
          <w:tcPr>
            <w:tcW w:w="1349" w:type="dxa"/>
            <w:tcBorders>
              <w:top w:val="nil"/>
              <w:left w:val="nil"/>
              <w:bottom w:val="nil"/>
              <w:right w:val="nil"/>
            </w:tcBorders>
            <w:noWrap w:val="0"/>
            <w:tcMar>
              <w:top w:w="15" w:type="dxa"/>
              <w:left w:w="15" w:type="dxa"/>
              <w:bottom w:w="0" w:type="dxa"/>
              <w:right w:w="15" w:type="dxa"/>
            </w:tcMar>
            <w:vAlign w:val="bottom"/>
          </w:tcPr>
          <w:p w14:paraId="54146D72">
            <w:pPr>
              <w:rPr>
                <w:rFonts w:ascii="宋体" w:hAnsi="宋体"/>
                <w:color w:val="auto"/>
                <w:szCs w:val="21"/>
              </w:rPr>
            </w:pPr>
          </w:p>
        </w:tc>
        <w:tc>
          <w:tcPr>
            <w:tcW w:w="6348" w:type="dxa"/>
            <w:gridSpan w:val="5"/>
            <w:tcBorders>
              <w:top w:val="nil"/>
              <w:left w:val="nil"/>
              <w:bottom w:val="nil"/>
              <w:right w:val="nil"/>
            </w:tcBorders>
            <w:noWrap w:val="0"/>
            <w:tcMar>
              <w:top w:w="15" w:type="dxa"/>
              <w:left w:w="15" w:type="dxa"/>
              <w:bottom w:w="0" w:type="dxa"/>
              <w:right w:w="15" w:type="dxa"/>
            </w:tcMar>
            <w:vAlign w:val="bottom"/>
          </w:tcPr>
          <w:p w14:paraId="5B733D99">
            <w:pPr>
              <w:rPr>
                <w:rFonts w:ascii="宋体" w:hAnsi="宋体"/>
                <w:color w:val="auto"/>
                <w:szCs w:val="21"/>
              </w:rPr>
            </w:pPr>
            <w:r>
              <w:rPr>
                <w:rFonts w:hint="eastAsia" w:ascii="宋体" w:hAnsi="宋体"/>
                <w:color w:val="auto"/>
                <w:szCs w:val="21"/>
              </w:rPr>
              <w:t>2. 备品、专用工具和消耗品必须分类、分项填写。</w:t>
            </w:r>
          </w:p>
        </w:tc>
        <w:tc>
          <w:tcPr>
            <w:tcW w:w="698" w:type="dxa"/>
            <w:tcBorders>
              <w:top w:val="nil"/>
              <w:left w:val="nil"/>
              <w:bottom w:val="nil"/>
              <w:right w:val="nil"/>
            </w:tcBorders>
            <w:noWrap w:val="0"/>
            <w:tcMar>
              <w:top w:w="15" w:type="dxa"/>
              <w:left w:w="15" w:type="dxa"/>
              <w:bottom w:w="0" w:type="dxa"/>
              <w:right w:w="15" w:type="dxa"/>
            </w:tcMar>
            <w:vAlign w:val="bottom"/>
          </w:tcPr>
          <w:p w14:paraId="4A0814CB">
            <w:pPr>
              <w:rPr>
                <w:rFonts w:ascii="宋体" w:hAnsi="宋体"/>
                <w:color w:val="auto"/>
                <w:szCs w:val="21"/>
              </w:rPr>
            </w:pPr>
          </w:p>
        </w:tc>
        <w:tc>
          <w:tcPr>
            <w:tcW w:w="698" w:type="dxa"/>
            <w:tcBorders>
              <w:top w:val="nil"/>
              <w:left w:val="nil"/>
              <w:bottom w:val="nil"/>
              <w:right w:val="nil"/>
            </w:tcBorders>
            <w:noWrap w:val="0"/>
            <w:tcMar>
              <w:top w:w="15" w:type="dxa"/>
              <w:left w:w="15" w:type="dxa"/>
              <w:bottom w:w="0" w:type="dxa"/>
              <w:right w:w="15" w:type="dxa"/>
            </w:tcMar>
            <w:vAlign w:val="bottom"/>
          </w:tcPr>
          <w:p w14:paraId="6044F8B6">
            <w:pPr>
              <w:rPr>
                <w:rFonts w:ascii="宋体" w:hAnsi="宋体"/>
                <w:color w:val="auto"/>
                <w:szCs w:val="21"/>
              </w:rPr>
            </w:pPr>
          </w:p>
        </w:tc>
        <w:tc>
          <w:tcPr>
            <w:tcW w:w="698" w:type="dxa"/>
            <w:tcBorders>
              <w:top w:val="nil"/>
              <w:left w:val="nil"/>
              <w:bottom w:val="nil"/>
              <w:right w:val="nil"/>
            </w:tcBorders>
            <w:noWrap w:val="0"/>
            <w:tcMar>
              <w:top w:w="15" w:type="dxa"/>
              <w:left w:w="15" w:type="dxa"/>
              <w:bottom w:w="0" w:type="dxa"/>
              <w:right w:w="15" w:type="dxa"/>
            </w:tcMar>
            <w:vAlign w:val="bottom"/>
          </w:tcPr>
          <w:p w14:paraId="7DE8B47C">
            <w:pPr>
              <w:rPr>
                <w:rFonts w:ascii="宋体" w:hAnsi="宋体"/>
                <w:color w:val="auto"/>
                <w:szCs w:val="21"/>
              </w:rPr>
            </w:pPr>
          </w:p>
        </w:tc>
      </w:tr>
    </w:tbl>
    <w:p w14:paraId="74CB534C">
      <w:pPr>
        <w:rPr>
          <w:rFonts w:ascii="宋体" w:hAnsi="宋体"/>
          <w:color w:val="auto"/>
          <w:szCs w:val="21"/>
        </w:rPr>
      </w:pPr>
    </w:p>
    <w:p w14:paraId="7797E995">
      <w:pPr>
        <w:rPr>
          <w:rFonts w:hint="eastAsia" w:ascii="宋体" w:hAnsi="宋体"/>
          <w:color w:val="auto"/>
          <w:szCs w:val="21"/>
        </w:rPr>
      </w:pPr>
    </w:p>
    <w:p w14:paraId="28AF8715">
      <w:pPr>
        <w:spacing w:line="480" w:lineRule="exact"/>
        <w:ind w:firstLine="3360" w:firstLineChars="1600"/>
        <w:rPr>
          <w:rFonts w:hint="eastAsia" w:ascii="宋体" w:hAnsi="宋体"/>
          <w:bCs/>
          <w:color w:val="auto"/>
          <w:szCs w:val="21"/>
        </w:rPr>
      </w:pPr>
      <w:r>
        <w:rPr>
          <w:rFonts w:hint="eastAsia" w:ascii="宋体" w:hAnsi="宋体" w:cs="微软雅黑"/>
          <w:color w:val="auto"/>
          <w:kern w:val="0"/>
          <w:szCs w:val="21"/>
        </w:rPr>
        <w:t>投 标 人</w:t>
      </w:r>
      <w:r>
        <w:rPr>
          <w:rFonts w:hint="eastAsia" w:ascii="宋体" w:hAnsi="宋体"/>
          <w:bCs/>
          <w:color w:val="auto"/>
          <w:szCs w:val="21"/>
        </w:rPr>
        <w:t>：</w:t>
      </w:r>
      <w:r>
        <w:rPr>
          <w:rFonts w:hint="eastAsia" w:ascii="宋体" w:hAnsi="宋体"/>
          <w:bCs/>
          <w:color w:val="auto"/>
          <w:szCs w:val="21"/>
          <w:u w:val="single"/>
        </w:rPr>
        <w:t xml:space="preserve">                      </w:t>
      </w:r>
      <w:r>
        <w:rPr>
          <w:rFonts w:hint="eastAsia" w:ascii="宋体" w:hAnsi="宋体"/>
          <w:bCs/>
          <w:color w:val="auto"/>
          <w:szCs w:val="21"/>
        </w:rPr>
        <w:t>（盖章）</w:t>
      </w:r>
    </w:p>
    <w:p w14:paraId="579E5DFF">
      <w:pPr>
        <w:spacing w:line="480" w:lineRule="exact"/>
        <w:ind w:firstLine="3360" w:firstLineChars="1600"/>
        <w:rPr>
          <w:rFonts w:hint="eastAsia" w:ascii="宋体" w:hAnsi="宋体"/>
          <w:bCs/>
          <w:color w:val="auto"/>
          <w:szCs w:val="21"/>
        </w:rPr>
      </w:pPr>
      <w:r>
        <w:rPr>
          <w:rFonts w:hint="eastAsia" w:ascii="宋体" w:hAnsi="宋体"/>
          <w:bCs/>
          <w:color w:val="auto"/>
          <w:szCs w:val="21"/>
        </w:rPr>
        <w:t>法定代表人或其委托代理人：</w:t>
      </w: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签字或盖章</w:t>
      </w:r>
      <w:r>
        <w:rPr>
          <w:rFonts w:hint="eastAsia" w:ascii="宋体" w:hAnsi="宋体"/>
          <w:bCs/>
          <w:color w:val="auto"/>
          <w:szCs w:val="21"/>
        </w:rPr>
        <w:t>）</w:t>
      </w:r>
    </w:p>
    <w:p w14:paraId="057046D5">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rPr>
      </w:pPr>
      <w:r>
        <w:rPr>
          <w:rFonts w:hint="eastAsia" w:ascii="宋体" w:hAnsi="宋体" w:cs="宋体"/>
          <w:bCs/>
          <w:color w:val="auto"/>
          <w:kern w:val="0"/>
          <w:szCs w:val="21"/>
          <w:u w:val="single"/>
        </w:rPr>
        <w:t xml:space="preserve">     </w:t>
      </w:r>
      <w:r>
        <w:rPr>
          <w:rFonts w:hint="eastAsia" w:ascii="宋体" w:hAnsi="宋体" w:cs="宋体"/>
          <w:bCs/>
          <w:color w:val="auto"/>
          <w:spacing w:val="43"/>
          <w:kern w:val="0"/>
          <w:szCs w:val="21"/>
          <w:u w:val="single"/>
        </w:rPr>
        <w:t xml:space="preserve"> </w:t>
      </w:r>
      <w:r>
        <w:rPr>
          <w:rFonts w:hint="eastAsia" w:ascii="宋体" w:hAnsi="宋体" w:cs="宋体"/>
          <w:bCs/>
          <w:color w:val="auto"/>
          <w:kern w:val="0"/>
          <w:szCs w:val="21"/>
        </w:rPr>
        <w:t>年</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月</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日</w:t>
      </w:r>
    </w:p>
    <w:p w14:paraId="588A367C">
      <w:pPr>
        <w:autoSpaceDE w:val="0"/>
        <w:autoSpaceDN w:val="0"/>
        <w:adjustRightInd w:val="0"/>
        <w:spacing w:line="360" w:lineRule="auto"/>
        <w:ind w:left="210" w:leftChars="100"/>
        <w:jc w:val="center"/>
        <w:rPr>
          <w:rFonts w:ascii="宋体" w:hAnsi="宋体"/>
          <w:color w:val="auto"/>
          <w:szCs w:val="21"/>
        </w:rPr>
        <w:sectPr>
          <w:footerReference r:id="rId8" w:type="first"/>
          <w:headerReference r:id="rId5" w:type="default"/>
          <w:footerReference r:id="rId6" w:type="default"/>
          <w:footerReference r:id="rId7" w:type="even"/>
          <w:pgSz w:w="11906" w:h="16838"/>
          <w:pgMar w:top="1304" w:right="1797" w:bottom="1304" w:left="1797" w:header="851" w:footer="754" w:gutter="0"/>
          <w:cols w:space="720" w:num="1"/>
          <w:docGrid w:type="lines" w:linePitch="312" w:charSpace="0"/>
        </w:sectPr>
      </w:pPr>
    </w:p>
    <w:p w14:paraId="1F988157">
      <w:pPr>
        <w:autoSpaceDE w:val="0"/>
        <w:autoSpaceDN w:val="0"/>
        <w:adjustRightInd w:val="0"/>
        <w:spacing w:line="360" w:lineRule="auto"/>
        <w:ind w:left="210" w:leftChars="100"/>
        <w:jc w:val="center"/>
        <w:rPr>
          <w:rFonts w:hint="eastAsia" w:ascii="宋体" w:hAnsi="宋体"/>
          <w:color w:val="auto"/>
          <w:szCs w:val="21"/>
        </w:rPr>
      </w:pPr>
    </w:p>
    <w:p w14:paraId="0FCEE1E3">
      <w:pPr>
        <w:pStyle w:val="4"/>
        <w:numPr>
          <w:ilvl w:val="0"/>
          <w:numId w:val="49"/>
        </w:numPr>
        <w:jc w:val="center"/>
        <w:rPr>
          <w:rFonts w:hint="eastAsia"/>
          <w:color w:val="auto"/>
        </w:rPr>
      </w:pPr>
      <w:r>
        <w:rPr>
          <w:rFonts w:hint="eastAsia"/>
          <w:color w:val="auto"/>
        </w:rPr>
        <w:t xml:space="preserve"> </w:t>
      </w:r>
      <w:bookmarkStart w:id="522" w:name="_Toc25400"/>
      <w:bookmarkStart w:id="523" w:name="_Toc463003913"/>
      <w:bookmarkStart w:id="524" w:name="_Toc495304005"/>
      <w:r>
        <w:rPr>
          <w:rFonts w:hint="eastAsia"/>
          <w:color w:val="auto"/>
        </w:rPr>
        <w:t>货物分项报价一览表</w:t>
      </w:r>
      <w:bookmarkEnd w:id="522"/>
      <w:bookmarkEnd w:id="523"/>
      <w:bookmarkEnd w:id="524"/>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319"/>
        <w:gridCol w:w="932"/>
        <w:gridCol w:w="932"/>
        <w:gridCol w:w="1256"/>
        <w:gridCol w:w="869"/>
        <w:gridCol w:w="870"/>
        <w:gridCol w:w="870"/>
        <w:gridCol w:w="870"/>
        <w:gridCol w:w="985"/>
        <w:gridCol w:w="960"/>
        <w:gridCol w:w="2803"/>
        <w:gridCol w:w="764"/>
      </w:tblGrid>
      <w:tr w14:paraId="3AAA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1" w:type="dxa"/>
            <w:noWrap w:val="0"/>
            <w:vAlign w:val="center"/>
          </w:tcPr>
          <w:p w14:paraId="5289ABFF">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序号</w:t>
            </w:r>
          </w:p>
        </w:tc>
        <w:tc>
          <w:tcPr>
            <w:tcW w:w="1319" w:type="dxa"/>
            <w:noWrap w:val="0"/>
            <w:vAlign w:val="center"/>
          </w:tcPr>
          <w:p w14:paraId="403A7587">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设备名称</w:t>
            </w:r>
          </w:p>
        </w:tc>
        <w:tc>
          <w:tcPr>
            <w:tcW w:w="932" w:type="dxa"/>
            <w:noWrap w:val="0"/>
            <w:vAlign w:val="center"/>
          </w:tcPr>
          <w:p w14:paraId="2882AB07">
            <w:pPr>
              <w:autoSpaceDE w:val="0"/>
              <w:autoSpaceDN w:val="0"/>
              <w:adjustRightInd w:val="0"/>
              <w:spacing w:line="360" w:lineRule="auto"/>
              <w:jc w:val="center"/>
              <w:rPr>
                <w:rFonts w:hint="eastAsia" w:ascii="宋体" w:hAnsi="宋体"/>
                <w:color w:val="auto"/>
                <w:szCs w:val="21"/>
              </w:rPr>
            </w:pPr>
            <w:r>
              <w:rPr>
                <w:rFonts w:hint="eastAsia"/>
                <w:color w:val="auto"/>
                <w:szCs w:val="21"/>
              </w:rPr>
              <w:t>规格参数</w:t>
            </w:r>
          </w:p>
        </w:tc>
        <w:tc>
          <w:tcPr>
            <w:tcW w:w="932" w:type="dxa"/>
            <w:noWrap w:val="0"/>
            <w:vAlign w:val="center"/>
          </w:tcPr>
          <w:p w14:paraId="057AA255">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品牌</w:t>
            </w:r>
          </w:p>
        </w:tc>
        <w:tc>
          <w:tcPr>
            <w:tcW w:w="1256" w:type="dxa"/>
            <w:noWrap w:val="0"/>
            <w:vAlign w:val="center"/>
          </w:tcPr>
          <w:p w14:paraId="480BDA11">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规格型号</w:t>
            </w:r>
          </w:p>
        </w:tc>
        <w:tc>
          <w:tcPr>
            <w:tcW w:w="869" w:type="dxa"/>
            <w:noWrap w:val="0"/>
            <w:vAlign w:val="center"/>
          </w:tcPr>
          <w:p w14:paraId="07C39684">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产地</w:t>
            </w:r>
          </w:p>
        </w:tc>
        <w:tc>
          <w:tcPr>
            <w:tcW w:w="870" w:type="dxa"/>
            <w:noWrap w:val="0"/>
            <w:vAlign w:val="center"/>
          </w:tcPr>
          <w:p w14:paraId="204C1F5C">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制造商名称</w:t>
            </w:r>
          </w:p>
        </w:tc>
        <w:tc>
          <w:tcPr>
            <w:tcW w:w="870" w:type="dxa"/>
            <w:noWrap w:val="0"/>
            <w:vAlign w:val="center"/>
          </w:tcPr>
          <w:p w14:paraId="5D98A635">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单位</w:t>
            </w:r>
          </w:p>
        </w:tc>
        <w:tc>
          <w:tcPr>
            <w:tcW w:w="870" w:type="dxa"/>
            <w:noWrap w:val="0"/>
            <w:vAlign w:val="center"/>
          </w:tcPr>
          <w:p w14:paraId="377CE4BD">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数量</w:t>
            </w:r>
          </w:p>
        </w:tc>
        <w:tc>
          <w:tcPr>
            <w:tcW w:w="985" w:type="dxa"/>
            <w:noWrap w:val="0"/>
            <w:vAlign w:val="center"/>
          </w:tcPr>
          <w:p w14:paraId="76DF6066">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单价</w:t>
            </w:r>
          </w:p>
        </w:tc>
        <w:tc>
          <w:tcPr>
            <w:tcW w:w="960" w:type="dxa"/>
            <w:noWrap w:val="0"/>
            <w:vAlign w:val="center"/>
          </w:tcPr>
          <w:p w14:paraId="4007CD04">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总价</w:t>
            </w:r>
          </w:p>
        </w:tc>
        <w:tc>
          <w:tcPr>
            <w:tcW w:w="2803" w:type="dxa"/>
            <w:noWrap w:val="0"/>
            <w:vAlign w:val="center"/>
          </w:tcPr>
          <w:p w14:paraId="194DFBB9">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是否属于小型、微型（监狱、残疾人福利性单位）企业生产的产品（填是/否）</w:t>
            </w:r>
          </w:p>
        </w:tc>
        <w:tc>
          <w:tcPr>
            <w:tcW w:w="764" w:type="dxa"/>
            <w:noWrap w:val="0"/>
            <w:vAlign w:val="center"/>
          </w:tcPr>
          <w:p w14:paraId="0C237FF7">
            <w:pPr>
              <w:autoSpaceDE w:val="0"/>
              <w:autoSpaceDN w:val="0"/>
              <w:adjustRightInd w:val="0"/>
              <w:spacing w:line="360" w:lineRule="auto"/>
              <w:jc w:val="center"/>
              <w:rPr>
                <w:rFonts w:hint="eastAsia" w:ascii="宋体" w:hAnsi="宋体"/>
                <w:color w:val="auto"/>
                <w:szCs w:val="21"/>
              </w:rPr>
            </w:pPr>
            <w:r>
              <w:rPr>
                <w:rFonts w:hint="eastAsia" w:ascii="宋体" w:hAnsi="宋体"/>
                <w:color w:val="auto"/>
                <w:szCs w:val="21"/>
              </w:rPr>
              <w:t>备注</w:t>
            </w:r>
          </w:p>
        </w:tc>
      </w:tr>
      <w:tr w14:paraId="0D15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59BAEF45">
            <w:pPr>
              <w:autoSpaceDE w:val="0"/>
              <w:autoSpaceDN w:val="0"/>
              <w:adjustRightInd w:val="0"/>
              <w:spacing w:line="360" w:lineRule="auto"/>
              <w:rPr>
                <w:rFonts w:ascii="宋体" w:hAnsi="宋体"/>
                <w:color w:val="auto"/>
                <w:szCs w:val="21"/>
              </w:rPr>
            </w:pPr>
          </w:p>
        </w:tc>
        <w:tc>
          <w:tcPr>
            <w:tcW w:w="1319" w:type="dxa"/>
            <w:noWrap w:val="0"/>
            <w:vAlign w:val="top"/>
          </w:tcPr>
          <w:p w14:paraId="7D4FF388">
            <w:pPr>
              <w:autoSpaceDE w:val="0"/>
              <w:autoSpaceDN w:val="0"/>
              <w:adjustRightInd w:val="0"/>
              <w:spacing w:line="360" w:lineRule="auto"/>
              <w:rPr>
                <w:rFonts w:ascii="宋体" w:hAnsi="宋体"/>
                <w:color w:val="auto"/>
                <w:szCs w:val="21"/>
              </w:rPr>
            </w:pPr>
          </w:p>
        </w:tc>
        <w:tc>
          <w:tcPr>
            <w:tcW w:w="932" w:type="dxa"/>
            <w:noWrap w:val="0"/>
            <w:vAlign w:val="top"/>
          </w:tcPr>
          <w:p w14:paraId="1C4B0663">
            <w:pPr>
              <w:autoSpaceDE w:val="0"/>
              <w:autoSpaceDN w:val="0"/>
              <w:adjustRightInd w:val="0"/>
              <w:spacing w:line="360" w:lineRule="auto"/>
              <w:rPr>
                <w:rFonts w:ascii="宋体" w:hAnsi="宋体"/>
                <w:color w:val="auto"/>
                <w:szCs w:val="21"/>
              </w:rPr>
            </w:pPr>
          </w:p>
        </w:tc>
        <w:tc>
          <w:tcPr>
            <w:tcW w:w="932" w:type="dxa"/>
            <w:noWrap w:val="0"/>
            <w:vAlign w:val="top"/>
          </w:tcPr>
          <w:p w14:paraId="5087D14C">
            <w:pPr>
              <w:autoSpaceDE w:val="0"/>
              <w:autoSpaceDN w:val="0"/>
              <w:adjustRightInd w:val="0"/>
              <w:spacing w:line="360" w:lineRule="auto"/>
              <w:rPr>
                <w:rFonts w:ascii="宋体" w:hAnsi="宋体"/>
                <w:color w:val="auto"/>
                <w:szCs w:val="21"/>
              </w:rPr>
            </w:pPr>
          </w:p>
        </w:tc>
        <w:tc>
          <w:tcPr>
            <w:tcW w:w="1256" w:type="dxa"/>
            <w:noWrap w:val="0"/>
            <w:vAlign w:val="top"/>
          </w:tcPr>
          <w:p w14:paraId="34C1DF0D">
            <w:pPr>
              <w:autoSpaceDE w:val="0"/>
              <w:autoSpaceDN w:val="0"/>
              <w:adjustRightInd w:val="0"/>
              <w:spacing w:line="360" w:lineRule="auto"/>
              <w:rPr>
                <w:rFonts w:ascii="宋体" w:hAnsi="宋体"/>
                <w:color w:val="auto"/>
                <w:szCs w:val="21"/>
              </w:rPr>
            </w:pPr>
          </w:p>
        </w:tc>
        <w:tc>
          <w:tcPr>
            <w:tcW w:w="869" w:type="dxa"/>
            <w:noWrap w:val="0"/>
            <w:vAlign w:val="top"/>
          </w:tcPr>
          <w:p w14:paraId="1D768D03">
            <w:pPr>
              <w:autoSpaceDE w:val="0"/>
              <w:autoSpaceDN w:val="0"/>
              <w:adjustRightInd w:val="0"/>
              <w:spacing w:line="360" w:lineRule="auto"/>
              <w:rPr>
                <w:rFonts w:ascii="宋体" w:hAnsi="宋体"/>
                <w:color w:val="auto"/>
                <w:szCs w:val="21"/>
              </w:rPr>
            </w:pPr>
          </w:p>
        </w:tc>
        <w:tc>
          <w:tcPr>
            <w:tcW w:w="870" w:type="dxa"/>
            <w:noWrap w:val="0"/>
            <w:vAlign w:val="top"/>
          </w:tcPr>
          <w:p w14:paraId="38A887ED">
            <w:pPr>
              <w:autoSpaceDE w:val="0"/>
              <w:autoSpaceDN w:val="0"/>
              <w:adjustRightInd w:val="0"/>
              <w:spacing w:line="360" w:lineRule="auto"/>
              <w:rPr>
                <w:rFonts w:ascii="宋体" w:hAnsi="宋体"/>
                <w:color w:val="auto"/>
                <w:szCs w:val="21"/>
              </w:rPr>
            </w:pPr>
          </w:p>
        </w:tc>
        <w:tc>
          <w:tcPr>
            <w:tcW w:w="870" w:type="dxa"/>
            <w:noWrap w:val="0"/>
            <w:vAlign w:val="top"/>
          </w:tcPr>
          <w:p w14:paraId="48AF5E32">
            <w:pPr>
              <w:autoSpaceDE w:val="0"/>
              <w:autoSpaceDN w:val="0"/>
              <w:adjustRightInd w:val="0"/>
              <w:spacing w:line="360" w:lineRule="auto"/>
              <w:rPr>
                <w:rFonts w:ascii="宋体" w:hAnsi="宋体"/>
                <w:color w:val="auto"/>
                <w:szCs w:val="21"/>
              </w:rPr>
            </w:pPr>
          </w:p>
        </w:tc>
        <w:tc>
          <w:tcPr>
            <w:tcW w:w="870" w:type="dxa"/>
            <w:noWrap w:val="0"/>
            <w:vAlign w:val="top"/>
          </w:tcPr>
          <w:p w14:paraId="6EDB9A52">
            <w:pPr>
              <w:autoSpaceDE w:val="0"/>
              <w:autoSpaceDN w:val="0"/>
              <w:adjustRightInd w:val="0"/>
              <w:spacing w:line="360" w:lineRule="auto"/>
              <w:rPr>
                <w:rFonts w:ascii="宋体" w:hAnsi="宋体"/>
                <w:color w:val="auto"/>
                <w:szCs w:val="21"/>
              </w:rPr>
            </w:pPr>
          </w:p>
        </w:tc>
        <w:tc>
          <w:tcPr>
            <w:tcW w:w="985" w:type="dxa"/>
            <w:noWrap w:val="0"/>
            <w:vAlign w:val="top"/>
          </w:tcPr>
          <w:p w14:paraId="66124699">
            <w:pPr>
              <w:autoSpaceDE w:val="0"/>
              <w:autoSpaceDN w:val="0"/>
              <w:adjustRightInd w:val="0"/>
              <w:spacing w:line="360" w:lineRule="auto"/>
              <w:rPr>
                <w:rFonts w:ascii="宋体" w:hAnsi="宋体"/>
                <w:color w:val="auto"/>
                <w:szCs w:val="21"/>
              </w:rPr>
            </w:pPr>
          </w:p>
        </w:tc>
        <w:tc>
          <w:tcPr>
            <w:tcW w:w="960" w:type="dxa"/>
            <w:noWrap w:val="0"/>
            <w:vAlign w:val="top"/>
          </w:tcPr>
          <w:p w14:paraId="043473E6">
            <w:pPr>
              <w:autoSpaceDE w:val="0"/>
              <w:autoSpaceDN w:val="0"/>
              <w:adjustRightInd w:val="0"/>
              <w:spacing w:line="360" w:lineRule="auto"/>
              <w:rPr>
                <w:rFonts w:ascii="宋体" w:hAnsi="宋体"/>
                <w:color w:val="auto"/>
                <w:szCs w:val="21"/>
              </w:rPr>
            </w:pPr>
          </w:p>
        </w:tc>
        <w:tc>
          <w:tcPr>
            <w:tcW w:w="2803" w:type="dxa"/>
            <w:noWrap w:val="0"/>
            <w:vAlign w:val="top"/>
          </w:tcPr>
          <w:p w14:paraId="0B3BB9C0">
            <w:pPr>
              <w:autoSpaceDE w:val="0"/>
              <w:autoSpaceDN w:val="0"/>
              <w:adjustRightInd w:val="0"/>
              <w:spacing w:line="360" w:lineRule="auto"/>
              <w:rPr>
                <w:rFonts w:ascii="宋体" w:hAnsi="宋体"/>
                <w:color w:val="auto"/>
                <w:szCs w:val="21"/>
              </w:rPr>
            </w:pPr>
          </w:p>
        </w:tc>
        <w:tc>
          <w:tcPr>
            <w:tcW w:w="764" w:type="dxa"/>
            <w:noWrap w:val="0"/>
            <w:vAlign w:val="top"/>
          </w:tcPr>
          <w:p w14:paraId="31D328C6">
            <w:pPr>
              <w:autoSpaceDE w:val="0"/>
              <w:autoSpaceDN w:val="0"/>
              <w:adjustRightInd w:val="0"/>
              <w:spacing w:line="360" w:lineRule="auto"/>
              <w:rPr>
                <w:rFonts w:ascii="宋体" w:hAnsi="宋体"/>
                <w:color w:val="auto"/>
                <w:szCs w:val="21"/>
              </w:rPr>
            </w:pPr>
          </w:p>
        </w:tc>
      </w:tr>
      <w:tr w14:paraId="603B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545989A4">
            <w:pPr>
              <w:autoSpaceDE w:val="0"/>
              <w:autoSpaceDN w:val="0"/>
              <w:adjustRightInd w:val="0"/>
              <w:spacing w:line="360" w:lineRule="auto"/>
              <w:rPr>
                <w:rFonts w:ascii="宋体" w:hAnsi="宋体"/>
                <w:color w:val="auto"/>
                <w:szCs w:val="21"/>
              </w:rPr>
            </w:pPr>
          </w:p>
        </w:tc>
        <w:tc>
          <w:tcPr>
            <w:tcW w:w="1319" w:type="dxa"/>
            <w:noWrap w:val="0"/>
            <w:vAlign w:val="top"/>
          </w:tcPr>
          <w:p w14:paraId="27A80A93">
            <w:pPr>
              <w:autoSpaceDE w:val="0"/>
              <w:autoSpaceDN w:val="0"/>
              <w:adjustRightInd w:val="0"/>
              <w:spacing w:line="360" w:lineRule="auto"/>
              <w:rPr>
                <w:rFonts w:ascii="宋体" w:hAnsi="宋体"/>
                <w:color w:val="auto"/>
                <w:szCs w:val="21"/>
              </w:rPr>
            </w:pPr>
          </w:p>
        </w:tc>
        <w:tc>
          <w:tcPr>
            <w:tcW w:w="932" w:type="dxa"/>
            <w:noWrap w:val="0"/>
            <w:vAlign w:val="top"/>
          </w:tcPr>
          <w:p w14:paraId="75A434CE">
            <w:pPr>
              <w:autoSpaceDE w:val="0"/>
              <w:autoSpaceDN w:val="0"/>
              <w:adjustRightInd w:val="0"/>
              <w:spacing w:line="360" w:lineRule="auto"/>
              <w:rPr>
                <w:rFonts w:ascii="宋体" w:hAnsi="宋体"/>
                <w:color w:val="auto"/>
                <w:szCs w:val="21"/>
              </w:rPr>
            </w:pPr>
          </w:p>
        </w:tc>
        <w:tc>
          <w:tcPr>
            <w:tcW w:w="932" w:type="dxa"/>
            <w:noWrap w:val="0"/>
            <w:vAlign w:val="top"/>
          </w:tcPr>
          <w:p w14:paraId="20916216">
            <w:pPr>
              <w:autoSpaceDE w:val="0"/>
              <w:autoSpaceDN w:val="0"/>
              <w:adjustRightInd w:val="0"/>
              <w:spacing w:line="360" w:lineRule="auto"/>
              <w:rPr>
                <w:rFonts w:ascii="宋体" w:hAnsi="宋体"/>
                <w:color w:val="auto"/>
                <w:szCs w:val="21"/>
              </w:rPr>
            </w:pPr>
          </w:p>
        </w:tc>
        <w:tc>
          <w:tcPr>
            <w:tcW w:w="1256" w:type="dxa"/>
            <w:noWrap w:val="0"/>
            <w:vAlign w:val="top"/>
          </w:tcPr>
          <w:p w14:paraId="7E2591F4">
            <w:pPr>
              <w:autoSpaceDE w:val="0"/>
              <w:autoSpaceDN w:val="0"/>
              <w:adjustRightInd w:val="0"/>
              <w:spacing w:line="360" w:lineRule="auto"/>
              <w:rPr>
                <w:rFonts w:ascii="宋体" w:hAnsi="宋体"/>
                <w:color w:val="auto"/>
                <w:szCs w:val="21"/>
              </w:rPr>
            </w:pPr>
          </w:p>
        </w:tc>
        <w:tc>
          <w:tcPr>
            <w:tcW w:w="869" w:type="dxa"/>
            <w:noWrap w:val="0"/>
            <w:vAlign w:val="top"/>
          </w:tcPr>
          <w:p w14:paraId="4B720639">
            <w:pPr>
              <w:autoSpaceDE w:val="0"/>
              <w:autoSpaceDN w:val="0"/>
              <w:adjustRightInd w:val="0"/>
              <w:spacing w:line="360" w:lineRule="auto"/>
              <w:rPr>
                <w:rFonts w:ascii="宋体" w:hAnsi="宋体"/>
                <w:color w:val="auto"/>
                <w:szCs w:val="21"/>
              </w:rPr>
            </w:pPr>
          </w:p>
        </w:tc>
        <w:tc>
          <w:tcPr>
            <w:tcW w:w="870" w:type="dxa"/>
            <w:noWrap w:val="0"/>
            <w:vAlign w:val="top"/>
          </w:tcPr>
          <w:p w14:paraId="1B429E7A">
            <w:pPr>
              <w:autoSpaceDE w:val="0"/>
              <w:autoSpaceDN w:val="0"/>
              <w:adjustRightInd w:val="0"/>
              <w:spacing w:line="360" w:lineRule="auto"/>
              <w:rPr>
                <w:rFonts w:ascii="宋体" w:hAnsi="宋体"/>
                <w:color w:val="auto"/>
                <w:szCs w:val="21"/>
              </w:rPr>
            </w:pPr>
          </w:p>
        </w:tc>
        <w:tc>
          <w:tcPr>
            <w:tcW w:w="870" w:type="dxa"/>
            <w:noWrap w:val="0"/>
            <w:vAlign w:val="top"/>
          </w:tcPr>
          <w:p w14:paraId="27A3FFC2">
            <w:pPr>
              <w:autoSpaceDE w:val="0"/>
              <w:autoSpaceDN w:val="0"/>
              <w:adjustRightInd w:val="0"/>
              <w:spacing w:line="360" w:lineRule="auto"/>
              <w:rPr>
                <w:rFonts w:ascii="宋体" w:hAnsi="宋体"/>
                <w:color w:val="auto"/>
                <w:szCs w:val="21"/>
              </w:rPr>
            </w:pPr>
          </w:p>
        </w:tc>
        <w:tc>
          <w:tcPr>
            <w:tcW w:w="870" w:type="dxa"/>
            <w:noWrap w:val="0"/>
            <w:vAlign w:val="top"/>
          </w:tcPr>
          <w:p w14:paraId="0E8A1F75">
            <w:pPr>
              <w:autoSpaceDE w:val="0"/>
              <w:autoSpaceDN w:val="0"/>
              <w:adjustRightInd w:val="0"/>
              <w:spacing w:line="360" w:lineRule="auto"/>
              <w:rPr>
                <w:rFonts w:ascii="宋体" w:hAnsi="宋体"/>
                <w:color w:val="auto"/>
                <w:szCs w:val="21"/>
              </w:rPr>
            </w:pPr>
          </w:p>
        </w:tc>
        <w:tc>
          <w:tcPr>
            <w:tcW w:w="985" w:type="dxa"/>
            <w:noWrap w:val="0"/>
            <w:vAlign w:val="top"/>
          </w:tcPr>
          <w:p w14:paraId="30130959">
            <w:pPr>
              <w:autoSpaceDE w:val="0"/>
              <w:autoSpaceDN w:val="0"/>
              <w:adjustRightInd w:val="0"/>
              <w:spacing w:line="360" w:lineRule="auto"/>
              <w:rPr>
                <w:rFonts w:ascii="宋体" w:hAnsi="宋体"/>
                <w:color w:val="auto"/>
                <w:szCs w:val="21"/>
              </w:rPr>
            </w:pPr>
          </w:p>
        </w:tc>
        <w:tc>
          <w:tcPr>
            <w:tcW w:w="960" w:type="dxa"/>
            <w:noWrap w:val="0"/>
            <w:vAlign w:val="top"/>
          </w:tcPr>
          <w:p w14:paraId="0601B85E">
            <w:pPr>
              <w:autoSpaceDE w:val="0"/>
              <w:autoSpaceDN w:val="0"/>
              <w:adjustRightInd w:val="0"/>
              <w:spacing w:line="360" w:lineRule="auto"/>
              <w:rPr>
                <w:rFonts w:ascii="宋体" w:hAnsi="宋体"/>
                <w:color w:val="auto"/>
                <w:szCs w:val="21"/>
              </w:rPr>
            </w:pPr>
          </w:p>
        </w:tc>
        <w:tc>
          <w:tcPr>
            <w:tcW w:w="2803" w:type="dxa"/>
            <w:noWrap w:val="0"/>
            <w:vAlign w:val="top"/>
          </w:tcPr>
          <w:p w14:paraId="4D838542">
            <w:pPr>
              <w:autoSpaceDE w:val="0"/>
              <w:autoSpaceDN w:val="0"/>
              <w:adjustRightInd w:val="0"/>
              <w:spacing w:line="360" w:lineRule="auto"/>
              <w:rPr>
                <w:rFonts w:ascii="宋体" w:hAnsi="宋体"/>
                <w:color w:val="auto"/>
                <w:szCs w:val="21"/>
              </w:rPr>
            </w:pPr>
          </w:p>
        </w:tc>
        <w:tc>
          <w:tcPr>
            <w:tcW w:w="764" w:type="dxa"/>
            <w:noWrap w:val="0"/>
            <w:vAlign w:val="top"/>
          </w:tcPr>
          <w:p w14:paraId="50087537">
            <w:pPr>
              <w:autoSpaceDE w:val="0"/>
              <w:autoSpaceDN w:val="0"/>
              <w:adjustRightInd w:val="0"/>
              <w:spacing w:line="360" w:lineRule="auto"/>
              <w:rPr>
                <w:rFonts w:ascii="宋体" w:hAnsi="宋体"/>
                <w:color w:val="auto"/>
                <w:szCs w:val="21"/>
              </w:rPr>
            </w:pPr>
          </w:p>
        </w:tc>
      </w:tr>
      <w:tr w14:paraId="2E1A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62331D0D">
            <w:pPr>
              <w:autoSpaceDE w:val="0"/>
              <w:autoSpaceDN w:val="0"/>
              <w:adjustRightInd w:val="0"/>
              <w:spacing w:line="360" w:lineRule="auto"/>
              <w:rPr>
                <w:rFonts w:ascii="宋体" w:hAnsi="宋体"/>
                <w:color w:val="auto"/>
                <w:szCs w:val="21"/>
              </w:rPr>
            </w:pPr>
          </w:p>
        </w:tc>
        <w:tc>
          <w:tcPr>
            <w:tcW w:w="1319" w:type="dxa"/>
            <w:noWrap w:val="0"/>
            <w:vAlign w:val="top"/>
          </w:tcPr>
          <w:p w14:paraId="12FE811E">
            <w:pPr>
              <w:autoSpaceDE w:val="0"/>
              <w:autoSpaceDN w:val="0"/>
              <w:adjustRightInd w:val="0"/>
              <w:spacing w:line="360" w:lineRule="auto"/>
              <w:rPr>
                <w:rFonts w:ascii="宋体" w:hAnsi="宋体"/>
                <w:color w:val="auto"/>
                <w:szCs w:val="21"/>
              </w:rPr>
            </w:pPr>
          </w:p>
        </w:tc>
        <w:tc>
          <w:tcPr>
            <w:tcW w:w="932" w:type="dxa"/>
            <w:noWrap w:val="0"/>
            <w:vAlign w:val="top"/>
          </w:tcPr>
          <w:p w14:paraId="17AB02FA">
            <w:pPr>
              <w:autoSpaceDE w:val="0"/>
              <w:autoSpaceDN w:val="0"/>
              <w:adjustRightInd w:val="0"/>
              <w:spacing w:line="360" w:lineRule="auto"/>
              <w:rPr>
                <w:rFonts w:ascii="宋体" w:hAnsi="宋体"/>
                <w:color w:val="auto"/>
                <w:szCs w:val="21"/>
              </w:rPr>
            </w:pPr>
          </w:p>
        </w:tc>
        <w:tc>
          <w:tcPr>
            <w:tcW w:w="932" w:type="dxa"/>
            <w:noWrap w:val="0"/>
            <w:vAlign w:val="top"/>
          </w:tcPr>
          <w:p w14:paraId="715BB989">
            <w:pPr>
              <w:autoSpaceDE w:val="0"/>
              <w:autoSpaceDN w:val="0"/>
              <w:adjustRightInd w:val="0"/>
              <w:spacing w:line="360" w:lineRule="auto"/>
              <w:rPr>
                <w:rFonts w:ascii="宋体" w:hAnsi="宋体"/>
                <w:color w:val="auto"/>
                <w:szCs w:val="21"/>
              </w:rPr>
            </w:pPr>
          </w:p>
        </w:tc>
        <w:tc>
          <w:tcPr>
            <w:tcW w:w="1256" w:type="dxa"/>
            <w:noWrap w:val="0"/>
            <w:vAlign w:val="top"/>
          </w:tcPr>
          <w:p w14:paraId="5C2B9524">
            <w:pPr>
              <w:autoSpaceDE w:val="0"/>
              <w:autoSpaceDN w:val="0"/>
              <w:adjustRightInd w:val="0"/>
              <w:spacing w:line="360" w:lineRule="auto"/>
              <w:rPr>
                <w:rFonts w:ascii="宋体" w:hAnsi="宋体"/>
                <w:color w:val="auto"/>
                <w:szCs w:val="21"/>
              </w:rPr>
            </w:pPr>
          </w:p>
        </w:tc>
        <w:tc>
          <w:tcPr>
            <w:tcW w:w="869" w:type="dxa"/>
            <w:noWrap w:val="0"/>
            <w:vAlign w:val="top"/>
          </w:tcPr>
          <w:p w14:paraId="337449DB">
            <w:pPr>
              <w:autoSpaceDE w:val="0"/>
              <w:autoSpaceDN w:val="0"/>
              <w:adjustRightInd w:val="0"/>
              <w:spacing w:line="360" w:lineRule="auto"/>
              <w:rPr>
                <w:rFonts w:ascii="宋体" w:hAnsi="宋体"/>
                <w:color w:val="auto"/>
                <w:szCs w:val="21"/>
              </w:rPr>
            </w:pPr>
          </w:p>
        </w:tc>
        <w:tc>
          <w:tcPr>
            <w:tcW w:w="870" w:type="dxa"/>
            <w:noWrap w:val="0"/>
            <w:vAlign w:val="top"/>
          </w:tcPr>
          <w:p w14:paraId="53BAE042">
            <w:pPr>
              <w:autoSpaceDE w:val="0"/>
              <w:autoSpaceDN w:val="0"/>
              <w:adjustRightInd w:val="0"/>
              <w:spacing w:line="360" w:lineRule="auto"/>
              <w:rPr>
                <w:rFonts w:ascii="宋体" w:hAnsi="宋体"/>
                <w:color w:val="auto"/>
                <w:szCs w:val="21"/>
              </w:rPr>
            </w:pPr>
          </w:p>
        </w:tc>
        <w:tc>
          <w:tcPr>
            <w:tcW w:w="870" w:type="dxa"/>
            <w:noWrap w:val="0"/>
            <w:vAlign w:val="top"/>
          </w:tcPr>
          <w:p w14:paraId="74E22863">
            <w:pPr>
              <w:autoSpaceDE w:val="0"/>
              <w:autoSpaceDN w:val="0"/>
              <w:adjustRightInd w:val="0"/>
              <w:spacing w:line="360" w:lineRule="auto"/>
              <w:rPr>
                <w:rFonts w:ascii="宋体" w:hAnsi="宋体"/>
                <w:color w:val="auto"/>
                <w:szCs w:val="21"/>
              </w:rPr>
            </w:pPr>
          </w:p>
        </w:tc>
        <w:tc>
          <w:tcPr>
            <w:tcW w:w="870" w:type="dxa"/>
            <w:noWrap w:val="0"/>
            <w:vAlign w:val="top"/>
          </w:tcPr>
          <w:p w14:paraId="32BBD185">
            <w:pPr>
              <w:autoSpaceDE w:val="0"/>
              <w:autoSpaceDN w:val="0"/>
              <w:adjustRightInd w:val="0"/>
              <w:spacing w:line="360" w:lineRule="auto"/>
              <w:rPr>
                <w:rFonts w:ascii="宋体" w:hAnsi="宋体"/>
                <w:color w:val="auto"/>
                <w:szCs w:val="21"/>
              </w:rPr>
            </w:pPr>
          </w:p>
        </w:tc>
        <w:tc>
          <w:tcPr>
            <w:tcW w:w="985" w:type="dxa"/>
            <w:noWrap w:val="0"/>
            <w:vAlign w:val="top"/>
          </w:tcPr>
          <w:p w14:paraId="646F9C5E">
            <w:pPr>
              <w:autoSpaceDE w:val="0"/>
              <w:autoSpaceDN w:val="0"/>
              <w:adjustRightInd w:val="0"/>
              <w:spacing w:line="360" w:lineRule="auto"/>
              <w:rPr>
                <w:rFonts w:ascii="宋体" w:hAnsi="宋体"/>
                <w:color w:val="auto"/>
                <w:szCs w:val="21"/>
              </w:rPr>
            </w:pPr>
          </w:p>
        </w:tc>
        <w:tc>
          <w:tcPr>
            <w:tcW w:w="960" w:type="dxa"/>
            <w:noWrap w:val="0"/>
            <w:vAlign w:val="center"/>
          </w:tcPr>
          <w:p w14:paraId="3BB189E8">
            <w:pPr>
              <w:autoSpaceDE w:val="0"/>
              <w:autoSpaceDN w:val="0"/>
              <w:adjustRightInd w:val="0"/>
              <w:spacing w:line="360" w:lineRule="auto"/>
              <w:jc w:val="center"/>
              <w:rPr>
                <w:rFonts w:ascii="宋体" w:hAnsi="宋体"/>
                <w:color w:val="auto"/>
                <w:szCs w:val="21"/>
              </w:rPr>
            </w:pPr>
          </w:p>
        </w:tc>
        <w:tc>
          <w:tcPr>
            <w:tcW w:w="2803" w:type="dxa"/>
            <w:noWrap w:val="0"/>
            <w:vAlign w:val="top"/>
          </w:tcPr>
          <w:p w14:paraId="74421793">
            <w:pPr>
              <w:autoSpaceDE w:val="0"/>
              <w:autoSpaceDN w:val="0"/>
              <w:adjustRightInd w:val="0"/>
              <w:spacing w:line="360" w:lineRule="auto"/>
              <w:rPr>
                <w:rFonts w:ascii="宋体" w:hAnsi="宋体"/>
                <w:color w:val="auto"/>
                <w:szCs w:val="21"/>
              </w:rPr>
            </w:pPr>
          </w:p>
        </w:tc>
        <w:tc>
          <w:tcPr>
            <w:tcW w:w="764" w:type="dxa"/>
            <w:noWrap w:val="0"/>
            <w:vAlign w:val="top"/>
          </w:tcPr>
          <w:p w14:paraId="1292C313">
            <w:pPr>
              <w:autoSpaceDE w:val="0"/>
              <w:autoSpaceDN w:val="0"/>
              <w:adjustRightInd w:val="0"/>
              <w:spacing w:line="360" w:lineRule="auto"/>
              <w:rPr>
                <w:rFonts w:ascii="宋体" w:hAnsi="宋体"/>
                <w:color w:val="auto"/>
                <w:szCs w:val="21"/>
              </w:rPr>
            </w:pPr>
          </w:p>
        </w:tc>
      </w:tr>
      <w:tr w14:paraId="71B8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327B279A">
            <w:pPr>
              <w:autoSpaceDE w:val="0"/>
              <w:autoSpaceDN w:val="0"/>
              <w:adjustRightInd w:val="0"/>
              <w:spacing w:line="360" w:lineRule="auto"/>
              <w:rPr>
                <w:rFonts w:ascii="宋体" w:hAnsi="宋体"/>
                <w:color w:val="auto"/>
                <w:szCs w:val="21"/>
              </w:rPr>
            </w:pPr>
          </w:p>
        </w:tc>
        <w:tc>
          <w:tcPr>
            <w:tcW w:w="1319" w:type="dxa"/>
            <w:noWrap w:val="0"/>
            <w:vAlign w:val="top"/>
          </w:tcPr>
          <w:p w14:paraId="64D44E07">
            <w:pPr>
              <w:autoSpaceDE w:val="0"/>
              <w:autoSpaceDN w:val="0"/>
              <w:adjustRightInd w:val="0"/>
              <w:spacing w:line="360" w:lineRule="auto"/>
              <w:rPr>
                <w:rFonts w:ascii="宋体" w:hAnsi="宋体"/>
                <w:color w:val="auto"/>
                <w:szCs w:val="21"/>
              </w:rPr>
            </w:pPr>
          </w:p>
        </w:tc>
        <w:tc>
          <w:tcPr>
            <w:tcW w:w="932" w:type="dxa"/>
            <w:noWrap w:val="0"/>
            <w:vAlign w:val="top"/>
          </w:tcPr>
          <w:p w14:paraId="38353BCC">
            <w:pPr>
              <w:autoSpaceDE w:val="0"/>
              <w:autoSpaceDN w:val="0"/>
              <w:adjustRightInd w:val="0"/>
              <w:spacing w:line="360" w:lineRule="auto"/>
              <w:rPr>
                <w:rFonts w:ascii="宋体" w:hAnsi="宋体"/>
                <w:color w:val="auto"/>
                <w:szCs w:val="21"/>
              </w:rPr>
            </w:pPr>
          </w:p>
        </w:tc>
        <w:tc>
          <w:tcPr>
            <w:tcW w:w="932" w:type="dxa"/>
            <w:noWrap w:val="0"/>
            <w:vAlign w:val="top"/>
          </w:tcPr>
          <w:p w14:paraId="07B43F0C">
            <w:pPr>
              <w:autoSpaceDE w:val="0"/>
              <w:autoSpaceDN w:val="0"/>
              <w:adjustRightInd w:val="0"/>
              <w:spacing w:line="360" w:lineRule="auto"/>
              <w:rPr>
                <w:rFonts w:ascii="宋体" w:hAnsi="宋体"/>
                <w:color w:val="auto"/>
                <w:szCs w:val="21"/>
              </w:rPr>
            </w:pPr>
          </w:p>
        </w:tc>
        <w:tc>
          <w:tcPr>
            <w:tcW w:w="1256" w:type="dxa"/>
            <w:noWrap w:val="0"/>
            <w:vAlign w:val="top"/>
          </w:tcPr>
          <w:p w14:paraId="4EF40656">
            <w:pPr>
              <w:autoSpaceDE w:val="0"/>
              <w:autoSpaceDN w:val="0"/>
              <w:adjustRightInd w:val="0"/>
              <w:spacing w:line="360" w:lineRule="auto"/>
              <w:rPr>
                <w:rFonts w:ascii="宋体" w:hAnsi="宋体"/>
                <w:color w:val="auto"/>
                <w:szCs w:val="21"/>
              </w:rPr>
            </w:pPr>
          </w:p>
        </w:tc>
        <w:tc>
          <w:tcPr>
            <w:tcW w:w="869" w:type="dxa"/>
            <w:noWrap w:val="0"/>
            <w:vAlign w:val="top"/>
          </w:tcPr>
          <w:p w14:paraId="0544A2B5">
            <w:pPr>
              <w:autoSpaceDE w:val="0"/>
              <w:autoSpaceDN w:val="0"/>
              <w:adjustRightInd w:val="0"/>
              <w:spacing w:line="360" w:lineRule="auto"/>
              <w:rPr>
                <w:rFonts w:ascii="宋体" w:hAnsi="宋体"/>
                <w:color w:val="auto"/>
                <w:szCs w:val="21"/>
              </w:rPr>
            </w:pPr>
          </w:p>
        </w:tc>
        <w:tc>
          <w:tcPr>
            <w:tcW w:w="870" w:type="dxa"/>
            <w:noWrap w:val="0"/>
            <w:vAlign w:val="top"/>
          </w:tcPr>
          <w:p w14:paraId="7A178109">
            <w:pPr>
              <w:autoSpaceDE w:val="0"/>
              <w:autoSpaceDN w:val="0"/>
              <w:adjustRightInd w:val="0"/>
              <w:spacing w:line="360" w:lineRule="auto"/>
              <w:rPr>
                <w:rFonts w:ascii="宋体" w:hAnsi="宋体"/>
                <w:color w:val="auto"/>
                <w:szCs w:val="21"/>
              </w:rPr>
            </w:pPr>
          </w:p>
        </w:tc>
        <w:tc>
          <w:tcPr>
            <w:tcW w:w="870" w:type="dxa"/>
            <w:noWrap w:val="0"/>
            <w:vAlign w:val="top"/>
          </w:tcPr>
          <w:p w14:paraId="6439742D">
            <w:pPr>
              <w:autoSpaceDE w:val="0"/>
              <w:autoSpaceDN w:val="0"/>
              <w:adjustRightInd w:val="0"/>
              <w:spacing w:line="360" w:lineRule="auto"/>
              <w:rPr>
                <w:rFonts w:ascii="宋体" w:hAnsi="宋体"/>
                <w:color w:val="auto"/>
                <w:szCs w:val="21"/>
              </w:rPr>
            </w:pPr>
          </w:p>
        </w:tc>
        <w:tc>
          <w:tcPr>
            <w:tcW w:w="870" w:type="dxa"/>
            <w:noWrap w:val="0"/>
            <w:vAlign w:val="top"/>
          </w:tcPr>
          <w:p w14:paraId="541931FE">
            <w:pPr>
              <w:autoSpaceDE w:val="0"/>
              <w:autoSpaceDN w:val="0"/>
              <w:adjustRightInd w:val="0"/>
              <w:spacing w:line="360" w:lineRule="auto"/>
              <w:rPr>
                <w:rFonts w:ascii="宋体" w:hAnsi="宋体"/>
                <w:color w:val="auto"/>
                <w:szCs w:val="21"/>
              </w:rPr>
            </w:pPr>
          </w:p>
        </w:tc>
        <w:tc>
          <w:tcPr>
            <w:tcW w:w="985" w:type="dxa"/>
            <w:noWrap w:val="0"/>
            <w:vAlign w:val="top"/>
          </w:tcPr>
          <w:p w14:paraId="5CCC65AA">
            <w:pPr>
              <w:autoSpaceDE w:val="0"/>
              <w:autoSpaceDN w:val="0"/>
              <w:adjustRightInd w:val="0"/>
              <w:spacing w:line="360" w:lineRule="auto"/>
              <w:rPr>
                <w:rFonts w:ascii="宋体" w:hAnsi="宋体"/>
                <w:color w:val="auto"/>
                <w:szCs w:val="21"/>
              </w:rPr>
            </w:pPr>
          </w:p>
        </w:tc>
        <w:tc>
          <w:tcPr>
            <w:tcW w:w="960" w:type="dxa"/>
            <w:noWrap w:val="0"/>
            <w:vAlign w:val="top"/>
          </w:tcPr>
          <w:p w14:paraId="17EBC6FF">
            <w:pPr>
              <w:autoSpaceDE w:val="0"/>
              <w:autoSpaceDN w:val="0"/>
              <w:adjustRightInd w:val="0"/>
              <w:spacing w:line="360" w:lineRule="auto"/>
              <w:rPr>
                <w:rFonts w:ascii="宋体" w:hAnsi="宋体"/>
                <w:color w:val="auto"/>
                <w:szCs w:val="21"/>
              </w:rPr>
            </w:pPr>
          </w:p>
        </w:tc>
        <w:tc>
          <w:tcPr>
            <w:tcW w:w="2803" w:type="dxa"/>
            <w:noWrap w:val="0"/>
            <w:vAlign w:val="top"/>
          </w:tcPr>
          <w:p w14:paraId="1096D596">
            <w:pPr>
              <w:autoSpaceDE w:val="0"/>
              <w:autoSpaceDN w:val="0"/>
              <w:adjustRightInd w:val="0"/>
              <w:spacing w:line="360" w:lineRule="auto"/>
              <w:rPr>
                <w:rFonts w:ascii="宋体" w:hAnsi="宋体"/>
                <w:color w:val="auto"/>
                <w:szCs w:val="21"/>
              </w:rPr>
            </w:pPr>
          </w:p>
        </w:tc>
        <w:tc>
          <w:tcPr>
            <w:tcW w:w="764" w:type="dxa"/>
            <w:noWrap w:val="0"/>
            <w:vAlign w:val="top"/>
          </w:tcPr>
          <w:p w14:paraId="517D27BA">
            <w:pPr>
              <w:autoSpaceDE w:val="0"/>
              <w:autoSpaceDN w:val="0"/>
              <w:adjustRightInd w:val="0"/>
              <w:spacing w:line="360" w:lineRule="auto"/>
              <w:rPr>
                <w:rFonts w:ascii="宋体" w:hAnsi="宋体"/>
                <w:color w:val="auto"/>
                <w:szCs w:val="21"/>
              </w:rPr>
            </w:pPr>
          </w:p>
        </w:tc>
      </w:tr>
      <w:tr w14:paraId="3206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26D8E764">
            <w:pPr>
              <w:autoSpaceDE w:val="0"/>
              <w:autoSpaceDN w:val="0"/>
              <w:adjustRightInd w:val="0"/>
              <w:spacing w:line="360" w:lineRule="auto"/>
              <w:rPr>
                <w:rFonts w:ascii="宋体" w:hAnsi="宋体"/>
                <w:color w:val="auto"/>
                <w:szCs w:val="21"/>
              </w:rPr>
            </w:pPr>
          </w:p>
        </w:tc>
        <w:tc>
          <w:tcPr>
            <w:tcW w:w="1319" w:type="dxa"/>
            <w:noWrap w:val="0"/>
            <w:vAlign w:val="top"/>
          </w:tcPr>
          <w:p w14:paraId="61F974C4">
            <w:pPr>
              <w:autoSpaceDE w:val="0"/>
              <w:autoSpaceDN w:val="0"/>
              <w:adjustRightInd w:val="0"/>
              <w:spacing w:line="360" w:lineRule="auto"/>
              <w:rPr>
                <w:rFonts w:ascii="宋体" w:hAnsi="宋体"/>
                <w:color w:val="auto"/>
                <w:szCs w:val="21"/>
              </w:rPr>
            </w:pPr>
          </w:p>
        </w:tc>
        <w:tc>
          <w:tcPr>
            <w:tcW w:w="932" w:type="dxa"/>
            <w:noWrap w:val="0"/>
            <w:vAlign w:val="top"/>
          </w:tcPr>
          <w:p w14:paraId="0F6B54CD">
            <w:pPr>
              <w:autoSpaceDE w:val="0"/>
              <w:autoSpaceDN w:val="0"/>
              <w:adjustRightInd w:val="0"/>
              <w:spacing w:line="360" w:lineRule="auto"/>
              <w:rPr>
                <w:rFonts w:ascii="宋体" w:hAnsi="宋体"/>
                <w:color w:val="auto"/>
                <w:szCs w:val="21"/>
              </w:rPr>
            </w:pPr>
          </w:p>
        </w:tc>
        <w:tc>
          <w:tcPr>
            <w:tcW w:w="932" w:type="dxa"/>
            <w:noWrap w:val="0"/>
            <w:vAlign w:val="top"/>
          </w:tcPr>
          <w:p w14:paraId="6B9F4F5D">
            <w:pPr>
              <w:autoSpaceDE w:val="0"/>
              <w:autoSpaceDN w:val="0"/>
              <w:adjustRightInd w:val="0"/>
              <w:spacing w:line="360" w:lineRule="auto"/>
              <w:rPr>
                <w:rFonts w:ascii="宋体" w:hAnsi="宋体"/>
                <w:color w:val="auto"/>
                <w:szCs w:val="21"/>
              </w:rPr>
            </w:pPr>
          </w:p>
        </w:tc>
        <w:tc>
          <w:tcPr>
            <w:tcW w:w="1256" w:type="dxa"/>
            <w:noWrap w:val="0"/>
            <w:vAlign w:val="top"/>
          </w:tcPr>
          <w:p w14:paraId="190BB03C">
            <w:pPr>
              <w:autoSpaceDE w:val="0"/>
              <w:autoSpaceDN w:val="0"/>
              <w:adjustRightInd w:val="0"/>
              <w:spacing w:line="360" w:lineRule="auto"/>
              <w:rPr>
                <w:rFonts w:ascii="宋体" w:hAnsi="宋体"/>
                <w:color w:val="auto"/>
                <w:szCs w:val="21"/>
              </w:rPr>
            </w:pPr>
          </w:p>
        </w:tc>
        <w:tc>
          <w:tcPr>
            <w:tcW w:w="869" w:type="dxa"/>
            <w:noWrap w:val="0"/>
            <w:vAlign w:val="top"/>
          </w:tcPr>
          <w:p w14:paraId="48917DFC">
            <w:pPr>
              <w:autoSpaceDE w:val="0"/>
              <w:autoSpaceDN w:val="0"/>
              <w:adjustRightInd w:val="0"/>
              <w:spacing w:line="360" w:lineRule="auto"/>
              <w:rPr>
                <w:rFonts w:ascii="宋体" w:hAnsi="宋体"/>
                <w:color w:val="auto"/>
                <w:szCs w:val="21"/>
              </w:rPr>
            </w:pPr>
          </w:p>
        </w:tc>
        <w:tc>
          <w:tcPr>
            <w:tcW w:w="870" w:type="dxa"/>
            <w:noWrap w:val="0"/>
            <w:vAlign w:val="top"/>
          </w:tcPr>
          <w:p w14:paraId="54538D2A">
            <w:pPr>
              <w:autoSpaceDE w:val="0"/>
              <w:autoSpaceDN w:val="0"/>
              <w:adjustRightInd w:val="0"/>
              <w:spacing w:line="360" w:lineRule="auto"/>
              <w:rPr>
                <w:rFonts w:ascii="宋体" w:hAnsi="宋体"/>
                <w:color w:val="auto"/>
                <w:szCs w:val="21"/>
              </w:rPr>
            </w:pPr>
          </w:p>
        </w:tc>
        <w:tc>
          <w:tcPr>
            <w:tcW w:w="870" w:type="dxa"/>
            <w:noWrap w:val="0"/>
            <w:vAlign w:val="top"/>
          </w:tcPr>
          <w:p w14:paraId="5FC16A41">
            <w:pPr>
              <w:autoSpaceDE w:val="0"/>
              <w:autoSpaceDN w:val="0"/>
              <w:adjustRightInd w:val="0"/>
              <w:spacing w:line="360" w:lineRule="auto"/>
              <w:rPr>
                <w:rFonts w:ascii="宋体" w:hAnsi="宋体"/>
                <w:color w:val="auto"/>
                <w:szCs w:val="21"/>
              </w:rPr>
            </w:pPr>
          </w:p>
        </w:tc>
        <w:tc>
          <w:tcPr>
            <w:tcW w:w="870" w:type="dxa"/>
            <w:noWrap w:val="0"/>
            <w:vAlign w:val="top"/>
          </w:tcPr>
          <w:p w14:paraId="7E999902">
            <w:pPr>
              <w:autoSpaceDE w:val="0"/>
              <w:autoSpaceDN w:val="0"/>
              <w:adjustRightInd w:val="0"/>
              <w:spacing w:line="360" w:lineRule="auto"/>
              <w:rPr>
                <w:rFonts w:ascii="宋体" w:hAnsi="宋体"/>
                <w:color w:val="auto"/>
                <w:szCs w:val="21"/>
              </w:rPr>
            </w:pPr>
          </w:p>
        </w:tc>
        <w:tc>
          <w:tcPr>
            <w:tcW w:w="985" w:type="dxa"/>
            <w:noWrap w:val="0"/>
            <w:vAlign w:val="top"/>
          </w:tcPr>
          <w:p w14:paraId="6BC0E2E6">
            <w:pPr>
              <w:autoSpaceDE w:val="0"/>
              <w:autoSpaceDN w:val="0"/>
              <w:adjustRightInd w:val="0"/>
              <w:spacing w:line="360" w:lineRule="auto"/>
              <w:rPr>
                <w:rFonts w:ascii="宋体" w:hAnsi="宋体"/>
                <w:color w:val="auto"/>
                <w:szCs w:val="21"/>
              </w:rPr>
            </w:pPr>
          </w:p>
        </w:tc>
        <w:tc>
          <w:tcPr>
            <w:tcW w:w="960" w:type="dxa"/>
            <w:noWrap w:val="0"/>
            <w:vAlign w:val="top"/>
          </w:tcPr>
          <w:p w14:paraId="1DBC5BFD">
            <w:pPr>
              <w:autoSpaceDE w:val="0"/>
              <w:autoSpaceDN w:val="0"/>
              <w:adjustRightInd w:val="0"/>
              <w:spacing w:line="360" w:lineRule="auto"/>
              <w:rPr>
                <w:rFonts w:ascii="宋体" w:hAnsi="宋体"/>
                <w:color w:val="auto"/>
                <w:szCs w:val="21"/>
              </w:rPr>
            </w:pPr>
          </w:p>
        </w:tc>
        <w:tc>
          <w:tcPr>
            <w:tcW w:w="2803" w:type="dxa"/>
            <w:noWrap w:val="0"/>
            <w:vAlign w:val="top"/>
          </w:tcPr>
          <w:p w14:paraId="5C16DD22">
            <w:pPr>
              <w:autoSpaceDE w:val="0"/>
              <w:autoSpaceDN w:val="0"/>
              <w:adjustRightInd w:val="0"/>
              <w:spacing w:line="360" w:lineRule="auto"/>
              <w:rPr>
                <w:rFonts w:ascii="宋体" w:hAnsi="宋体"/>
                <w:color w:val="auto"/>
                <w:szCs w:val="21"/>
              </w:rPr>
            </w:pPr>
          </w:p>
        </w:tc>
        <w:tc>
          <w:tcPr>
            <w:tcW w:w="764" w:type="dxa"/>
            <w:noWrap w:val="0"/>
            <w:vAlign w:val="top"/>
          </w:tcPr>
          <w:p w14:paraId="0F72C6FE">
            <w:pPr>
              <w:autoSpaceDE w:val="0"/>
              <w:autoSpaceDN w:val="0"/>
              <w:adjustRightInd w:val="0"/>
              <w:spacing w:line="360" w:lineRule="auto"/>
              <w:rPr>
                <w:rFonts w:ascii="宋体" w:hAnsi="宋体"/>
                <w:color w:val="auto"/>
                <w:szCs w:val="21"/>
              </w:rPr>
            </w:pPr>
          </w:p>
        </w:tc>
      </w:tr>
      <w:tr w14:paraId="0189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1" w:type="dxa"/>
            <w:noWrap w:val="0"/>
            <w:vAlign w:val="top"/>
          </w:tcPr>
          <w:p w14:paraId="085F4F71">
            <w:pPr>
              <w:autoSpaceDE w:val="0"/>
              <w:autoSpaceDN w:val="0"/>
              <w:adjustRightInd w:val="0"/>
              <w:spacing w:line="360" w:lineRule="auto"/>
              <w:rPr>
                <w:rFonts w:ascii="宋体" w:hAnsi="宋体"/>
                <w:color w:val="auto"/>
                <w:szCs w:val="21"/>
              </w:rPr>
            </w:pPr>
          </w:p>
        </w:tc>
        <w:tc>
          <w:tcPr>
            <w:tcW w:w="1319" w:type="dxa"/>
            <w:noWrap w:val="0"/>
            <w:vAlign w:val="top"/>
          </w:tcPr>
          <w:p w14:paraId="4991DCB5">
            <w:pPr>
              <w:autoSpaceDE w:val="0"/>
              <w:autoSpaceDN w:val="0"/>
              <w:adjustRightInd w:val="0"/>
              <w:spacing w:line="360" w:lineRule="auto"/>
              <w:rPr>
                <w:rFonts w:ascii="宋体" w:hAnsi="宋体"/>
                <w:color w:val="auto"/>
                <w:szCs w:val="21"/>
              </w:rPr>
            </w:pPr>
          </w:p>
        </w:tc>
        <w:tc>
          <w:tcPr>
            <w:tcW w:w="932" w:type="dxa"/>
            <w:noWrap w:val="0"/>
            <w:vAlign w:val="top"/>
          </w:tcPr>
          <w:p w14:paraId="78E1F5EF">
            <w:pPr>
              <w:autoSpaceDE w:val="0"/>
              <w:autoSpaceDN w:val="0"/>
              <w:adjustRightInd w:val="0"/>
              <w:spacing w:line="360" w:lineRule="auto"/>
              <w:rPr>
                <w:rFonts w:ascii="宋体" w:hAnsi="宋体"/>
                <w:color w:val="auto"/>
                <w:szCs w:val="21"/>
              </w:rPr>
            </w:pPr>
          </w:p>
        </w:tc>
        <w:tc>
          <w:tcPr>
            <w:tcW w:w="932" w:type="dxa"/>
            <w:noWrap w:val="0"/>
            <w:vAlign w:val="top"/>
          </w:tcPr>
          <w:p w14:paraId="71194ED2">
            <w:pPr>
              <w:autoSpaceDE w:val="0"/>
              <w:autoSpaceDN w:val="0"/>
              <w:adjustRightInd w:val="0"/>
              <w:spacing w:line="360" w:lineRule="auto"/>
              <w:rPr>
                <w:rFonts w:ascii="宋体" w:hAnsi="宋体"/>
                <w:color w:val="auto"/>
                <w:szCs w:val="21"/>
              </w:rPr>
            </w:pPr>
          </w:p>
        </w:tc>
        <w:tc>
          <w:tcPr>
            <w:tcW w:w="1256" w:type="dxa"/>
            <w:noWrap w:val="0"/>
            <w:vAlign w:val="top"/>
          </w:tcPr>
          <w:p w14:paraId="2198ADE3">
            <w:pPr>
              <w:autoSpaceDE w:val="0"/>
              <w:autoSpaceDN w:val="0"/>
              <w:adjustRightInd w:val="0"/>
              <w:spacing w:line="360" w:lineRule="auto"/>
              <w:rPr>
                <w:rFonts w:ascii="宋体" w:hAnsi="宋体"/>
                <w:color w:val="auto"/>
                <w:szCs w:val="21"/>
              </w:rPr>
            </w:pPr>
          </w:p>
        </w:tc>
        <w:tc>
          <w:tcPr>
            <w:tcW w:w="869" w:type="dxa"/>
            <w:noWrap w:val="0"/>
            <w:vAlign w:val="top"/>
          </w:tcPr>
          <w:p w14:paraId="01E957D7">
            <w:pPr>
              <w:autoSpaceDE w:val="0"/>
              <w:autoSpaceDN w:val="0"/>
              <w:adjustRightInd w:val="0"/>
              <w:spacing w:line="360" w:lineRule="auto"/>
              <w:rPr>
                <w:rFonts w:ascii="宋体" w:hAnsi="宋体"/>
                <w:color w:val="auto"/>
                <w:szCs w:val="21"/>
              </w:rPr>
            </w:pPr>
          </w:p>
        </w:tc>
        <w:tc>
          <w:tcPr>
            <w:tcW w:w="870" w:type="dxa"/>
            <w:noWrap w:val="0"/>
            <w:vAlign w:val="top"/>
          </w:tcPr>
          <w:p w14:paraId="472900FF">
            <w:pPr>
              <w:autoSpaceDE w:val="0"/>
              <w:autoSpaceDN w:val="0"/>
              <w:adjustRightInd w:val="0"/>
              <w:spacing w:line="360" w:lineRule="auto"/>
              <w:rPr>
                <w:rFonts w:ascii="宋体" w:hAnsi="宋体"/>
                <w:color w:val="auto"/>
                <w:szCs w:val="21"/>
              </w:rPr>
            </w:pPr>
          </w:p>
        </w:tc>
        <w:tc>
          <w:tcPr>
            <w:tcW w:w="870" w:type="dxa"/>
            <w:noWrap w:val="0"/>
            <w:vAlign w:val="top"/>
          </w:tcPr>
          <w:p w14:paraId="2C987F35">
            <w:pPr>
              <w:autoSpaceDE w:val="0"/>
              <w:autoSpaceDN w:val="0"/>
              <w:adjustRightInd w:val="0"/>
              <w:spacing w:line="360" w:lineRule="auto"/>
              <w:rPr>
                <w:rFonts w:ascii="宋体" w:hAnsi="宋体"/>
                <w:color w:val="auto"/>
                <w:szCs w:val="21"/>
              </w:rPr>
            </w:pPr>
          </w:p>
        </w:tc>
        <w:tc>
          <w:tcPr>
            <w:tcW w:w="870" w:type="dxa"/>
            <w:noWrap w:val="0"/>
            <w:vAlign w:val="top"/>
          </w:tcPr>
          <w:p w14:paraId="635EC2B2">
            <w:pPr>
              <w:autoSpaceDE w:val="0"/>
              <w:autoSpaceDN w:val="0"/>
              <w:adjustRightInd w:val="0"/>
              <w:spacing w:line="360" w:lineRule="auto"/>
              <w:rPr>
                <w:rFonts w:ascii="宋体" w:hAnsi="宋体"/>
                <w:color w:val="auto"/>
                <w:szCs w:val="21"/>
              </w:rPr>
            </w:pPr>
          </w:p>
        </w:tc>
        <w:tc>
          <w:tcPr>
            <w:tcW w:w="985" w:type="dxa"/>
            <w:noWrap w:val="0"/>
            <w:vAlign w:val="top"/>
          </w:tcPr>
          <w:p w14:paraId="43712F98">
            <w:pPr>
              <w:autoSpaceDE w:val="0"/>
              <w:autoSpaceDN w:val="0"/>
              <w:adjustRightInd w:val="0"/>
              <w:spacing w:line="360" w:lineRule="auto"/>
              <w:rPr>
                <w:rFonts w:ascii="宋体" w:hAnsi="宋体"/>
                <w:color w:val="auto"/>
                <w:szCs w:val="21"/>
              </w:rPr>
            </w:pPr>
          </w:p>
        </w:tc>
        <w:tc>
          <w:tcPr>
            <w:tcW w:w="960" w:type="dxa"/>
            <w:noWrap w:val="0"/>
            <w:vAlign w:val="top"/>
          </w:tcPr>
          <w:p w14:paraId="28E27F8C">
            <w:pPr>
              <w:autoSpaceDE w:val="0"/>
              <w:autoSpaceDN w:val="0"/>
              <w:adjustRightInd w:val="0"/>
              <w:spacing w:line="360" w:lineRule="auto"/>
              <w:rPr>
                <w:rFonts w:ascii="宋体" w:hAnsi="宋体"/>
                <w:color w:val="auto"/>
                <w:szCs w:val="21"/>
              </w:rPr>
            </w:pPr>
          </w:p>
        </w:tc>
        <w:tc>
          <w:tcPr>
            <w:tcW w:w="2803" w:type="dxa"/>
            <w:noWrap w:val="0"/>
            <w:vAlign w:val="top"/>
          </w:tcPr>
          <w:p w14:paraId="5CC74E1E">
            <w:pPr>
              <w:autoSpaceDE w:val="0"/>
              <w:autoSpaceDN w:val="0"/>
              <w:adjustRightInd w:val="0"/>
              <w:spacing w:line="360" w:lineRule="auto"/>
              <w:rPr>
                <w:rFonts w:ascii="宋体" w:hAnsi="宋体"/>
                <w:color w:val="auto"/>
                <w:szCs w:val="21"/>
              </w:rPr>
            </w:pPr>
          </w:p>
        </w:tc>
        <w:tc>
          <w:tcPr>
            <w:tcW w:w="764" w:type="dxa"/>
            <w:noWrap w:val="0"/>
            <w:vAlign w:val="top"/>
          </w:tcPr>
          <w:p w14:paraId="63A7DBC3">
            <w:pPr>
              <w:autoSpaceDE w:val="0"/>
              <w:autoSpaceDN w:val="0"/>
              <w:adjustRightInd w:val="0"/>
              <w:spacing w:line="360" w:lineRule="auto"/>
              <w:rPr>
                <w:rFonts w:ascii="宋体" w:hAnsi="宋体"/>
                <w:color w:val="auto"/>
                <w:szCs w:val="21"/>
              </w:rPr>
            </w:pPr>
          </w:p>
        </w:tc>
      </w:tr>
    </w:tbl>
    <w:p w14:paraId="335D0666">
      <w:pPr>
        <w:autoSpaceDE w:val="0"/>
        <w:autoSpaceDN w:val="0"/>
        <w:adjustRightInd w:val="0"/>
        <w:spacing w:line="360" w:lineRule="auto"/>
        <w:rPr>
          <w:rFonts w:hint="eastAsia" w:ascii="宋体" w:hAnsi="宋体"/>
          <w:color w:val="auto"/>
          <w:szCs w:val="21"/>
        </w:rPr>
      </w:pPr>
      <w:r>
        <w:rPr>
          <w:rFonts w:hint="eastAsia" w:ascii="宋体" w:hAnsi="宋体"/>
          <w:color w:val="auto"/>
          <w:szCs w:val="21"/>
        </w:rPr>
        <w:t>说明：1. 货物分项必须与采购需求表中货物分项一致。</w:t>
      </w:r>
    </w:p>
    <w:p w14:paraId="30C4905A">
      <w:pPr>
        <w:autoSpaceDE w:val="0"/>
        <w:autoSpaceDN w:val="0"/>
        <w:adjustRightInd w:val="0"/>
        <w:spacing w:line="360" w:lineRule="auto"/>
        <w:ind w:firstLine="630" w:firstLineChars="300"/>
        <w:rPr>
          <w:rFonts w:hint="eastAsia" w:ascii="宋体" w:hAnsi="宋体"/>
          <w:bCs/>
          <w:color w:val="auto"/>
          <w:szCs w:val="21"/>
        </w:rPr>
      </w:pPr>
      <w:r>
        <w:rPr>
          <w:rFonts w:hint="eastAsia" w:ascii="宋体" w:hAnsi="宋体"/>
          <w:color w:val="auto"/>
          <w:szCs w:val="21"/>
        </w:rPr>
        <w:t xml:space="preserve">2. </w:t>
      </w:r>
      <w:r>
        <w:rPr>
          <w:rFonts w:hint="eastAsia" w:ascii="宋体" w:hAnsi="宋体"/>
          <w:bCs/>
          <w:color w:val="auto"/>
          <w:szCs w:val="21"/>
        </w:rPr>
        <w:t>设备规格参数如有详细描述可另作说明。</w:t>
      </w:r>
    </w:p>
    <w:p w14:paraId="6AAE782B">
      <w:pPr>
        <w:autoSpaceDE w:val="0"/>
        <w:autoSpaceDN w:val="0"/>
        <w:adjustRightInd w:val="0"/>
        <w:spacing w:line="360" w:lineRule="auto"/>
        <w:ind w:firstLine="630" w:firstLineChars="300"/>
        <w:rPr>
          <w:rFonts w:hint="eastAsia"/>
          <w:color w:val="auto"/>
        </w:rPr>
      </w:pPr>
      <w:r>
        <w:rPr>
          <w:rFonts w:hint="eastAsia" w:ascii="宋体" w:hAnsi="宋体"/>
          <w:bCs/>
          <w:color w:val="auto"/>
          <w:szCs w:val="21"/>
        </w:rPr>
        <w:t>3. 投标人可对该产品的特性和优点作详细的文字说明。</w:t>
      </w:r>
    </w:p>
    <w:p w14:paraId="21E7239D">
      <w:pPr>
        <w:spacing w:line="480" w:lineRule="exact"/>
        <w:ind w:firstLine="8610" w:firstLineChars="4100"/>
        <w:rPr>
          <w:rFonts w:hint="eastAsia" w:ascii="宋体" w:hAnsi="宋体"/>
          <w:bCs/>
          <w:color w:val="auto"/>
          <w:szCs w:val="21"/>
        </w:rPr>
      </w:pPr>
      <w:r>
        <w:rPr>
          <w:rFonts w:hint="eastAsia" w:ascii="宋体" w:hAnsi="宋体" w:cs="微软雅黑"/>
          <w:color w:val="auto"/>
          <w:kern w:val="0"/>
          <w:szCs w:val="21"/>
        </w:rPr>
        <w:t>投 标 人</w:t>
      </w:r>
      <w:r>
        <w:rPr>
          <w:rFonts w:hint="eastAsia" w:ascii="宋体" w:hAnsi="宋体"/>
          <w:bCs/>
          <w:color w:val="auto"/>
          <w:szCs w:val="21"/>
        </w:rPr>
        <w:t>：</w:t>
      </w:r>
      <w:r>
        <w:rPr>
          <w:rFonts w:hint="eastAsia" w:ascii="宋体" w:hAnsi="宋体"/>
          <w:bCs/>
          <w:color w:val="auto"/>
          <w:szCs w:val="21"/>
          <w:u w:val="single"/>
        </w:rPr>
        <w:t xml:space="preserve">                      </w:t>
      </w:r>
      <w:r>
        <w:rPr>
          <w:rFonts w:hint="eastAsia" w:ascii="宋体" w:hAnsi="宋体"/>
          <w:bCs/>
          <w:color w:val="auto"/>
          <w:szCs w:val="21"/>
        </w:rPr>
        <w:t>（盖章）</w:t>
      </w:r>
    </w:p>
    <w:p w14:paraId="2BFB7BC0">
      <w:pPr>
        <w:spacing w:line="480" w:lineRule="exact"/>
        <w:ind w:firstLine="8610" w:firstLineChars="4100"/>
        <w:rPr>
          <w:rFonts w:hint="eastAsia" w:ascii="宋体" w:hAnsi="宋体"/>
          <w:bCs/>
          <w:color w:val="auto"/>
          <w:szCs w:val="21"/>
        </w:rPr>
      </w:pPr>
      <w:r>
        <w:rPr>
          <w:rFonts w:hint="eastAsia" w:ascii="宋体" w:hAnsi="宋体"/>
          <w:bCs/>
          <w:color w:val="auto"/>
          <w:szCs w:val="21"/>
        </w:rPr>
        <w:t>法定代表人或其委托代理人：</w:t>
      </w: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签字或盖章</w:t>
      </w:r>
      <w:r>
        <w:rPr>
          <w:rFonts w:hint="eastAsia" w:ascii="宋体" w:hAnsi="宋体"/>
          <w:bCs/>
          <w:color w:val="auto"/>
          <w:szCs w:val="21"/>
        </w:rPr>
        <w:t>）</w:t>
      </w:r>
    </w:p>
    <w:p w14:paraId="690E352F">
      <w:pPr>
        <w:tabs>
          <w:tab w:val="left" w:pos="5380"/>
          <w:tab w:val="left" w:pos="6520"/>
          <w:tab w:val="left" w:pos="7680"/>
        </w:tabs>
        <w:autoSpaceDE w:val="0"/>
        <w:autoSpaceDN w:val="0"/>
        <w:adjustRightInd w:val="0"/>
        <w:spacing w:line="380" w:lineRule="exact"/>
        <w:ind w:right="-23" w:firstLine="9660" w:firstLineChars="4600"/>
        <w:jc w:val="left"/>
        <w:rPr>
          <w:rFonts w:hint="eastAsia" w:ascii="宋体" w:hAnsi="宋体" w:cs="宋体"/>
          <w:bCs/>
          <w:color w:val="auto"/>
          <w:kern w:val="0"/>
          <w:szCs w:val="21"/>
        </w:rPr>
      </w:pPr>
      <w:r>
        <w:rPr>
          <w:rFonts w:hint="eastAsia" w:ascii="宋体" w:hAnsi="宋体" w:cs="宋体"/>
          <w:bCs/>
          <w:color w:val="auto"/>
          <w:kern w:val="0"/>
          <w:szCs w:val="21"/>
          <w:u w:val="single"/>
        </w:rPr>
        <w:t xml:space="preserve">     </w:t>
      </w:r>
      <w:r>
        <w:rPr>
          <w:rFonts w:hint="eastAsia" w:ascii="宋体" w:hAnsi="宋体" w:cs="宋体"/>
          <w:bCs/>
          <w:color w:val="auto"/>
          <w:spacing w:val="43"/>
          <w:kern w:val="0"/>
          <w:szCs w:val="21"/>
          <w:u w:val="single"/>
        </w:rPr>
        <w:t xml:space="preserve"> </w:t>
      </w:r>
      <w:r>
        <w:rPr>
          <w:rFonts w:hint="eastAsia" w:ascii="宋体" w:hAnsi="宋体" w:cs="宋体"/>
          <w:bCs/>
          <w:color w:val="auto"/>
          <w:kern w:val="0"/>
          <w:szCs w:val="21"/>
        </w:rPr>
        <w:t>年</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月</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日</w:t>
      </w:r>
    </w:p>
    <w:p w14:paraId="38182693">
      <w:pPr>
        <w:autoSpaceDE w:val="0"/>
        <w:autoSpaceDN w:val="0"/>
        <w:adjustRightInd w:val="0"/>
        <w:spacing w:line="360" w:lineRule="auto"/>
        <w:rPr>
          <w:rFonts w:ascii="宋体" w:hAnsi="宋体"/>
          <w:b/>
          <w:bCs/>
          <w:color w:val="auto"/>
          <w:szCs w:val="21"/>
        </w:rPr>
        <w:sectPr>
          <w:pgSz w:w="16838" w:h="11906" w:orient="landscape"/>
          <w:pgMar w:top="1246" w:right="1440" w:bottom="1402" w:left="1440" w:header="851" w:footer="992" w:gutter="0"/>
          <w:cols w:space="720" w:num="1"/>
          <w:docGrid w:type="linesAndChars" w:linePitch="312" w:charSpace="0"/>
        </w:sectPr>
      </w:pPr>
    </w:p>
    <w:p w14:paraId="38CA7462">
      <w:pPr>
        <w:rPr>
          <w:rFonts w:ascii="宋体" w:hAnsi="宋体"/>
          <w:color w:val="auto"/>
          <w:szCs w:val="21"/>
        </w:rPr>
      </w:pPr>
    </w:p>
    <w:p w14:paraId="48F14643">
      <w:pPr>
        <w:pStyle w:val="3"/>
        <w:numPr>
          <w:ilvl w:val="0"/>
          <w:numId w:val="46"/>
        </w:numPr>
        <w:tabs>
          <w:tab w:val="left" w:pos="840"/>
        </w:tabs>
        <w:jc w:val="center"/>
        <w:rPr>
          <w:rFonts w:hint="eastAsia" w:ascii="宋体" w:hAnsi="宋体"/>
          <w:color w:val="auto"/>
          <w:szCs w:val="24"/>
        </w:rPr>
      </w:pPr>
      <w:bookmarkStart w:id="525" w:name="_Toc24548"/>
      <w:r>
        <w:rPr>
          <w:rFonts w:hint="eastAsia" w:ascii="宋体" w:hAnsi="宋体"/>
          <w:color w:val="auto"/>
          <w:szCs w:val="24"/>
        </w:rPr>
        <w:t>商务和技术偏差表</w:t>
      </w:r>
      <w:bookmarkEnd w:id="525"/>
    </w:p>
    <w:p w14:paraId="0C6263CF">
      <w:pPr>
        <w:pStyle w:val="27"/>
        <w:jc w:val="center"/>
        <w:rPr>
          <w:rFonts w:hint="eastAsia" w:ascii="宋体" w:hAnsi="宋体" w:eastAsia="宋体" w:cs="宋体"/>
          <w:b/>
          <w:bCs/>
          <w:color w:val="auto"/>
          <w:kern w:val="0"/>
          <w:sz w:val="24"/>
          <w:szCs w:val="24"/>
        </w:rPr>
      </w:pPr>
    </w:p>
    <w:p w14:paraId="20F208A1">
      <w:pPr>
        <w:pStyle w:val="4"/>
        <w:jc w:val="center"/>
        <w:rPr>
          <w:rFonts w:hint="eastAsia"/>
          <w:color w:val="auto"/>
          <w:sz w:val="24"/>
          <w:szCs w:val="24"/>
        </w:rPr>
      </w:pPr>
      <w:r>
        <w:rPr>
          <w:rFonts w:hint="eastAsia"/>
          <w:color w:val="auto"/>
          <w:sz w:val="24"/>
          <w:szCs w:val="24"/>
        </w:rPr>
        <w:t>（一）技术偏差表</w:t>
      </w:r>
    </w:p>
    <w:tbl>
      <w:tblPr>
        <w:tblStyle w:val="29"/>
        <w:tblpPr w:leftFromText="180" w:rightFromText="180" w:vertAnchor="text" w:horzAnchor="page" w:tblpXSpec="center" w:tblpY="661"/>
        <w:tblOverlap w:val="never"/>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2"/>
        <w:gridCol w:w="1138"/>
        <w:gridCol w:w="2511"/>
        <w:gridCol w:w="2427"/>
        <w:gridCol w:w="1745"/>
      </w:tblGrid>
      <w:tr w14:paraId="79571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2" w:type="pct"/>
            <w:noWrap w:val="0"/>
            <w:vAlign w:val="center"/>
          </w:tcPr>
          <w:p w14:paraId="7338E400">
            <w:pPr>
              <w:snapToGrid w:val="0"/>
              <w:spacing w:before="312" w:beforeLines="100" w:after="312" w:afterLines="100" w:line="360" w:lineRule="auto"/>
              <w:jc w:val="center"/>
              <w:rPr>
                <w:rFonts w:hint="eastAsia" w:ascii="宋体" w:hAnsi="宋体" w:cs="宋体"/>
                <w:color w:val="auto"/>
                <w:szCs w:val="21"/>
              </w:rPr>
            </w:pPr>
            <w:r>
              <w:rPr>
                <w:rFonts w:hint="eastAsia" w:ascii="宋体" w:hAnsi="宋体" w:cs="宋体"/>
                <w:color w:val="auto"/>
                <w:szCs w:val="21"/>
              </w:rPr>
              <w:t>序号</w:t>
            </w:r>
          </w:p>
        </w:tc>
        <w:tc>
          <w:tcPr>
            <w:tcW w:w="667" w:type="pct"/>
            <w:noWrap w:val="0"/>
            <w:vAlign w:val="center"/>
          </w:tcPr>
          <w:p w14:paraId="79F166E9">
            <w:pPr>
              <w:snapToGrid w:val="0"/>
              <w:spacing w:before="156" w:beforeLines="50" w:after="156" w:afterLines="50" w:line="360" w:lineRule="auto"/>
              <w:jc w:val="center"/>
              <w:rPr>
                <w:rFonts w:hint="eastAsia" w:ascii="宋体" w:hAnsi="宋体" w:cs="宋体"/>
                <w:color w:val="auto"/>
                <w:szCs w:val="21"/>
              </w:rPr>
            </w:pPr>
            <w:r>
              <w:rPr>
                <w:rFonts w:hint="eastAsia" w:ascii="宋体" w:hAnsi="宋体" w:cs="宋体"/>
                <w:color w:val="auto"/>
                <w:szCs w:val="21"/>
              </w:rPr>
              <w:t>招标文件条款号</w:t>
            </w:r>
          </w:p>
        </w:tc>
        <w:tc>
          <w:tcPr>
            <w:tcW w:w="1472" w:type="pct"/>
            <w:noWrap w:val="0"/>
            <w:vAlign w:val="center"/>
          </w:tcPr>
          <w:p w14:paraId="4D18482D">
            <w:pPr>
              <w:snapToGrid w:val="0"/>
              <w:spacing w:before="156" w:beforeLines="50" w:after="156" w:afterLines="50" w:line="360" w:lineRule="auto"/>
              <w:jc w:val="center"/>
              <w:rPr>
                <w:rFonts w:hint="eastAsia" w:ascii="宋体" w:hAnsi="宋体" w:cs="宋体"/>
                <w:color w:val="auto"/>
                <w:szCs w:val="21"/>
              </w:rPr>
            </w:pPr>
            <w:r>
              <w:rPr>
                <w:rFonts w:hint="eastAsia" w:ascii="宋体" w:hAnsi="宋体" w:cs="宋体"/>
                <w:color w:val="auto"/>
                <w:szCs w:val="21"/>
              </w:rPr>
              <w:t>招标文件技术需求</w:t>
            </w:r>
          </w:p>
        </w:tc>
        <w:tc>
          <w:tcPr>
            <w:tcW w:w="1423" w:type="pct"/>
            <w:noWrap w:val="0"/>
            <w:vAlign w:val="center"/>
          </w:tcPr>
          <w:p w14:paraId="19CF6DB0">
            <w:pPr>
              <w:snapToGrid w:val="0"/>
              <w:spacing w:before="156" w:beforeLines="50" w:after="156" w:afterLines="50" w:line="360" w:lineRule="auto"/>
              <w:jc w:val="center"/>
              <w:rPr>
                <w:rFonts w:hint="eastAsia" w:ascii="宋体" w:hAnsi="宋体" w:cs="宋体"/>
                <w:b/>
                <w:color w:val="auto"/>
                <w:szCs w:val="21"/>
              </w:rPr>
            </w:pPr>
            <w:r>
              <w:rPr>
                <w:rFonts w:hint="eastAsia" w:ascii="宋体" w:hAnsi="宋体" w:cs="宋体"/>
                <w:color w:val="auto"/>
                <w:szCs w:val="21"/>
              </w:rPr>
              <w:t>投标文件响应技术需求说明书内容</w:t>
            </w:r>
            <w:r>
              <w:rPr>
                <w:rFonts w:hint="eastAsia" w:ascii="宋体" w:hAnsi="宋体" w:cs="宋体"/>
                <w:b/>
                <w:bCs/>
                <w:color w:val="auto"/>
                <w:szCs w:val="21"/>
              </w:rPr>
              <w:t>（投标人须逐条应答）</w:t>
            </w:r>
          </w:p>
        </w:tc>
        <w:tc>
          <w:tcPr>
            <w:tcW w:w="1023" w:type="pct"/>
            <w:noWrap w:val="0"/>
            <w:vAlign w:val="center"/>
          </w:tcPr>
          <w:p w14:paraId="61E79462">
            <w:pPr>
              <w:snapToGrid w:val="0"/>
              <w:spacing w:before="156" w:beforeLines="50" w:after="156" w:afterLines="50" w:line="360" w:lineRule="auto"/>
              <w:jc w:val="center"/>
              <w:rPr>
                <w:rFonts w:hint="eastAsia" w:ascii="宋体" w:hAnsi="宋体" w:cs="宋体"/>
                <w:color w:val="auto"/>
                <w:szCs w:val="21"/>
              </w:rPr>
            </w:pPr>
            <w:r>
              <w:rPr>
                <w:rFonts w:hint="eastAsia" w:ascii="宋体" w:hAnsi="宋体" w:cs="宋体"/>
                <w:color w:val="auto"/>
                <w:szCs w:val="21"/>
              </w:rPr>
              <w:t>偏差说明</w:t>
            </w:r>
          </w:p>
        </w:tc>
      </w:tr>
      <w:tr w14:paraId="09930C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2" w:type="pct"/>
            <w:noWrap w:val="0"/>
            <w:vAlign w:val="center"/>
          </w:tcPr>
          <w:p w14:paraId="78641F18">
            <w:pPr>
              <w:snapToGrid w:val="0"/>
              <w:spacing w:before="312" w:beforeLines="100" w:after="312" w:afterLines="100" w:line="360" w:lineRule="auto"/>
              <w:jc w:val="center"/>
              <w:rPr>
                <w:rFonts w:hint="eastAsia" w:ascii="宋体" w:hAnsi="宋体" w:cs="宋体"/>
                <w:color w:val="auto"/>
                <w:szCs w:val="21"/>
              </w:rPr>
            </w:pPr>
            <w:r>
              <w:rPr>
                <w:rFonts w:hint="eastAsia" w:ascii="宋体" w:hAnsi="宋体" w:cs="宋体"/>
                <w:color w:val="auto"/>
                <w:szCs w:val="21"/>
              </w:rPr>
              <w:t>1</w:t>
            </w:r>
          </w:p>
        </w:tc>
        <w:tc>
          <w:tcPr>
            <w:tcW w:w="667" w:type="pct"/>
            <w:noWrap w:val="0"/>
            <w:vAlign w:val="center"/>
          </w:tcPr>
          <w:p w14:paraId="09E0DDDB">
            <w:pPr>
              <w:spacing w:line="360" w:lineRule="auto"/>
              <w:jc w:val="center"/>
              <w:rPr>
                <w:rFonts w:hint="eastAsia" w:ascii="宋体" w:hAnsi="宋体" w:cs="宋体"/>
                <w:color w:val="auto"/>
                <w:szCs w:val="21"/>
              </w:rPr>
            </w:pPr>
          </w:p>
        </w:tc>
        <w:tc>
          <w:tcPr>
            <w:tcW w:w="1472" w:type="pct"/>
            <w:noWrap w:val="0"/>
            <w:vAlign w:val="center"/>
          </w:tcPr>
          <w:p w14:paraId="31520361">
            <w:pPr>
              <w:spacing w:line="360" w:lineRule="auto"/>
              <w:jc w:val="center"/>
              <w:rPr>
                <w:rFonts w:hint="eastAsia" w:ascii="宋体" w:hAnsi="宋体" w:cs="宋体"/>
                <w:color w:val="auto"/>
                <w:szCs w:val="21"/>
              </w:rPr>
            </w:pPr>
          </w:p>
        </w:tc>
        <w:tc>
          <w:tcPr>
            <w:tcW w:w="1423" w:type="pct"/>
            <w:noWrap w:val="0"/>
            <w:vAlign w:val="center"/>
          </w:tcPr>
          <w:p w14:paraId="64049DCE">
            <w:pPr>
              <w:spacing w:line="360" w:lineRule="auto"/>
              <w:jc w:val="center"/>
              <w:rPr>
                <w:rFonts w:hint="eastAsia" w:ascii="宋体" w:hAnsi="宋体" w:cs="宋体"/>
                <w:color w:val="auto"/>
                <w:szCs w:val="21"/>
              </w:rPr>
            </w:pPr>
          </w:p>
        </w:tc>
        <w:tc>
          <w:tcPr>
            <w:tcW w:w="1023" w:type="pct"/>
            <w:noWrap w:val="0"/>
            <w:vAlign w:val="center"/>
          </w:tcPr>
          <w:p w14:paraId="620C7037">
            <w:pPr>
              <w:spacing w:line="360" w:lineRule="auto"/>
              <w:jc w:val="center"/>
              <w:rPr>
                <w:rFonts w:hint="eastAsia" w:ascii="宋体" w:hAnsi="宋体" w:cs="宋体"/>
                <w:color w:val="auto"/>
                <w:szCs w:val="21"/>
              </w:rPr>
            </w:pPr>
          </w:p>
        </w:tc>
      </w:tr>
      <w:tr w14:paraId="6D9556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2" w:type="pct"/>
            <w:noWrap w:val="0"/>
            <w:vAlign w:val="center"/>
          </w:tcPr>
          <w:p w14:paraId="0346743D">
            <w:pPr>
              <w:snapToGrid w:val="0"/>
              <w:spacing w:before="312" w:beforeLines="100" w:after="312" w:afterLines="100" w:line="360" w:lineRule="auto"/>
              <w:jc w:val="center"/>
              <w:rPr>
                <w:rFonts w:hint="eastAsia" w:ascii="宋体" w:hAnsi="宋体" w:cs="宋体"/>
                <w:color w:val="auto"/>
                <w:szCs w:val="21"/>
              </w:rPr>
            </w:pPr>
            <w:r>
              <w:rPr>
                <w:rFonts w:hint="eastAsia" w:ascii="宋体" w:hAnsi="宋体" w:cs="宋体"/>
                <w:color w:val="auto"/>
                <w:szCs w:val="21"/>
              </w:rPr>
              <w:t>2</w:t>
            </w:r>
          </w:p>
        </w:tc>
        <w:tc>
          <w:tcPr>
            <w:tcW w:w="667" w:type="pct"/>
            <w:noWrap w:val="0"/>
            <w:vAlign w:val="center"/>
          </w:tcPr>
          <w:p w14:paraId="62AB1B8A">
            <w:pPr>
              <w:spacing w:line="360" w:lineRule="auto"/>
              <w:jc w:val="center"/>
              <w:rPr>
                <w:rFonts w:hint="eastAsia" w:ascii="宋体" w:hAnsi="宋体" w:cs="宋体"/>
                <w:color w:val="auto"/>
                <w:szCs w:val="21"/>
              </w:rPr>
            </w:pPr>
          </w:p>
        </w:tc>
        <w:tc>
          <w:tcPr>
            <w:tcW w:w="1472" w:type="pct"/>
            <w:noWrap w:val="0"/>
            <w:vAlign w:val="center"/>
          </w:tcPr>
          <w:p w14:paraId="522471EB">
            <w:pPr>
              <w:spacing w:line="360" w:lineRule="auto"/>
              <w:jc w:val="center"/>
              <w:rPr>
                <w:rFonts w:hint="eastAsia" w:ascii="宋体" w:hAnsi="宋体" w:cs="宋体"/>
                <w:color w:val="auto"/>
                <w:szCs w:val="21"/>
              </w:rPr>
            </w:pPr>
          </w:p>
        </w:tc>
        <w:tc>
          <w:tcPr>
            <w:tcW w:w="1423" w:type="pct"/>
            <w:noWrap w:val="0"/>
            <w:vAlign w:val="center"/>
          </w:tcPr>
          <w:p w14:paraId="24EB71E2">
            <w:pPr>
              <w:spacing w:line="360" w:lineRule="auto"/>
              <w:jc w:val="center"/>
              <w:rPr>
                <w:rFonts w:hint="eastAsia" w:ascii="宋体" w:hAnsi="宋体" w:cs="宋体"/>
                <w:color w:val="auto"/>
                <w:szCs w:val="21"/>
              </w:rPr>
            </w:pPr>
          </w:p>
        </w:tc>
        <w:tc>
          <w:tcPr>
            <w:tcW w:w="1023" w:type="pct"/>
            <w:noWrap w:val="0"/>
            <w:vAlign w:val="center"/>
          </w:tcPr>
          <w:p w14:paraId="02CD66FD">
            <w:pPr>
              <w:spacing w:line="360" w:lineRule="auto"/>
              <w:jc w:val="center"/>
              <w:rPr>
                <w:rFonts w:hint="eastAsia" w:ascii="宋体" w:hAnsi="宋体" w:cs="宋体"/>
                <w:color w:val="auto"/>
                <w:szCs w:val="21"/>
              </w:rPr>
            </w:pPr>
          </w:p>
        </w:tc>
      </w:tr>
      <w:tr w14:paraId="51A406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2" w:type="pct"/>
            <w:noWrap w:val="0"/>
            <w:vAlign w:val="center"/>
          </w:tcPr>
          <w:p w14:paraId="63B4200D">
            <w:pPr>
              <w:snapToGrid w:val="0"/>
              <w:spacing w:before="312" w:beforeLines="100" w:after="312" w:afterLines="100" w:line="360" w:lineRule="auto"/>
              <w:jc w:val="center"/>
              <w:rPr>
                <w:rFonts w:hint="eastAsia" w:ascii="宋体" w:hAnsi="宋体" w:cs="宋体"/>
                <w:color w:val="auto"/>
                <w:szCs w:val="21"/>
              </w:rPr>
            </w:pPr>
            <w:r>
              <w:rPr>
                <w:rFonts w:ascii="Arial" w:hAnsi="Arial" w:cs="Arial"/>
                <w:color w:val="auto"/>
                <w:szCs w:val="21"/>
              </w:rPr>
              <w:t>…</w:t>
            </w:r>
          </w:p>
        </w:tc>
        <w:tc>
          <w:tcPr>
            <w:tcW w:w="667" w:type="pct"/>
            <w:noWrap w:val="0"/>
            <w:vAlign w:val="center"/>
          </w:tcPr>
          <w:p w14:paraId="28CF00BB">
            <w:pPr>
              <w:spacing w:line="360" w:lineRule="auto"/>
              <w:jc w:val="center"/>
              <w:rPr>
                <w:rFonts w:hint="eastAsia" w:ascii="宋体" w:hAnsi="宋体" w:cs="宋体"/>
                <w:color w:val="auto"/>
                <w:szCs w:val="21"/>
              </w:rPr>
            </w:pPr>
          </w:p>
        </w:tc>
        <w:tc>
          <w:tcPr>
            <w:tcW w:w="1472" w:type="pct"/>
            <w:noWrap w:val="0"/>
            <w:vAlign w:val="center"/>
          </w:tcPr>
          <w:p w14:paraId="46EF8FAC">
            <w:pPr>
              <w:spacing w:line="360" w:lineRule="auto"/>
              <w:jc w:val="center"/>
              <w:rPr>
                <w:rFonts w:hint="eastAsia" w:ascii="宋体" w:hAnsi="宋体" w:cs="宋体"/>
                <w:color w:val="auto"/>
                <w:szCs w:val="21"/>
              </w:rPr>
            </w:pPr>
          </w:p>
        </w:tc>
        <w:tc>
          <w:tcPr>
            <w:tcW w:w="1423" w:type="pct"/>
            <w:noWrap w:val="0"/>
            <w:vAlign w:val="center"/>
          </w:tcPr>
          <w:p w14:paraId="3A091E59">
            <w:pPr>
              <w:spacing w:line="360" w:lineRule="auto"/>
              <w:jc w:val="center"/>
              <w:rPr>
                <w:rFonts w:hint="eastAsia" w:ascii="宋体" w:hAnsi="宋体" w:cs="宋体"/>
                <w:color w:val="auto"/>
                <w:szCs w:val="21"/>
              </w:rPr>
            </w:pPr>
          </w:p>
        </w:tc>
        <w:tc>
          <w:tcPr>
            <w:tcW w:w="1023" w:type="pct"/>
            <w:noWrap w:val="0"/>
            <w:vAlign w:val="center"/>
          </w:tcPr>
          <w:p w14:paraId="58C5D222">
            <w:pPr>
              <w:spacing w:line="360" w:lineRule="auto"/>
              <w:jc w:val="center"/>
              <w:rPr>
                <w:rFonts w:hint="eastAsia" w:ascii="宋体" w:hAnsi="宋体" w:cs="宋体"/>
                <w:color w:val="auto"/>
                <w:szCs w:val="21"/>
              </w:rPr>
            </w:pPr>
          </w:p>
        </w:tc>
      </w:tr>
    </w:tbl>
    <w:p w14:paraId="565C36A7">
      <w:pPr>
        <w:rPr>
          <w:rFonts w:hint="eastAsia" w:ascii="宋体" w:hAnsi="宋体"/>
          <w:color w:val="auto"/>
          <w:szCs w:val="21"/>
        </w:rPr>
      </w:pPr>
      <w:r>
        <w:rPr>
          <w:rFonts w:hint="eastAsia"/>
          <w:color w:val="auto"/>
        </w:rPr>
        <w:br w:type="textWrapping"/>
      </w:r>
    </w:p>
    <w:p w14:paraId="56EFE78C">
      <w:pPr>
        <w:rPr>
          <w:rFonts w:hint="eastAsia" w:ascii="宋体" w:hAnsi="宋体"/>
          <w:color w:val="auto"/>
          <w:szCs w:val="21"/>
        </w:rPr>
      </w:pPr>
    </w:p>
    <w:p w14:paraId="5964022C">
      <w:pPr>
        <w:pStyle w:val="43"/>
        <w:spacing w:after="0"/>
        <w:ind w:firstLine="480" w:firstLineChars="200"/>
        <w:rPr>
          <w:rFonts w:hint="eastAsia" w:ascii="宋体" w:hAnsi="宋体" w:cs="宋体"/>
          <w:color w:val="auto"/>
          <w:sz w:val="21"/>
          <w:szCs w:val="21"/>
        </w:rPr>
      </w:pPr>
      <w:r>
        <w:rPr>
          <w:rFonts w:hint="eastAsia" w:ascii="宋体" w:hAnsi="宋体"/>
          <w:color w:val="auto"/>
          <w:szCs w:val="21"/>
        </w:rPr>
        <w:t>注：</w:t>
      </w:r>
      <w:r>
        <w:rPr>
          <w:rFonts w:hint="eastAsia" w:ascii="宋体" w:hAnsi="宋体" w:cs="宋体"/>
          <w:color w:val="auto"/>
          <w:sz w:val="21"/>
          <w:szCs w:val="21"/>
        </w:rPr>
        <w:t>1. 投标人需按招标文件第六章“招标项目需求及技术要求”条款的要求逐条填写，应填写以“满足”或“不满足”等明示承诺开始，列出所投产品或服务的具体技术指标，并辅以详细解释。除“满足”项目外，必须在偏差说明一栏中对偏差予以详细说明。</w:t>
      </w:r>
    </w:p>
    <w:p w14:paraId="145A6BF2">
      <w:pPr>
        <w:pStyle w:val="43"/>
        <w:spacing w:after="0"/>
        <w:ind w:firstLine="420" w:firstLineChars="200"/>
        <w:rPr>
          <w:rFonts w:hint="eastAsia" w:ascii="宋体" w:hAnsi="宋体" w:cs="宋体"/>
          <w:color w:val="auto"/>
          <w:sz w:val="21"/>
          <w:szCs w:val="21"/>
        </w:rPr>
      </w:pPr>
      <w:r>
        <w:rPr>
          <w:rFonts w:hint="eastAsia" w:ascii="宋体" w:hAnsi="宋体" w:cs="宋体"/>
          <w:color w:val="auto"/>
          <w:sz w:val="21"/>
          <w:szCs w:val="21"/>
        </w:rPr>
        <w:t>2. 投标人可根据其投标内容进一步细化上述表格，并可增添其它表格或说明以便进一步明确投标内容。</w:t>
      </w:r>
    </w:p>
    <w:p w14:paraId="0855C47B">
      <w:pPr>
        <w:pStyle w:val="43"/>
        <w:spacing w:after="0"/>
        <w:ind w:firstLine="420" w:firstLineChars="200"/>
        <w:rPr>
          <w:rFonts w:hint="eastAsia" w:ascii="宋体" w:hAnsi="宋体"/>
          <w:color w:val="auto"/>
          <w:szCs w:val="21"/>
        </w:rPr>
      </w:pPr>
      <w:r>
        <w:rPr>
          <w:rFonts w:hint="eastAsia" w:ascii="宋体" w:hAnsi="宋体" w:cs="宋体"/>
          <w:color w:val="auto"/>
          <w:sz w:val="21"/>
          <w:szCs w:val="21"/>
        </w:rPr>
        <w:t>3.未按要求填写，可能会造成不良后果，投标人自行承担。</w:t>
      </w:r>
    </w:p>
    <w:p w14:paraId="166C4E21">
      <w:pPr>
        <w:pStyle w:val="27"/>
        <w:rPr>
          <w:rFonts w:hint="eastAsia"/>
          <w:color w:val="auto"/>
        </w:rPr>
      </w:pPr>
    </w:p>
    <w:p w14:paraId="6B989484">
      <w:pPr>
        <w:spacing w:line="480" w:lineRule="exact"/>
        <w:ind w:firstLine="3360" w:firstLineChars="1600"/>
        <w:rPr>
          <w:rFonts w:hint="eastAsia" w:ascii="宋体" w:hAnsi="宋体"/>
          <w:bCs/>
          <w:color w:val="auto"/>
          <w:szCs w:val="21"/>
        </w:rPr>
      </w:pPr>
      <w:r>
        <w:rPr>
          <w:rFonts w:hint="eastAsia" w:ascii="宋体" w:hAnsi="宋体" w:cs="微软雅黑"/>
          <w:color w:val="auto"/>
          <w:kern w:val="0"/>
          <w:szCs w:val="21"/>
        </w:rPr>
        <w:t>投 标 人</w:t>
      </w:r>
      <w:r>
        <w:rPr>
          <w:rFonts w:hint="eastAsia" w:ascii="宋体" w:hAnsi="宋体"/>
          <w:bCs/>
          <w:color w:val="auto"/>
          <w:szCs w:val="21"/>
        </w:rPr>
        <w:t>：</w:t>
      </w:r>
      <w:r>
        <w:rPr>
          <w:rFonts w:hint="eastAsia" w:ascii="宋体" w:hAnsi="宋体"/>
          <w:bCs/>
          <w:color w:val="auto"/>
          <w:szCs w:val="21"/>
          <w:u w:val="single"/>
        </w:rPr>
        <w:t xml:space="preserve">                      </w:t>
      </w:r>
      <w:r>
        <w:rPr>
          <w:rFonts w:hint="eastAsia" w:ascii="宋体" w:hAnsi="宋体"/>
          <w:bCs/>
          <w:color w:val="auto"/>
          <w:szCs w:val="21"/>
        </w:rPr>
        <w:t>（盖章）</w:t>
      </w:r>
    </w:p>
    <w:p w14:paraId="7738073A">
      <w:pPr>
        <w:spacing w:line="480" w:lineRule="exact"/>
        <w:ind w:firstLine="3360" w:firstLineChars="1600"/>
        <w:rPr>
          <w:rFonts w:hint="eastAsia" w:ascii="宋体" w:hAnsi="宋体"/>
          <w:bCs/>
          <w:color w:val="auto"/>
          <w:szCs w:val="21"/>
        </w:rPr>
      </w:pPr>
      <w:r>
        <w:rPr>
          <w:rFonts w:hint="eastAsia" w:ascii="宋体" w:hAnsi="宋体"/>
          <w:bCs/>
          <w:color w:val="auto"/>
          <w:szCs w:val="21"/>
        </w:rPr>
        <w:t>法定代表人或其委托代理人：</w:t>
      </w: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签字或盖章</w:t>
      </w:r>
      <w:r>
        <w:rPr>
          <w:rFonts w:hint="eastAsia" w:ascii="宋体" w:hAnsi="宋体"/>
          <w:bCs/>
          <w:color w:val="auto"/>
          <w:szCs w:val="21"/>
        </w:rPr>
        <w:t>）</w:t>
      </w:r>
    </w:p>
    <w:p w14:paraId="7E83487A">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rPr>
      </w:pPr>
      <w:r>
        <w:rPr>
          <w:rFonts w:hint="eastAsia" w:ascii="宋体" w:hAnsi="宋体" w:cs="宋体"/>
          <w:bCs/>
          <w:color w:val="auto"/>
          <w:kern w:val="0"/>
          <w:szCs w:val="21"/>
          <w:u w:val="single"/>
        </w:rPr>
        <w:t xml:space="preserve">     </w:t>
      </w:r>
      <w:r>
        <w:rPr>
          <w:rFonts w:hint="eastAsia" w:ascii="宋体" w:hAnsi="宋体" w:cs="宋体"/>
          <w:bCs/>
          <w:color w:val="auto"/>
          <w:spacing w:val="43"/>
          <w:kern w:val="0"/>
          <w:szCs w:val="21"/>
          <w:u w:val="single"/>
        </w:rPr>
        <w:t xml:space="preserve"> </w:t>
      </w:r>
      <w:r>
        <w:rPr>
          <w:rFonts w:hint="eastAsia" w:ascii="宋体" w:hAnsi="宋体" w:cs="宋体"/>
          <w:bCs/>
          <w:color w:val="auto"/>
          <w:kern w:val="0"/>
          <w:szCs w:val="21"/>
        </w:rPr>
        <w:t>年</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月</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日</w:t>
      </w:r>
    </w:p>
    <w:p w14:paraId="1B488B6B">
      <w:pPr>
        <w:pStyle w:val="4"/>
        <w:jc w:val="center"/>
        <w:rPr>
          <w:rFonts w:hint="eastAsia"/>
          <w:color w:val="auto"/>
        </w:rPr>
      </w:pPr>
      <w:r>
        <w:rPr>
          <w:rFonts w:hint="eastAsia"/>
          <w:color w:val="auto"/>
        </w:rPr>
        <w:br w:type="page"/>
      </w:r>
      <w:r>
        <w:rPr>
          <w:rFonts w:hint="eastAsia"/>
          <w:color w:val="auto"/>
          <w:sz w:val="24"/>
          <w:szCs w:val="24"/>
        </w:rPr>
        <w:t>（二）商务条款偏差表</w:t>
      </w:r>
    </w:p>
    <w:p w14:paraId="0B98DF0B">
      <w:pPr>
        <w:autoSpaceDE w:val="0"/>
        <w:autoSpaceDN w:val="0"/>
        <w:adjustRightInd w:val="0"/>
        <w:spacing w:before="5" w:line="200" w:lineRule="exact"/>
        <w:jc w:val="left"/>
        <w:rPr>
          <w:rFonts w:ascii="微软雅黑" w:eastAsia="微软雅黑" w:cs="微软雅黑"/>
          <w:color w:val="auto"/>
          <w:kern w:val="0"/>
          <w:sz w:val="20"/>
          <w:szCs w:val="20"/>
        </w:rPr>
      </w:pPr>
    </w:p>
    <w:p w14:paraId="2C88BBC7">
      <w:pPr>
        <w:autoSpaceDE w:val="0"/>
        <w:autoSpaceDN w:val="0"/>
        <w:adjustRightInd w:val="0"/>
        <w:spacing w:line="110" w:lineRule="exact"/>
        <w:jc w:val="left"/>
        <w:rPr>
          <w:color w:val="auto"/>
          <w:kern w:val="0"/>
          <w:sz w:val="11"/>
          <w:szCs w:val="11"/>
        </w:rPr>
      </w:pPr>
    </w:p>
    <w:tbl>
      <w:tblPr>
        <w:tblStyle w:val="29"/>
        <w:tblW w:w="877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86"/>
        <w:gridCol w:w="1392"/>
        <w:gridCol w:w="1553"/>
        <w:gridCol w:w="4338"/>
        <w:gridCol w:w="909"/>
      </w:tblGrid>
      <w:tr w14:paraId="02589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0" w:type="auto"/>
            <w:noWrap w:val="0"/>
            <w:vAlign w:val="center"/>
          </w:tcPr>
          <w:p w14:paraId="78BCA80B">
            <w:pPr>
              <w:spacing w:before="156" w:beforeLines="50" w:after="156" w:afterLines="50" w:line="360" w:lineRule="auto"/>
              <w:jc w:val="center"/>
              <w:rPr>
                <w:rFonts w:hint="eastAsia" w:ascii="宋体" w:hAnsi="宋体" w:cs="宋体"/>
                <w:color w:val="auto"/>
                <w:szCs w:val="21"/>
              </w:rPr>
            </w:pPr>
            <w:r>
              <w:rPr>
                <w:rFonts w:hint="eastAsia" w:ascii="宋体" w:hAnsi="宋体" w:cs="宋体"/>
                <w:color w:val="auto"/>
                <w:szCs w:val="21"/>
              </w:rPr>
              <w:t>序号</w:t>
            </w:r>
          </w:p>
        </w:tc>
        <w:tc>
          <w:tcPr>
            <w:tcW w:w="1392" w:type="dxa"/>
            <w:noWrap w:val="0"/>
            <w:vAlign w:val="center"/>
          </w:tcPr>
          <w:p w14:paraId="6A4B7245">
            <w:pPr>
              <w:spacing w:before="156" w:beforeLines="50" w:after="156" w:afterLines="50"/>
              <w:jc w:val="center"/>
              <w:rPr>
                <w:rFonts w:hint="eastAsia" w:ascii="宋体" w:hAnsi="宋体" w:cs="宋体"/>
                <w:color w:val="auto"/>
                <w:szCs w:val="21"/>
              </w:rPr>
            </w:pPr>
            <w:r>
              <w:rPr>
                <w:rFonts w:hint="eastAsia" w:ascii="宋体" w:hAnsi="宋体" w:cs="宋体"/>
                <w:color w:val="auto"/>
                <w:szCs w:val="21"/>
              </w:rPr>
              <w:t>招标文件条款号</w:t>
            </w:r>
          </w:p>
        </w:tc>
        <w:tc>
          <w:tcPr>
            <w:tcW w:w="1553" w:type="dxa"/>
            <w:noWrap w:val="0"/>
            <w:vAlign w:val="center"/>
          </w:tcPr>
          <w:p w14:paraId="7C342EC2">
            <w:pPr>
              <w:spacing w:before="156" w:beforeLines="50" w:after="156" w:afterLines="50"/>
              <w:jc w:val="center"/>
              <w:rPr>
                <w:rFonts w:hint="eastAsia" w:ascii="宋体" w:hAnsi="宋体" w:cs="宋体"/>
                <w:color w:val="auto"/>
                <w:szCs w:val="21"/>
              </w:rPr>
            </w:pPr>
            <w:r>
              <w:rPr>
                <w:rFonts w:hint="eastAsia" w:ascii="宋体" w:hAnsi="宋体" w:cs="宋体"/>
                <w:color w:val="auto"/>
                <w:szCs w:val="21"/>
              </w:rPr>
              <w:t>招标文件商务条款</w:t>
            </w:r>
          </w:p>
        </w:tc>
        <w:tc>
          <w:tcPr>
            <w:tcW w:w="4338" w:type="dxa"/>
            <w:noWrap w:val="0"/>
            <w:vAlign w:val="center"/>
          </w:tcPr>
          <w:p w14:paraId="1C401CBF">
            <w:pPr>
              <w:spacing w:before="156" w:beforeLines="50" w:after="156" w:afterLines="50"/>
              <w:jc w:val="center"/>
              <w:rPr>
                <w:rFonts w:hint="eastAsia" w:ascii="宋体" w:hAnsi="宋体" w:cs="宋体"/>
                <w:color w:val="auto"/>
                <w:szCs w:val="21"/>
              </w:rPr>
            </w:pPr>
            <w:r>
              <w:rPr>
                <w:rFonts w:hint="eastAsia" w:ascii="宋体" w:hAnsi="宋体" w:cs="宋体"/>
                <w:color w:val="auto"/>
                <w:szCs w:val="21"/>
              </w:rPr>
              <w:t>投标文件响应商务需求说明书内容</w:t>
            </w:r>
          </w:p>
          <w:p w14:paraId="63588F0A">
            <w:pPr>
              <w:spacing w:before="156" w:beforeLines="50" w:after="156" w:afterLines="50"/>
              <w:jc w:val="center"/>
              <w:rPr>
                <w:rFonts w:hint="eastAsia" w:ascii="宋体" w:hAnsi="宋体" w:cs="宋体"/>
                <w:color w:val="auto"/>
                <w:szCs w:val="21"/>
              </w:rPr>
            </w:pPr>
            <w:r>
              <w:rPr>
                <w:rFonts w:hint="eastAsia" w:ascii="宋体" w:hAnsi="宋体" w:cs="宋体"/>
                <w:color w:val="auto"/>
                <w:szCs w:val="21"/>
              </w:rPr>
              <w:t>（投标人须应答）</w:t>
            </w:r>
          </w:p>
        </w:tc>
        <w:tc>
          <w:tcPr>
            <w:tcW w:w="909" w:type="dxa"/>
            <w:noWrap w:val="0"/>
            <w:vAlign w:val="center"/>
          </w:tcPr>
          <w:p w14:paraId="4B1ED149">
            <w:pPr>
              <w:spacing w:before="156" w:beforeLines="50" w:after="156" w:afterLines="50"/>
              <w:jc w:val="center"/>
              <w:rPr>
                <w:rFonts w:hint="eastAsia" w:ascii="宋体" w:hAnsi="宋体" w:cs="宋体"/>
                <w:color w:val="auto"/>
                <w:szCs w:val="21"/>
              </w:rPr>
            </w:pPr>
            <w:r>
              <w:rPr>
                <w:rFonts w:hint="eastAsia" w:ascii="宋体" w:hAnsi="宋体" w:cs="宋体"/>
                <w:color w:val="auto"/>
                <w:szCs w:val="21"/>
              </w:rPr>
              <w:t>偏差说明</w:t>
            </w:r>
          </w:p>
        </w:tc>
      </w:tr>
      <w:tr w14:paraId="0A4C8B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trPr>
        <w:tc>
          <w:tcPr>
            <w:tcW w:w="0" w:type="auto"/>
            <w:noWrap w:val="0"/>
            <w:vAlign w:val="center"/>
          </w:tcPr>
          <w:p w14:paraId="5E5F93A4">
            <w:pPr>
              <w:pStyle w:val="17"/>
              <w:spacing w:line="360" w:lineRule="auto"/>
              <w:jc w:val="center"/>
              <w:rPr>
                <w:rFonts w:hAnsi="宋体" w:cs="宋体"/>
                <w:color w:val="auto"/>
              </w:rPr>
            </w:pPr>
            <w:r>
              <w:rPr>
                <w:rFonts w:hint="eastAsia" w:hAnsi="宋体" w:cs="宋体"/>
                <w:color w:val="auto"/>
              </w:rPr>
              <w:t>1</w:t>
            </w:r>
          </w:p>
        </w:tc>
        <w:tc>
          <w:tcPr>
            <w:tcW w:w="0" w:type="auto"/>
            <w:noWrap w:val="0"/>
            <w:vAlign w:val="center"/>
          </w:tcPr>
          <w:p w14:paraId="69F6C5CD">
            <w:pPr>
              <w:spacing w:line="360" w:lineRule="auto"/>
              <w:jc w:val="center"/>
              <w:rPr>
                <w:rFonts w:hint="eastAsia" w:ascii="宋体" w:hAnsi="宋体" w:cs="宋体"/>
                <w:color w:val="auto"/>
                <w:szCs w:val="21"/>
              </w:rPr>
            </w:pPr>
          </w:p>
        </w:tc>
        <w:tc>
          <w:tcPr>
            <w:tcW w:w="0" w:type="auto"/>
            <w:noWrap w:val="0"/>
            <w:vAlign w:val="center"/>
          </w:tcPr>
          <w:p w14:paraId="3B1ED2AC">
            <w:pPr>
              <w:pStyle w:val="17"/>
              <w:spacing w:line="360" w:lineRule="auto"/>
              <w:jc w:val="center"/>
              <w:rPr>
                <w:rFonts w:hint="eastAsia" w:hAnsi="宋体" w:cs="宋体"/>
                <w:color w:val="auto"/>
              </w:rPr>
            </w:pPr>
          </w:p>
        </w:tc>
        <w:tc>
          <w:tcPr>
            <w:tcW w:w="0" w:type="auto"/>
            <w:noWrap w:val="0"/>
            <w:vAlign w:val="center"/>
          </w:tcPr>
          <w:p w14:paraId="5C1F2F9C">
            <w:pPr>
              <w:pStyle w:val="17"/>
              <w:spacing w:line="360" w:lineRule="auto"/>
              <w:jc w:val="center"/>
              <w:rPr>
                <w:rFonts w:hint="eastAsia" w:hAnsi="宋体" w:cs="宋体"/>
                <w:color w:val="auto"/>
              </w:rPr>
            </w:pPr>
          </w:p>
        </w:tc>
        <w:tc>
          <w:tcPr>
            <w:tcW w:w="0" w:type="auto"/>
            <w:noWrap w:val="0"/>
            <w:vAlign w:val="center"/>
          </w:tcPr>
          <w:p w14:paraId="5DDD7B46">
            <w:pPr>
              <w:pStyle w:val="17"/>
              <w:spacing w:line="360" w:lineRule="auto"/>
              <w:jc w:val="center"/>
              <w:rPr>
                <w:rFonts w:hint="eastAsia" w:hAnsi="宋体" w:cs="宋体"/>
                <w:color w:val="auto"/>
              </w:rPr>
            </w:pPr>
          </w:p>
        </w:tc>
      </w:tr>
      <w:tr w14:paraId="4CB8C2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trPr>
        <w:tc>
          <w:tcPr>
            <w:tcW w:w="0" w:type="auto"/>
            <w:noWrap w:val="0"/>
            <w:vAlign w:val="center"/>
          </w:tcPr>
          <w:p w14:paraId="49AFAEA0">
            <w:pPr>
              <w:pStyle w:val="17"/>
              <w:spacing w:line="360" w:lineRule="auto"/>
              <w:jc w:val="center"/>
              <w:rPr>
                <w:rFonts w:hAnsi="宋体" w:cs="宋体"/>
                <w:color w:val="auto"/>
              </w:rPr>
            </w:pPr>
            <w:r>
              <w:rPr>
                <w:rFonts w:hint="eastAsia" w:hAnsi="宋体" w:cs="宋体"/>
                <w:color w:val="auto"/>
              </w:rPr>
              <w:t>2</w:t>
            </w:r>
          </w:p>
        </w:tc>
        <w:tc>
          <w:tcPr>
            <w:tcW w:w="0" w:type="auto"/>
            <w:noWrap w:val="0"/>
            <w:vAlign w:val="center"/>
          </w:tcPr>
          <w:p w14:paraId="4752B475">
            <w:pPr>
              <w:pStyle w:val="17"/>
              <w:spacing w:line="360" w:lineRule="auto"/>
              <w:jc w:val="center"/>
              <w:rPr>
                <w:rFonts w:hint="eastAsia" w:hAnsi="宋体" w:cs="宋体"/>
                <w:color w:val="auto"/>
              </w:rPr>
            </w:pPr>
          </w:p>
        </w:tc>
        <w:tc>
          <w:tcPr>
            <w:tcW w:w="0" w:type="auto"/>
            <w:noWrap w:val="0"/>
            <w:vAlign w:val="center"/>
          </w:tcPr>
          <w:p w14:paraId="0AB57006">
            <w:pPr>
              <w:pStyle w:val="17"/>
              <w:spacing w:line="360" w:lineRule="auto"/>
              <w:jc w:val="center"/>
              <w:rPr>
                <w:rFonts w:hint="eastAsia" w:hAnsi="宋体" w:cs="宋体"/>
                <w:color w:val="auto"/>
              </w:rPr>
            </w:pPr>
          </w:p>
        </w:tc>
        <w:tc>
          <w:tcPr>
            <w:tcW w:w="0" w:type="auto"/>
            <w:noWrap w:val="0"/>
            <w:vAlign w:val="center"/>
          </w:tcPr>
          <w:p w14:paraId="27CC9410">
            <w:pPr>
              <w:pStyle w:val="17"/>
              <w:spacing w:line="360" w:lineRule="auto"/>
              <w:jc w:val="center"/>
              <w:rPr>
                <w:rFonts w:hint="eastAsia" w:hAnsi="宋体" w:cs="宋体"/>
                <w:color w:val="auto"/>
              </w:rPr>
            </w:pPr>
          </w:p>
        </w:tc>
        <w:tc>
          <w:tcPr>
            <w:tcW w:w="0" w:type="auto"/>
            <w:noWrap w:val="0"/>
            <w:vAlign w:val="center"/>
          </w:tcPr>
          <w:p w14:paraId="33D59D50">
            <w:pPr>
              <w:pStyle w:val="17"/>
              <w:spacing w:line="360" w:lineRule="auto"/>
              <w:jc w:val="center"/>
              <w:rPr>
                <w:rFonts w:hint="eastAsia" w:hAnsi="宋体" w:cs="宋体"/>
                <w:color w:val="auto"/>
              </w:rPr>
            </w:pPr>
          </w:p>
        </w:tc>
      </w:tr>
      <w:tr w14:paraId="280A8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trPr>
        <w:tc>
          <w:tcPr>
            <w:tcW w:w="0" w:type="auto"/>
            <w:noWrap w:val="0"/>
            <w:vAlign w:val="center"/>
          </w:tcPr>
          <w:p w14:paraId="1C048200">
            <w:pPr>
              <w:pStyle w:val="17"/>
              <w:spacing w:line="360" w:lineRule="auto"/>
              <w:jc w:val="center"/>
              <w:rPr>
                <w:rFonts w:hint="eastAsia" w:hAnsi="宋体" w:cs="宋体"/>
                <w:color w:val="auto"/>
              </w:rPr>
            </w:pPr>
            <w:r>
              <w:rPr>
                <w:rFonts w:ascii="Arial" w:hAnsi="Arial" w:cs="Arial"/>
                <w:color w:val="auto"/>
              </w:rPr>
              <w:t>…</w:t>
            </w:r>
          </w:p>
        </w:tc>
        <w:tc>
          <w:tcPr>
            <w:tcW w:w="0" w:type="auto"/>
            <w:noWrap w:val="0"/>
            <w:vAlign w:val="center"/>
          </w:tcPr>
          <w:p w14:paraId="31A5F988">
            <w:pPr>
              <w:pStyle w:val="17"/>
              <w:spacing w:line="360" w:lineRule="auto"/>
              <w:jc w:val="center"/>
              <w:rPr>
                <w:rFonts w:hint="eastAsia" w:hAnsi="宋体" w:cs="宋体"/>
                <w:color w:val="auto"/>
              </w:rPr>
            </w:pPr>
          </w:p>
        </w:tc>
        <w:tc>
          <w:tcPr>
            <w:tcW w:w="0" w:type="auto"/>
            <w:noWrap w:val="0"/>
            <w:vAlign w:val="center"/>
          </w:tcPr>
          <w:p w14:paraId="367BFD21">
            <w:pPr>
              <w:pStyle w:val="17"/>
              <w:spacing w:line="360" w:lineRule="auto"/>
              <w:jc w:val="center"/>
              <w:rPr>
                <w:rFonts w:hint="eastAsia" w:hAnsi="宋体" w:cs="宋体"/>
                <w:color w:val="auto"/>
              </w:rPr>
            </w:pPr>
          </w:p>
        </w:tc>
        <w:tc>
          <w:tcPr>
            <w:tcW w:w="0" w:type="auto"/>
            <w:noWrap w:val="0"/>
            <w:vAlign w:val="center"/>
          </w:tcPr>
          <w:p w14:paraId="022A5B1B">
            <w:pPr>
              <w:pStyle w:val="17"/>
              <w:spacing w:line="360" w:lineRule="auto"/>
              <w:jc w:val="center"/>
              <w:rPr>
                <w:rFonts w:hint="eastAsia" w:hAnsi="宋体" w:cs="宋体"/>
                <w:color w:val="auto"/>
              </w:rPr>
            </w:pPr>
          </w:p>
        </w:tc>
        <w:tc>
          <w:tcPr>
            <w:tcW w:w="0" w:type="auto"/>
            <w:noWrap w:val="0"/>
            <w:vAlign w:val="center"/>
          </w:tcPr>
          <w:p w14:paraId="416A9FCB">
            <w:pPr>
              <w:pStyle w:val="17"/>
              <w:spacing w:line="360" w:lineRule="auto"/>
              <w:jc w:val="center"/>
              <w:rPr>
                <w:rFonts w:hint="eastAsia" w:hAnsi="宋体" w:cs="宋体"/>
                <w:color w:val="auto"/>
              </w:rPr>
            </w:pPr>
          </w:p>
        </w:tc>
      </w:tr>
    </w:tbl>
    <w:p w14:paraId="0B846690">
      <w:pPr>
        <w:pStyle w:val="5"/>
        <w:rPr>
          <w:rFonts w:hint="eastAsia"/>
          <w:color w:val="auto"/>
        </w:rPr>
      </w:pPr>
    </w:p>
    <w:p w14:paraId="606234B0">
      <w:pPr>
        <w:pStyle w:val="43"/>
        <w:spacing w:after="0"/>
        <w:ind w:firstLine="420" w:firstLineChars="200"/>
        <w:rPr>
          <w:rFonts w:hint="eastAsia" w:ascii="宋体" w:hAnsi="宋体"/>
          <w:color w:val="auto"/>
          <w:sz w:val="21"/>
          <w:szCs w:val="21"/>
        </w:rPr>
      </w:pPr>
      <w:r>
        <w:rPr>
          <w:rFonts w:hint="eastAsia" w:ascii="宋体" w:hAnsi="宋体"/>
          <w:color w:val="auto"/>
          <w:sz w:val="21"/>
          <w:szCs w:val="21"/>
        </w:rPr>
        <w:t>注：1. 投标人需按招标文件商务条款的要求填写，填写应以“满足”或“不满足”等明示承诺开始，并辅以详细解释。除“满足”项目外，必须在偏差说明一栏中对偏差予以详细说明。</w:t>
      </w:r>
    </w:p>
    <w:p w14:paraId="0D312DE5">
      <w:pPr>
        <w:pStyle w:val="43"/>
        <w:spacing w:after="0"/>
        <w:ind w:firstLine="420" w:firstLineChars="200"/>
        <w:rPr>
          <w:rFonts w:hint="eastAsia" w:ascii="宋体" w:hAnsi="宋体" w:cs="宋体"/>
          <w:color w:val="auto"/>
          <w:sz w:val="21"/>
          <w:szCs w:val="21"/>
        </w:rPr>
      </w:pPr>
      <w:r>
        <w:rPr>
          <w:rFonts w:hint="eastAsia" w:ascii="宋体" w:hAnsi="宋体" w:cs="宋体"/>
          <w:color w:val="auto"/>
          <w:sz w:val="21"/>
          <w:szCs w:val="21"/>
        </w:rPr>
        <w:t>2. 投标人可根据其投标内容进一步细化上述表格，并可增添其它表格或说明以便进一步明确投标内容。</w:t>
      </w:r>
    </w:p>
    <w:p w14:paraId="070511DF">
      <w:pPr>
        <w:pStyle w:val="43"/>
        <w:spacing w:after="0"/>
        <w:ind w:firstLine="420" w:firstLineChars="200"/>
        <w:rPr>
          <w:rFonts w:hint="eastAsia" w:ascii="宋体" w:hAnsi="宋体"/>
          <w:color w:val="auto"/>
          <w:szCs w:val="21"/>
        </w:rPr>
      </w:pPr>
      <w:r>
        <w:rPr>
          <w:rFonts w:hint="eastAsia" w:ascii="宋体" w:hAnsi="宋体" w:cs="宋体"/>
          <w:color w:val="auto"/>
          <w:sz w:val="21"/>
          <w:szCs w:val="21"/>
        </w:rPr>
        <w:t>3.未按要求填写，可能会造成不良后果，投标人自行承担。</w:t>
      </w:r>
    </w:p>
    <w:p w14:paraId="6D5C56D4">
      <w:pPr>
        <w:pStyle w:val="17"/>
        <w:adjustRightInd w:val="0"/>
        <w:snapToGrid w:val="0"/>
        <w:spacing w:line="360" w:lineRule="auto"/>
        <w:rPr>
          <w:rFonts w:hint="eastAsia" w:hAnsi="宋体" w:cs="宋体"/>
          <w:color w:val="auto"/>
        </w:rPr>
      </w:pPr>
    </w:p>
    <w:p w14:paraId="0E22BEA7">
      <w:pPr>
        <w:spacing w:line="360" w:lineRule="auto"/>
        <w:rPr>
          <w:rFonts w:hint="eastAsia" w:ascii="宋体" w:hAnsi="宋体"/>
          <w:color w:val="auto"/>
          <w:szCs w:val="21"/>
        </w:rPr>
      </w:pPr>
    </w:p>
    <w:p w14:paraId="2B7B682F">
      <w:pPr>
        <w:spacing w:line="480" w:lineRule="exact"/>
        <w:ind w:firstLine="3360" w:firstLineChars="1600"/>
        <w:rPr>
          <w:rFonts w:hint="eastAsia" w:ascii="宋体" w:hAnsi="宋体"/>
          <w:bCs/>
          <w:color w:val="auto"/>
          <w:szCs w:val="21"/>
        </w:rPr>
      </w:pPr>
      <w:r>
        <w:rPr>
          <w:rFonts w:hint="eastAsia" w:ascii="宋体" w:hAnsi="宋体" w:cs="微软雅黑"/>
          <w:color w:val="auto"/>
          <w:kern w:val="0"/>
          <w:szCs w:val="21"/>
        </w:rPr>
        <w:t>投 标 人</w:t>
      </w:r>
      <w:r>
        <w:rPr>
          <w:rFonts w:hint="eastAsia" w:ascii="宋体" w:hAnsi="宋体"/>
          <w:bCs/>
          <w:color w:val="auto"/>
          <w:szCs w:val="21"/>
        </w:rPr>
        <w:t>：</w:t>
      </w:r>
      <w:r>
        <w:rPr>
          <w:rFonts w:hint="eastAsia" w:ascii="宋体" w:hAnsi="宋体"/>
          <w:bCs/>
          <w:color w:val="auto"/>
          <w:szCs w:val="21"/>
          <w:u w:val="single"/>
        </w:rPr>
        <w:t xml:space="preserve">                      </w:t>
      </w:r>
      <w:r>
        <w:rPr>
          <w:rFonts w:hint="eastAsia" w:ascii="宋体" w:hAnsi="宋体"/>
          <w:bCs/>
          <w:color w:val="auto"/>
          <w:szCs w:val="21"/>
        </w:rPr>
        <w:t>（盖章）</w:t>
      </w:r>
    </w:p>
    <w:p w14:paraId="6CEA9FDB">
      <w:pPr>
        <w:spacing w:line="480" w:lineRule="exact"/>
        <w:ind w:firstLine="3360" w:firstLineChars="1600"/>
        <w:rPr>
          <w:rFonts w:hint="eastAsia" w:ascii="宋体" w:hAnsi="宋体"/>
          <w:bCs/>
          <w:color w:val="auto"/>
          <w:szCs w:val="21"/>
        </w:rPr>
      </w:pPr>
      <w:r>
        <w:rPr>
          <w:rFonts w:hint="eastAsia" w:ascii="宋体" w:hAnsi="宋体"/>
          <w:bCs/>
          <w:color w:val="auto"/>
          <w:szCs w:val="21"/>
        </w:rPr>
        <w:t>法定代表人或其委托代理人：</w:t>
      </w: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签字或盖章</w:t>
      </w:r>
      <w:r>
        <w:rPr>
          <w:rFonts w:hint="eastAsia" w:ascii="宋体" w:hAnsi="宋体"/>
          <w:bCs/>
          <w:color w:val="auto"/>
          <w:szCs w:val="21"/>
        </w:rPr>
        <w:t>）</w:t>
      </w:r>
    </w:p>
    <w:p w14:paraId="3B76BD94">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rPr>
      </w:pPr>
      <w:r>
        <w:rPr>
          <w:rFonts w:hint="eastAsia" w:ascii="宋体" w:hAnsi="宋体" w:cs="宋体"/>
          <w:bCs/>
          <w:color w:val="auto"/>
          <w:kern w:val="0"/>
          <w:szCs w:val="21"/>
          <w:u w:val="single"/>
        </w:rPr>
        <w:t xml:space="preserve">     </w:t>
      </w:r>
      <w:r>
        <w:rPr>
          <w:rFonts w:hint="eastAsia" w:ascii="宋体" w:hAnsi="宋体" w:cs="宋体"/>
          <w:bCs/>
          <w:color w:val="auto"/>
          <w:spacing w:val="43"/>
          <w:kern w:val="0"/>
          <w:szCs w:val="21"/>
          <w:u w:val="single"/>
        </w:rPr>
        <w:t xml:space="preserve"> </w:t>
      </w:r>
      <w:r>
        <w:rPr>
          <w:rFonts w:hint="eastAsia" w:ascii="宋体" w:hAnsi="宋体" w:cs="宋体"/>
          <w:bCs/>
          <w:color w:val="auto"/>
          <w:kern w:val="0"/>
          <w:szCs w:val="21"/>
        </w:rPr>
        <w:t>年</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月</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日</w:t>
      </w:r>
    </w:p>
    <w:p w14:paraId="5236DBBA">
      <w:pPr>
        <w:pStyle w:val="3"/>
        <w:numPr>
          <w:ilvl w:val="0"/>
          <w:numId w:val="46"/>
        </w:numPr>
        <w:tabs>
          <w:tab w:val="left" w:pos="840"/>
        </w:tabs>
        <w:jc w:val="center"/>
        <w:rPr>
          <w:rFonts w:hint="eastAsia" w:ascii="宋体" w:hAnsi="宋体"/>
          <w:color w:val="auto"/>
          <w:szCs w:val="24"/>
        </w:rPr>
      </w:pPr>
      <w:r>
        <w:rPr>
          <w:rFonts w:ascii="宋体" w:hAnsi="宋体"/>
          <w:color w:val="auto"/>
          <w:sz w:val="21"/>
          <w:szCs w:val="21"/>
        </w:rPr>
        <w:br w:type="page"/>
      </w:r>
      <w:bookmarkStart w:id="526" w:name="_Toc312133600"/>
      <w:bookmarkStart w:id="527" w:name="_Toc10055"/>
      <w:r>
        <w:rPr>
          <w:rFonts w:hint="eastAsia" w:ascii="宋体" w:hAnsi="宋体"/>
          <w:color w:val="auto"/>
          <w:szCs w:val="24"/>
        </w:rPr>
        <w:t>售后服务计划</w:t>
      </w:r>
      <w:bookmarkEnd w:id="526"/>
      <w:bookmarkEnd w:id="527"/>
    </w:p>
    <w:p w14:paraId="7A65EC3B">
      <w:pPr>
        <w:autoSpaceDE w:val="0"/>
        <w:autoSpaceDN w:val="0"/>
        <w:adjustRightInd w:val="0"/>
        <w:spacing w:line="360" w:lineRule="auto"/>
        <w:jc w:val="center"/>
        <w:rPr>
          <w:rFonts w:hint="eastAsia" w:ascii="宋体" w:hAnsi="宋体"/>
          <w:b/>
          <w:color w:val="auto"/>
          <w:spacing w:val="10"/>
          <w:kern w:val="0"/>
          <w:szCs w:val="21"/>
        </w:rPr>
      </w:pPr>
    </w:p>
    <w:p w14:paraId="4EE375F7">
      <w:pPr>
        <w:tabs>
          <w:tab w:val="left" w:pos="840"/>
        </w:tabs>
        <w:autoSpaceDE w:val="0"/>
        <w:autoSpaceDN w:val="0"/>
        <w:adjustRightInd w:val="0"/>
        <w:spacing w:line="360" w:lineRule="auto"/>
        <w:jc w:val="left"/>
        <w:rPr>
          <w:rFonts w:hint="eastAsia" w:ascii="宋体" w:hAnsi="宋体"/>
          <w:color w:val="auto"/>
          <w:spacing w:val="10"/>
          <w:kern w:val="0"/>
          <w:szCs w:val="21"/>
        </w:rPr>
      </w:pPr>
      <w:r>
        <w:rPr>
          <w:rFonts w:hint="eastAsia" w:ascii="宋体" w:hAnsi="宋体"/>
          <w:color w:val="auto"/>
          <w:spacing w:val="10"/>
          <w:kern w:val="0"/>
          <w:szCs w:val="21"/>
        </w:rPr>
        <w:t>投标人参考提供以下内容：</w:t>
      </w:r>
    </w:p>
    <w:p w14:paraId="4A2DA0D3">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rPr>
      </w:pPr>
      <w:r>
        <w:rPr>
          <w:rFonts w:hint="eastAsia" w:ascii="宋体" w:hAnsi="宋体"/>
          <w:color w:val="auto"/>
          <w:spacing w:val="10"/>
          <w:kern w:val="0"/>
          <w:szCs w:val="21"/>
        </w:rPr>
        <w:t>1</w:t>
      </w:r>
      <w:r>
        <w:rPr>
          <w:rFonts w:hint="eastAsia" w:ascii="宋体" w:hAnsi="宋体"/>
          <w:color w:val="auto"/>
          <w:szCs w:val="21"/>
        </w:rPr>
        <w:t xml:space="preserve">. </w:t>
      </w:r>
      <w:r>
        <w:rPr>
          <w:rFonts w:hint="eastAsia" w:ascii="宋体" w:hAnsi="宋体"/>
          <w:color w:val="auto"/>
          <w:spacing w:val="10"/>
          <w:kern w:val="0"/>
          <w:szCs w:val="21"/>
        </w:rPr>
        <w:t>详细说明售后服务的内容、形式、含免费维修时间、解决质量或操作问题的响应时间、解决问题时间、维修单位名称、地点。</w:t>
      </w:r>
    </w:p>
    <w:p w14:paraId="5059F09B">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rPr>
      </w:pPr>
      <w:r>
        <w:rPr>
          <w:rFonts w:hint="eastAsia" w:ascii="宋体" w:hAnsi="宋体"/>
          <w:color w:val="auto"/>
          <w:spacing w:val="10"/>
          <w:kern w:val="0"/>
          <w:szCs w:val="21"/>
        </w:rPr>
        <w:t>2</w:t>
      </w:r>
      <w:r>
        <w:rPr>
          <w:rFonts w:hint="eastAsia" w:ascii="宋体" w:hAnsi="宋体"/>
          <w:color w:val="auto"/>
          <w:szCs w:val="21"/>
        </w:rPr>
        <w:t xml:space="preserve">. </w:t>
      </w:r>
      <w:r>
        <w:rPr>
          <w:rFonts w:hint="eastAsia" w:ascii="宋体" w:hAnsi="宋体"/>
          <w:color w:val="auto"/>
          <w:spacing w:val="10"/>
          <w:kern w:val="0"/>
          <w:szCs w:val="21"/>
        </w:rPr>
        <w:t>技术培训、质量保证措施。</w:t>
      </w:r>
    </w:p>
    <w:p w14:paraId="5D0C554C">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rPr>
      </w:pPr>
      <w:r>
        <w:rPr>
          <w:rFonts w:hint="eastAsia" w:ascii="宋体" w:hAnsi="宋体"/>
          <w:color w:val="auto"/>
          <w:spacing w:val="10"/>
          <w:kern w:val="0"/>
          <w:szCs w:val="21"/>
        </w:rPr>
        <w:t xml:space="preserve">3. </w:t>
      </w:r>
      <w:r>
        <w:rPr>
          <w:rFonts w:hint="eastAsia" w:ascii="宋体" w:hAnsi="宋体"/>
          <w:color w:val="auto"/>
          <w:szCs w:val="21"/>
        </w:rPr>
        <w:t>与采购活动有关</w:t>
      </w:r>
      <w:r>
        <w:rPr>
          <w:rFonts w:hint="eastAsia" w:ascii="宋体" w:hAnsi="宋体"/>
          <w:color w:val="auto"/>
          <w:spacing w:val="10"/>
          <w:kern w:val="0"/>
          <w:szCs w:val="21"/>
        </w:rPr>
        <w:t>的其它物品或服务。</w:t>
      </w:r>
    </w:p>
    <w:p w14:paraId="3857F713">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rPr>
      </w:pPr>
      <w:r>
        <w:rPr>
          <w:rFonts w:hint="eastAsia" w:ascii="宋体" w:hAnsi="宋体"/>
          <w:color w:val="auto"/>
          <w:spacing w:val="10"/>
          <w:kern w:val="0"/>
          <w:szCs w:val="21"/>
        </w:rPr>
        <w:t>4</w:t>
      </w:r>
      <w:r>
        <w:rPr>
          <w:rFonts w:hint="eastAsia" w:ascii="宋体" w:hAnsi="宋体"/>
          <w:color w:val="auto"/>
          <w:szCs w:val="21"/>
        </w:rPr>
        <w:t xml:space="preserve">. </w:t>
      </w:r>
      <w:r>
        <w:rPr>
          <w:rFonts w:hint="eastAsia" w:ascii="宋体" w:hAnsi="宋体"/>
          <w:color w:val="auto"/>
          <w:spacing w:val="10"/>
          <w:kern w:val="0"/>
          <w:szCs w:val="21"/>
        </w:rPr>
        <w:t>质保期内和质保期外的收费标准。</w:t>
      </w:r>
    </w:p>
    <w:p w14:paraId="77DB6BBB">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rPr>
      </w:pPr>
    </w:p>
    <w:p w14:paraId="6964CF4F">
      <w:pPr>
        <w:tabs>
          <w:tab w:val="left" w:pos="840"/>
        </w:tabs>
        <w:autoSpaceDE w:val="0"/>
        <w:autoSpaceDN w:val="0"/>
        <w:adjustRightInd w:val="0"/>
        <w:spacing w:line="360" w:lineRule="auto"/>
        <w:rPr>
          <w:rFonts w:hint="eastAsia" w:ascii="宋体" w:hAnsi="宋体"/>
          <w:b/>
          <w:bCs/>
          <w:color w:val="auto"/>
          <w:spacing w:val="10"/>
          <w:kern w:val="0"/>
          <w:szCs w:val="21"/>
        </w:rPr>
      </w:pPr>
      <w:r>
        <w:rPr>
          <w:rFonts w:hint="eastAsia" w:ascii="宋体" w:hAnsi="宋体"/>
          <w:b/>
          <w:bCs/>
          <w:color w:val="auto"/>
          <w:spacing w:val="10"/>
          <w:kern w:val="0"/>
          <w:szCs w:val="21"/>
        </w:rPr>
        <w:t>说明：</w:t>
      </w:r>
    </w:p>
    <w:p w14:paraId="17D6020C">
      <w:pPr>
        <w:tabs>
          <w:tab w:val="left" w:pos="840"/>
        </w:tabs>
        <w:autoSpaceDE w:val="0"/>
        <w:autoSpaceDN w:val="0"/>
        <w:adjustRightInd w:val="0"/>
        <w:spacing w:line="360" w:lineRule="auto"/>
        <w:ind w:firstLine="420" w:firstLineChars="200"/>
        <w:rPr>
          <w:rFonts w:ascii="宋体" w:hAnsi="宋体"/>
          <w:color w:val="auto"/>
        </w:rPr>
      </w:pPr>
      <w:r>
        <w:rPr>
          <w:rFonts w:hint="eastAsia" w:ascii="宋体" w:hAnsi="宋体"/>
          <w:color w:val="auto"/>
        </w:rPr>
        <w:t>1．投标人在用户所在地设有维修中心的，应提供中心的地址、电话、联系人姓名；如在用户所在地没有维修中心，则提供负责该地维修事宜的维修点的名称、地址、电话、传真和邮编。</w:t>
      </w:r>
    </w:p>
    <w:p w14:paraId="7A1A9CAB">
      <w:pPr>
        <w:tabs>
          <w:tab w:val="left" w:pos="840"/>
        </w:tabs>
        <w:autoSpaceDE w:val="0"/>
        <w:autoSpaceDN w:val="0"/>
        <w:adjustRightInd w:val="0"/>
        <w:spacing w:line="360" w:lineRule="auto"/>
        <w:ind w:firstLine="420" w:firstLineChars="200"/>
        <w:jc w:val="left"/>
        <w:rPr>
          <w:rFonts w:hint="eastAsia" w:ascii="宋体" w:hAnsi="宋体"/>
          <w:color w:val="auto"/>
          <w:spacing w:val="10"/>
          <w:kern w:val="0"/>
          <w:szCs w:val="21"/>
        </w:rPr>
      </w:pPr>
      <w:r>
        <w:rPr>
          <w:rFonts w:hint="eastAsia" w:ascii="宋体" w:hAnsi="宋体"/>
          <w:color w:val="auto"/>
        </w:rPr>
        <w:t>2．培训是指涉及产品基本原理、安装、调试、操作使用和保养维修等有关内容的学习。受训者的人数和培训时间在投标文件中应说明。培训应在收到采购人通知后一个月内予以安排。在制造厂家的培训：受训者的交通费用（以用户省辖市到厂家的往返火车硬卧铺价计算）、食宿、资料等费用均由中标人支付。在用户所在地的培训：场地、产品、有关耗材、教具、受训者的住宿、资料和师资的所有费用均由中标人支付。</w:t>
      </w:r>
    </w:p>
    <w:p w14:paraId="4FA2F0E4">
      <w:pPr>
        <w:rPr>
          <w:rFonts w:hint="eastAsia" w:ascii="宋体" w:hAnsi="宋体"/>
          <w:b/>
          <w:bCs/>
          <w:color w:val="auto"/>
          <w:szCs w:val="21"/>
        </w:rPr>
      </w:pPr>
    </w:p>
    <w:p w14:paraId="4658B384">
      <w:pPr>
        <w:tabs>
          <w:tab w:val="left" w:pos="840"/>
        </w:tabs>
        <w:autoSpaceDE w:val="0"/>
        <w:autoSpaceDN w:val="0"/>
        <w:adjustRightInd w:val="0"/>
        <w:spacing w:line="360" w:lineRule="auto"/>
        <w:jc w:val="left"/>
        <w:rPr>
          <w:rFonts w:hint="eastAsia" w:ascii="宋体" w:hAnsi="宋体"/>
          <w:color w:val="auto"/>
          <w:spacing w:val="10"/>
          <w:kern w:val="0"/>
          <w:szCs w:val="21"/>
        </w:rPr>
      </w:pPr>
    </w:p>
    <w:p w14:paraId="6B933F08">
      <w:pPr>
        <w:tabs>
          <w:tab w:val="left" w:pos="840"/>
        </w:tabs>
        <w:autoSpaceDE w:val="0"/>
        <w:autoSpaceDN w:val="0"/>
        <w:adjustRightInd w:val="0"/>
        <w:spacing w:line="360" w:lineRule="auto"/>
        <w:jc w:val="left"/>
        <w:rPr>
          <w:rFonts w:hint="eastAsia" w:ascii="宋体" w:hAnsi="宋体"/>
          <w:color w:val="auto"/>
          <w:spacing w:val="10"/>
          <w:kern w:val="0"/>
          <w:szCs w:val="21"/>
        </w:rPr>
      </w:pPr>
    </w:p>
    <w:p w14:paraId="41237027">
      <w:pPr>
        <w:pStyle w:val="3"/>
        <w:numPr>
          <w:ilvl w:val="0"/>
          <w:numId w:val="46"/>
        </w:numPr>
        <w:tabs>
          <w:tab w:val="left" w:pos="840"/>
        </w:tabs>
        <w:jc w:val="center"/>
        <w:rPr>
          <w:rFonts w:hint="eastAsia" w:ascii="宋体" w:hAnsi="宋体"/>
          <w:color w:val="auto"/>
          <w:szCs w:val="24"/>
        </w:rPr>
      </w:pPr>
      <w:r>
        <w:rPr>
          <w:rFonts w:ascii="宋体" w:hAnsi="宋体"/>
          <w:color w:val="auto"/>
          <w:spacing w:val="10"/>
          <w:kern w:val="0"/>
          <w:sz w:val="21"/>
          <w:szCs w:val="21"/>
        </w:rPr>
        <w:br w:type="page"/>
      </w:r>
      <w:bookmarkStart w:id="528" w:name="_Toc12509"/>
      <w:bookmarkStart w:id="529" w:name="_Toc312133601"/>
      <w:r>
        <w:rPr>
          <w:rFonts w:hint="eastAsia" w:ascii="宋体" w:hAnsi="宋体"/>
          <w:color w:val="auto"/>
          <w:szCs w:val="24"/>
        </w:rPr>
        <w:t>投标人及投标产品简介</w:t>
      </w:r>
      <w:bookmarkEnd w:id="528"/>
      <w:bookmarkEnd w:id="529"/>
    </w:p>
    <w:p w14:paraId="226E04BD">
      <w:pPr>
        <w:autoSpaceDE w:val="0"/>
        <w:autoSpaceDN w:val="0"/>
        <w:adjustRightInd w:val="0"/>
        <w:spacing w:line="560" w:lineRule="atLeast"/>
        <w:ind w:left="210" w:leftChars="100"/>
        <w:rPr>
          <w:rFonts w:hint="eastAsia" w:ascii="宋体" w:hAnsi="宋体"/>
          <w:b/>
          <w:color w:val="auto"/>
          <w:spacing w:val="10"/>
          <w:kern w:val="0"/>
          <w:szCs w:val="21"/>
        </w:rPr>
      </w:pPr>
    </w:p>
    <w:p w14:paraId="6FA82954">
      <w:pPr>
        <w:autoSpaceDE w:val="0"/>
        <w:autoSpaceDN w:val="0"/>
        <w:adjustRightInd w:val="0"/>
        <w:spacing w:line="360" w:lineRule="auto"/>
        <w:rPr>
          <w:rFonts w:hint="eastAsia" w:ascii="宋体" w:hAnsi="宋体"/>
          <w:bCs/>
          <w:color w:val="auto"/>
          <w:spacing w:val="10"/>
          <w:kern w:val="0"/>
          <w:szCs w:val="21"/>
        </w:rPr>
      </w:pPr>
      <w:r>
        <w:rPr>
          <w:rFonts w:hint="eastAsia" w:ascii="宋体" w:hAnsi="宋体"/>
          <w:bCs/>
          <w:color w:val="auto"/>
          <w:spacing w:val="10"/>
          <w:kern w:val="0"/>
          <w:szCs w:val="21"/>
        </w:rPr>
        <w:t>投标人参考提供以下内容：</w:t>
      </w:r>
    </w:p>
    <w:p w14:paraId="3DE4319F">
      <w:pPr>
        <w:autoSpaceDE w:val="0"/>
        <w:autoSpaceDN w:val="0"/>
        <w:adjustRightInd w:val="0"/>
        <w:spacing w:line="360" w:lineRule="auto"/>
        <w:ind w:firstLine="460" w:firstLineChars="200"/>
        <w:rPr>
          <w:rFonts w:hint="eastAsia" w:ascii="宋体" w:hAnsi="宋体"/>
          <w:bCs/>
          <w:color w:val="auto"/>
          <w:spacing w:val="10"/>
          <w:kern w:val="0"/>
          <w:szCs w:val="21"/>
        </w:rPr>
      </w:pPr>
      <w:r>
        <w:rPr>
          <w:rFonts w:hint="eastAsia" w:ascii="宋体" w:hAnsi="宋体"/>
          <w:bCs/>
          <w:color w:val="auto"/>
          <w:spacing w:val="10"/>
          <w:kern w:val="0"/>
          <w:szCs w:val="21"/>
        </w:rPr>
        <w:t>1</w:t>
      </w:r>
      <w:r>
        <w:rPr>
          <w:rFonts w:hint="eastAsia" w:ascii="宋体" w:hAnsi="宋体"/>
          <w:color w:val="auto"/>
          <w:szCs w:val="21"/>
        </w:rPr>
        <w:t xml:space="preserve">. </w:t>
      </w:r>
      <w:r>
        <w:rPr>
          <w:rFonts w:hint="eastAsia" w:ascii="宋体" w:hAnsi="宋体"/>
          <w:bCs/>
          <w:color w:val="auto"/>
          <w:spacing w:val="10"/>
          <w:kern w:val="0"/>
          <w:szCs w:val="21"/>
        </w:rPr>
        <w:t>投标人简介：包括公司概况、组织机构、近三年经营情况、技术设备、人员状况等；</w:t>
      </w:r>
    </w:p>
    <w:p w14:paraId="652E6649">
      <w:pPr>
        <w:autoSpaceDE w:val="0"/>
        <w:autoSpaceDN w:val="0"/>
        <w:adjustRightInd w:val="0"/>
        <w:spacing w:line="360" w:lineRule="auto"/>
        <w:ind w:firstLine="460" w:firstLineChars="200"/>
        <w:rPr>
          <w:rFonts w:hint="eastAsia" w:ascii="宋体" w:hAnsi="宋体"/>
          <w:bCs/>
          <w:color w:val="auto"/>
          <w:spacing w:val="10"/>
          <w:kern w:val="0"/>
          <w:szCs w:val="21"/>
        </w:rPr>
      </w:pPr>
      <w:r>
        <w:rPr>
          <w:rFonts w:hint="eastAsia" w:ascii="宋体" w:hAnsi="宋体"/>
          <w:bCs/>
          <w:color w:val="auto"/>
          <w:spacing w:val="10"/>
          <w:kern w:val="0"/>
          <w:szCs w:val="21"/>
        </w:rPr>
        <w:t>2</w:t>
      </w:r>
      <w:r>
        <w:rPr>
          <w:rFonts w:hint="eastAsia" w:ascii="宋体" w:hAnsi="宋体"/>
          <w:color w:val="auto"/>
          <w:szCs w:val="21"/>
        </w:rPr>
        <w:t xml:space="preserve">. </w:t>
      </w:r>
      <w:r>
        <w:rPr>
          <w:rFonts w:hint="eastAsia" w:ascii="宋体" w:hAnsi="宋体"/>
          <w:bCs/>
          <w:color w:val="auto"/>
          <w:spacing w:val="10"/>
          <w:kern w:val="0"/>
          <w:szCs w:val="21"/>
        </w:rPr>
        <w:t>投标产品详细介绍（需提供详细、有效证明文件）；</w:t>
      </w:r>
    </w:p>
    <w:p w14:paraId="7579CEDD">
      <w:pPr>
        <w:autoSpaceDE w:val="0"/>
        <w:autoSpaceDN w:val="0"/>
        <w:adjustRightInd w:val="0"/>
        <w:spacing w:line="360" w:lineRule="auto"/>
        <w:ind w:firstLine="460" w:firstLineChars="200"/>
        <w:rPr>
          <w:rFonts w:hint="eastAsia" w:ascii="宋体" w:hAnsi="宋体"/>
          <w:bCs/>
          <w:color w:val="auto"/>
          <w:spacing w:val="10"/>
          <w:kern w:val="0"/>
          <w:szCs w:val="21"/>
        </w:rPr>
      </w:pPr>
      <w:r>
        <w:rPr>
          <w:rFonts w:hint="eastAsia" w:ascii="宋体" w:hAnsi="宋体"/>
          <w:bCs/>
          <w:color w:val="auto"/>
          <w:spacing w:val="10"/>
          <w:kern w:val="0"/>
          <w:szCs w:val="21"/>
        </w:rPr>
        <w:t>3</w:t>
      </w:r>
      <w:r>
        <w:rPr>
          <w:rFonts w:hint="eastAsia" w:ascii="宋体" w:hAnsi="宋体"/>
          <w:color w:val="auto"/>
          <w:szCs w:val="21"/>
        </w:rPr>
        <w:t xml:space="preserve">. </w:t>
      </w:r>
      <w:r>
        <w:rPr>
          <w:rFonts w:hint="eastAsia" w:ascii="宋体" w:hAnsi="宋体"/>
          <w:bCs/>
          <w:color w:val="auto"/>
          <w:spacing w:val="10"/>
          <w:kern w:val="0"/>
          <w:szCs w:val="21"/>
        </w:rPr>
        <w:t>其他投标人认为需要提供的。</w:t>
      </w:r>
    </w:p>
    <w:p w14:paraId="53ABD30B">
      <w:pPr>
        <w:tabs>
          <w:tab w:val="left" w:pos="840"/>
        </w:tabs>
        <w:autoSpaceDE w:val="0"/>
        <w:autoSpaceDN w:val="0"/>
        <w:adjustRightInd w:val="0"/>
        <w:spacing w:line="360" w:lineRule="auto"/>
        <w:jc w:val="left"/>
        <w:rPr>
          <w:rFonts w:hint="eastAsia" w:ascii="宋体" w:hAnsi="宋体"/>
          <w:color w:val="auto"/>
          <w:spacing w:val="10"/>
          <w:kern w:val="0"/>
          <w:szCs w:val="21"/>
        </w:rPr>
      </w:pPr>
    </w:p>
    <w:p w14:paraId="20CD1BE5">
      <w:pPr>
        <w:tabs>
          <w:tab w:val="left" w:pos="840"/>
        </w:tabs>
        <w:autoSpaceDE w:val="0"/>
        <w:autoSpaceDN w:val="0"/>
        <w:adjustRightInd w:val="0"/>
        <w:spacing w:line="360" w:lineRule="auto"/>
        <w:jc w:val="left"/>
        <w:rPr>
          <w:rFonts w:hint="eastAsia" w:ascii="宋体" w:hAnsi="宋体"/>
          <w:color w:val="auto"/>
          <w:spacing w:val="10"/>
          <w:kern w:val="0"/>
          <w:szCs w:val="21"/>
        </w:rPr>
      </w:pPr>
    </w:p>
    <w:p w14:paraId="56DC146C">
      <w:pPr>
        <w:rPr>
          <w:rFonts w:hint="eastAsia" w:ascii="宋体" w:hAnsi="宋体"/>
          <w:color w:val="auto"/>
          <w:szCs w:val="21"/>
        </w:rPr>
      </w:pPr>
    </w:p>
    <w:p w14:paraId="030BE1D5">
      <w:pPr>
        <w:rPr>
          <w:rFonts w:hint="eastAsia" w:ascii="宋体" w:hAnsi="宋体"/>
          <w:color w:val="auto"/>
          <w:szCs w:val="21"/>
        </w:rPr>
      </w:pPr>
    </w:p>
    <w:p w14:paraId="3D00C752">
      <w:pPr>
        <w:rPr>
          <w:rFonts w:hint="eastAsia" w:ascii="宋体" w:hAnsi="宋体"/>
          <w:color w:val="auto"/>
          <w:szCs w:val="21"/>
        </w:rPr>
      </w:pPr>
    </w:p>
    <w:p w14:paraId="7E842E10">
      <w:pPr>
        <w:rPr>
          <w:rFonts w:hint="eastAsia" w:ascii="宋体" w:hAnsi="宋体"/>
          <w:color w:val="auto"/>
          <w:szCs w:val="21"/>
        </w:rPr>
      </w:pPr>
    </w:p>
    <w:p w14:paraId="7D14CFD1">
      <w:pPr>
        <w:rPr>
          <w:rFonts w:hint="eastAsia" w:ascii="宋体" w:hAnsi="宋体"/>
          <w:color w:val="auto"/>
          <w:szCs w:val="21"/>
        </w:rPr>
      </w:pPr>
    </w:p>
    <w:p w14:paraId="7A18E08A">
      <w:pPr>
        <w:rPr>
          <w:rFonts w:hint="eastAsia" w:ascii="宋体" w:hAnsi="宋体"/>
          <w:color w:val="auto"/>
          <w:szCs w:val="21"/>
        </w:rPr>
      </w:pPr>
    </w:p>
    <w:p w14:paraId="70B9623D">
      <w:pPr>
        <w:rPr>
          <w:rFonts w:hint="eastAsia" w:ascii="宋体" w:hAnsi="宋体"/>
          <w:color w:val="auto"/>
          <w:szCs w:val="21"/>
        </w:rPr>
      </w:pPr>
    </w:p>
    <w:p w14:paraId="3BF72AB3">
      <w:pPr>
        <w:rPr>
          <w:rFonts w:hint="eastAsia" w:ascii="宋体" w:hAnsi="宋体"/>
          <w:color w:val="auto"/>
          <w:szCs w:val="21"/>
        </w:rPr>
      </w:pPr>
    </w:p>
    <w:p w14:paraId="5E649C88">
      <w:pPr>
        <w:rPr>
          <w:rFonts w:ascii="宋体" w:hAnsi="宋体"/>
          <w:color w:val="auto"/>
          <w:szCs w:val="21"/>
        </w:rPr>
      </w:pPr>
    </w:p>
    <w:p w14:paraId="28E8BA95">
      <w:pPr>
        <w:pStyle w:val="3"/>
        <w:numPr>
          <w:ilvl w:val="0"/>
          <w:numId w:val="46"/>
        </w:numPr>
        <w:tabs>
          <w:tab w:val="left" w:pos="840"/>
        </w:tabs>
        <w:jc w:val="center"/>
        <w:rPr>
          <w:rFonts w:hint="eastAsia" w:ascii="宋体" w:hAnsi="宋体"/>
          <w:color w:val="auto"/>
          <w:szCs w:val="24"/>
        </w:rPr>
      </w:pPr>
      <w:r>
        <w:rPr>
          <w:rFonts w:hint="eastAsia" w:ascii="宋体" w:hAnsi="宋体"/>
          <w:color w:val="auto"/>
          <w:szCs w:val="24"/>
        </w:rPr>
        <w:br w:type="page"/>
      </w:r>
      <w:bookmarkStart w:id="530" w:name="_Toc339972631"/>
      <w:bookmarkStart w:id="531" w:name="_Toc355809724"/>
      <w:bookmarkStart w:id="532" w:name="_Toc27914"/>
      <w:r>
        <w:rPr>
          <w:rFonts w:hint="eastAsia" w:ascii="宋体" w:hAnsi="宋体"/>
          <w:color w:val="auto"/>
          <w:szCs w:val="24"/>
        </w:rPr>
        <w:t>投标人提供的其他优惠条件</w:t>
      </w:r>
      <w:bookmarkEnd w:id="530"/>
      <w:bookmarkEnd w:id="531"/>
      <w:bookmarkEnd w:id="532"/>
    </w:p>
    <w:p w14:paraId="3D8BC494">
      <w:pPr>
        <w:tabs>
          <w:tab w:val="left" w:pos="840"/>
        </w:tabs>
        <w:autoSpaceDE w:val="0"/>
        <w:autoSpaceDN w:val="0"/>
        <w:adjustRightInd w:val="0"/>
        <w:spacing w:line="480" w:lineRule="exact"/>
        <w:ind w:firstLine="115" w:firstLineChars="50"/>
        <w:jc w:val="left"/>
        <w:rPr>
          <w:rFonts w:hint="eastAsia" w:ascii="宋体" w:hAnsi="宋体"/>
          <w:color w:val="auto"/>
          <w:spacing w:val="10"/>
          <w:kern w:val="0"/>
          <w:szCs w:val="21"/>
        </w:rPr>
      </w:pPr>
    </w:p>
    <w:p w14:paraId="46FA51FB">
      <w:pPr>
        <w:tabs>
          <w:tab w:val="left" w:pos="840"/>
        </w:tabs>
        <w:autoSpaceDE w:val="0"/>
        <w:autoSpaceDN w:val="0"/>
        <w:adjustRightInd w:val="0"/>
        <w:spacing w:line="480" w:lineRule="exact"/>
        <w:ind w:firstLine="115" w:firstLineChars="50"/>
        <w:jc w:val="left"/>
        <w:rPr>
          <w:rFonts w:hint="eastAsia" w:ascii="宋体" w:hAnsi="宋体"/>
          <w:color w:val="auto"/>
          <w:spacing w:val="10"/>
          <w:kern w:val="0"/>
          <w:szCs w:val="21"/>
        </w:rPr>
      </w:pPr>
      <w:r>
        <w:rPr>
          <w:rFonts w:hint="eastAsia" w:ascii="宋体" w:hAnsi="宋体"/>
          <w:color w:val="auto"/>
          <w:spacing w:val="10"/>
          <w:kern w:val="0"/>
          <w:szCs w:val="21"/>
        </w:rPr>
        <w:t>投标人针对本项目的优惠措施及条件。</w:t>
      </w:r>
    </w:p>
    <w:p w14:paraId="308F8CA7">
      <w:pPr>
        <w:tabs>
          <w:tab w:val="left" w:pos="840"/>
        </w:tabs>
        <w:autoSpaceDE w:val="0"/>
        <w:autoSpaceDN w:val="0"/>
        <w:adjustRightInd w:val="0"/>
        <w:spacing w:line="480" w:lineRule="exact"/>
        <w:jc w:val="left"/>
        <w:rPr>
          <w:rFonts w:hint="eastAsia" w:ascii="宋体" w:hAnsi="宋体"/>
          <w:color w:val="auto"/>
          <w:spacing w:val="10"/>
          <w:kern w:val="0"/>
          <w:szCs w:val="21"/>
        </w:rPr>
      </w:pPr>
    </w:p>
    <w:p w14:paraId="316281D6">
      <w:pPr>
        <w:pStyle w:val="5"/>
        <w:spacing w:line="480" w:lineRule="exact"/>
        <w:rPr>
          <w:rFonts w:hint="eastAsia" w:ascii="宋体" w:hAnsi="宋体"/>
          <w:color w:val="auto"/>
          <w:spacing w:val="10"/>
          <w:kern w:val="0"/>
          <w:szCs w:val="21"/>
        </w:rPr>
      </w:pPr>
    </w:p>
    <w:p w14:paraId="1DDA7B7B">
      <w:pPr>
        <w:pStyle w:val="5"/>
        <w:spacing w:line="480" w:lineRule="exact"/>
        <w:ind w:firstLine="0"/>
        <w:rPr>
          <w:rFonts w:hint="eastAsia" w:ascii="宋体" w:hAnsi="宋体"/>
          <w:color w:val="auto"/>
          <w:spacing w:val="10"/>
          <w:kern w:val="0"/>
          <w:szCs w:val="21"/>
        </w:rPr>
      </w:pPr>
    </w:p>
    <w:p w14:paraId="00758F12">
      <w:pPr>
        <w:pStyle w:val="5"/>
        <w:spacing w:line="480" w:lineRule="exact"/>
        <w:ind w:firstLine="0"/>
        <w:rPr>
          <w:rFonts w:hint="eastAsia" w:ascii="宋体" w:hAnsi="宋体"/>
          <w:color w:val="auto"/>
          <w:szCs w:val="21"/>
        </w:rPr>
      </w:pPr>
    </w:p>
    <w:p w14:paraId="7EC16B7E">
      <w:pPr>
        <w:pStyle w:val="5"/>
        <w:spacing w:line="480" w:lineRule="exact"/>
        <w:ind w:firstLine="0"/>
        <w:rPr>
          <w:rFonts w:hint="eastAsia" w:ascii="宋体" w:hAnsi="宋体"/>
          <w:color w:val="auto"/>
          <w:szCs w:val="21"/>
        </w:rPr>
      </w:pPr>
    </w:p>
    <w:p w14:paraId="7202EA75">
      <w:pPr>
        <w:pStyle w:val="5"/>
        <w:spacing w:line="480" w:lineRule="exact"/>
        <w:ind w:firstLine="0"/>
        <w:rPr>
          <w:rFonts w:hint="eastAsia" w:ascii="宋体" w:hAnsi="宋体"/>
          <w:color w:val="auto"/>
          <w:szCs w:val="21"/>
        </w:rPr>
      </w:pPr>
    </w:p>
    <w:p w14:paraId="0E0BBEFB">
      <w:pPr>
        <w:pStyle w:val="3"/>
        <w:numPr>
          <w:ilvl w:val="0"/>
          <w:numId w:val="46"/>
        </w:numPr>
        <w:tabs>
          <w:tab w:val="left" w:pos="840"/>
        </w:tabs>
        <w:jc w:val="center"/>
        <w:rPr>
          <w:rFonts w:hint="eastAsia" w:ascii="宋体" w:hAnsi="宋体"/>
          <w:color w:val="auto"/>
          <w:szCs w:val="24"/>
        </w:rPr>
      </w:pPr>
      <w:bookmarkStart w:id="533" w:name="_Toc275795959"/>
      <w:r>
        <w:rPr>
          <w:rFonts w:ascii="宋体" w:hAnsi="宋体"/>
          <w:color w:val="auto"/>
          <w:sz w:val="21"/>
          <w:szCs w:val="21"/>
        </w:rPr>
        <w:br w:type="page"/>
      </w:r>
      <w:bookmarkStart w:id="534" w:name="_Toc339972632"/>
      <w:bookmarkStart w:id="535" w:name="_Toc355809725"/>
      <w:bookmarkStart w:id="536" w:name="_Toc1316"/>
      <w:r>
        <w:rPr>
          <w:rFonts w:hint="eastAsia" w:ascii="宋体" w:hAnsi="宋体"/>
          <w:color w:val="auto"/>
          <w:szCs w:val="24"/>
        </w:rPr>
        <w:t>反商业贿赂承诺书</w:t>
      </w:r>
      <w:bookmarkEnd w:id="533"/>
      <w:bookmarkEnd w:id="534"/>
      <w:bookmarkEnd w:id="535"/>
      <w:bookmarkEnd w:id="536"/>
    </w:p>
    <w:p w14:paraId="4D794934">
      <w:pPr>
        <w:spacing w:line="480" w:lineRule="exact"/>
        <w:rPr>
          <w:rFonts w:hint="eastAsia" w:ascii="宋体" w:hAnsi="宋体"/>
          <w:color w:val="auto"/>
          <w:szCs w:val="21"/>
        </w:rPr>
      </w:pPr>
      <w:r>
        <w:rPr>
          <w:rFonts w:hint="eastAsia" w:ascii="宋体" w:hAnsi="宋体"/>
          <w:color w:val="auto"/>
          <w:szCs w:val="21"/>
        </w:rPr>
        <w:t>我公司承诺：</w:t>
      </w:r>
    </w:p>
    <w:p w14:paraId="07083DF7">
      <w:pPr>
        <w:spacing w:line="480" w:lineRule="exact"/>
        <w:ind w:firstLine="555"/>
        <w:rPr>
          <w:rFonts w:hint="eastAsia" w:ascii="宋体" w:hAnsi="宋体"/>
          <w:color w:val="auto"/>
          <w:szCs w:val="21"/>
        </w:rPr>
      </w:pPr>
      <w:r>
        <w:rPr>
          <w:rFonts w:hint="eastAsia" w:ascii="宋体" w:hAnsi="宋体"/>
          <w:color w:val="auto"/>
          <w:szCs w:val="21"/>
        </w:rPr>
        <w:t>在</w:t>
      </w:r>
      <w:r>
        <w:rPr>
          <w:rFonts w:hint="eastAsia" w:ascii="宋体" w:hAnsi="宋体"/>
          <w:color w:val="auto"/>
          <w:szCs w:val="21"/>
          <w:u w:val="single"/>
        </w:rPr>
        <w:t xml:space="preserve">      （采购项目名称）</w:t>
      </w:r>
      <w:r>
        <w:rPr>
          <w:rFonts w:hint="eastAsia" w:ascii="宋体" w:hAnsi="宋体"/>
          <w:color w:val="auto"/>
          <w:szCs w:val="21"/>
        </w:rPr>
        <w:t>采购活动中，我公司保证做到：</w:t>
      </w:r>
    </w:p>
    <w:p w14:paraId="550625EC">
      <w:pPr>
        <w:spacing w:line="480" w:lineRule="exact"/>
        <w:ind w:firstLine="555"/>
        <w:rPr>
          <w:rFonts w:hint="eastAsia" w:ascii="宋体" w:hAnsi="宋体"/>
          <w:color w:val="auto"/>
          <w:szCs w:val="21"/>
        </w:rPr>
      </w:pPr>
      <w:r>
        <w:rPr>
          <w:rFonts w:hint="eastAsia" w:ascii="宋体" w:hAnsi="宋体"/>
          <w:color w:val="auto"/>
          <w:szCs w:val="21"/>
        </w:rPr>
        <w:t>1. 公平竞争参加本次采购活动。</w:t>
      </w:r>
    </w:p>
    <w:p w14:paraId="7F0B24C5">
      <w:pPr>
        <w:spacing w:line="480" w:lineRule="exact"/>
        <w:ind w:firstLine="556"/>
        <w:rPr>
          <w:rFonts w:hint="eastAsia" w:ascii="宋体" w:hAnsi="宋体"/>
          <w:color w:val="auto"/>
          <w:szCs w:val="21"/>
        </w:rPr>
      </w:pPr>
      <w:r>
        <w:rPr>
          <w:rFonts w:hint="eastAsia" w:ascii="宋体" w:hAnsi="宋体"/>
          <w:color w:val="auto"/>
          <w:szCs w:val="21"/>
        </w:rPr>
        <w:t>2. 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44A6BFE3">
      <w:pPr>
        <w:spacing w:line="480" w:lineRule="exact"/>
        <w:ind w:firstLine="556"/>
        <w:rPr>
          <w:rFonts w:hint="eastAsia" w:ascii="宋体" w:hAnsi="宋体"/>
          <w:color w:val="auto"/>
          <w:szCs w:val="21"/>
        </w:rPr>
      </w:pPr>
      <w:r>
        <w:rPr>
          <w:rFonts w:hint="eastAsia" w:ascii="宋体" w:hAnsi="宋体"/>
          <w:color w:val="auto"/>
          <w:szCs w:val="21"/>
        </w:rPr>
        <w:t>3. 若出现上述行为，我公司及参与投标的工作人员愿意接受按照国家法律法规等有关规定给予的处罚。</w:t>
      </w:r>
    </w:p>
    <w:p w14:paraId="1EA83463">
      <w:pPr>
        <w:spacing w:line="480" w:lineRule="exact"/>
        <w:ind w:firstLine="555"/>
        <w:rPr>
          <w:rFonts w:hint="eastAsia" w:ascii="宋体" w:hAnsi="宋体"/>
          <w:color w:val="auto"/>
          <w:szCs w:val="21"/>
        </w:rPr>
      </w:pPr>
    </w:p>
    <w:p w14:paraId="0CDAF6CE">
      <w:pPr>
        <w:spacing w:line="480" w:lineRule="exact"/>
        <w:ind w:firstLine="2880"/>
        <w:rPr>
          <w:rFonts w:hint="eastAsia" w:ascii="宋体" w:hAnsi="宋体"/>
          <w:color w:val="auto"/>
          <w:szCs w:val="21"/>
        </w:rPr>
      </w:pPr>
      <w:r>
        <w:rPr>
          <w:rFonts w:hint="eastAsia" w:ascii="宋体" w:hAnsi="宋体"/>
          <w:color w:val="auto"/>
          <w:szCs w:val="21"/>
        </w:rPr>
        <w:t>公司法人代表（签字或盖章）：</w:t>
      </w:r>
    </w:p>
    <w:p w14:paraId="5B934F4B">
      <w:pPr>
        <w:spacing w:line="480" w:lineRule="exact"/>
        <w:ind w:firstLine="2880"/>
        <w:rPr>
          <w:rFonts w:hint="eastAsia" w:ascii="宋体" w:hAnsi="宋体"/>
          <w:color w:val="auto"/>
          <w:szCs w:val="21"/>
        </w:rPr>
      </w:pPr>
      <w:r>
        <w:rPr>
          <w:rFonts w:hint="eastAsia" w:ascii="宋体" w:hAnsi="宋体"/>
          <w:color w:val="auto"/>
          <w:szCs w:val="21"/>
        </w:rPr>
        <w:t>法人授权代表（签字或盖章）：</w:t>
      </w:r>
    </w:p>
    <w:p w14:paraId="1DF34DC3">
      <w:pPr>
        <w:spacing w:line="480" w:lineRule="exact"/>
        <w:ind w:firstLine="555"/>
        <w:rPr>
          <w:rFonts w:hint="eastAsia" w:ascii="宋体" w:hAnsi="宋体"/>
          <w:color w:val="auto"/>
          <w:szCs w:val="21"/>
        </w:rPr>
      </w:pPr>
      <w:r>
        <w:rPr>
          <w:rFonts w:hint="eastAsia" w:ascii="宋体" w:hAnsi="宋体"/>
          <w:color w:val="auto"/>
          <w:szCs w:val="21"/>
        </w:rPr>
        <w:t xml:space="preserve">                      投标人（公章）：</w:t>
      </w:r>
    </w:p>
    <w:p w14:paraId="0162125C">
      <w:pPr>
        <w:spacing w:line="480" w:lineRule="exact"/>
        <w:ind w:firstLine="555"/>
        <w:rPr>
          <w:rFonts w:hint="eastAsia" w:ascii="宋体" w:hAnsi="宋体"/>
          <w:color w:val="auto"/>
          <w:szCs w:val="21"/>
        </w:rPr>
      </w:pPr>
      <w:r>
        <w:rPr>
          <w:rFonts w:hint="eastAsia" w:ascii="宋体" w:hAnsi="宋体"/>
          <w:color w:val="auto"/>
          <w:szCs w:val="21"/>
        </w:rPr>
        <w:t xml:space="preserve">                                年  月  日</w:t>
      </w:r>
    </w:p>
    <w:p w14:paraId="5442436A">
      <w:pPr>
        <w:rPr>
          <w:rFonts w:ascii="宋体" w:hAnsi="宋体"/>
          <w:color w:val="auto"/>
          <w:szCs w:val="21"/>
        </w:rPr>
      </w:pPr>
    </w:p>
    <w:p w14:paraId="131E3986">
      <w:pPr>
        <w:rPr>
          <w:rFonts w:hint="eastAsia"/>
          <w:color w:val="auto"/>
        </w:rPr>
      </w:pPr>
      <w:r>
        <w:rPr>
          <w:rFonts w:ascii="宋体" w:hAnsi="宋体"/>
          <w:color w:val="auto"/>
          <w:szCs w:val="21"/>
        </w:rPr>
        <w:br w:type="page"/>
      </w:r>
    </w:p>
    <w:p w14:paraId="125D85BC">
      <w:pPr>
        <w:pStyle w:val="3"/>
        <w:numPr>
          <w:ilvl w:val="0"/>
          <w:numId w:val="46"/>
        </w:numPr>
        <w:tabs>
          <w:tab w:val="left" w:pos="840"/>
        </w:tabs>
        <w:jc w:val="center"/>
        <w:rPr>
          <w:rFonts w:hint="eastAsia" w:ascii="宋体" w:hAnsi="宋体"/>
          <w:color w:val="auto"/>
          <w:szCs w:val="24"/>
        </w:rPr>
      </w:pPr>
      <w:bookmarkStart w:id="537" w:name="_Toc1480"/>
      <w:r>
        <w:rPr>
          <w:rFonts w:hint="eastAsia" w:ascii="宋体" w:hAnsi="宋体"/>
          <w:color w:val="auto"/>
          <w:szCs w:val="24"/>
        </w:rPr>
        <w:t>中小企业声明函</w:t>
      </w:r>
      <w:bookmarkEnd w:id="537"/>
      <w:r>
        <w:rPr>
          <w:rFonts w:hint="eastAsia" w:ascii="宋体" w:hAnsi="宋体"/>
          <w:color w:val="auto"/>
          <w:szCs w:val="24"/>
          <w:lang w:eastAsia="zh-CN"/>
        </w:rPr>
        <w:t>（</w:t>
      </w:r>
      <w:r>
        <w:rPr>
          <w:rFonts w:hint="eastAsia" w:ascii="宋体" w:hAnsi="宋体"/>
          <w:color w:val="auto"/>
          <w:szCs w:val="24"/>
          <w:lang w:val="en-US" w:eastAsia="zh-CN"/>
        </w:rPr>
        <w:t>如有</w:t>
      </w:r>
      <w:r>
        <w:rPr>
          <w:rFonts w:hint="eastAsia" w:ascii="宋体" w:hAnsi="宋体"/>
          <w:color w:val="auto"/>
          <w:szCs w:val="24"/>
          <w:lang w:eastAsia="zh-CN"/>
        </w:rPr>
        <w:t>）</w:t>
      </w:r>
    </w:p>
    <w:p w14:paraId="423D0CD3">
      <w:pPr>
        <w:widowControl/>
        <w:spacing w:line="360" w:lineRule="auto"/>
        <w:rPr>
          <w:rFonts w:hint="eastAsia" w:ascii="宋体" w:hAnsi="宋体" w:cs="宋体"/>
          <w:b/>
          <w:color w:val="auto"/>
          <w:kern w:val="0"/>
          <w:sz w:val="28"/>
          <w:szCs w:val="28"/>
          <w:lang w:bidi="ar"/>
        </w:rPr>
      </w:pPr>
    </w:p>
    <w:p w14:paraId="1FE93197">
      <w:pPr>
        <w:widowControl/>
        <w:spacing w:line="360" w:lineRule="auto"/>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本公司（联合体）郑重声明，根据《政府采购促进中小企业发展管理办法》（财库﹝2020﹞46 号）的规定，本公司 （联合体）参加</w:t>
      </w:r>
      <w:r>
        <w:rPr>
          <w:rFonts w:hint="eastAsia" w:ascii="宋体" w:hAnsi="宋体" w:cs="宋体"/>
          <w:color w:val="auto"/>
          <w:kern w:val="0"/>
          <w:szCs w:val="21"/>
          <w:u w:val="single"/>
          <w:lang w:bidi="ar"/>
        </w:rPr>
        <w:t>（单位名称）</w:t>
      </w:r>
      <w:r>
        <w:rPr>
          <w:rFonts w:hint="eastAsia" w:ascii="宋体" w:hAnsi="宋体" w:cs="宋体"/>
          <w:color w:val="auto"/>
          <w:kern w:val="0"/>
          <w:szCs w:val="21"/>
          <w:lang w:bidi="ar"/>
        </w:rPr>
        <w:t>的</w:t>
      </w:r>
      <w:r>
        <w:rPr>
          <w:rFonts w:hint="eastAsia" w:ascii="宋体" w:hAnsi="宋体" w:cs="宋体"/>
          <w:color w:val="auto"/>
          <w:kern w:val="0"/>
          <w:szCs w:val="21"/>
          <w:u w:val="single"/>
          <w:lang w:bidi="ar"/>
        </w:rPr>
        <w:t>（项目名称）</w:t>
      </w:r>
      <w:r>
        <w:rPr>
          <w:rFonts w:hint="eastAsia" w:ascii="宋体" w:hAnsi="宋体" w:cs="宋体"/>
          <w:color w:val="auto"/>
          <w:kern w:val="0"/>
          <w:szCs w:val="21"/>
          <w:lang w:bidi="ar"/>
        </w:rPr>
        <w:t xml:space="preserve">采购活动，提供的货物全部由符合政策要求的中小企业制造。相关企业（含联合体中的中小企业、签订分包意向协议的中小企业）的具体情况如下： </w:t>
      </w:r>
    </w:p>
    <w:p w14:paraId="5A333B71">
      <w:pPr>
        <w:widowControl/>
        <w:spacing w:line="360" w:lineRule="auto"/>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 xml:space="preserve">1. </w:t>
      </w:r>
      <w:r>
        <w:rPr>
          <w:rFonts w:hint="eastAsia" w:ascii="宋体" w:hAnsi="宋体" w:cs="宋体"/>
          <w:color w:val="auto"/>
          <w:kern w:val="0"/>
          <w:szCs w:val="21"/>
          <w:u w:val="single"/>
          <w:lang w:bidi="ar"/>
        </w:rPr>
        <w:t xml:space="preserve">（标的名称） </w:t>
      </w:r>
      <w:r>
        <w:rPr>
          <w:rFonts w:hint="eastAsia" w:ascii="宋体" w:hAnsi="宋体" w:cs="宋体"/>
          <w:color w:val="auto"/>
          <w:kern w:val="0"/>
          <w:szCs w:val="21"/>
          <w:lang w:bidi="ar"/>
        </w:rPr>
        <w:t>，属于</w:t>
      </w:r>
      <w:r>
        <w:rPr>
          <w:rFonts w:hint="eastAsia" w:ascii="宋体" w:hAnsi="宋体" w:cs="宋体"/>
          <w:color w:val="auto"/>
          <w:kern w:val="0"/>
          <w:szCs w:val="21"/>
          <w:u w:val="single"/>
          <w:lang w:bidi="ar"/>
        </w:rPr>
        <w:t xml:space="preserve">（采购文件中明确的所属行业） </w:t>
      </w:r>
      <w:r>
        <w:rPr>
          <w:rFonts w:hint="eastAsia" w:ascii="宋体" w:hAnsi="宋体" w:cs="宋体"/>
          <w:color w:val="auto"/>
          <w:kern w:val="0"/>
          <w:szCs w:val="21"/>
          <w:lang w:bidi="ar"/>
        </w:rPr>
        <w:t>行业；制造商为</w:t>
      </w:r>
      <w:r>
        <w:rPr>
          <w:rFonts w:hint="eastAsia" w:ascii="宋体" w:hAnsi="宋体" w:cs="宋体"/>
          <w:color w:val="auto"/>
          <w:kern w:val="0"/>
          <w:szCs w:val="21"/>
          <w:u w:val="single"/>
          <w:lang w:bidi="ar"/>
        </w:rPr>
        <w:t>（企业名称）</w:t>
      </w:r>
      <w:r>
        <w:rPr>
          <w:rFonts w:hint="eastAsia" w:ascii="宋体" w:hAnsi="宋体" w:cs="宋体"/>
          <w:color w:val="auto"/>
          <w:kern w:val="0"/>
          <w:szCs w:val="21"/>
          <w:lang w:bidi="ar"/>
        </w:rPr>
        <w:t>，从业人员</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人，营业收入为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万元，资产总额为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万元①，属于</w:t>
      </w:r>
      <w:r>
        <w:rPr>
          <w:rFonts w:hint="eastAsia" w:ascii="宋体" w:hAnsi="宋体" w:cs="宋体"/>
          <w:color w:val="auto"/>
          <w:kern w:val="0"/>
          <w:szCs w:val="21"/>
          <w:u w:val="single"/>
          <w:lang w:bidi="ar"/>
        </w:rPr>
        <w:t>（中型企业、小 型企业、微型企业）</w:t>
      </w:r>
      <w:r>
        <w:rPr>
          <w:rFonts w:hint="eastAsia" w:ascii="宋体" w:hAnsi="宋体" w:cs="宋体"/>
          <w:color w:val="auto"/>
          <w:kern w:val="0"/>
          <w:szCs w:val="21"/>
          <w:lang w:bidi="ar"/>
        </w:rPr>
        <w:t xml:space="preserve">； </w:t>
      </w:r>
    </w:p>
    <w:p w14:paraId="747D3030">
      <w:pPr>
        <w:widowControl/>
        <w:spacing w:line="360" w:lineRule="auto"/>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 xml:space="preserve">2. </w:t>
      </w:r>
      <w:r>
        <w:rPr>
          <w:rFonts w:hint="eastAsia" w:ascii="宋体" w:hAnsi="宋体" w:cs="宋体"/>
          <w:color w:val="auto"/>
          <w:kern w:val="0"/>
          <w:szCs w:val="21"/>
          <w:u w:val="single"/>
          <w:lang w:bidi="ar"/>
        </w:rPr>
        <w:t xml:space="preserve">（标的名称） </w:t>
      </w:r>
      <w:r>
        <w:rPr>
          <w:rFonts w:hint="eastAsia" w:ascii="宋体" w:hAnsi="宋体" w:cs="宋体"/>
          <w:color w:val="auto"/>
          <w:kern w:val="0"/>
          <w:szCs w:val="21"/>
          <w:lang w:bidi="ar"/>
        </w:rPr>
        <w:t>，属于</w:t>
      </w:r>
      <w:r>
        <w:rPr>
          <w:rFonts w:hint="eastAsia" w:ascii="宋体" w:hAnsi="宋体" w:cs="宋体"/>
          <w:color w:val="auto"/>
          <w:kern w:val="0"/>
          <w:szCs w:val="21"/>
          <w:u w:val="single"/>
          <w:lang w:bidi="ar"/>
        </w:rPr>
        <w:t>（采购文件中明确的所属行业）</w:t>
      </w:r>
      <w:r>
        <w:rPr>
          <w:rFonts w:hint="eastAsia" w:ascii="宋体" w:hAnsi="宋体" w:cs="宋体"/>
          <w:color w:val="auto"/>
          <w:kern w:val="0"/>
          <w:szCs w:val="21"/>
          <w:lang w:bidi="ar"/>
        </w:rPr>
        <w:t>行业；制造商为</w:t>
      </w:r>
      <w:r>
        <w:rPr>
          <w:rFonts w:hint="eastAsia" w:ascii="宋体" w:hAnsi="宋体" w:cs="宋体"/>
          <w:color w:val="auto"/>
          <w:kern w:val="0"/>
          <w:szCs w:val="21"/>
          <w:u w:val="single"/>
          <w:lang w:bidi="ar"/>
        </w:rPr>
        <w:t>（企业名称），</w:t>
      </w:r>
      <w:r>
        <w:rPr>
          <w:rFonts w:hint="eastAsia" w:ascii="宋体" w:hAnsi="宋体" w:cs="宋体"/>
          <w:color w:val="auto"/>
          <w:kern w:val="0"/>
          <w:szCs w:val="21"/>
          <w:lang w:bidi="ar"/>
        </w:rPr>
        <w:t>从业人员</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人，营业收入为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万元，资产总额为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万元，属于</w:t>
      </w:r>
      <w:r>
        <w:rPr>
          <w:rFonts w:hint="eastAsia" w:ascii="宋体" w:hAnsi="宋体" w:cs="宋体"/>
          <w:color w:val="auto"/>
          <w:kern w:val="0"/>
          <w:szCs w:val="21"/>
          <w:u w:val="single"/>
          <w:lang w:bidi="ar"/>
        </w:rPr>
        <w:t>（中型企业、小型企业、微型企业）</w:t>
      </w:r>
      <w:r>
        <w:rPr>
          <w:rFonts w:hint="eastAsia" w:ascii="宋体" w:hAnsi="宋体" w:cs="宋体"/>
          <w:color w:val="auto"/>
          <w:kern w:val="0"/>
          <w:szCs w:val="21"/>
          <w:lang w:bidi="ar"/>
        </w:rPr>
        <w:t xml:space="preserve">； </w:t>
      </w:r>
    </w:p>
    <w:p w14:paraId="0FFA14CE">
      <w:pPr>
        <w:widowControl/>
        <w:spacing w:line="360" w:lineRule="auto"/>
        <w:jc w:val="left"/>
        <w:rPr>
          <w:rFonts w:hint="eastAsia" w:ascii="宋体" w:hAnsi="宋体" w:cs="宋体"/>
          <w:color w:val="auto"/>
          <w:kern w:val="0"/>
          <w:szCs w:val="21"/>
          <w:lang w:bidi="ar"/>
        </w:rPr>
      </w:pPr>
      <w:r>
        <w:rPr>
          <w:rFonts w:hint="eastAsia" w:ascii="宋体" w:hAnsi="宋体" w:cs="宋体"/>
          <w:color w:val="auto"/>
          <w:kern w:val="0"/>
          <w:szCs w:val="21"/>
          <w:lang w:bidi="ar"/>
        </w:rPr>
        <w:t>……</w:t>
      </w:r>
    </w:p>
    <w:p w14:paraId="5BC48C2E">
      <w:pPr>
        <w:widowControl/>
        <w:spacing w:line="360" w:lineRule="auto"/>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以上企业，不属于大企业的分支机构，不存在控股股东为大企业的情形，也不存在与大企业的负责人为同一人的情形。</w:t>
      </w:r>
    </w:p>
    <w:p w14:paraId="43B98E43">
      <w:pPr>
        <w:widowControl/>
        <w:spacing w:line="360" w:lineRule="auto"/>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 xml:space="preserve">本企业对上述声明内容的真实性负责。如有虚假，将依法承担相应责任。 </w:t>
      </w:r>
    </w:p>
    <w:p w14:paraId="63E8D761">
      <w:pPr>
        <w:widowControl/>
        <w:spacing w:line="360" w:lineRule="auto"/>
        <w:jc w:val="left"/>
        <w:rPr>
          <w:rFonts w:hint="eastAsia" w:ascii="宋体" w:hAnsi="宋体" w:cs="宋体"/>
          <w:color w:val="auto"/>
          <w:kern w:val="0"/>
          <w:szCs w:val="21"/>
          <w:lang w:bidi="ar"/>
        </w:rPr>
      </w:pPr>
    </w:p>
    <w:p w14:paraId="50E2D1AE">
      <w:pPr>
        <w:widowControl/>
        <w:spacing w:line="360" w:lineRule="auto"/>
        <w:jc w:val="left"/>
        <w:rPr>
          <w:rFonts w:hint="eastAsia" w:ascii="宋体" w:hAnsi="宋体" w:cs="宋体"/>
          <w:color w:val="auto"/>
          <w:kern w:val="0"/>
          <w:szCs w:val="21"/>
          <w:lang w:bidi="ar"/>
        </w:rPr>
      </w:pPr>
    </w:p>
    <w:p w14:paraId="62202331">
      <w:pPr>
        <w:widowControl/>
        <w:spacing w:line="360" w:lineRule="auto"/>
        <w:ind w:firstLine="5460" w:firstLineChars="2600"/>
        <w:jc w:val="left"/>
        <w:rPr>
          <w:rFonts w:hint="eastAsia" w:ascii="宋体" w:hAnsi="宋体" w:cs="宋体"/>
          <w:color w:val="auto"/>
          <w:kern w:val="0"/>
          <w:szCs w:val="21"/>
          <w:lang w:bidi="ar"/>
        </w:rPr>
      </w:pPr>
      <w:r>
        <w:rPr>
          <w:rFonts w:hint="eastAsia" w:ascii="宋体" w:hAnsi="宋体" w:cs="宋体"/>
          <w:color w:val="auto"/>
          <w:kern w:val="0"/>
          <w:szCs w:val="21"/>
          <w:lang w:bidi="ar"/>
        </w:rPr>
        <w:t xml:space="preserve">企业名称（盖章）： </w:t>
      </w:r>
    </w:p>
    <w:p w14:paraId="512EE87B">
      <w:pPr>
        <w:widowControl/>
        <w:spacing w:line="360" w:lineRule="auto"/>
        <w:ind w:firstLine="5460" w:firstLineChars="2600"/>
        <w:jc w:val="left"/>
        <w:rPr>
          <w:rFonts w:hint="eastAsia" w:ascii="宋体" w:hAnsi="宋体" w:cs="宋体"/>
          <w:color w:val="auto"/>
          <w:kern w:val="0"/>
          <w:szCs w:val="21"/>
          <w:lang w:bidi="ar"/>
        </w:rPr>
      </w:pPr>
      <w:r>
        <w:rPr>
          <w:rFonts w:hint="eastAsia" w:ascii="宋体" w:hAnsi="宋体" w:cs="宋体"/>
          <w:color w:val="auto"/>
          <w:kern w:val="0"/>
          <w:szCs w:val="21"/>
          <w:lang w:bidi="ar"/>
        </w:rPr>
        <w:t xml:space="preserve">日 期： </w:t>
      </w:r>
    </w:p>
    <w:p w14:paraId="60288CC7">
      <w:pPr>
        <w:widowControl/>
        <w:spacing w:line="360" w:lineRule="auto"/>
        <w:jc w:val="left"/>
        <w:rPr>
          <w:rFonts w:hint="eastAsia" w:ascii="宋体" w:hAnsi="宋体" w:cs="宋体"/>
          <w:color w:val="auto"/>
          <w:kern w:val="0"/>
          <w:szCs w:val="21"/>
          <w:lang w:bidi="ar"/>
        </w:rPr>
      </w:pPr>
    </w:p>
    <w:p w14:paraId="30F7E79E">
      <w:pPr>
        <w:widowControl/>
        <w:spacing w:line="360" w:lineRule="auto"/>
        <w:jc w:val="left"/>
        <w:rPr>
          <w:rFonts w:hint="eastAsia" w:ascii="宋体" w:hAnsi="宋体" w:cs="宋体"/>
          <w:color w:val="auto"/>
          <w:kern w:val="0"/>
          <w:szCs w:val="21"/>
          <w:lang w:bidi="ar"/>
        </w:rPr>
      </w:pPr>
      <w:r>
        <w:rPr>
          <w:rFonts w:hint="eastAsia" w:ascii="宋体" w:hAnsi="宋体" w:cs="宋体"/>
          <w:b/>
          <w:bCs/>
          <w:color w:val="auto"/>
          <w:kern w:val="0"/>
          <w:szCs w:val="21"/>
          <w:lang w:bidi="ar"/>
        </w:rPr>
        <w:t>注：</w:t>
      </w:r>
      <w:r>
        <w:rPr>
          <w:rFonts w:hint="eastAsia" w:ascii="宋体" w:hAnsi="宋体" w:cs="宋体"/>
          <w:color w:val="auto"/>
          <w:kern w:val="0"/>
          <w:szCs w:val="21"/>
          <w:lang w:bidi="ar"/>
        </w:rPr>
        <w:t>①从业人员、营业收入、资产总额填报上一年度数据，无上一年度数据的新成立企业可不填报。</w:t>
      </w:r>
    </w:p>
    <w:p w14:paraId="2D9EB76D">
      <w:pPr>
        <w:widowControl/>
        <w:spacing w:line="360" w:lineRule="auto"/>
        <w:ind w:firstLine="420" w:firstLineChars="200"/>
        <w:jc w:val="left"/>
        <w:rPr>
          <w:rFonts w:hint="eastAsia" w:ascii="宋体" w:hAnsi="宋体" w:cs="宋体"/>
          <w:color w:val="auto"/>
          <w:kern w:val="0"/>
          <w:szCs w:val="21"/>
          <w:lang w:bidi="ar"/>
        </w:rPr>
      </w:pPr>
      <w:r>
        <w:rPr>
          <w:rFonts w:hint="eastAsia"/>
          <w:color w:val="auto"/>
          <w:szCs w:val="21"/>
        </w:rPr>
        <w:t>②</w:t>
      </w:r>
      <w:r>
        <w:rPr>
          <w:rFonts w:hint="eastAsia" w:ascii="宋体" w:hAnsi="宋体" w:cs="宋体"/>
          <w:color w:val="auto"/>
          <w:kern w:val="0"/>
          <w:szCs w:val="21"/>
          <w:lang w:bidi="ar"/>
        </w:rPr>
        <w:t>供应商提供的货物既有中小企业制造货物，也有大型企业制造货物的，不享受《政府采购促进中小企业发展管理办法》规定的中小企业扶持政策。</w:t>
      </w:r>
    </w:p>
    <w:p w14:paraId="04DE962C">
      <w:pPr>
        <w:widowControl/>
        <w:spacing w:line="360" w:lineRule="auto"/>
        <w:ind w:firstLine="420" w:firstLineChars="200"/>
        <w:jc w:val="left"/>
        <w:rPr>
          <w:rFonts w:hint="eastAsia" w:ascii="宋体" w:hAnsi="宋体" w:cs="宋体"/>
          <w:color w:val="auto"/>
          <w:kern w:val="0"/>
          <w:szCs w:val="21"/>
          <w:lang w:bidi="ar"/>
        </w:rPr>
      </w:pPr>
      <w:r>
        <w:rPr>
          <w:rFonts w:hint="eastAsia"/>
          <w:color w:val="auto"/>
          <w:szCs w:val="21"/>
        </w:rPr>
        <w:t>③</w:t>
      </w:r>
      <w:r>
        <w:rPr>
          <w:rFonts w:hint="eastAsia" w:ascii="宋体" w:hAnsi="宋体" w:cs="宋体"/>
          <w:color w:val="auto"/>
          <w:kern w:val="0"/>
          <w:szCs w:val="21"/>
          <w:lang w:bidi="ar"/>
        </w:rPr>
        <w:t xml:space="preserve">以联合体形式参加政府采购活动，联合体各方均为中小企业的，联合体视同中小企业。其中，联合体各方均为小微企业的，联合体视同小微企业。 </w:t>
      </w:r>
    </w:p>
    <w:p w14:paraId="7DEA667D">
      <w:pPr>
        <w:pStyle w:val="28"/>
        <w:spacing w:line="360" w:lineRule="auto"/>
        <w:ind w:left="0" w:leftChars="0"/>
        <w:rPr>
          <w:rFonts w:hint="eastAsia"/>
          <w:color w:val="auto"/>
          <w:szCs w:val="21"/>
        </w:rPr>
      </w:pPr>
      <w:r>
        <w:rPr>
          <w:rFonts w:hint="eastAsia"/>
          <w:color w:val="auto"/>
          <w:szCs w:val="21"/>
        </w:rPr>
        <w:t>④在政府采购活动中，供应商提供的所有货物由小微企业制造，即货物由小微企业生产且使用该小微企业商号或者注册商标的，才能享受《政府采购促进中小企业发展管理办法》规定的价格扣减。</w:t>
      </w:r>
    </w:p>
    <w:p w14:paraId="2EDB17EB">
      <w:pPr>
        <w:pStyle w:val="28"/>
        <w:spacing w:line="360" w:lineRule="auto"/>
        <w:ind w:left="0" w:leftChars="0"/>
        <w:rPr>
          <w:rFonts w:hint="eastAsia" w:ascii="宋体" w:hAnsi="宋体" w:cs="宋体"/>
          <w:color w:val="auto"/>
          <w:kern w:val="0"/>
          <w:szCs w:val="21"/>
          <w:lang w:bidi="ar"/>
        </w:rPr>
      </w:pPr>
      <w:r>
        <w:rPr>
          <w:rFonts w:hint="eastAsia" w:ascii="宋体" w:hAnsi="宋体" w:cs="宋体"/>
          <w:color w:val="auto"/>
          <w:kern w:val="0"/>
          <w:szCs w:val="21"/>
          <w:lang w:bidi="ar"/>
        </w:rPr>
        <w:t>⑤中小企业声明函格式应严格按照招标文件提供的格式填写。非单一产品采购的，设备制造商不止一家时，中小企业声明函中须列出所有的设备及制造商，罗列不全的中小企业声明函不予认可。</w:t>
      </w:r>
    </w:p>
    <w:p w14:paraId="4E92AD29">
      <w:pPr>
        <w:pStyle w:val="28"/>
        <w:spacing w:line="360" w:lineRule="auto"/>
        <w:ind w:left="0" w:leftChars="0"/>
        <w:rPr>
          <w:rFonts w:hint="eastAsia" w:ascii="宋体" w:hAnsi="宋体" w:cs="宋体"/>
          <w:color w:val="auto"/>
          <w:kern w:val="0"/>
          <w:szCs w:val="21"/>
          <w:lang w:bidi="ar"/>
        </w:rPr>
      </w:pPr>
      <w:r>
        <w:rPr>
          <w:rFonts w:hint="eastAsia" w:ascii="宋体" w:hAnsi="宋体" w:cs="宋体"/>
          <w:color w:val="auto"/>
          <w:kern w:val="0"/>
          <w:szCs w:val="21"/>
          <w:lang w:bidi="ar"/>
        </w:rPr>
        <w:t>⑥在货物采购项目中，货物应当由中小企业制造，不对其中涉及的服务的承接商作出要求。</w:t>
      </w:r>
    </w:p>
    <w:p w14:paraId="7157147D">
      <w:pPr>
        <w:widowControl/>
        <w:spacing w:line="360" w:lineRule="auto"/>
        <w:ind w:firstLine="420" w:firstLineChars="200"/>
        <w:jc w:val="left"/>
        <w:rPr>
          <w:rFonts w:hint="eastAsia" w:ascii="宋体" w:hAnsi="宋体" w:cs="宋体"/>
          <w:color w:val="auto"/>
          <w:kern w:val="0"/>
          <w:szCs w:val="21"/>
          <w:lang w:bidi="ar"/>
        </w:rPr>
      </w:pPr>
    </w:p>
    <w:p w14:paraId="3D19458B">
      <w:pPr>
        <w:spacing w:line="360" w:lineRule="auto"/>
        <w:rPr>
          <w:rFonts w:hint="eastAsia" w:ascii="宋体" w:hAnsi="宋体" w:cs="宋体"/>
          <w:color w:val="auto"/>
          <w:szCs w:val="21"/>
        </w:rPr>
      </w:pPr>
    </w:p>
    <w:p w14:paraId="2D0ADF6E">
      <w:pPr>
        <w:pStyle w:val="5"/>
        <w:spacing w:line="360" w:lineRule="auto"/>
        <w:rPr>
          <w:rFonts w:hint="eastAsia" w:ascii="宋体" w:hAnsi="宋体" w:cs="宋体"/>
          <w:color w:val="auto"/>
          <w:szCs w:val="21"/>
        </w:rPr>
      </w:pPr>
    </w:p>
    <w:p w14:paraId="4B4FFAB7">
      <w:pPr>
        <w:pStyle w:val="3"/>
        <w:numPr>
          <w:ilvl w:val="0"/>
          <w:numId w:val="46"/>
        </w:numPr>
        <w:tabs>
          <w:tab w:val="left" w:pos="840"/>
        </w:tabs>
        <w:jc w:val="center"/>
        <w:rPr>
          <w:rFonts w:hint="eastAsia" w:ascii="宋体" w:hAnsi="宋体"/>
          <w:color w:val="auto"/>
          <w:szCs w:val="24"/>
        </w:rPr>
      </w:pPr>
      <w:bookmarkStart w:id="538" w:name="OLE_LINK13"/>
      <w:bookmarkStart w:id="539" w:name="OLE_LINK14"/>
      <w:r>
        <w:rPr>
          <w:rFonts w:hint="eastAsia" w:ascii="宋体" w:hAnsi="宋体"/>
          <w:color w:val="auto"/>
          <w:szCs w:val="24"/>
        </w:rPr>
        <w:br w:type="page"/>
      </w:r>
      <w:bookmarkStart w:id="540" w:name="_Toc26291"/>
      <w:r>
        <w:rPr>
          <w:rFonts w:hint="eastAsia" w:ascii="宋体" w:hAnsi="宋体"/>
          <w:color w:val="auto"/>
          <w:szCs w:val="24"/>
        </w:rPr>
        <w:t>残疾人福利性单位声明函</w:t>
      </w:r>
      <w:bookmarkEnd w:id="540"/>
      <w:r>
        <w:rPr>
          <w:rFonts w:hint="eastAsia" w:ascii="宋体" w:hAnsi="宋体" w:cs="微软雅黑"/>
          <w:color w:val="auto"/>
          <w:kern w:val="0"/>
          <w:szCs w:val="21"/>
        </w:rPr>
        <w:t>（如有）</w:t>
      </w:r>
    </w:p>
    <w:bookmarkEnd w:id="538"/>
    <w:bookmarkEnd w:id="539"/>
    <w:p w14:paraId="16A5EB94">
      <w:pPr>
        <w:spacing w:line="360" w:lineRule="auto"/>
        <w:rPr>
          <w:rFonts w:hint="eastAsia" w:ascii="宋体" w:hAnsi="宋体" w:cs="宋体"/>
          <w:b/>
          <w:color w:val="auto"/>
          <w:spacing w:val="6"/>
          <w:szCs w:val="21"/>
        </w:rPr>
      </w:pPr>
    </w:p>
    <w:p w14:paraId="44B1D9C6">
      <w:pPr>
        <w:spacing w:line="360" w:lineRule="auto"/>
        <w:ind w:firstLine="444" w:firstLineChars="200"/>
        <w:rPr>
          <w:rFonts w:hint="eastAsia" w:ascii="宋体" w:hAnsi="宋体" w:cs="宋体"/>
          <w:color w:val="auto"/>
          <w:spacing w:val="6"/>
          <w:szCs w:val="21"/>
        </w:rPr>
      </w:pPr>
      <w:r>
        <w:rPr>
          <w:rFonts w:hint="eastAsia" w:ascii="宋体" w:hAnsi="宋体" w:cs="宋体"/>
          <w:color w:val="auto"/>
          <w:spacing w:val="6"/>
          <w:szCs w:val="21"/>
        </w:rPr>
        <w:t>本单位郑重声明，根据《财政部 民政部 中国残疾人联合会关于促进残疾人就业政府采购政策的通知》（财库</w:t>
      </w:r>
      <w:r>
        <w:rPr>
          <w:rFonts w:hint="eastAsia" w:ascii="宋体" w:hAnsi="宋体" w:cs="宋体"/>
          <w:color w:val="auto"/>
          <w:szCs w:val="21"/>
        </w:rPr>
        <w:t>〔2017〕 141</w:t>
      </w:r>
      <w:r>
        <w:rPr>
          <w:rFonts w:hint="eastAsia" w:ascii="宋体" w:hAnsi="宋体" w:cs="宋体"/>
          <w:color w:val="auto"/>
          <w:spacing w:val="6"/>
          <w:szCs w:val="21"/>
        </w:rPr>
        <w:t>号）的规定，本单位为符合条件的残疾人福利性单位，且本单位参加</w:t>
      </w:r>
      <w:r>
        <w:rPr>
          <w:rFonts w:hint="eastAsia" w:ascii="宋体" w:hAnsi="宋体" w:cs="宋体"/>
          <w:color w:val="auto"/>
          <w:spacing w:val="6"/>
          <w:szCs w:val="21"/>
          <w:u w:val="single"/>
        </w:rPr>
        <w:t xml:space="preserve">       </w:t>
      </w:r>
      <w:r>
        <w:rPr>
          <w:rFonts w:hint="eastAsia" w:ascii="宋体" w:hAnsi="宋体" w:cs="宋体"/>
          <w:color w:val="auto"/>
          <w:spacing w:val="6"/>
          <w:szCs w:val="21"/>
        </w:rPr>
        <w:t>单位的</w:t>
      </w:r>
      <w:r>
        <w:rPr>
          <w:rFonts w:hint="eastAsia" w:ascii="宋体" w:hAnsi="宋体" w:cs="宋体"/>
          <w:color w:val="auto"/>
          <w:spacing w:val="6"/>
          <w:szCs w:val="21"/>
          <w:u w:val="single"/>
        </w:rPr>
        <w:t xml:space="preserve">      </w:t>
      </w:r>
      <w:r>
        <w:rPr>
          <w:rFonts w:hint="eastAsia" w:ascii="宋体" w:hAnsi="宋体" w:cs="宋体"/>
          <w:color w:val="auto"/>
          <w:spacing w:val="6"/>
          <w:szCs w:val="21"/>
        </w:rPr>
        <w:t>项目采购活动提供本单位制造的货物（由本单位承担工程/提供服务），或者提供其他残疾人福利性单位制造的货物（不包括使用非残疾人福利性单位注册商标的货物）。</w:t>
      </w:r>
    </w:p>
    <w:p w14:paraId="304D06A4">
      <w:pPr>
        <w:spacing w:line="360" w:lineRule="auto"/>
        <w:ind w:firstLine="444" w:firstLineChars="200"/>
        <w:rPr>
          <w:rFonts w:hint="eastAsia" w:ascii="宋体" w:hAnsi="宋体" w:cs="宋体"/>
          <w:color w:val="auto"/>
          <w:spacing w:val="6"/>
          <w:szCs w:val="21"/>
        </w:rPr>
      </w:pPr>
      <w:r>
        <w:rPr>
          <w:rFonts w:hint="eastAsia" w:ascii="宋体" w:hAnsi="宋体" w:cs="宋体"/>
          <w:color w:val="auto"/>
          <w:spacing w:val="6"/>
          <w:szCs w:val="21"/>
        </w:rPr>
        <w:t>本单位对上述声明的真实性负责。如有虚假，将依法承担相应责任。</w:t>
      </w:r>
    </w:p>
    <w:p w14:paraId="4680F392">
      <w:pPr>
        <w:spacing w:line="360" w:lineRule="auto"/>
        <w:ind w:firstLine="444" w:firstLineChars="200"/>
        <w:rPr>
          <w:rFonts w:hint="eastAsia" w:ascii="宋体" w:hAnsi="宋体" w:cs="宋体"/>
          <w:color w:val="auto"/>
          <w:spacing w:val="6"/>
          <w:szCs w:val="21"/>
        </w:rPr>
      </w:pPr>
    </w:p>
    <w:p w14:paraId="3B2F32EF">
      <w:pPr>
        <w:spacing w:line="360" w:lineRule="auto"/>
        <w:ind w:firstLine="444" w:firstLineChars="200"/>
        <w:rPr>
          <w:rFonts w:hint="eastAsia" w:ascii="宋体" w:hAnsi="宋体" w:cs="宋体"/>
          <w:color w:val="auto"/>
          <w:spacing w:val="6"/>
          <w:szCs w:val="21"/>
        </w:rPr>
      </w:pPr>
    </w:p>
    <w:p w14:paraId="0EDB2B7E">
      <w:pPr>
        <w:tabs>
          <w:tab w:val="left" w:pos="4860"/>
        </w:tabs>
        <w:spacing w:line="360" w:lineRule="auto"/>
        <w:ind w:right="1560" w:firstLine="444" w:firstLineChars="200"/>
        <w:jc w:val="center"/>
        <w:rPr>
          <w:rFonts w:hint="eastAsia" w:ascii="宋体" w:hAnsi="宋体" w:cs="宋体"/>
          <w:color w:val="auto"/>
          <w:spacing w:val="6"/>
          <w:szCs w:val="21"/>
        </w:rPr>
      </w:pPr>
      <w:r>
        <w:rPr>
          <w:rFonts w:hint="eastAsia" w:ascii="宋体" w:hAnsi="宋体" w:cs="宋体"/>
          <w:color w:val="auto"/>
          <w:spacing w:val="6"/>
          <w:szCs w:val="21"/>
        </w:rPr>
        <w:t xml:space="preserve">               单位名称（盖章）：</w:t>
      </w:r>
    </w:p>
    <w:p w14:paraId="3B610C46">
      <w:pPr>
        <w:tabs>
          <w:tab w:val="left" w:pos="4860"/>
        </w:tabs>
        <w:spacing w:line="360" w:lineRule="auto"/>
        <w:ind w:right="1560" w:firstLine="444" w:firstLineChars="200"/>
        <w:jc w:val="center"/>
        <w:rPr>
          <w:rFonts w:hint="eastAsia" w:ascii="宋体" w:hAnsi="宋体" w:cs="宋体"/>
          <w:color w:val="auto"/>
          <w:spacing w:val="6"/>
          <w:szCs w:val="21"/>
        </w:rPr>
      </w:pPr>
      <w:r>
        <w:rPr>
          <w:rFonts w:hint="eastAsia" w:ascii="宋体" w:hAnsi="宋体" w:cs="宋体"/>
          <w:color w:val="auto"/>
          <w:spacing w:val="6"/>
          <w:szCs w:val="21"/>
        </w:rPr>
        <w:t xml:space="preserve">       日  期：</w:t>
      </w:r>
    </w:p>
    <w:p w14:paraId="27452FE9">
      <w:pPr>
        <w:widowControl/>
        <w:spacing w:line="360" w:lineRule="auto"/>
        <w:rPr>
          <w:rFonts w:hint="eastAsia" w:ascii="宋体" w:hAnsi="宋体" w:cs="宋体"/>
          <w:b/>
          <w:color w:val="auto"/>
          <w:szCs w:val="21"/>
        </w:rPr>
      </w:pPr>
    </w:p>
    <w:p w14:paraId="79E698B3">
      <w:pPr>
        <w:widowControl/>
        <w:spacing w:line="360" w:lineRule="auto"/>
        <w:rPr>
          <w:rFonts w:hint="eastAsia" w:ascii="宋体" w:hAnsi="宋体" w:cs="宋体"/>
          <w:b/>
          <w:color w:val="auto"/>
          <w:szCs w:val="21"/>
        </w:rPr>
      </w:pPr>
      <w:r>
        <w:rPr>
          <w:rFonts w:hint="eastAsia" w:ascii="宋体" w:hAnsi="宋体" w:cs="宋体"/>
          <w:b/>
          <w:color w:val="auto"/>
          <w:szCs w:val="21"/>
        </w:rPr>
        <w:t>（提醒：如果投标人</w:t>
      </w:r>
      <w:r>
        <w:rPr>
          <w:rFonts w:hint="eastAsia" w:ascii="宋体" w:hAnsi="宋体" w:cs="宋体"/>
          <w:b/>
          <w:color w:val="auto"/>
          <w:spacing w:val="10"/>
          <w:kern w:val="0"/>
          <w:szCs w:val="21"/>
        </w:rPr>
        <w:t>不是残疾人福利性单位</w:t>
      </w:r>
      <w:r>
        <w:rPr>
          <w:rFonts w:hint="eastAsia" w:ascii="宋体" w:hAnsi="宋体" w:cs="宋体"/>
          <w:b/>
          <w:color w:val="auto"/>
          <w:szCs w:val="21"/>
        </w:rPr>
        <w:t>，则不需要提供《残疾人福利性单位声明函</w:t>
      </w:r>
    </w:p>
    <w:p w14:paraId="19AC934D">
      <w:pPr>
        <w:widowControl/>
        <w:spacing w:line="360" w:lineRule="auto"/>
        <w:rPr>
          <w:rFonts w:hint="eastAsia" w:ascii="宋体" w:hAnsi="宋体" w:cs="宋体"/>
          <w:b/>
          <w:color w:val="auto"/>
          <w:szCs w:val="21"/>
        </w:rPr>
      </w:pPr>
      <w:r>
        <w:rPr>
          <w:rFonts w:hint="eastAsia" w:ascii="宋体" w:hAnsi="宋体" w:cs="宋体"/>
          <w:b/>
          <w:color w:val="auto"/>
          <w:szCs w:val="21"/>
        </w:rPr>
        <w:t>》。）</w:t>
      </w:r>
    </w:p>
    <w:p w14:paraId="3675555C">
      <w:pPr>
        <w:tabs>
          <w:tab w:val="left" w:pos="840"/>
        </w:tabs>
        <w:autoSpaceDE w:val="0"/>
        <w:autoSpaceDN w:val="0"/>
        <w:adjustRightInd w:val="0"/>
        <w:spacing w:line="360" w:lineRule="auto"/>
        <w:rPr>
          <w:rFonts w:hint="eastAsia" w:ascii="宋体" w:hAnsi="宋体"/>
          <w:b/>
          <w:color w:val="auto"/>
          <w:sz w:val="24"/>
        </w:rPr>
      </w:pPr>
    </w:p>
    <w:p w14:paraId="33291378">
      <w:pPr>
        <w:spacing w:line="360" w:lineRule="auto"/>
        <w:rPr>
          <w:rFonts w:hint="eastAsia"/>
          <w:color w:val="auto"/>
        </w:rPr>
      </w:pPr>
      <w:r>
        <w:rPr>
          <w:rFonts w:hint="eastAsia"/>
          <w:color w:val="auto"/>
        </w:rPr>
        <w:t>《财政部民政部中国残疾人联合会关于促进残疾人就业政府采购政策的通知》（财库（2017〔141〕号）的规定：</w:t>
      </w:r>
    </w:p>
    <w:p w14:paraId="4DFFC1E7">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 享受政府采购支持政策的残疾人福利性单位应当同时满足以下条件：</w:t>
      </w:r>
    </w:p>
    <w:p w14:paraId="5ECA6688">
      <w:pPr>
        <w:spacing w:line="360" w:lineRule="auto"/>
        <w:rPr>
          <w:rFonts w:hint="eastAsia"/>
          <w:color w:val="auto"/>
        </w:rPr>
      </w:pPr>
      <w:r>
        <w:rPr>
          <w:rFonts w:hint="eastAsia"/>
          <w:color w:val="auto"/>
        </w:rPr>
        <w:t>（1）安置的残疾人占本单位在职职工人数的比例不低于25%（含25%），并且安置的残疾人人数不少于10人（含10人）；</w:t>
      </w:r>
    </w:p>
    <w:p w14:paraId="4287C28D">
      <w:pPr>
        <w:spacing w:line="360" w:lineRule="auto"/>
        <w:rPr>
          <w:rFonts w:hint="eastAsia"/>
          <w:color w:val="auto"/>
        </w:rPr>
      </w:pPr>
      <w:r>
        <w:rPr>
          <w:rFonts w:hint="eastAsia"/>
          <w:color w:val="auto"/>
        </w:rPr>
        <w:t>（2）依法与安置的每位残疾人签订了一年以上（含一年）的劳动合同或服务协议；</w:t>
      </w:r>
    </w:p>
    <w:p w14:paraId="6663B308">
      <w:pPr>
        <w:spacing w:line="360" w:lineRule="auto"/>
        <w:rPr>
          <w:rFonts w:hint="eastAsia"/>
          <w:color w:val="auto"/>
        </w:rPr>
      </w:pPr>
      <w:r>
        <w:rPr>
          <w:rFonts w:hint="eastAsia"/>
          <w:color w:val="auto"/>
        </w:rPr>
        <w:t>（3）为安置的每位残疾人按月足额缴纳了基本养老保险、基本医疗保险、失业保险、工伤保险和生育保险等社会保险费；</w:t>
      </w:r>
    </w:p>
    <w:p w14:paraId="54C9C246">
      <w:pPr>
        <w:spacing w:line="360" w:lineRule="auto"/>
        <w:rPr>
          <w:rFonts w:hint="eastAsia"/>
          <w:color w:val="auto"/>
        </w:rPr>
      </w:pPr>
      <w:r>
        <w:rPr>
          <w:rFonts w:hint="eastAsia"/>
          <w:color w:val="auto"/>
        </w:rPr>
        <w:t>（4）通过银行等金融机构向安置的每位残疾人，按月支付了不低于单位所在区县适用的经省级人民政府批准的月最低工资标准的工资；</w:t>
      </w:r>
    </w:p>
    <w:p w14:paraId="08FAF508">
      <w:pPr>
        <w:spacing w:line="360" w:lineRule="auto"/>
        <w:rPr>
          <w:rFonts w:hint="eastAsia"/>
          <w:color w:val="auto"/>
        </w:rPr>
      </w:pPr>
      <w:r>
        <w:rPr>
          <w:rFonts w:hint="eastAsia"/>
          <w:color w:val="auto"/>
        </w:rPr>
        <w:t>（5）提供本单位制造的货物、承担的工程或者服务（以下简称产品），或者提供其他残疾人福利性单位制造的货物（不包括使用非残疾人福利性单位注册商标的货物）。</w:t>
      </w:r>
    </w:p>
    <w:p w14:paraId="111D654C">
      <w:pPr>
        <w:spacing w:line="360" w:lineRule="auto"/>
        <w:ind w:firstLine="420" w:firstLineChars="200"/>
        <w:rPr>
          <w:rFonts w:hint="eastAsia" w:ascii="宋体" w:hAnsi="宋体"/>
          <w:b/>
          <w:color w:val="auto"/>
          <w:sz w:val="24"/>
        </w:rPr>
      </w:pPr>
      <w:r>
        <w:rPr>
          <w:rFonts w:hint="eastAsia" w:ascii="宋体" w:hAnsi="宋体" w:cs="宋体"/>
          <w:color w:val="auto"/>
          <w:szCs w:val="21"/>
        </w:rPr>
        <w:t>2. 中标人为残疾人福利性单位的，采购人或者其委托的采购代理机构应当随中标、成交结果同时公告其《残疾人福利性单位声明函》，接受社会监督。</w:t>
      </w:r>
    </w:p>
    <w:p w14:paraId="4A995C21">
      <w:pPr>
        <w:pStyle w:val="3"/>
        <w:numPr>
          <w:ilvl w:val="0"/>
          <w:numId w:val="46"/>
        </w:numPr>
        <w:tabs>
          <w:tab w:val="left" w:pos="840"/>
        </w:tabs>
        <w:jc w:val="center"/>
        <w:rPr>
          <w:rFonts w:hint="eastAsia" w:ascii="宋体" w:hAnsi="宋体"/>
          <w:color w:val="auto"/>
          <w:szCs w:val="24"/>
          <w:lang w:val="en-GB"/>
        </w:rPr>
      </w:pPr>
      <w:bookmarkStart w:id="541" w:name="_Toc11564"/>
      <w:r>
        <w:rPr>
          <w:rFonts w:hint="eastAsia" w:ascii="宋体" w:hAnsi="宋体"/>
          <w:color w:val="auto"/>
          <w:szCs w:val="24"/>
          <w:lang w:val="en-GB"/>
        </w:rPr>
        <w:t>监狱企业证明材料</w:t>
      </w:r>
      <w:bookmarkEnd w:id="541"/>
      <w:r>
        <w:rPr>
          <w:rFonts w:hint="eastAsia" w:ascii="宋体" w:hAnsi="宋体" w:cs="微软雅黑"/>
          <w:color w:val="auto"/>
          <w:kern w:val="0"/>
          <w:szCs w:val="21"/>
        </w:rPr>
        <w:t>（如有）</w:t>
      </w:r>
    </w:p>
    <w:p w14:paraId="007B5EC4">
      <w:pPr>
        <w:rPr>
          <w:rFonts w:hint="eastAsia"/>
          <w:color w:val="auto"/>
          <w:lang w:val="en-GB"/>
        </w:rPr>
      </w:pPr>
    </w:p>
    <w:p w14:paraId="5F7EDBFF">
      <w:pPr>
        <w:spacing w:line="360" w:lineRule="auto"/>
        <w:ind w:firstLine="420" w:firstLineChars="200"/>
        <w:rPr>
          <w:rFonts w:hint="eastAsia"/>
          <w:color w:val="auto"/>
          <w:lang w:val="en-GB"/>
        </w:rPr>
      </w:pPr>
      <w:r>
        <w:rPr>
          <w:rFonts w:hint="eastAsia"/>
          <w:color w:val="auto"/>
          <w:lang w:val="en-GB"/>
        </w:rPr>
        <w:t>监狱企业参加政府采购活动时，应当提供由省级以上监狱管理局、戒毒管理局（含新疆生产建设兵团）出具的属于监狱企业的证明文件。</w:t>
      </w:r>
    </w:p>
    <w:p w14:paraId="49490F29">
      <w:pPr>
        <w:spacing w:line="360" w:lineRule="auto"/>
        <w:rPr>
          <w:rFonts w:hint="eastAsia"/>
          <w:color w:val="auto"/>
          <w:lang w:val="en-GB"/>
        </w:rPr>
      </w:pPr>
    </w:p>
    <w:p w14:paraId="4A3F9EF9">
      <w:pPr>
        <w:spacing w:line="360" w:lineRule="auto"/>
        <w:rPr>
          <w:rFonts w:hint="eastAsia"/>
          <w:color w:val="auto"/>
          <w:lang w:val="en-GB"/>
        </w:rPr>
      </w:pPr>
    </w:p>
    <w:p w14:paraId="06089B0A">
      <w:pPr>
        <w:widowControl/>
        <w:spacing w:line="360" w:lineRule="auto"/>
        <w:rPr>
          <w:rFonts w:hint="eastAsia" w:ascii="宋体" w:hAnsi="宋体" w:cs="宋体"/>
          <w:b/>
          <w:color w:val="auto"/>
          <w:szCs w:val="21"/>
        </w:rPr>
      </w:pPr>
      <w:r>
        <w:rPr>
          <w:rFonts w:hint="eastAsia" w:ascii="宋体" w:hAnsi="宋体" w:cs="宋体"/>
          <w:b/>
          <w:color w:val="auto"/>
          <w:szCs w:val="21"/>
        </w:rPr>
        <w:t>（提醒：如果投标人</w:t>
      </w:r>
      <w:r>
        <w:rPr>
          <w:rFonts w:hint="eastAsia" w:ascii="宋体" w:hAnsi="宋体" w:cs="宋体"/>
          <w:b/>
          <w:color w:val="auto"/>
          <w:spacing w:val="10"/>
          <w:kern w:val="0"/>
          <w:szCs w:val="21"/>
        </w:rPr>
        <w:t>不是</w:t>
      </w:r>
      <w:r>
        <w:rPr>
          <w:rFonts w:hint="eastAsia" w:ascii="宋体" w:hAnsi="宋体"/>
          <w:b/>
          <w:bCs/>
          <w:color w:val="auto"/>
          <w:szCs w:val="21"/>
          <w:lang w:val="en-GB"/>
        </w:rPr>
        <w:t>监狱企业</w:t>
      </w:r>
      <w:r>
        <w:rPr>
          <w:rFonts w:hint="eastAsia" w:ascii="宋体" w:hAnsi="宋体" w:cs="宋体"/>
          <w:b/>
          <w:color w:val="auto"/>
          <w:szCs w:val="21"/>
        </w:rPr>
        <w:t>，则不需要提供</w:t>
      </w:r>
      <w:r>
        <w:rPr>
          <w:rFonts w:hint="eastAsia" w:ascii="宋体" w:hAnsi="宋体" w:cs="宋体"/>
          <w:b/>
          <w:color w:val="auto"/>
          <w:szCs w:val="21"/>
          <w:lang w:val="en-GB"/>
        </w:rPr>
        <w:t>监狱企业证明材料</w:t>
      </w:r>
      <w:r>
        <w:rPr>
          <w:rFonts w:hint="eastAsia" w:ascii="宋体" w:hAnsi="宋体" w:cs="宋体"/>
          <w:b/>
          <w:color w:val="auto"/>
          <w:szCs w:val="21"/>
        </w:rPr>
        <w:t>）</w:t>
      </w:r>
    </w:p>
    <w:p w14:paraId="0C2EC796">
      <w:pPr>
        <w:spacing w:line="360" w:lineRule="auto"/>
        <w:rPr>
          <w:rFonts w:hint="eastAsia" w:ascii="宋体" w:hAnsi="宋体"/>
          <w:color w:val="auto"/>
          <w:lang w:val="en-GB"/>
        </w:rPr>
      </w:pPr>
      <w:r>
        <w:rPr>
          <w:rFonts w:hint="eastAsia"/>
          <w:color w:val="auto"/>
          <w:lang w:val="en-GB"/>
        </w:rPr>
        <w:br w:type="page"/>
      </w:r>
    </w:p>
    <w:p w14:paraId="214780BF">
      <w:pPr>
        <w:pStyle w:val="3"/>
        <w:numPr>
          <w:ilvl w:val="0"/>
          <w:numId w:val="46"/>
        </w:numPr>
        <w:tabs>
          <w:tab w:val="left" w:pos="840"/>
        </w:tabs>
        <w:jc w:val="center"/>
        <w:rPr>
          <w:rFonts w:hint="eastAsia" w:ascii="宋体" w:hAnsi="宋体"/>
          <w:color w:val="auto"/>
          <w:szCs w:val="24"/>
          <w:lang w:val="en-GB"/>
        </w:rPr>
      </w:pPr>
      <w:bookmarkStart w:id="542" w:name="_Toc24262"/>
      <w:r>
        <w:rPr>
          <w:rFonts w:hint="eastAsia" w:ascii="宋体" w:hAnsi="宋体"/>
          <w:color w:val="auto"/>
          <w:szCs w:val="24"/>
          <w:lang w:val="en-GB"/>
        </w:rPr>
        <w:t>节能产品、环境标志产品明细表</w:t>
      </w:r>
      <w:bookmarkEnd w:id="542"/>
      <w:r>
        <w:rPr>
          <w:rFonts w:hint="eastAsia" w:ascii="宋体" w:hAnsi="宋体" w:cs="微软雅黑"/>
          <w:color w:val="auto"/>
          <w:kern w:val="0"/>
          <w:szCs w:val="21"/>
        </w:rPr>
        <w:t>（如有）</w:t>
      </w:r>
    </w:p>
    <w:p w14:paraId="581FA922">
      <w:pPr>
        <w:pStyle w:val="5"/>
        <w:ind w:firstLine="0"/>
        <w:jc w:val="center"/>
        <w:rPr>
          <w:rFonts w:hint="eastAsia" w:ascii="宋体" w:hAnsi="宋体"/>
          <w:b/>
          <w:color w:val="auto"/>
          <w:sz w:val="24"/>
          <w:szCs w:val="24"/>
          <w:lang w:val="en-GB"/>
        </w:rPr>
      </w:pPr>
      <w:r>
        <w:rPr>
          <w:rFonts w:hint="eastAsia" w:ascii="宋体" w:hAnsi="宋体"/>
          <w:b/>
          <w:color w:val="auto"/>
          <w:sz w:val="24"/>
          <w:szCs w:val="24"/>
          <w:lang w:val="en-GB"/>
        </w:rPr>
        <w:t>节能产品明细表</w:t>
      </w:r>
    </w:p>
    <w:p w14:paraId="5E84F427">
      <w:pPr>
        <w:pStyle w:val="5"/>
        <w:spacing w:line="360" w:lineRule="auto"/>
        <w:ind w:firstLine="0"/>
        <w:rPr>
          <w:rFonts w:hint="eastAsia" w:ascii="宋体" w:hAnsi="宋体" w:cs="宋体"/>
          <w:color w:val="auto"/>
          <w:sz w:val="24"/>
          <w:szCs w:val="24"/>
          <w:lang w:val="en-GB"/>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1981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center"/>
          </w:tcPr>
          <w:p w14:paraId="349210C6">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序号</w:t>
            </w:r>
          </w:p>
        </w:tc>
        <w:tc>
          <w:tcPr>
            <w:tcW w:w="916" w:type="dxa"/>
            <w:noWrap w:val="0"/>
            <w:vAlign w:val="center"/>
          </w:tcPr>
          <w:p w14:paraId="0EE1F0C4">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设备名称</w:t>
            </w:r>
          </w:p>
        </w:tc>
        <w:tc>
          <w:tcPr>
            <w:tcW w:w="916" w:type="dxa"/>
            <w:noWrap w:val="0"/>
            <w:vAlign w:val="center"/>
          </w:tcPr>
          <w:p w14:paraId="489663BA">
            <w:pPr>
              <w:adjustRightInd w:val="0"/>
              <w:snapToGrid w:val="0"/>
              <w:jc w:val="center"/>
              <w:rPr>
                <w:rFonts w:hint="eastAsia" w:ascii="宋体" w:hAnsi="宋体" w:cs="宋体"/>
                <w:color w:val="auto"/>
                <w:szCs w:val="21"/>
              </w:rPr>
            </w:pPr>
            <w:r>
              <w:rPr>
                <w:rFonts w:hint="eastAsia" w:ascii="宋体" w:hAnsi="宋体" w:cs="宋体"/>
                <w:color w:val="auto"/>
                <w:szCs w:val="21"/>
              </w:rPr>
              <w:t>品牌</w:t>
            </w:r>
          </w:p>
          <w:p w14:paraId="6090159B">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型号</w:t>
            </w:r>
          </w:p>
        </w:tc>
        <w:tc>
          <w:tcPr>
            <w:tcW w:w="916" w:type="dxa"/>
            <w:noWrap w:val="0"/>
            <w:vAlign w:val="center"/>
          </w:tcPr>
          <w:p w14:paraId="68BC55D2">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制造商名称</w:t>
            </w:r>
          </w:p>
        </w:tc>
        <w:tc>
          <w:tcPr>
            <w:tcW w:w="917" w:type="dxa"/>
            <w:noWrap w:val="0"/>
            <w:vAlign w:val="center"/>
          </w:tcPr>
          <w:p w14:paraId="2EC0EFBC">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节字标志认证证书号</w:t>
            </w:r>
          </w:p>
        </w:tc>
        <w:tc>
          <w:tcPr>
            <w:tcW w:w="917" w:type="dxa"/>
            <w:noWrap w:val="0"/>
            <w:vAlign w:val="center"/>
          </w:tcPr>
          <w:p w14:paraId="2AC31FDF">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国家节能产品认证证书有效截止日期</w:t>
            </w:r>
          </w:p>
        </w:tc>
        <w:tc>
          <w:tcPr>
            <w:tcW w:w="917" w:type="dxa"/>
            <w:noWrap w:val="0"/>
            <w:vAlign w:val="center"/>
          </w:tcPr>
          <w:p w14:paraId="19705DD2">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数量</w:t>
            </w:r>
          </w:p>
        </w:tc>
        <w:tc>
          <w:tcPr>
            <w:tcW w:w="917" w:type="dxa"/>
            <w:noWrap w:val="0"/>
            <w:vAlign w:val="center"/>
          </w:tcPr>
          <w:p w14:paraId="0FDB3F38">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单价</w:t>
            </w:r>
          </w:p>
        </w:tc>
        <w:tc>
          <w:tcPr>
            <w:tcW w:w="917" w:type="dxa"/>
            <w:noWrap w:val="0"/>
            <w:vAlign w:val="center"/>
          </w:tcPr>
          <w:p w14:paraId="488517BD">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总价</w:t>
            </w:r>
          </w:p>
        </w:tc>
      </w:tr>
      <w:tr w14:paraId="5E99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3DB5B459">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06216F65">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79108F9D">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377AE684">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56B92D27">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5201B0FA">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1C13A8B1">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4F47EE19">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352B7404">
            <w:pPr>
              <w:tabs>
                <w:tab w:val="left" w:pos="840"/>
              </w:tabs>
              <w:autoSpaceDE w:val="0"/>
              <w:autoSpaceDN w:val="0"/>
              <w:adjustRightInd w:val="0"/>
              <w:spacing w:line="360" w:lineRule="auto"/>
              <w:rPr>
                <w:rFonts w:hint="eastAsia" w:ascii="宋体" w:hAnsi="宋体" w:cs="宋体"/>
                <w:b/>
                <w:color w:val="auto"/>
                <w:szCs w:val="21"/>
                <w:lang w:val="en-GB"/>
              </w:rPr>
            </w:pPr>
          </w:p>
        </w:tc>
      </w:tr>
      <w:tr w14:paraId="538F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7ECA7261">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08451A1C">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012F8466">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1C7C459F">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34C55973">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66B9D867">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5B77CB2E">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4FC73EF8">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403506E7">
            <w:pPr>
              <w:tabs>
                <w:tab w:val="left" w:pos="840"/>
              </w:tabs>
              <w:autoSpaceDE w:val="0"/>
              <w:autoSpaceDN w:val="0"/>
              <w:adjustRightInd w:val="0"/>
              <w:spacing w:line="360" w:lineRule="auto"/>
              <w:rPr>
                <w:rFonts w:hint="eastAsia" w:ascii="宋体" w:hAnsi="宋体" w:cs="宋体"/>
                <w:b/>
                <w:color w:val="auto"/>
                <w:szCs w:val="21"/>
                <w:lang w:val="en-GB"/>
              </w:rPr>
            </w:pPr>
          </w:p>
        </w:tc>
      </w:tr>
      <w:tr w14:paraId="32C6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49E7FC03">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74E7FA2D">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2B8F876D">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5DDFD00F">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38BE4168">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3C163336">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069E2BD3">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2956AAD9">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6353A2F7">
            <w:pPr>
              <w:tabs>
                <w:tab w:val="left" w:pos="840"/>
              </w:tabs>
              <w:autoSpaceDE w:val="0"/>
              <w:autoSpaceDN w:val="0"/>
              <w:adjustRightInd w:val="0"/>
              <w:spacing w:line="360" w:lineRule="auto"/>
              <w:rPr>
                <w:rFonts w:hint="eastAsia" w:ascii="宋体" w:hAnsi="宋体" w:cs="宋体"/>
                <w:b/>
                <w:color w:val="auto"/>
                <w:szCs w:val="21"/>
                <w:lang w:val="en-GB"/>
              </w:rPr>
            </w:pPr>
          </w:p>
        </w:tc>
      </w:tr>
      <w:tr w14:paraId="258D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31747AF0">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358D4F19">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14C36C4C">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6A3FE9D6">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3591AD7B">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185F1CFF">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39FC0F96">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46881AB3">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76A8299F">
            <w:pPr>
              <w:tabs>
                <w:tab w:val="left" w:pos="840"/>
              </w:tabs>
              <w:autoSpaceDE w:val="0"/>
              <w:autoSpaceDN w:val="0"/>
              <w:adjustRightInd w:val="0"/>
              <w:spacing w:line="360" w:lineRule="auto"/>
              <w:rPr>
                <w:rFonts w:hint="eastAsia" w:ascii="宋体" w:hAnsi="宋体" w:cs="宋体"/>
                <w:b/>
                <w:color w:val="auto"/>
                <w:szCs w:val="21"/>
                <w:lang w:val="en-GB"/>
              </w:rPr>
            </w:pPr>
          </w:p>
        </w:tc>
      </w:tr>
    </w:tbl>
    <w:p w14:paraId="7BF146A8">
      <w:pPr>
        <w:rPr>
          <w:rFonts w:hint="eastAsia" w:ascii="宋体" w:hAnsi="宋体"/>
          <w:color w:val="auto"/>
          <w:szCs w:val="21"/>
        </w:rPr>
      </w:pPr>
    </w:p>
    <w:p w14:paraId="37DC8755">
      <w:pPr>
        <w:spacing w:line="480" w:lineRule="exact"/>
        <w:ind w:firstLine="3360" w:firstLineChars="1600"/>
        <w:rPr>
          <w:rFonts w:hint="eastAsia" w:ascii="宋体" w:hAnsi="宋体"/>
          <w:bCs/>
          <w:color w:val="auto"/>
          <w:szCs w:val="21"/>
        </w:rPr>
      </w:pPr>
      <w:r>
        <w:rPr>
          <w:rFonts w:hint="eastAsia" w:ascii="宋体" w:hAnsi="宋体" w:cs="微软雅黑"/>
          <w:color w:val="auto"/>
          <w:kern w:val="0"/>
          <w:szCs w:val="21"/>
        </w:rPr>
        <w:t>投 标 人</w:t>
      </w:r>
      <w:r>
        <w:rPr>
          <w:rFonts w:hint="eastAsia" w:ascii="宋体" w:hAnsi="宋体"/>
          <w:bCs/>
          <w:color w:val="auto"/>
          <w:szCs w:val="21"/>
        </w:rPr>
        <w:t>：</w:t>
      </w:r>
      <w:r>
        <w:rPr>
          <w:rFonts w:hint="eastAsia" w:ascii="宋体" w:hAnsi="宋体"/>
          <w:bCs/>
          <w:color w:val="auto"/>
          <w:szCs w:val="21"/>
          <w:u w:val="single"/>
        </w:rPr>
        <w:t xml:space="preserve">                      </w:t>
      </w:r>
      <w:r>
        <w:rPr>
          <w:rFonts w:hint="eastAsia" w:ascii="宋体" w:hAnsi="宋体"/>
          <w:bCs/>
          <w:color w:val="auto"/>
          <w:szCs w:val="21"/>
        </w:rPr>
        <w:t>（盖章）</w:t>
      </w:r>
    </w:p>
    <w:p w14:paraId="11CE2B3E">
      <w:pPr>
        <w:spacing w:line="480" w:lineRule="exact"/>
        <w:ind w:firstLine="3360" w:firstLineChars="1600"/>
        <w:rPr>
          <w:rFonts w:hint="eastAsia" w:ascii="宋体" w:hAnsi="宋体"/>
          <w:bCs/>
          <w:color w:val="auto"/>
          <w:szCs w:val="21"/>
        </w:rPr>
      </w:pPr>
      <w:r>
        <w:rPr>
          <w:rFonts w:hint="eastAsia" w:ascii="宋体" w:hAnsi="宋体"/>
          <w:bCs/>
          <w:color w:val="auto"/>
          <w:szCs w:val="21"/>
        </w:rPr>
        <w:t>法定代表人或其委托代理人：</w:t>
      </w: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签字或盖章</w:t>
      </w:r>
      <w:r>
        <w:rPr>
          <w:rFonts w:hint="eastAsia" w:ascii="宋体" w:hAnsi="宋体"/>
          <w:bCs/>
          <w:color w:val="auto"/>
          <w:szCs w:val="21"/>
        </w:rPr>
        <w:t>）</w:t>
      </w:r>
    </w:p>
    <w:p w14:paraId="571489AD">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rPr>
      </w:pPr>
      <w:r>
        <w:rPr>
          <w:rFonts w:hint="eastAsia" w:ascii="宋体" w:hAnsi="宋体" w:cs="宋体"/>
          <w:bCs/>
          <w:color w:val="auto"/>
          <w:kern w:val="0"/>
          <w:szCs w:val="21"/>
          <w:u w:val="single"/>
        </w:rPr>
        <w:t xml:space="preserve">     </w:t>
      </w:r>
      <w:r>
        <w:rPr>
          <w:rFonts w:hint="eastAsia" w:ascii="宋体" w:hAnsi="宋体" w:cs="宋体"/>
          <w:bCs/>
          <w:color w:val="auto"/>
          <w:spacing w:val="43"/>
          <w:kern w:val="0"/>
          <w:szCs w:val="21"/>
          <w:u w:val="single"/>
        </w:rPr>
        <w:t xml:space="preserve"> </w:t>
      </w:r>
      <w:r>
        <w:rPr>
          <w:rFonts w:hint="eastAsia" w:ascii="宋体" w:hAnsi="宋体" w:cs="宋体"/>
          <w:bCs/>
          <w:color w:val="auto"/>
          <w:kern w:val="0"/>
          <w:szCs w:val="21"/>
        </w:rPr>
        <w:t>年</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月</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日</w:t>
      </w:r>
    </w:p>
    <w:p w14:paraId="0350C295">
      <w:pPr>
        <w:tabs>
          <w:tab w:val="left" w:pos="840"/>
        </w:tabs>
        <w:autoSpaceDE w:val="0"/>
        <w:autoSpaceDN w:val="0"/>
        <w:adjustRightInd w:val="0"/>
        <w:spacing w:line="360" w:lineRule="auto"/>
        <w:jc w:val="center"/>
        <w:rPr>
          <w:rFonts w:hint="eastAsia" w:ascii="宋体" w:hAnsi="宋体" w:cs="宋体"/>
          <w:b/>
          <w:color w:val="auto"/>
          <w:szCs w:val="21"/>
          <w:lang w:val="en-GB"/>
        </w:rPr>
      </w:pPr>
      <w:r>
        <w:rPr>
          <w:rFonts w:hint="eastAsia" w:ascii="宋体" w:hAnsi="宋体"/>
          <w:b/>
          <w:color w:val="auto"/>
          <w:sz w:val="24"/>
          <w:lang w:val="en-GB"/>
        </w:rPr>
        <w:t>环境标志产品明细表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298D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center"/>
          </w:tcPr>
          <w:p w14:paraId="27162618">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序号</w:t>
            </w:r>
          </w:p>
        </w:tc>
        <w:tc>
          <w:tcPr>
            <w:tcW w:w="916" w:type="dxa"/>
            <w:noWrap w:val="0"/>
            <w:vAlign w:val="center"/>
          </w:tcPr>
          <w:p w14:paraId="0628A5E7">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设备名称</w:t>
            </w:r>
          </w:p>
        </w:tc>
        <w:tc>
          <w:tcPr>
            <w:tcW w:w="916" w:type="dxa"/>
            <w:noWrap w:val="0"/>
            <w:vAlign w:val="center"/>
          </w:tcPr>
          <w:p w14:paraId="50962765">
            <w:pPr>
              <w:adjustRightInd w:val="0"/>
              <w:snapToGrid w:val="0"/>
              <w:jc w:val="center"/>
              <w:rPr>
                <w:rFonts w:hint="eastAsia" w:ascii="宋体" w:hAnsi="宋体" w:cs="宋体"/>
                <w:color w:val="auto"/>
                <w:szCs w:val="21"/>
              </w:rPr>
            </w:pPr>
            <w:r>
              <w:rPr>
                <w:rFonts w:hint="eastAsia" w:ascii="宋体" w:hAnsi="宋体" w:cs="宋体"/>
                <w:color w:val="auto"/>
                <w:szCs w:val="21"/>
              </w:rPr>
              <w:t>品牌</w:t>
            </w:r>
          </w:p>
          <w:p w14:paraId="6946F838">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型号</w:t>
            </w:r>
          </w:p>
        </w:tc>
        <w:tc>
          <w:tcPr>
            <w:tcW w:w="916" w:type="dxa"/>
            <w:noWrap w:val="0"/>
            <w:vAlign w:val="center"/>
          </w:tcPr>
          <w:p w14:paraId="3652487E">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制造商名称</w:t>
            </w:r>
          </w:p>
        </w:tc>
        <w:tc>
          <w:tcPr>
            <w:tcW w:w="917" w:type="dxa"/>
            <w:noWrap w:val="0"/>
            <w:vAlign w:val="center"/>
          </w:tcPr>
          <w:p w14:paraId="3D3836A6">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中国环境标志认证证书编号</w:t>
            </w:r>
          </w:p>
        </w:tc>
        <w:tc>
          <w:tcPr>
            <w:tcW w:w="917" w:type="dxa"/>
            <w:noWrap w:val="0"/>
            <w:vAlign w:val="center"/>
          </w:tcPr>
          <w:p w14:paraId="1AEA54BC">
            <w:pPr>
              <w:adjustRightInd w:val="0"/>
              <w:snapToGrid w:val="0"/>
              <w:jc w:val="center"/>
              <w:rPr>
                <w:rFonts w:hint="eastAsia" w:ascii="宋体" w:hAnsi="宋体" w:cs="宋体"/>
                <w:color w:val="auto"/>
                <w:szCs w:val="21"/>
              </w:rPr>
            </w:pPr>
            <w:r>
              <w:rPr>
                <w:rFonts w:hint="eastAsia" w:ascii="宋体" w:hAnsi="宋体" w:cs="宋体"/>
                <w:color w:val="auto"/>
                <w:szCs w:val="21"/>
              </w:rPr>
              <w:t>认证证书有效</w:t>
            </w:r>
          </w:p>
          <w:p w14:paraId="3E9A097D">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截止日期</w:t>
            </w:r>
          </w:p>
        </w:tc>
        <w:tc>
          <w:tcPr>
            <w:tcW w:w="917" w:type="dxa"/>
            <w:noWrap w:val="0"/>
            <w:vAlign w:val="center"/>
          </w:tcPr>
          <w:p w14:paraId="5C71DA45">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数量</w:t>
            </w:r>
          </w:p>
        </w:tc>
        <w:tc>
          <w:tcPr>
            <w:tcW w:w="917" w:type="dxa"/>
            <w:noWrap w:val="0"/>
            <w:vAlign w:val="center"/>
          </w:tcPr>
          <w:p w14:paraId="18FCDCC5">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单价</w:t>
            </w:r>
          </w:p>
        </w:tc>
        <w:tc>
          <w:tcPr>
            <w:tcW w:w="917" w:type="dxa"/>
            <w:noWrap w:val="0"/>
            <w:vAlign w:val="center"/>
          </w:tcPr>
          <w:p w14:paraId="7B6D95A4">
            <w:pPr>
              <w:adjustRightInd w:val="0"/>
              <w:snapToGrid w:val="0"/>
              <w:jc w:val="center"/>
              <w:rPr>
                <w:rFonts w:hint="eastAsia" w:ascii="宋体" w:hAnsi="宋体" w:cs="宋体"/>
                <w:b/>
                <w:color w:val="auto"/>
                <w:szCs w:val="21"/>
                <w:lang w:val="en-GB"/>
              </w:rPr>
            </w:pPr>
            <w:r>
              <w:rPr>
                <w:rFonts w:hint="eastAsia" w:ascii="宋体" w:hAnsi="宋体" w:cs="宋体"/>
                <w:color w:val="auto"/>
                <w:szCs w:val="21"/>
              </w:rPr>
              <w:t>总价</w:t>
            </w:r>
          </w:p>
        </w:tc>
      </w:tr>
      <w:tr w14:paraId="121C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16" w:type="dxa"/>
            <w:noWrap w:val="0"/>
            <w:vAlign w:val="top"/>
          </w:tcPr>
          <w:p w14:paraId="444C6C5D">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7B604BD2">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6A962D35">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71D270F1">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5AAB73FF">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2D6E853C">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7D00A005">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74AEF615">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61DF62EC">
            <w:pPr>
              <w:tabs>
                <w:tab w:val="left" w:pos="840"/>
              </w:tabs>
              <w:autoSpaceDE w:val="0"/>
              <w:autoSpaceDN w:val="0"/>
              <w:adjustRightInd w:val="0"/>
              <w:spacing w:line="360" w:lineRule="auto"/>
              <w:rPr>
                <w:rFonts w:hint="eastAsia" w:ascii="宋体" w:hAnsi="宋体" w:cs="宋体"/>
                <w:b/>
                <w:color w:val="auto"/>
                <w:szCs w:val="21"/>
                <w:lang w:val="en-GB"/>
              </w:rPr>
            </w:pPr>
          </w:p>
        </w:tc>
      </w:tr>
      <w:tr w14:paraId="0D1B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30A7B16A">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27FDCDB3">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6C02142A">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257B7B14">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600F9EE8">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1BC97030">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4CE3367E">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53DFDA8C">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67ED10AD">
            <w:pPr>
              <w:tabs>
                <w:tab w:val="left" w:pos="840"/>
              </w:tabs>
              <w:autoSpaceDE w:val="0"/>
              <w:autoSpaceDN w:val="0"/>
              <w:adjustRightInd w:val="0"/>
              <w:spacing w:line="360" w:lineRule="auto"/>
              <w:rPr>
                <w:rFonts w:hint="eastAsia" w:ascii="宋体" w:hAnsi="宋体" w:cs="宋体"/>
                <w:b/>
                <w:color w:val="auto"/>
                <w:szCs w:val="21"/>
                <w:lang w:val="en-GB"/>
              </w:rPr>
            </w:pPr>
          </w:p>
        </w:tc>
      </w:tr>
      <w:tr w14:paraId="1D60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292024F0">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268FCD53">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160650E0">
            <w:pPr>
              <w:tabs>
                <w:tab w:val="left" w:pos="840"/>
              </w:tabs>
              <w:autoSpaceDE w:val="0"/>
              <w:autoSpaceDN w:val="0"/>
              <w:adjustRightInd w:val="0"/>
              <w:spacing w:line="360" w:lineRule="auto"/>
              <w:rPr>
                <w:rFonts w:hint="eastAsia" w:ascii="宋体" w:hAnsi="宋体" w:cs="宋体"/>
                <w:b/>
                <w:color w:val="auto"/>
                <w:szCs w:val="21"/>
                <w:lang w:val="en-GB"/>
              </w:rPr>
            </w:pPr>
          </w:p>
        </w:tc>
        <w:tc>
          <w:tcPr>
            <w:tcW w:w="916" w:type="dxa"/>
            <w:noWrap w:val="0"/>
            <w:vAlign w:val="top"/>
          </w:tcPr>
          <w:p w14:paraId="1FDBB564">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76345077">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2388650B">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2C55D896">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2C4D0041">
            <w:pPr>
              <w:tabs>
                <w:tab w:val="left" w:pos="840"/>
              </w:tabs>
              <w:autoSpaceDE w:val="0"/>
              <w:autoSpaceDN w:val="0"/>
              <w:adjustRightInd w:val="0"/>
              <w:spacing w:line="360" w:lineRule="auto"/>
              <w:rPr>
                <w:rFonts w:hint="eastAsia" w:ascii="宋体" w:hAnsi="宋体" w:cs="宋体"/>
                <w:b/>
                <w:color w:val="auto"/>
                <w:szCs w:val="21"/>
                <w:lang w:val="en-GB"/>
              </w:rPr>
            </w:pPr>
          </w:p>
        </w:tc>
        <w:tc>
          <w:tcPr>
            <w:tcW w:w="917" w:type="dxa"/>
            <w:noWrap w:val="0"/>
            <w:vAlign w:val="top"/>
          </w:tcPr>
          <w:p w14:paraId="17D4D6DD">
            <w:pPr>
              <w:tabs>
                <w:tab w:val="left" w:pos="840"/>
              </w:tabs>
              <w:autoSpaceDE w:val="0"/>
              <w:autoSpaceDN w:val="0"/>
              <w:adjustRightInd w:val="0"/>
              <w:spacing w:line="360" w:lineRule="auto"/>
              <w:rPr>
                <w:rFonts w:hint="eastAsia" w:ascii="宋体" w:hAnsi="宋体" w:cs="宋体"/>
                <w:b/>
                <w:color w:val="auto"/>
                <w:szCs w:val="21"/>
                <w:lang w:val="en-GB"/>
              </w:rPr>
            </w:pPr>
          </w:p>
        </w:tc>
      </w:tr>
    </w:tbl>
    <w:p w14:paraId="145F52CA">
      <w:pPr>
        <w:tabs>
          <w:tab w:val="left" w:pos="840"/>
        </w:tabs>
        <w:autoSpaceDE w:val="0"/>
        <w:autoSpaceDN w:val="0"/>
        <w:adjustRightInd w:val="0"/>
        <w:spacing w:line="360" w:lineRule="auto"/>
        <w:rPr>
          <w:rFonts w:hint="eastAsia" w:ascii="宋体" w:hAnsi="宋体" w:cs="宋体"/>
          <w:b/>
          <w:color w:val="auto"/>
          <w:szCs w:val="21"/>
          <w:lang w:val="en-GB"/>
        </w:rPr>
      </w:pPr>
    </w:p>
    <w:p w14:paraId="3571B9DF">
      <w:pPr>
        <w:spacing w:line="480" w:lineRule="exact"/>
        <w:ind w:firstLine="3360" w:firstLineChars="1600"/>
        <w:rPr>
          <w:rFonts w:hint="eastAsia" w:ascii="宋体" w:hAnsi="宋体"/>
          <w:bCs/>
          <w:color w:val="auto"/>
          <w:szCs w:val="21"/>
        </w:rPr>
      </w:pPr>
      <w:r>
        <w:rPr>
          <w:rFonts w:hint="eastAsia" w:ascii="宋体" w:hAnsi="宋体" w:cs="微软雅黑"/>
          <w:color w:val="auto"/>
          <w:kern w:val="0"/>
          <w:szCs w:val="21"/>
        </w:rPr>
        <w:t>投 标 人</w:t>
      </w:r>
      <w:r>
        <w:rPr>
          <w:rFonts w:hint="eastAsia" w:ascii="宋体" w:hAnsi="宋体"/>
          <w:bCs/>
          <w:color w:val="auto"/>
          <w:szCs w:val="21"/>
        </w:rPr>
        <w:t>：</w:t>
      </w:r>
      <w:r>
        <w:rPr>
          <w:rFonts w:hint="eastAsia" w:ascii="宋体" w:hAnsi="宋体"/>
          <w:bCs/>
          <w:color w:val="auto"/>
          <w:szCs w:val="21"/>
          <w:u w:val="single"/>
        </w:rPr>
        <w:t xml:space="preserve">                      </w:t>
      </w:r>
      <w:r>
        <w:rPr>
          <w:rFonts w:hint="eastAsia" w:ascii="宋体" w:hAnsi="宋体"/>
          <w:bCs/>
          <w:color w:val="auto"/>
          <w:szCs w:val="21"/>
        </w:rPr>
        <w:t>（盖章）</w:t>
      </w:r>
    </w:p>
    <w:p w14:paraId="0AA9D111">
      <w:pPr>
        <w:spacing w:line="480" w:lineRule="exact"/>
        <w:ind w:firstLine="3360" w:firstLineChars="1600"/>
        <w:rPr>
          <w:rFonts w:hint="eastAsia" w:ascii="宋体" w:hAnsi="宋体"/>
          <w:bCs/>
          <w:color w:val="auto"/>
          <w:szCs w:val="21"/>
        </w:rPr>
      </w:pPr>
      <w:r>
        <w:rPr>
          <w:rFonts w:hint="eastAsia" w:ascii="宋体" w:hAnsi="宋体"/>
          <w:bCs/>
          <w:color w:val="auto"/>
          <w:szCs w:val="21"/>
        </w:rPr>
        <w:t>法定代表人或其委托代理人：</w:t>
      </w: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签字或盖章</w:t>
      </w:r>
      <w:r>
        <w:rPr>
          <w:rFonts w:hint="eastAsia" w:ascii="宋体" w:hAnsi="宋体"/>
          <w:bCs/>
          <w:color w:val="auto"/>
          <w:szCs w:val="21"/>
        </w:rPr>
        <w:t>）</w:t>
      </w:r>
    </w:p>
    <w:p w14:paraId="67FE6EB6">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rPr>
      </w:pPr>
      <w:r>
        <w:rPr>
          <w:rFonts w:hint="eastAsia" w:ascii="宋体" w:hAnsi="宋体" w:cs="宋体"/>
          <w:bCs/>
          <w:color w:val="auto"/>
          <w:kern w:val="0"/>
          <w:szCs w:val="21"/>
          <w:u w:val="single"/>
        </w:rPr>
        <w:t xml:space="preserve">     </w:t>
      </w:r>
      <w:r>
        <w:rPr>
          <w:rFonts w:hint="eastAsia" w:ascii="宋体" w:hAnsi="宋体" w:cs="宋体"/>
          <w:bCs/>
          <w:color w:val="auto"/>
          <w:spacing w:val="43"/>
          <w:kern w:val="0"/>
          <w:szCs w:val="21"/>
          <w:u w:val="single"/>
        </w:rPr>
        <w:t xml:space="preserve"> </w:t>
      </w:r>
      <w:r>
        <w:rPr>
          <w:rFonts w:hint="eastAsia" w:ascii="宋体" w:hAnsi="宋体" w:cs="宋体"/>
          <w:bCs/>
          <w:color w:val="auto"/>
          <w:kern w:val="0"/>
          <w:szCs w:val="21"/>
        </w:rPr>
        <w:t>年</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月</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日</w:t>
      </w:r>
    </w:p>
    <w:p w14:paraId="7EFB14D7">
      <w:pPr>
        <w:pStyle w:val="44"/>
        <w:spacing w:line="360" w:lineRule="auto"/>
        <w:ind w:left="718" w:hanging="718" w:hangingChars="342"/>
        <w:rPr>
          <w:rFonts w:hint="eastAsia" w:ascii="宋体" w:hAnsi="宋体" w:cs="宋体"/>
          <w:color w:val="auto"/>
          <w:szCs w:val="21"/>
          <w:lang w:val="en-GB"/>
        </w:rPr>
      </w:pPr>
    </w:p>
    <w:p w14:paraId="38F25B2C">
      <w:pPr>
        <w:pStyle w:val="44"/>
        <w:spacing w:line="360" w:lineRule="auto"/>
        <w:ind w:left="718" w:hanging="718" w:hangingChars="342"/>
        <w:rPr>
          <w:rFonts w:hint="eastAsia" w:ascii="宋体" w:hAnsi="宋体" w:cs="宋体"/>
          <w:color w:val="auto"/>
          <w:szCs w:val="21"/>
          <w:lang w:val="en-GB"/>
        </w:rPr>
      </w:pPr>
      <w:r>
        <w:rPr>
          <w:rFonts w:hint="eastAsia" w:ascii="宋体" w:hAnsi="宋体" w:cs="宋体"/>
          <w:color w:val="auto"/>
          <w:szCs w:val="21"/>
          <w:lang w:val="en-GB"/>
        </w:rPr>
        <w:t>填报要求：</w:t>
      </w:r>
    </w:p>
    <w:p w14:paraId="1DF02898">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 本表的设备名称、品牌型号、金额应与</w:t>
      </w:r>
      <w:r>
        <w:rPr>
          <w:rFonts w:hint="eastAsia" w:ascii="宋体" w:hAnsi="宋体" w:cs="宋体"/>
          <w:bCs/>
          <w:color w:val="auto"/>
          <w:szCs w:val="21"/>
        </w:rPr>
        <w:t>货物分项报价一览表</w:t>
      </w:r>
      <w:r>
        <w:rPr>
          <w:rFonts w:hint="eastAsia" w:ascii="宋体" w:hAnsi="宋体" w:cs="宋体"/>
          <w:color w:val="auto"/>
          <w:szCs w:val="21"/>
        </w:rPr>
        <w:t>一致。</w:t>
      </w:r>
    </w:p>
    <w:p w14:paraId="15FE33A5">
      <w:pPr>
        <w:spacing w:line="360" w:lineRule="auto"/>
        <w:ind w:firstLine="420" w:firstLineChars="200"/>
        <w:rPr>
          <w:rFonts w:hint="eastAsia" w:ascii="宋体" w:hAnsi="宋体" w:cs="宋体"/>
          <w:b/>
          <w:color w:val="auto"/>
          <w:szCs w:val="21"/>
        </w:rPr>
      </w:pPr>
      <w:r>
        <w:rPr>
          <w:rFonts w:hint="eastAsia" w:ascii="宋体" w:hAnsi="宋体" w:cs="宋体"/>
          <w:color w:val="auto"/>
          <w:szCs w:val="21"/>
        </w:rPr>
        <w:t>2. 节能产品是指财政部和国家发展改革委员会公布的《节能产品政府采购品目清单》中的产品，可在中华人民共和国财政部网站（http://www.mof.gov.cn）、中国政府采购网（http://www.ccgp.gov.cn/）查阅。</w:t>
      </w:r>
      <w:r>
        <w:rPr>
          <w:rFonts w:hint="eastAsia" w:ascii="宋体" w:hAnsi="宋体" w:cs="宋体"/>
          <w:b/>
          <w:color w:val="auto"/>
          <w:szCs w:val="21"/>
        </w:rPr>
        <w:t>投标人须在投标文件中附该产品经国家确定的认证机构出具的、处于有效期之内的《国家节能产品认证证书》复印件，否则评标委员会有权不予认可。</w:t>
      </w:r>
    </w:p>
    <w:p w14:paraId="23EE921A">
      <w:pPr>
        <w:spacing w:line="360" w:lineRule="auto"/>
        <w:ind w:firstLine="420" w:firstLineChars="200"/>
        <w:rPr>
          <w:rFonts w:hint="eastAsia" w:ascii="宋体" w:hAnsi="宋体" w:cs="宋体"/>
          <w:b/>
          <w:color w:val="auto"/>
          <w:szCs w:val="21"/>
        </w:rPr>
      </w:pPr>
      <w:r>
        <w:rPr>
          <w:rFonts w:hint="eastAsia" w:ascii="宋体" w:hAnsi="宋体" w:cs="宋体"/>
          <w:color w:val="auto"/>
          <w:szCs w:val="21"/>
        </w:rPr>
        <w:t>3. 环境标志产品是指财政部、环境保护部发布的《环境标志产品政府采购品目清单》中的产品，可在中华人民共和国财政部网站（http://www.mof.gov.cn）、中国政府采购网（http://www.ccgp.gov.cn/）查阅。</w:t>
      </w:r>
      <w:r>
        <w:rPr>
          <w:rFonts w:hint="eastAsia" w:ascii="宋体" w:hAnsi="宋体" w:cs="宋体"/>
          <w:b/>
          <w:color w:val="auto"/>
          <w:szCs w:val="21"/>
        </w:rPr>
        <w:t>投标人须在投标文件中附该产品经国家确定的认证机构出具的、处于有效期之内的《中国环境标志产品认证证书》复印件，否则评委委员会有权不予认可。</w:t>
      </w:r>
    </w:p>
    <w:p w14:paraId="60BE566A">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4. 请投标人正确填写本表，所填内容将作为评审的依据。其内容或数据应与对应的证明资料相符。</w:t>
      </w:r>
    </w:p>
    <w:p w14:paraId="1169C50A">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5. 没有相关产品可不提供本表。</w:t>
      </w:r>
    </w:p>
    <w:p w14:paraId="5FCE511F">
      <w:pPr>
        <w:rPr>
          <w:rFonts w:hint="eastAsia"/>
          <w:color w:val="auto"/>
        </w:rPr>
      </w:pPr>
    </w:p>
    <w:p w14:paraId="0EA093DD">
      <w:pPr>
        <w:pStyle w:val="3"/>
        <w:numPr>
          <w:ilvl w:val="0"/>
          <w:numId w:val="46"/>
        </w:numPr>
        <w:tabs>
          <w:tab w:val="left" w:pos="840"/>
        </w:tabs>
        <w:jc w:val="center"/>
        <w:rPr>
          <w:rFonts w:hint="eastAsia" w:ascii="宋体" w:hAnsi="宋体"/>
          <w:color w:val="auto"/>
          <w:szCs w:val="24"/>
        </w:rPr>
      </w:pPr>
      <w:r>
        <w:rPr>
          <w:rFonts w:hint="eastAsia" w:ascii="宋体" w:hAnsi="宋体"/>
          <w:color w:val="auto"/>
          <w:szCs w:val="24"/>
        </w:rPr>
        <w:br w:type="page"/>
      </w:r>
      <w:bookmarkStart w:id="543" w:name="_Toc14549"/>
      <w:r>
        <w:rPr>
          <w:rFonts w:hint="eastAsia" w:ascii="宋体" w:hAnsi="宋体"/>
          <w:color w:val="auto"/>
          <w:szCs w:val="24"/>
        </w:rPr>
        <w:t>其他资料</w:t>
      </w:r>
      <w:bookmarkEnd w:id="543"/>
    </w:p>
    <w:p w14:paraId="343761F1">
      <w:pPr>
        <w:rPr>
          <w:rFonts w:hint="eastAsia" w:ascii="宋体" w:hAnsi="宋体"/>
          <w:b/>
          <w:color w:val="auto"/>
          <w:szCs w:val="21"/>
        </w:rPr>
      </w:pPr>
    </w:p>
    <w:p w14:paraId="622994D1"/>
    <w:sectPr>
      <w:pgSz w:w="11906" w:h="16838"/>
      <w:pgMar w:top="1440" w:right="1797" w:bottom="1247"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3B62E">
    <w:pPr>
      <w:pStyle w:val="19"/>
      <w:pBdr>
        <w:top w:val="single" w:color="auto" w:sz="4" w:space="0"/>
      </w:pBd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EACFD0">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31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69EACFD0">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31</w:t>
                    </w:r>
                    <w:r>
                      <w:rPr>
                        <w:rFonts w:hint="eastAsia"/>
                      </w:rPr>
                      <w:fldChar w:fldCharType="end"/>
                    </w:r>
                  </w:p>
                </w:txbxContent>
              </v:textbox>
            </v:shape>
          </w:pict>
        </mc:Fallback>
      </mc:AlternateContent>
    </w:r>
    <w:r>
      <w:rPr>
        <w:rStyle w:val="33"/>
        <w:rFonts w:hint="eastAsia"/>
        <w:lang w:eastAsia="zh-CN"/>
      </w:rPr>
      <w:t>河南恒展工程咨询有限公司</w:t>
    </w:r>
    <w:r>
      <w:rPr>
        <w:rStyle w:val="33"/>
        <w:rFonts w:hint="eastAsia"/>
      </w:rPr>
      <w:t xml:space="preserve">      </w:t>
    </w:r>
    <w:r>
      <w:rPr>
        <w:rFonts w:hint="eastAsia" w:ascii="宋体" w:hAnsi="宋体"/>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6D20F">
    <w:pPr>
      <w:pStyle w:val="19"/>
      <w:pBdr>
        <w:top w:val="single" w:color="auto" w:sz="4" w:space="0"/>
      </w:pBd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F0EFB6">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53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AF0EFB6">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53</w:t>
                    </w:r>
                    <w:r>
                      <w:rPr>
                        <w:rFonts w:hint="eastAsia"/>
                      </w:rPr>
                      <w:fldChar w:fldCharType="end"/>
                    </w:r>
                  </w:p>
                </w:txbxContent>
              </v:textbox>
            </v:shape>
          </w:pict>
        </mc:Fallback>
      </mc:AlternateContent>
    </w:r>
    <w:r>
      <w:rPr>
        <w:rStyle w:val="33"/>
        <w:rFonts w:hint="eastAsia"/>
        <w:lang w:eastAsia="zh-CN"/>
      </w:rPr>
      <w:t>河南恒展工程咨询有限公司</w:t>
    </w:r>
    <w:r>
      <w:rPr>
        <w:rStyle w:val="33"/>
        <w:rFonts w:hint="eastAsia"/>
      </w:rPr>
      <w:t xml:space="preserve">      </w:t>
    </w:r>
    <w:r>
      <w:rPr>
        <w:rFonts w:hint="eastAsia" w:ascii="宋体" w:hAnsi="宋体"/>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B4AD8">
    <w:pPr>
      <w:pStyle w:val="45"/>
      <w:framePr w:wrap="around" w:vAnchor="text" w:hAnchor="margin" w:xAlign="right" w:y="1"/>
    </w:pPr>
    <w:r>
      <w:fldChar w:fldCharType="begin"/>
    </w:r>
    <w:r>
      <w:instrText xml:space="preserve">PAGE  </w:instrText>
    </w:r>
    <w:r>
      <w:fldChar w:fldCharType="end"/>
    </w:r>
  </w:p>
  <w:p w14:paraId="3FB4A290">
    <w:pPr>
      <w:pStyle w:val="4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C288A">
    <w:pPr>
      <w:pStyle w:val="1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C59C6">
    <w:pPr>
      <w:pBdr>
        <w:bottom w:val="single" w:color="auto" w:sz="4" w:space="1"/>
      </w:pBdr>
      <w:jc w:val="right"/>
    </w:pPr>
    <w:r>
      <w:rPr>
        <w:rFonts w:hint="eastAsia"/>
      </w:rPr>
      <w:t xml:space="preserve">  </w:t>
    </w:r>
    <w:r>
      <w:rPr>
        <w:rFonts w:hint="eastAsia"/>
        <w:sz w:val="18"/>
        <w:szCs w:val="18"/>
      </w:rPr>
      <w:t xml:space="preserve"> </w:t>
    </w:r>
    <w:r>
      <w:rPr>
        <w:rFonts w:hint="eastAsia"/>
        <w:sz w:val="18"/>
        <w:szCs w:val="18"/>
        <w:lang w:eastAsia="zh-CN"/>
      </w:rPr>
      <w:t>尉氏县中心医院（尉氏县第三医共体总医院）儿童康复设备一批采购项目</w:t>
    </w:r>
    <w:r>
      <w:rPr>
        <w:rFonts w:hint="eastAsia"/>
        <w:sz w:val="18"/>
        <w:szCs w:val="18"/>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FFC6D">
    <w:pPr>
      <w:pBdr>
        <w:bottom w:val="single" w:color="auto" w:sz="4" w:space="1"/>
      </w:pBdr>
      <w:jc w:val="right"/>
      <w:rPr>
        <w:rFonts w:hint="eastAsia" w:ascii="宋体" w:hAnsi="宋体"/>
        <w:b/>
        <w:sz w:val="18"/>
        <w:szCs w:val="18"/>
      </w:rPr>
    </w:pPr>
    <w:r>
      <w:rPr>
        <w:rFonts w:hint="eastAsia"/>
      </w:rPr>
      <w:t xml:space="preserve">             </w:t>
    </w:r>
    <w:r>
      <w:rPr>
        <w:rFonts w:hint="eastAsia"/>
        <w:sz w:val="18"/>
        <w:szCs w:val="18"/>
        <w:lang w:eastAsia="zh-CN"/>
      </w:rPr>
      <w:t>尉氏县中心医院（尉氏县第三医共体总医院）儿童康复设备一批采购项目</w:t>
    </w:r>
    <w:r>
      <w:rPr>
        <w:rFonts w:hint="eastAsia"/>
        <w:sz w:val="18"/>
        <w:szCs w:val="18"/>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09FF3"/>
    <w:multiLevelType w:val="singleLevel"/>
    <w:tmpl w:val="80F09FF3"/>
    <w:lvl w:ilvl="0" w:tentative="0">
      <w:start w:val="1"/>
      <w:numFmt w:val="chineseCounting"/>
      <w:suff w:val="nothing"/>
      <w:lvlText w:val="%1、"/>
      <w:lvlJc w:val="left"/>
      <w:rPr>
        <w:rFonts w:hint="eastAsia"/>
      </w:rPr>
    </w:lvl>
  </w:abstractNum>
  <w:abstractNum w:abstractNumId="1">
    <w:nsid w:val="8A275EEB"/>
    <w:multiLevelType w:val="singleLevel"/>
    <w:tmpl w:val="8A275EEB"/>
    <w:lvl w:ilvl="0" w:tentative="0">
      <w:start w:val="1"/>
      <w:numFmt w:val="decimal"/>
      <w:lvlText w:val="(%1)"/>
      <w:lvlJc w:val="left"/>
      <w:pPr>
        <w:ind w:left="425" w:hanging="425"/>
      </w:pPr>
      <w:rPr>
        <w:rFonts w:hint="default"/>
      </w:rPr>
    </w:lvl>
  </w:abstractNum>
  <w:abstractNum w:abstractNumId="2">
    <w:nsid w:val="92FEED52"/>
    <w:multiLevelType w:val="singleLevel"/>
    <w:tmpl w:val="92FEED52"/>
    <w:lvl w:ilvl="0" w:tentative="0">
      <w:start w:val="1"/>
      <w:numFmt w:val="decimal"/>
      <w:lvlText w:val="(%1)"/>
      <w:lvlJc w:val="left"/>
      <w:pPr>
        <w:ind w:left="425" w:hanging="425"/>
      </w:pPr>
      <w:rPr>
        <w:rFonts w:hint="default"/>
      </w:rPr>
    </w:lvl>
  </w:abstractNum>
  <w:abstractNum w:abstractNumId="3">
    <w:nsid w:val="9FCE10EA"/>
    <w:multiLevelType w:val="singleLevel"/>
    <w:tmpl w:val="9FCE10EA"/>
    <w:lvl w:ilvl="0" w:tentative="0">
      <w:start w:val="1"/>
      <w:numFmt w:val="decimal"/>
      <w:suff w:val="nothing"/>
      <w:lvlText w:val="%1）"/>
      <w:lvlJc w:val="left"/>
    </w:lvl>
  </w:abstractNum>
  <w:abstractNum w:abstractNumId="4">
    <w:nsid w:val="A0647C4F"/>
    <w:multiLevelType w:val="multilevel"/>
    <w:tmpl w:val="A0647C4F"/>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5">
    <w:nsid w:val="AB51ED80"/>
    <w:multiLevelType w:val="singleLevel"/>
    <w:tmpl w:val="AB51ED80"/>
    <w:lvl w:ilvl="0" w:tentative="0">
      <w:start w:val="1"/>
      <w:numFmt w:val="decimal"/>
      <w:suff w:val="nothing"/>
      <w:lvlText w:val="%1、"/>
      <w:lvlJc w:val="left"/>
      <w:pPr>
        <w:tabs>
          <w:tab w:val="left" w:pos="0"/>
        </w:tabs>
        <w:ind w:left="0" w:leftChars="0" w:firstLine="0" w:firstLineChars="0"/>
      </w:pPr>
      <w:rPr>
        <w:rFonts w:hint="default"/>
      </w:rPr>
    </w:lvl>
  </w:abstractNum>
  <w:abstractNum w:abstractNumId="6">
    <w:nsid w:val="AD5E4AFF"/>
    <w:multiLevelType w:val="singleLevel"/>
    <w:tmpl w:val="AD5E4AFF"/>
    <w:lvl w:ilvl="0" w:tentative="0">
      <w:start w:val="1"/>
      <w:numFmt w:val="decimal"/>
      <w:lvlText w:val="%1."/>
      <w:lvlJc w:val="left"/>
      <w:pPr>
        <w:ind w:left="425" w:hanging="425"/>
      </w:pPr>
      <w:rPr>
        <w:rFonts w:hint="default"/>
      </w:rPr>
    </w:lvl>
  </w:abstractNum>
  <w:abstractNum w:abstractNumId="7">
    <w:nsid w:val="AF4B525F"/>
    <w:multiLevelType w:val="singleLevel"/>
    <w:tmpl w:val="AF4B525F"/>
    <w:lvl w:ilvl="0" w:tentative="0">
      <w:start w:val="1"/>
      <w:numFmt w:val="decimal"/>
      <w:lvlText w:val="(%1)"/>
      <w:lvlJc w:val="left"/>
      <w:pPr>
        <w:ind w:left="425" w:hanging="425"/>
      </w:pPr>
      <w:rPr>
        <w:rFonts w:hint="default"/>
      </w:rPr>
    </w:lvl>
  </w:abstractNum>
  <w:abstractNum w:abstractNumId="8">
    <w:nsid w:val="B3EC6E58"/>
    <w:multiLevelType w:val="singleLevel"/>
    <w:tmpl w:val="B3EC6E58"/>
    <w:lvl w:ilvl="0" w:tentative="0">
      <w:start w:val="1"/>
      <w:numFmt w:val="decimal"/>
      <w:suff w:val="nothing"/>
      <w:lvlText w:val="%1、"/>
      <w:lvlJc w:val="left"/>
    </w:lvl>
  </w:abstractNum>
  <w:abstractNum w:abstractNumId="9">
    <w:nsid w:val="B7BC415B"/>
    <w:multiLevelType w:val="singleLevel"/>
    <w:tmpl w:val="B7BC415B"/>
    <w:lvl w:ilvl="0" w:tentative="0">
      <w:start w:val="1"/>
      <w:numFmt w:val="decimal"/>
      <w:lvlText w:val="%1)"/>
      <w:lvlJc w:val="left"/>
      <w:pPr>
        <w:tabs>
          <w:tab w:val="left" w:pos="420"/>
        </w:tabs>
        <w:ind w:left="845" w:hanging="425"/>
      </w:pPr>
      <w:rPr>
        <w:rFonts w:hint="default"/>
      </w:rPr>
    </w:lvl>
  </w:abstractNum>
  <w:abstractNum w:abstractNumId="10">
    <w:nsid w:val="B9FAAB5E"/>
    <w:multiLevelType w:val="singleLevel"/>
    <w:tmpl w:val="B9FAAB5E"/>
    <w:lvl w:ilvl="0" w:tentative="0">
      <w:start w:val="5"/>
      <w:numFmt w:val="chineseCounting"/>
      <w:suff w:val="nothing"/>
      <w:lvlText w:val="%1、"/>
      <w:lvlJc w:val="left"/>
      <w:rPr>
        <w:rFonts w:hint="eastAsia"/>
      </w:rPr>
    </w:lvl>
  </w:abstractNum>
  <w:abstractNum w:abstractNumId="11">
    <w:nsid w:val="C143C15D"/>
    <w:multiLevelType w:val="singleLevel"/>
    <w:tmpl w:val="C143C15D"/>
    <w:lvl w:ilvl="0" w:tentative="0">
      <w:start w:val="1"/>
      <w:numFmt w:val="chineseCounting"/>
      <w:suff w:val="nothing"/>
      <w:lvlText w:val="%1、"/>
      <w:lvlJc w:val="left"/>
      <w:rPr>
        <w:rFonts w:hint="eastAsia"/>
      </w:rPr>
    </w:lvl>
  </w:abstractNum>
  <w:abstractNum w:abstractNumId="12">
    <w:nsid w:val="C6F5AA5C"/>
    <w:multiLevelType w:val="singleLevel"/>
    <w:tmpl w:val="C6F5AA5C"/>
    <w:lvl w:ilvl="0" w:tentative="0">
      <w:start w:val="1"/>
      <w:numFmt w:val="decimal"/>
      <w:suff w:val="nothing"/>
      <w:lvlText w:val="%1、"/>
      <w:lvlJc w:val="left"/>
      <w:pPr>
        <w:tabs>
          <w:tab w:val="left" w:pos="0"/>
        </w:tabs>
        <w:ind w:left="0" w:leftChars="0" w:firstLine="0" w:firstLineChars="0"/>
      </w:pPr>
      <w:rPr>
        <w:rFonts w:hint="default"/>
      </w:rPr>
    </w:lvl>
  </w:abstractNum>
  <w:abstractNum w:abstractNumId="13">
    <w:nsid w:val="C78BD006"/>
    <w:multiLevelType w:val="singleLevel"/>
    <w:tmpl w:val="C78BD006"/>
    <w:lvl w:ilvl="0" w:tentative="0">
      <w:start w:val="1"/>
      <w:numFmt w:val="chineseCountingThousand"/>
      <w:lvlText w:val="%1、"/>
      <w:lvlJc w:val="left"/>
      <w:pPr>
        <w:ind w:left="420" w:hanging="420"/>
      </w:pPr>
    </w:lvl>
  </w:abstractNum>
  <w:abstractNum w:abstractNumId="14">
    <w:nsid w:val="CD806B66"/>
    <w:multiLevelType w:val="singleLevel"/>
    <w:tmpl w:val="CD806B66"/>
    <w:lvl w:ilvl="0" w:tentative="0">
      <w:start w:val="1"/>
      <w:numFmt w:val="decimal"/>
      <w:lvlText w:val="(%1)"/>
      <w:lvlJc w:val="left"/>
      <w:pPr>
        <w:ind w:left="425" w:hanging="425"/>
      </w:pPr>
      <w:rPr>
        <w:rFonts w:hint="default"/>
      </w:rPr>
    </w:lvl>
  </w:abstractNum>
  <w:abstractNum w:abstractNumId="15">
    <w:nsid w:val="D7F52C59"/>
    <w:multiLevelType w:val="singleLevel"/>
    <w:tmpl w:val="D7F52C59"/>
    <w:lvl w:ilvl="0" w:tentative="0">
      <w:start w:val="1"/>
      <w:numFmt w:val="decimal"/>
      <w:lvlText w:val="(%1)"/>
      <w:lvlJc w:val="left"/>
      <w:pPr>
        <w:ind w:left="425" w:hanging="425"/>
      </w:pPr>
      <w:rPr>
        <w:rFonts w:hint="default"/>
      </w:rPr>
    </w:lvl>
  </w:abstractNum>
  <w:abstractNum w:abstractNumId="16">
    <w:nsid w:val="DDBD4F09"/>
    <w:multiLevelType w:val="singleLevel"/>
    <w:tmpl w:val="DDBD4F09"/>
    <w:lvl w:ilvl="0" w:tentative="0">
      <w:start w:val="5"/>
      <w:numFmt w:val="decimal"/>
      <w:suff w:val="nothing"/>
      <w:lvlText w:val="%1、"/>
      <w:lvlJc w:val="left"/>
    </w:lvl>
  </w:abstractNum>
  <w:abstractNum w:abstractNumId="17">
    <w:nsid w:val="E0B54C85"/>
    <w:multiLevelType w:val="singleLevel"/>
    <w:tmpl w:val="E0B54C85"/>
    <w:lvl w:ilvl="0" w:tentative="0">
      <w:start w:val="1"/>
      <w:numFmt w:val="decimal"/>
      <w:suff w:val="nothing"/>
      <w:lvlText w:val="%1、"/>
      <w:lvlJc w:val="left"/>
    </w:lvl>
  </w:abstractNum>
  <w:abstractNum w:abstractNumId="18">
    <w:nsid w:val="EE3939D9"/>
    <w:multiLevelType w:val="singleLevel"/>
    <w:tmpl w:val="EE3939D9"/>
    <w:lvl w:ilvl="0" w:tentative="0">
      <w:start w:val="24"/>
      <w:numFmt w:val="decimal"/>
      <w:suff w:val="nothing"/>
      <w:lvlText w:val="%1、"/>
      <w:lvlJc w:val="left"/>
    </w:lvl>
  </w:abstractNum>
  <w:abstractNum w:abstractNumId="19">
    <w:nsid w:val="FB2E7129"/>
    <w:multiLevelType w:val="singleLevel"/>
    <w:tmpl w:val="FB2E7129"/>
    <w:lvl w:ilvl="0" w:tentative="0">
      <w:start w:val="14"/>
      <w:numFmt w:val="decimal"/>
      <w:suff w:val="nothing"/>
      <w:lvlText w:val="%1、"/>
      <w:lvlJc w:val="left"/>
    </w:lvl>
  </w:abstractNum>
  <w:abstractNum w:abstractNumId="20">
    <w:nsid w:val="018C9C2F"/>
    <w:multiLevelType w:val="singleLevel"/>
    <w:tmpl w:val="018C9C2F"/>
    <w:lvl w:ilvl="0" w:tentative="0">
      <w:start w:val="1"/>
      <w:numFmt w:val="chineseCounting"/>
      <w:suff w:val="nothing"/>
      <w:lvlText w:val="%1、"/>
      <w:lvlJc w:val="left"/>
      <w:rPr>
        <w:rFonts w:hint="eastAsia"/>
      </w:rPr>
    </w:lvl>
  </w:abstractNum>
  <w:abstractNum w:abstractNumId="21">
    <w:nsid w:val="0B973F85"/>
    <w:multiLevelType w:val="multilevel"/>
    <w:tmpl w:val="0B973F85"/>
    <w:lvl w:ilvl="0" w:tentative="0">
      <w:start w:val="1"/>
      <w:numFmt w:val="chineseCountingThousand"/>
      <w:lvlText w:val="(%1)"/>
      <w:lvlJc w:val="left"/>
      <w:pPr>
        <w:tabs>
          <w:tab w:val="left" w:pos="425"/>
        </w:tabs>
        <w:ind w:left="425" w:hanging="425"/>
      </w:pPr>
      <w:rPr>
        <w:rFonts w:hint="eastAsia"/>
        <w:sz w:val="21"/>
        <w:szCs w:val="21"/>
      </w:rPr>
    </w:lvl>
    <w:lvl w:ilvl="1" w:tentative="0">
      <w:start w:val="1"/>
      <w:numFmt w:val="upperLetter"/>
      <w:lvlText w:val="%23.1"/>
      <w:lvlJc w:val="left"/>
      <w:pPr>
        <w:tabs>
          <w:tab w:val="left" w:pos="992"/>
        </w:tabs>
        <w:ind w:left="992" w:hanging="567"/>
      </w:pPr>
      <w:rPr>
        <w:rFonts w:hint="eastAsia"/>
      </w:rPr>
    </w:lvl>
    <w:lvl w:ilvl="2" w:tentative="0">
      <w:start w:val="1"/>
      <w:numFmt w:val="decimal"/>
      <w:lvlText w:val="3.%3"/>
      <w:lvlJc w:val="left"/>
      <w:pPr>
        <w:tabs>
          <w:tab w:val="left" w:pos="1418"/>
        </w:tabs>
        <w:ind w:left="1418" w:hanging="567"/>
      </w:pPr>
      <w:rPr>
        <w:rFonts w:hint="eastAsia"/>
      </w:rPr>
    </w:lvl>
    <w:lvl w:ilvl="3" w:tentative="0">
      <w:start w:val="1"/>
      <w:numFmt w:val="decimal"/>
      <w:lvlText w:val="%2"/>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2">
    <w:nsid w:val="1068C811"/>
    <w:multiLevelType w:val="singleLevel"/>
    <w:tmpl w:val="1068C811"/>
    <w:lvl w:ilvl="0" w:tentative="0">
      <w:start w:val="1"/>
      <w:numFmt w:val="decimal"/>
      <w:suff w:val="space"/>
      <w:lvlText w:val="%1."/>
      <w:lvlJc w:val="left"/>
    </w:lvl>
  </w:abstractNum>
  <w:abstractNum w:abstractNumId="23">
    <w:nsid w:val="14D1CAAE"/>
    <w:multiLevelType w:val="singleLevel"/>
    <w:tmpl w:val="14D1CAAE"/>
    <w:lvl w:ilvl="0" w:tentative="0">
      <w:start w:val="1"/>
      <w:numFmt w:val="decimal"/>
      <w:suff w:val="nothing"/>
      <w:lvlText w:val="%1、"/>
      <w:lvlJc w:val="left"/>
    </w:lvl>
  </w:abstractNum>
  <w:abstractNum w:abstractNumId="24">
    <w:nsid w:val="25E9A5A3"/>
    <w:multiLevelType w:val="singleLevel"/>
    <w:tmpl w:val="25E9A5A3"/>
    <w:lvl w:ilvl="0" w:tentative="0">
      <w:start w:val="1"/>
      <w:numFmt w:val="decimal"/>
      <w:suff w:val="space"/>
      <w:lvlText w:val="%1."/>
      <w:lvlJc w:val="left"/>
    </w:lvl>
  </w:abstractNum>
  <w:abstractNum w:abstractNumId="25">
    <w:nsid w:val="2B15AD7D"/>
    <w:multiLevelType w:val="singleLevel"/>
    <w:tmpl w:val="2B15AD7D"/>
    <w:lvl w:ilvl="0" w:tentative="0">
      <w:start w:val="1"/>
      <w:numFmt w:val="decimal"/>
      <w:lvlText w:val="(%1)"/>
      <w:lvlJc w:val="left"/>
      <w:pPr>
        <w:tabs>
          <w:tab w:val="left" w:pos="312"/>
        </w:tabs>
      </w:pPr>
    </w:lvl>
  </w:abstractNum>
  <w:abstractNum w:abstractNumId="26">
    <w:nsid w:val="2D6A2507"/>
    <w:multiLevelType w:val="singleLevel"/>
    <w:tmpl w:val="2D6A2507"/>
    <w:lvl w:ilvl="0" w:tentative="0">
      <w:start w:val="1"/>
      <w:numFmt w:val="decimal"/>
      <w:lvlText w:val="(%1)"/>
      <w:lvlJc w:val="left"/>
      <w:pPr>
        <w:ind w:left="425" w:hanging="425"/>
      </w:pPr>
      <w:rPr>
        <w:rFonts w:hint="default"/>
      </w:rPr>
    </w:lvl>
  </w:abstractNum>
  <w:abstractNum w:abstractNumId="27">
    <w:nsid w:val="323942A8"/>
    <w:multiLevelType w:val="singleLevel"/>
    <w:tmpl w:val="323942A8"/>
    <w:lvl w:ilvl="0" w:tentative="0">
      <w:start w:val="1"/>
      <w:numFmt w:val="chineseCounting"/>
      <w:suff w:val="nothing"/>
      <w:lvlText w:val="%1、"/>
      <w:lvlJc w:val="left"/>
      <w:rPr>
        <w:rFonts w:hint="eastAsia"/>
      </w:rPr>
    </w:lvl>
  </w:abstractNum>
  <w:abstractNum w:abstractNumId="28">
    <w:nsid w:val="3988E7F3"/>
    <w:multiLevelType w:val="singleLevel"/>
    <w:tmpl w:val="3988E7F3"/>
    <w:lvl w:ilvl="0" w:tentative="0">
      <w:start w:val="1"/>
      <w:numFmt w:val="decimal"/>
      <w:suff w:val="space"/>
      <w:lvlText w:val="%1、"/>
      <w:lvlJc w:val="left"/>
    </w:lvl>
  </w:abstractNum>
  <w:abstractNum w:abstractNumId="29">
    <w:nsid w:val="3F300A0B"/>
    <w:multiLevelType w:val="singleLevel"/>
    <w:tmpl w:val="3F300A0B"/>
    <w:lvl w:ilvl="0" w:tentative="0">
      <w:start w:val="17"/>
      <w:numFmt w:val="decimal"/>
      <w:suff w:val="nothing"/>
      <w:lvlText w:val="%1、"/>
      <w:lvlJc w:val="left"/>
    </w:lvl>
  </w:abstractNum>
  <w:abstractNum w:abstractNumId="30">
    <w:nsid w:val="4C7E4318"/>
    <w:multiLevelType w:val="multilevel"/>
    <w:tmpl w:val="4C7E4318"/>
    <w:lvl w:ilvl="0" w:tentative="0">
      <w:start w:val="1"/>
      <w:numFmt w:val="japaneseCounting"/>
      <w:lvlText w:val="第%1章"/>
      <w:lvlJc w:val="left"/>
      <w:pPr>
        <w:tabs>
          <w:tab w:val="left" w:pos="1980"/>
        </w:tabs>
        <w:ind w:left="1980" w:hanging="1260"/>
      </w:pPr>
      <w:rPr>
        <w:rFonts w:hint="eastAsia"/>
      </w:rPr>
    </w:lvl>
    <w:lvl w:ilvl="1" w:tentative="0">
      <w:start w:val="1"/>
      <w:numFmt w:val="decimal"/>
      <w:lvlText w:val="(%2)"/>
      <w:lvlJc w:val="left"/>
      <w:pPr>
        <w:tabs>
          <w:tab w:val="left" w:pos="1500"/>
        </w:tabs>
        <w:ind w:left="1500" w:hanging="360"/>
      </w:pPr>
      <w:rPr>
        <w:rFonts w:hint="default"/>
      </w:rPr>
    </w:lvl>
    <w:lvl w:ilvl="2" w:tentative="0">
      <w:start w:val="1"/>
      <w:numFmt w:val="decimal"/>
      <w:lvlText w:val="%3)"/>
      <w:lvlJc w:val="left"/>
      <w:pPr>
        <w:tabs>
          <w:tab w:val="left" w:pos="1980"/>
        </w:tabs>
        <w:ind w:left="1980" w:hanging="420"/>
      </w:pPr>
      <w:rPr>
        <w:rFonts w:hint="eastAsia"/>
      </w:rPr>
    </w:lvl>
    <w:lvl w:ilvl="3" w:tentative="0">
      <w:start w:val="4"/>
      <w:numFmt w:val="japaneseCounting"/>
      <w:lvlText w:val="%4、"/>
      <w:lvlJc w:val="left"/>
      <w:pPr>
        <w:tabs>
          <w:tab w:val="left" w:pos="2700"/>
        </w:tabs>
        <w:ind w:left="2700" w:hanging="720"/>
      </w:pPr>
      <w:rPr>
        <w:rFonts w:hint="default"/>
      </w:rPr>
    </w:lvl>
    <w:lvl w:ilvl="4" w:tentative="0">
      <w:start w:val="1"/>
      <w:numFmt w:val="decimal"/>
      <w:lvlText w:val="%5）"/>
      <w:lvlJc w:val="left"/>
      <w:pPr>
        <w:tabs>
          <w:tab w:val="left" w:pos="3120"/>
        </w:tabs>
        <w:ind w:left="3120" w:hanging="720"/>
      </w:pPr>
      <w:rPr>
        <w:rFonts w:hint="default"/>
        <w:b w:val="0"/>
      </w:r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31">
    <w:nsid w:val="4F3FF634"/>
    <w:multiLevelType w:val="singleLevel"/>
    <w:tmpl w:val="4F3FF634"/>
    <w:lvl w:ilvl="0" w:tentative="0">
      <w:start w:val="2"/>
      <w:numFmt w:val="decimal"/>
      <w:lvlText w:val="%1."/>
      <w:lvlJc w:val="left"/>
      <w:pPr>
        <w:tabs>
          <w:tab w:val="left" w:pos="312"/>
        </w:tabs>
      </w:pPr>
    </w:lvl>
  </w:abstractNum>
  <w:abstractNum w:abstractNumId="32">
    <w:nsid w:val="53E1A08B"/>
    <w:multiLevelType w:val="singleLevel"/>
    <w:tmpl w:val="53E1A08B"/>
    <w:lvl w:ilvl="0" w:tentative="0">
      <w:start w:val="2"/>
      <w:numFmt w:val="chineseCounting"/>
      <w:suff w:val="space"/>
      <w:lvlText w:val="第%1章"/>
      <w:lvlJc w:val="left"/>
      <w:rPr>
        <w:rFonts w:hint="eastAsia"/>
      </w:rPr>
    </w:lvl>
  </w:abstractNum>
  <w:abstractNum w:abstractNumId="33">
    <w:nsid w:val="544E1336"/>
    <w:multiLevelType w:val="singleLevel"/>
    <w:tmpl w:val="544E1336"/>
    <w:lvl w:ilvl="0" w:tentative="0">
      <w:start w:val="1"/>
      <w:numFmt w:val="decimal"/>
      <w:lvlText w:val="%1)"/>
      <w:lvlJc w:val="left"/>
      <w:pPr>
        <w:tabs>
          <w:tab w:val="left" w:pos="420"/>
        </w:tabs>
        <w:ind w:left="845" w:hanging="425"/>
      </w:pPr>
      <w:rPr>
        <w:rFonts w:hint="default"/>
      </w:rPr>
    </w:lvl>
  </w:abstractNum>
  <w:abstractNum w:abstractNumId="34">
    <w:nsid w:val="54A48C29"/>
    <w:multiLevelType w:val="singleLevel"/>
    <w:tmpl w:val="54A48C29"/>
    <w:lvl w:ilvl="0" w:tentative="0">
      <w:start w:val="1"/>
      <w:numFmt w:val="decimal"/>
      <w:lvlText w:val="(%1)"/>
      <w:lvlJc w:val="left"/>
      <w:pPr>
        <w:ind w:left="425" w:hanging="425"/>
      </w:pPr>
      <w:rPr>
        <w:rFonts w:hint="default"/>
      </w:rPr>
    </w:lvl>
  </w:abstractNum>
  <w:abstractNum w:abstractNumId="35">
    <w:nsid w:val="59CF4B5C"/>
    <w:multiLevelType w:val="singleLevel"/>
    <w:tmpl w:val="59CF4B5C"/>
    <w:lvl w:ilvl="0" w:tentative="0">
      <w:start w:val="1"/>
      <w:numFmt w:val="chineseCounting"/>
      <w:suff w:val="nothing"/>
      <w:lvlText w:val="%1、"/>
      <w:lvlJc w:val="left"/>
    </w:lvl>
  </w:abstractNum>
  <w:abstractNum w:abstractNumId="36">
    <w:nsid w:val="59CF4BD5"/>
    <w:multiLevelType w:val="multilevel"/>
    <w:tmpl w:val="59CF4BD5"/>
    <w:lvl w:ilvl="0" w:tentative="0">
      <w:start w:val="1"/>
      <w:numFmt w:val="chineseCountingThousand"/>
      <w:lvlText w:val="%1、"/>
      <w:lvlJc w:val="left"/>
      <w:pPr>
        <w:tabs>
          <w:tab w:val="left" w:pos="420"/>
        </w:tabs>
        <w:ind w:left="420" w:hanging="420"/>
      </w:pPr>
      <w:rPr>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7">
    <w:nsid w:val="59E95219"/>
    <w:multiLevelType w:val="singleLevel"/>
    <w:tmpl w:val="59E95219"/>
    <w:lvl w:ilvl="0" w:tentative="0">
      <w:start w:val="5"/>
      <w:numFmt w:val="chineseCounting"/>
      <w:suff w:val="space"/>
      <w:lvlText w:val="第%1章"/>
      <w:lvlJc w:val="left"/>
    </w:lvl>
  </w:abstractNum>
  <w:abstractNum w:abstractNumId="38">
    <w:nsid w:val="5F802A5E"/>
    <w:multiLevelType w:val="singleLevel"/>
    <w:tmpl w:val="5F802A5E"/>
    <w:lvl w:ilvl="0" w:tentative="0">
      <w:start w:val="1"/>
      <w:numFmt w:val="decimal"/>
      <w:lvlText w:val="%1."/>
      <w:lvlJc w:val="left"/>
      <w:pPr>
        <w:tabs>
          <w:tab w:val="left" w:pos="312"/>
        </w:tabs>
      </w:pPr>
    </w:lvl>
  </w:abstractNum>
  <w:abstractNum w:abstractNumId="39">
    <w:nsid w:val="636E47B0"/>
    <w:multiLevelType w:val="multilevel"/>
    <w:tmpl w:val="636E47B0"/>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677E0E1F"/>
    <w:multiLevelType w:val="multilevel"/>
    <w:tmpl w:val="677E0E1F"/>
    <w:lvl w:ilvl="0" w:tentative="0">
      <w:start w:val="1"/>
      <w:numFmt w:val="chineseCountingThousand"/>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6A3DEC23"/>
    <w:multiLevelType w:val="singleLevel"/>
    <w:tmpl w:val="6A3DEC23"/>
    <w:lvl w:ilvl="0" w:tentative="0">
      <w:start w:val="1"/>
      <w:numFmt w:val="decimal"/>
      <w:lvlText w:val="(%1)"/>
      <w:lvlJc w:val="left"/>
      <w:pPr>
        <w:ind w:left="425" w:hanging="425"/>
      </w:pPr>
      <w:rPr>
        <w:rFonts w:hint="default"/>
      </w:rPr>
    </w:lvl>
  </w:abstractNum>
  <w:abstractNum w:abstractNumId="42">
    <w:nsid w:val="6ADD6F58"/>
    <w:multiLevelType w:val="singleLevel"/>
    <w:tmpl w:val="6ADD6F58"/>
    <w:lvl w:ilvl="0" w:tentative="0">
      <w:start w:val="1"/>
      <w:numFmt w:val="chineseCountingThousand"/>
      <w:lvlText w:val="%1、"/>
      <w:lvlJc w:val="left"/>
      <w:pPr>
        <w:ind w:left="420" w:hanging="420"/>
      </w:pPr>
    </w:lvl>
  </w:abstractNum>
  <w:abstractNum w:abstractNumId="43">
    <w:nsid w:val="6BDA4796"/>
    <w:multiLevelType w:val="singleLevel"/>
    <w:tmpl w:val="6BDA4796"/>
    <w:lvl w:ilvl="0" w:tentative="0">
      <w:start w:val="1"/>
      <w:numFmt w:val="decimal"/>
      <w:lvlText w:val="(%1)"/>
      <w:lvlJc w:val="left"/>
      <w:pPr>
        <w:ind w:left="425" w:hanging="425"/>
      </w:pPr>
      <w:rPr>
        <w:rFonts w:hint="default"/>
      </w:rPr>
    </w:lvl>
  </w:abstractNum>
  <w:abstractNum w:abstractNumId="44">
    <w:nsid w:val="6BE851CD"/>
    <w:multiLevelType w:val="singleLevel"/>
    <w:tmpl w:val="6BE851CD"/>
    <w:lvl w:ilvl="0" w:tentative="0">
      <w:start w:val="1"/>
      <w:numFmt w:val="decimal"/>
      <w:lvlText w:val="%1)"/>
      <w:lvlJc w:val="left"/>
      <w:pPr>
        <w:tabs>
          <w:tab w:val="left" w:pos="420"/>
        </w:tabs>
        <w:ind w:left="845" w:hanging="425"/>
      </w:pPr>
      <w:rPr>
        <w:rFonts w:hint="default"/>
      </w:rPr>
    </w:lvl>
  </w:abstractNum>
  <w:abstractNum w:abstractNumId="45">
    <w:nsid w:val="6D6CA9BF"/>
    <w:multiLevelType w:val="singleLevel"/>
    <w:tmpl w:val="6D6CA9BF"/>
    <w:lvl w:ilvl="0" w:tentative="0">
      <w:start w:val="1"/>
      <w:numFmt w:val="decimal"/>
      <w:suff w:val="nothing"/>
      <w:lvlText w:val="%1、"/>
      <w:lvlJc w:val="left"/>
      <w:pPr>
        <w:tabs>
          <w:tab w:val="left" w:pos="0"/>
        </w:tabs>
        <w:ind w:left="0" w:leftChars="0" w:firstLine="0" w:firstLineChars="0"/>
      </w:pPr>
      <w:rPr>
        <w:rFonts w:hint="default"/>
      </w:rPr>
    </w:lvl>
  </w:abstractNum>
  <w:abstractNum w:abstractNumId="46">
    <w:nsid w:val="72EB696C"/>
    <w:multiLevelType w:val="multilevel"/>
    <w:tmpl w:val="72EB696C"/>
    <w:lvl w:ilvl="0" w:tentative="0">
      <w:start w:val="1"/>
      <w:numFmt w:val="chineseCountingThousand"/>
      <w:lvlText w:val="(%1)"/>
      <w:lvlJc w:val="left"/>
      <w:pPr>
        <w:tabs>
          <w:tab w:val="left" w:pos="420"/>
        </w:tabs>
        <w:ind w:left="42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7">
    <w:nsid w:val="75BB5789"/>
    <w:multiLevelType w:val="singleLevel"/>
    <w:tmpl w:val="75BB5789"/>
    <w:lvl w:ilvl="0" w:tentative="0">
      <w:start w:val="1"/>
      <w:numFmt w:val="decimal"/>
      <w:lvlText w:val="(%1)"/>
      <w:lvlJc w:val="left"/>
      <w:pPr>
        <w:ind w:left="425" w:hanging="425"/>
      </w:pPr>
      <w:rPr>
        <w:rFonts w:hint="default"/>
      </w:rPr>
    </w:lvl>
  </w:abstractNum>
  <w:abstractNum w:abstractNumId="48">
    <w:nsid w:val="77A3072A"/>
    <w:multiLevelType w:val="singleLevel"/>
    <w:tmpl w:val="77A3072A"/>
    <w:lvl w:ilvl="0" w:tentative="0">
      <w:start w:val="1"/>
      <w:numFmt w:val="decimal"/>
      <w:lvlText w:val="(%1)"/>
      <w:lvlJc w:val="left"/>
      <w:pPr>
        <w:ind w:left="425" w:hanging="425"/>
      </w:pPr>
      <w:rPr>
        <w:rFonts w:hint="default"/>
      </w:rPr>
    </w:lvl>
  </w:abstractNum>
  <w:abstractNum w:abstractNumId="49">
    <w:nsid w:val="7D82545E"/>
    <w:multiLevelType w:val="singleLevel"/>
    <w:tmpl w:val="7D82545E"/>
    <w:lvl w:ilvl="0" w:tentative="0">
      <w:start w:val="1"/>
      <w:numFmt w:val="decimal"/>
      <w:lvlText w:val="(%1)"/>
      <w:lvlJc w:val="left"/>
      <w:pPr>
        <w:ind w:left="425" w:hanging="425"/>
      </w:pPr>
      <w:rPr>
        <w:rFonts w:hint="default"/>
      </w:rPr>
    </w:lvl>
  </w:abstractNum>
  <w:num w:numId="1">
    <w:abstractNumId w:val="32"/>
  </w:num>
  <w:num w:numId="2">
    <w:abstractNumId w:val="38"/>
  </w:num>
  <w:num w:numId="3">
    <w:abstractNumId w:val="4"/>
  </w:num>
  <w:num w:numId="4">
    <w:abstractNumId w:val="34"/>
  </w:num>
  <w:num w:numId="5">
    <w:abstractNumId w:val="41"/>
  </w:num>
  <w:num w:numId="6">
    <w:abstractNumId w:val="47"/>
  </w:num>
  <w:num w:numId="7">
    <w:abstractNumId w:val="30"/>
  </w:num>
  <w:num w:numId="8">
    <w:abstractNumId w:val="43"/>
  </w:num>
  <w:num w:numId="9">
    <w:abstractNumId w:val="7"/>
  </w:num>
  <w:num w:numId="10">
    <w:abstractNumId w:val="1"/>
  </w:num>
  <w:num w:numId="11">
    <w:abstractNumId w:val="15"/>
  </w:num>
  <w:num w:numId="12">
    <w:abstractNumId w:val="49"/>
  </w:num>
  <w:num w:numId="13">
    <w:abstractNumId w:val="31"/>
  </w:num>
  <w:num w:numId="14">
    <w:abstractNumId w:val="22"/>
  </w:num>
  <w:num w:numId="15">
    <w:abstractNumId w:val="26"/>
  </w:num>
  <w:num w:numId="16">
    <w:abstractNumId w:val="14"/>
  </w:num>
  <w:num w:numId="17">
    <w:abstractNumId w:val="48"/>
  </w:num>
  <w:num w:numId="18">
    <w:abstractNumId w:val="2"/>
  </w:num>
  <w:num w:numId="19">
    <w:abstractNumId w:val="37"/>
  </w:num>
  <w:num w:numId="20">
    <w:abstractNumId w:val="6"/>
  </w:num>
  <w:num w:numId="21">
    <w:abstractNumId w:val="33"/>
  </w:num>
  <w:num w:numId="22">
    <w:abstractNumId w:val="44"/>
  </w:num>
  <w:num w:numId="23">
    <w:abstractNumId w:val="9"/>
  </w:num>
  <w:num w:numId="24">
    <w:abstractNumId w:val="20"/>
  </w:num>
  <w:num w:numId="25">
    <w:abstractNumId w:val="10"/>
  </w:num>
  <w:num w:numId="26">
    <w:abstractNumId w:val="27"/>
  </w:num>
  <w:num w:numId="27">
    <w:abstractNumId w:val="12"/>
  </w:num>
  <w:num w:numId="28">
    <w:abstractNumId w:val="5"/>
  </w:num>
  <w:num w:numId="29">
    <w:abstractNumId w:val="11"/>
  </w:num>
  <w:num w:numId="30">
    <w:abstractNumId w:val="17"/>
  </w:num>
  <w:num w:numId="31">
    <w:abstractNumId w:val="45"/>
  </w:num>
  <w:num w:numId="32">
    <w:abstractNumId w:val="19"/>
  </w:num>
  <w:num w:numId="33">
    <w:abstractNumId w:val="29"/>
  </w:num>
  <w:num w:numId="34">
    <w:abstractNumId w:val="23"/>
  </w:num>
  <w:num w:numId="35">
    <w:abstractNumId w:val="3"/>
  </w:num>
  <w:num w:numId="36">
    <w:abstractNumId w:val="16"/>
  </w:num>
  <w:num w:numId="37">
    <w:abstractNumId w:val="0"/>
  </w:num>
  <w:num w:numId="38">
    <w:abstractNumId w:val="28"/>
  </w:num>
  <w:num w:numId="39">
    <w:abstractNumId w:val="18"/>
  </w:num>
  <w:num w:numId="40">
    <w:abstractNumId w:val="8"/>
  </w:num>
  <w:num w:numId="41">
    <w:abstractNumId w:val="35"/>
  </w:num>
  <w:num w:numId="42">
    <w:abstractNumId w:val="40"/>
  </w:num>
  <w:num w:numId="43">
    <w:abstractNumId w:val="42"/>
  </w:num>
  <w:num w:numId="44">
    <w:abstractNumId w:val="13"/>
  </w:num>
  <w:num w:numId="45">
    <w:abstractNumId w:val="46"/>
  </w:num>
  <w:num w:numId="46">
    <w:abstractNumId w:val="36"/>
  </w:num>
  <w:num w:numId="47">
    <w:abstractNumId w:val="39"/>
  </w:num>
  <w:num w:numId="48">
    <w:abstractNumId w:val="25"/>
  </w:num>
  <w:num w:numId="49">
    <w:abstractNumId w:val="21"/>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hMWZkOGI3ZGMzOWY5MmM0MTJkY2I4NmNkZDg2ZmUifQ=="/>
  </w:docVars>
  <w:rsids>
    <w:rsidRoot w:val="00172A27"/>
    <w:rsid w:val="00490991"/>
    <w:rsid w:val="008957C2"/>
    <w:rsid w:val="015643CB"/>
    <w:rsid w:val="02DA0D42"/>
    <w:rsid w:val="038E05E4"/>
    <w:rsid w:val="047113B1"/>
    <w:rsid w:val="04806B11"/>
    <w:rsid w:val="053462E4"/>
    <w:rsid w:val="05420DC8"/>
    <w:rsid w:val="05A827C4"/>
    <w:rsid w:val="0662009C"/>
    <w:rsid w:val="06A85A89"/>
    <w:rsid w:val="06E71B0F"/>
    <w:rsid w:val="07BC60B3"/>
    <w:rsid w:val="08486168"/>
    <w:rsid w:val="095509D9"/>
    <w:rsid w:val="09891185"/>
    <w:rsid w:val="09E423F6"/>
    <w:rsid w:val="0A8B76DE"/>
    <w:rsid w:val="0BFA5F28"/>
    <w:rsid w:val="0D996041"/>
    <w:rsid w:val="0DBC0BBA"/>
    <w:rsid w:val="0E1E4246"/>
    <w:rsid w:val="0E8A2C43"/>
    <w:rsid w:val="0F3A741B"/>
    <w:rsid w:val="0F5E33D8"/>
    <w:rsid w:val="0FF8479A"/>
    <w:rsid w:val="125F36DB"/>
    <w:rsid w:val="128444A1"/>
    <w:rsid w:val="12FE088C"/>
    <w:rsid w:val="14721A74"/>
    <w:rsid w:val="14D95809"/>
    <w:rsid w:val="15A40D5E"/>
    <w:rsid w:val="16190F8E"/>
    <w:rsid w:val="16590EFE"/>
    <w:rsid w:val="16BC303B"/>
    <w:rsid w:val="17774958"/>
    <w:rsid w:val="17CE4666"/>
    <w:rsid w:val="182B1F6E"/>
    <w:rsid w:val="18D13844"/>
    <w:rsid w:val="1A256515"/>
    <w:rsid w:val="1A5021A9"/>
    <w:rsid w:val="1B0B7B8D"/>
    <w:rsid w:val="1B251A53"/>
    <w:rsid w:val="1C6C40F3"/>
    <w:rsid w:val="1CEE0D37"/>
    <w:rsid w:val="1D17405F"/>
    <w:rsid w:val="1D3B5422"/>
    <w:rsid w:val="1D4323DA"/>
    <w:rsid w:val="1E8D688F"/>
    <w:rsid w:val="1EC51899"/>
    <w:rsid w:val="1F072769"/>
    <w:rsid w:val="1FBC0EEE"/>
    <w:rsid w:val="20DC52B9"/>
    <w:rsid w:val="21447AAC"/>
    <w:rsid w:val="221200F3"/>
    <w:rsid w:val="222A750F"/>
    <w:rsid w:val="227D341C"/>
    <w:rsid w:val="22A46395"/>
    <w:rsid w:val="23A979DB"/>
    <w:rsid w:val="23EF4B5F"/>
    <w:rsid w:val="23F021D5"/>
    <w:rsid w:val="24C671EC"/>
    <w:rsid w:val="253C49B6"/>
    <w:rsid w:val="2674499C"/>
    <w:rsid w:val="27075503"/>
    <w:rsid w:val="27524F69"/>
    <w:rsid w:val="27AD3D54"/>
    <w:rsid w:val="282D639E"/>
    <w:rsid w:val="283A0DDB"/>
    <w:rsid w:val="28ED72EF"/>
    <w:rsid w:val="298D6410"/>
    <w:rsid w:val="2C076EE7"/>
    <w:rsid w:val="2DB66CAA"/>
    <w:rsid w:val="2DBA6DF2"/>
    <w:rsid w:val="2E8E5638"/>
    <w:rsid w:val="2F30694A"/>
    <w:rsid w:val="2F8816D4"/>
    <w:rsid w:val="313279DC"/>
    <w:rsid w:val="336A3155"/>
    <w:rsid w:val="33B7001B"/>
    <w:rsid w:val="342B1D46"/>
    <w:rsid w:val="369C115B"/>
    <w:rsid w:val="36B87121"/>
    <w:rsid w:val="37562617"/>
    <w:rsid w:val="3A007301"/>
    <w:rsid w:val="3A226770"/>
    <w:rsid w:val="3AB55172"/>
    <w:rsid w:val="3B166291"/>
    <w:rsid w:val="3B702E61"/>
    <w:rsid w:val="3D8D1C20"/>
    <w:rsid w:val="3E4730E9"/>
    <w:rsid w:val="3E7C1B1C"/>
    <w:rsid w:val="3EED7273"/>
    <w:rsid w:val="3F4731E1"/>
    <w:rsid w:val="40155D85"/>
    <w:rsid w:val="40347516"/>
    <w:rsid w:val="407D392A"/>
    <w:rsid w:val="40AA7AC4"/>
    <w:rsid w:val="4124604F"/>
    <w:rsid w:val="412E573E"/>
    <w:rsid w:val="41966C40"/>
    <w:rsid w:val="4205007B"/>
    <w:rsid w:val="42A36D1C"/>
    <w:rsid w:val="430B1FBF"/>
    <w:rsid w:val="431E31A2"/>
    <w:rsid w:val="439C0C61"/>
    <w:rsid w:val="43DA0806"/>
    <w:rsid w:val="456D0EE3"/>
    <w:rsid w:val="45F65CF5"/>
    <w:rsid w:val="46325A42"/>
    <w:rsid w:val="46567D8B"/>
    <w:rsid w:val="46A75668"/>
    <w:rsid w:val="47150D60"/>
    <w:rsid w:val="47AF7936"/>
    <w:rsid w:val="47D33A7E"/>
    <w:rsid w:val="47EB3189"/>
    <w:rsid w:val="47F34964"/>
    <w:rsid w:val="48FF0499"/>
    <w:rsid w:val="499C3073"/>
    <w:rsid w:val="4A45370A"/>
    <w:rsid w:val="4A965D14"/>
    <w:rsid w:val="4AF40FA1"/>
    <w:rsid w:val="4C5B3F12"/>
    <w:rsid w:val="4CBE3209"/>
    <w:rsid w:val="4D963018"/>
    <w:rsid w:val="4F244236"/>
    <w:rsid w:val="4F6C6748"/>
    <w:rsid w:val="50445303"/>
    <w:rsid w:val="50E00F2C"/>
    <w:rsid w:val="541505F1"/>
    <w:rsid w:val="54704C43"/>
    <w:rsid w:val="567F1715"/>
    <w:rsid w:val="56DE6B54"/>
    <w:rsid w:val="5853690F"/>
    <w:rsid w:val="58C61EBA"/>
    <w:rsid w:val="59646802"/>
    <w:rsid w:val="5A214441"/>
    <w:rsid w:val="5C497512"/>
    <w:rsid w:val="5DA84AA7"/>
    <w:rsid w:val="5F4E4A6A"/>
    <w:rsid w:val="5FEB40BD"/>
    <w:rsid w:val="605A59EE"/>
    <w:rsid w:val="6071095D"/>
    <w:rsid w:val="60984554"/>
    <w:rsid w:val="61145C8A"/>
    <w:rsid w:val="613227E3"/>
    <w:rsid w:val="62211AF2"/>
    <w:rsid w:val="62D13935"/>
    <w:rsid w:val="63384B89"/>
    <w:rsid w:val="65365D8A"/>
    <w:rsid w:val="65B12721"/>
    <w:rsid w:val="662315F5"/>
    <w:rsid w:val="67186D6D"/>
    <w:rsid w:val="674C5C80"/>
    <w:rsid w:val="675D2BC1"/>
    <w:rsid w:val="67F27466"/>
    <w:rsid w:val="6B6A1947"/>
    <w:rsid w:val="6C862255"/>
    <w:rsid w:val="6D6E63B5"/>
    <w:rsid w:val="6D943656"/>
    <w:rsid w:val="6DA9299B"/>
    <w:rsid w:val="6F0F6F12"/>
    <w:rsid w:val="6FCB63F4"/>
    <w:rsid w:val="6FF22403"/>
    <w:rsid w:val="70F805AF"/>
    <w:rsid w:val="71104FF5"/>
    <w:rsid w:val="712A33D2"/>
    <w:rsid w:val="71E13469"/>
    <w:rsid w:val="7246688D"/>
    <w:rsid w:val="73602F20"/>
    <w:rsid w:val="73986D0A"/>
    <w:rsid w:val="73C17514"/>
    <w:rsid w:val="74254F71"/>
    <w:rsid w:val="74946F19"/>
    <w:rsid w:val="75380D84"/>
    <w:rsid w:val="759233F8"/>
    <w:rsid w:val="778966CF"/>
    <w:rsid w:val="77B35811"/>
    <w:rsid w:val="797A0EF7"/>
    <w:rsid w:val="7A1D076D"/>
    <w:rsid w:val="7AEF2513"/>
    <w:rsid w:val="7BB06386"/>
    <w:rsid w:val="7C4B4B13"/>
    <w:rsid w:val="7C7F1B0A"/>
    <w:rsid w:val="7CD71881"/>
    <w:rsid w:val="7CF53C93"/>
    <w:rsid w:val="7DD93DF7"/>
    <w:rsid w:val="7DF173AE"/>
    <w:rsid w:val="7E354F75"/>
    <w:rsid w:val="7F793320"/>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autoRedefine/>
    <w:qFormat/>
    <w:uiPriority w:val="0"/>
    <w:pPr>
      <w:keepNext/>
      <w:keepLines/>
      <w:spacing w:line="360" w:lineRule="auto"/>
      <w:jc w:val="center"/>
      <w:outlineLvl w:val="0"/>
    </w:pPr>
    <w:rPr>
      <w:rFonts w:ascii="Times New Roman" w:hAnsi="Times New Roman" w:eastAsia="宋体"/>
      <w:b/>
      <w:kern w:val="44"/>
      <w:sz w:val="32"/>
      <w:szCs w:val="20"/>
    </w:rPr>
  </w:style>
  <w:style w:type="paragraph" w:styleId="3">
    <w:name w:val="heading 2"/>
    <w:basedOn w:val="1"/>
    <w:next w:val="1"/>
    <w:autoRedefine/>
    <w:qFormat/>
    <w:uiPriority w:val="99"/>
    <w:pPr>
      <w:keepNext/>
      <w:keepLines/>
      <w:numPr>
        <w:ilvl w:val="1"/>
        <w:numId w:val="0"/>
      </w:numPr>
      <w:spacing w:line="360" w:lineRule="auto"/>
      <w:ind w:left="0" w:firstLine="0"/>
      <w:jc w:val="left"/>
      <w:outlineLvl w:val="1"/>
    </w:pPr>
    <w:rPr>
      <w:rFonts w:ascii="Arial" w:hAnsi="Arial" w:eastAsia="宋体"/>
      <w:b/>
      <w:sz w:val="24"/>
      <w:szCs w:val="20"/>
    </w:rPr>
  </w:style>
  <w:style w:type="paragraph" w:styleId="4">
    <w:name w:val="heading 3"/>
    <w:basedOn w:val="1"/>
    <w:next w:val="1"/>
    <w:autoRedefine/>
    <w:qFormat/>
    <w:uiPriority w:val="99"/>
    <w:pPr>
      <w:keepNext/>
      <w:keepLines/>
      <w:spacing w:line="360" w:lineRule="auto"/>
      <w:jc w:val="left"/>
      <w:outlineLvl w:val="2"/>
    </w:pPr>
    <w:rPr>
      <w:rFonts w:ascii="宋体" w:hAnsi="宋体" w:cs="宋体"/>
      <w:b/>
      <w:szCs w:val="21"/>
    </w:rPr>
  </w:style>
  <w:style w:type="character" w:default="1" w:styleId="31">
    <w:name w:val="Default Paragraph Font"/>
    <w:autoRedefine/>
    <w:semiHidden/>
    <w:qFormat/>
    <w:uiPriority w:val="0"/>
  </w:style>
  <w:style w:type="table" w:default="1" w:styleId="29">
    <w:name w:val="Normal Table"/>
    <w:autoRedefine/>
    <w:semiHidden/>
    <w:qFormat/>
    <w:uiPriority w:val="0"/>
    <w:tblPr>
      <w:tblCellMar>
        <w:top w:w="0" w:type="dxa"/>
        <w:left w:w="108" w:type="dxa"/>
        <w:bottom w:w="0" w:type="dxa"/>
        <w:right w:w="108" w:type="dxa"/>
      </w:tblCellMar>
    </w:tblPr>
  </w:style>
  <w:style w:type="paragraph" w:styleId="5">
    <w:name w:val="Normal Indent"/>
    <w:basedOn w:val="1"/>
    <w:next w:val="6"/>
    <w:autoRedefine/>
    <w:qFormat/>
    <w:uiPriority w:val="0"/>
    <w:pPr>
      <w:ind w:firstLine="420"/>
    </w:pPr>
    <w:rPr>
      <w:szCs w:val="20"/>
    </w:rPr>
  </w:style>
  <w:style w:type="paragraph" w:styleId="6">
    <w:name w:val="Body Text 2"/>
    <w:basedOn w:val="1"/>
    <w:autoRedefine/>
    <w:qFormat/>
    <w:uiPriority w:val="0"/>
    <w:pPr>
      <w:spacing w:after="120" w:line="480" w:lineRule="auto"/>
    </w:pPr>
  </w:style>
  <w:style w:type="paragraph" w:styleId="7">
    <w:name w:val="caption"/>
    <w:basedOn w:val="1"/>
    <w:next w:val="1"/>
    <w:autoRedefine/>
    <w:qFormat/>
    <w:uiPriority w:val="0"/>
    <w:rPr>
      <w:rFonts w:ascii="Cambria" w:hAnsi="Cambria" w:eastAsia="黑体"/>
      <w:sz w:val="20"/>
      <w:szCs w:val="20"/>
    </w:rPr>
  </w:style>
  <w:style w:type="paragraph" w:styleId="8">
    <w:name w:val="annotation text"/>
    <w:basedOn w:val="1"/>
    <w:autoRedefine/>
    <w:semiHidden/>
    <w:qFormat/>
    <w:uiPriority w:val="99"/>
    <w:pPr>
      <w:jc w:val="left"/>
    </w:pPr>
  </w:style>
  <w:style w:type="paragraph" w:styleId="9">
    <w:name w:val="Body Text"/>
    <w:basedOn w:val="1"/>
    <w:next w:val="10"/>
    <w:autoRedefine/>
    <w:qFormat/>
    <w:uiPriority w:val="0"/>
    <w:pPr>
      <w:spacing w:after="120"/>
    </w:pPr>
  </w:style>
  <w:style w:type="paragraph" w:customStyle="1" w:styleId="10">
    <w:name w:val="style4"/>
    <w:basedOn w:val="1"/>
    <w:next w:val="11"/>
    <w:qFormat/>
    <w:uiPriority w:val="0"/>
    <w:pPr>
      <w:spacing w:before="280" w:beforeLines="0" w:after="280" w:afterLines="0"/>
    </w:pPr>
    <w:rPr>
      <w:sz w:val="18"/>
    </w:rPr>
  </w:style>
  <w:style w:type="paragraph" w:customStyle="1" w:styleId="11">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12">
    <w:name w:val="Body Text Indent"/>
    <w:basedOn w:val="1"/>
    <w:next w:val="13"/>
    <w:autoRedefine/>
    <w:qFormat/>
    <w:uiPriority w:val="0"/>
    <w:pPr>
      <w:spacing w:after="120"/>
      <w:ind w:left="420" w:leftChars="200"/>
    </w:pPr>
  </w:style>
  <w:style w:type="paragraph" w:styleId="13">
    <w:name w:val="envelope return"/>
    <w:basedOn w:val="1"/>
    <w:autoRedefine/>
    <w:qFormat/>
    <w:uiPriority w:val="0"/>
    <w:pPr>
      <w:snapToGrid w:val="0"/>
    </w:pPr>
    <w:rPr>
      <w:rFonts w:ascii="Arial" w:hAnsi="Arial" w:eastAsia="宋体" w:cs="Times New Roman"/>
    </w:rPr>
  </w:style>
  <w:style w:type="paragraph" w:styleId="14">
    <w:name w:val="List 2"/>
    <w:basedOn w:val="1"/>
    <w:autoRedefine/>
    <w:qFormat/>
    <w:uiPriority w:val="0"/>
    <w:pPr>
      <w:ind w:left="100" w:leftChars="200" w:hanging="200" w:hangingChars="200"/>
    </w:pPr>
  </w:style>
  <w:style w:type="paragraph" w:styleId="15">
    <w:name w:val="List Continue"/>
    <w:basedOn w:val="1"/>
    <w:autoRedefine/>
    <w:qFormat/>
    <w:uiPriority w:val="0"/>
    <w:pPr>
      <w:spacing w:after="120"/>
      <w:ind w:left="420"/>
    </w:pPr>
    <w:rPr>
      <w:rFonts w:eastAsia="楷体_GB2312"/>
      <w:sz w:val="32"/>
      <w:szCs w:val="20"/>
    </w:rPr>
  </w:style>
  <w:style w:type="paragraph" w:styleId="16">
    <w:name w:val="toc 3"/>
    <w:basedOn w:val="1"/>
    <w:next w:val="1"/>
    <w:autoRedefine/>
    <w:qFormat/>
    <w:uiPriority w:val="39"/>
    <w:pPr>
      <w:ind w:left="840" w:leftChars="400"/>
    </w:pPr>
  </w:style>
  <w:style w:type="paragraph" w:styleId="17">
    <w:name w:val="Plain Text"/>
    <w:basedOn w:val="1"/>
    <w:autoRedefine/>
    <w:qFormat/>
    <w:uiPriority w:val="0"/>
    <w:rPr>
      <w:rFonts w:ascii="宋体" w:hAnsi="Courier New" w:cs="Courier New"/>
      <w:szCs w:val="21"/>
    </w:rPr>
  </w:style>
  <w:style w:type="paragraph" w:styleId="18">
    <w:name w:val="Date"/>
    <w:basedOn w:val="1"/>
    <w:next w:val="1"/>
    <w:autoRedefine/>
    <w:qFormat/>
    <w:uiPriority w:val="0"/>
    <w:pPr>
      <w:adjustRightInd w:val="0"/>
      <w:spacing w:line="360" w:lineRule="atLeast"/>
      <w:textAlignment w:val="baseline"/>
    </w:pPr>
    <w:rPr>
      <w:kern w:val="0"/>
      <w:sz w:val="28"/>
      <w:szCs w:val="20"/>
    </w:rPr>
  </w:style>
  <w:style w:type="paragraph" w:styleId="19">
    <w:name w:val="footer"/>
    <w:basedOn w:val="20"/>
    <w:autoRedefine/>
    <w:qFormat/>
    <w:uiPriority w:val="99"/>
    <w:pPr>
      <w:tabs>
        <w:tab w:val="center" w:pos="4153"/>
        <w:tab w:val="center" w:pos="4320"/>
        <w:tab w:val="right" w:pos="8306"/>
        <w:tab w:val="right" w:pos="8640"/>
      </w:tabs>
      <w:snapToGrid w:val="0"/>
      <w:jc w:val="left"/>
    </w:pPr>
    <w:rPr>
      <w:sz w:val="18"/>
      <w:szCs w:val="18"/>
    </w:rPr>
  </w:style>
  <w:style w:type="paragraph" w:customStyle="1" w:styleId="20">
    <w:name w:val="Header Base"/>
    <w:basedOn w:val="1"/>
    <w:autoRedefine/>
    <w:qFormat/>
    <w:uiPriority w:val="0"/>
    <w:pPr>
      <w:keepLines/>
      <w:tabs>
        <w:tab w:val="center" w:pos="4320"/>
        <w:tab w:val="right" w:pos="8640"/>
      </w:tabs>
    </w:pPr>
    <w:rPr>
      <w:rFonts w:ascii="Times New Roman" w:hAnsi="Times New Roman" w:eastAsia="宋体" w:cs="Times New Roman"/>
    </w:rPr>
  </w:style>
  <w:style w:type="paragraph" w:styleId="2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qFormat/>
    <w:uiPriority w:val="39"/>
    <w:pPr>
      <w:tabs>
        <w:tab w:val="right" w:leader="dot" w:pos="8460"/>
      </w:tabs>
    </w:pPr>
  </w:style>
  <w:style w:type="paragraph" w:styleId="23">
    <w:name w:val="footnote text"/>
    <w:basedOn w:val="1"/>
    <w:autoRedefine/>
    <w:qFormat/>
    <w:uiPriority w:val="99"/>
    <w:rPr>
      <w:sz w:val="20"/>
      <w:szCs w:val="20"/>
    </w:rPr>
  </w:style>
  <w:style w:type="paragraph" w:styleId="24">
    <w:name w:val="List 5"/>
    <w:basedOn w:val="1"/>
    <w:autoRedefine/>
    <w:qFormat/>
    <w:uiPriority w:val="0"/>
    <w:pPr>
      <w:ind w:left="2100" w:hanging="420"/>
    </w:pPr>
    <w:rPr>
      <w:rFonts w:eastAsia="楷体_GB2312"/>
      <w:sz w:val="32"/>
      <w:szCs w:val="20"/>
    </w:rPr>
  </w:style>
  <w:style w:type="paragraph" w:styleId="25">
    <w:name w:val="toc 2"/>
    <w:basedOn w:val="1"/>
    <w:next w:val="1"/>
    <w:autoRedefine/>
    <w:qFormat/>
    <w:uiPriority w:val="39"/>
    <w:pPr>
      <w:ind w:left="420" w:leftChars="200"/>
    </w:pPr>
  </w:style>
  <w:style w:type="paragraph" w:styleId="26">
    <w:name w:val="Normal (Web)"/>
    <w:basedOn w:val="1"/>
    <w:next w:val="17"/>
    <w:autoRedefine/>
    <w:qFormat/>
    <w:uiPriority w:val="0"/>
    <w:pPr>
      <w:spacing w:before="100" w:beforeAutospacing="1" w:after="100" w:afterAutospacing="1"/>
      <w:ind w:left="0" w:right="0"/>
      <w:jc w:val="left"/>
    </w:pPr>
    <w:rPr>
      <w:kern w:val="0"/>
      <w:sz w:val="24"/>
      <w:lang w:val="en-US" w:eastAsia="zh-CN" w:bidi="ar"/>
    </w:rPr>
  </w:style>
  <w:style w:type="paragraph" w:styleId="27">
    <w:name w:val="Body Text First Indent"/>
    <w:basedOn w:val="9"/>
    <w:autoRedefine/>
    <w:qFormat/>
    <w:uiPriority w:val="0"/>
    <w:pPr>
      <w:ind w:firstLine="420"/>
    </w:pPr>
    <w:rPr>
      <w:rFonts w:eastAsia="楷体_GB2312"/>
      <w:sz w:val="32"/>
      <w:szCs w:val="20"/>
    </w:rPr>
  </w:style>
  <w:style w:type="paragraph" w:styleId="28">
    <w:name w:val="Body Text First Indent 2"/>
    <w:basedOn w:val="12"/>
    <w:next w:val="1"/>
    <w:autoRedefine/>
    <w:qFormat/>
    <w:uiPriority w:val="0"/>
    <w:pPr>
      <w:ind w:firstLine="420" w:firstLineChars="200"/>
    </w:pPr>
    <w:rPr>
      <w:rFonts w:eastAsia="宋体"/>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autoRedefine/>
    <w:qFormat/>
    <w:uiPriority w:val="0"/>
    <w:rPr>
      <w:b/>
      <w:bCs/>
    </w:rPr>
  </w:style>
  <w:style w:type="character" w:styleId="33">
    <w:name w:val="page number"/>
    <w:basedOn w:val="31"/>
    <w:autoRedefine/>
    <w:qFormat/>
    <w:uiPriority w:val="0"/>
  </w:style>
  <w:style w:type="paragraph" w:customStyle="1" w:styleId="34">
    <w:name w:val="Default"/>
    <w:basedOn w:val="17"/>
    <w:next w:val="35"/>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5">
    <w:name w:val="大标题"/>
    <w:basedOn w:val="1"/>
    <w:next w:val="28"/>
    <w:autoRedefine/>
    <w:qFormat/>
    <w:uiPriority w:val="0"/>
    <w:pPr>
      <w:jc w:val="center"/>
    </w:pPr>
    <w:rPr>
      <w:rFonts w:ascii="Arial" w:hAnsi="Arial" w:eastAsia="宋体"/>
      <w:b/>
      <w:sz w:val="28"/>
      <w:szCs w:val="24"/>
    </w:rPr>
  </w:style>
  <w:style w:type="paragraph" w:customStyle="1" w:styleId="36">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37">
    <w:name w:val="无间隔1"/>
    <w:basedOn w:val="38"/>
    <w:next w:val="7"/>
    <w:autoRedefine/>
    <w:qFormat/>
    <w:uiPriority w:val="1"/>
    <w:pPr>
      <w:spacing w:line="400" w:lineRule="exact"/>
    </w:pPr>
    <w:rPr>
      <w:sz w:val="24"/>
    </w:rPr>
  </w:style>
  <w:style w:type="paragraph" w:customStyle="1" w:styleId="38">
    <w:name w:val="正文_1"/>
    <w:next w:val="1"/>
    <w:autoRedefine/>
    <w:qFormat/>
    <w:uiPriority w:val="0"/>
    <w:pPr>
      <w:widowControl w:val="0"/>
      <w:jc w:val="both"/>
    </w:pPr>
    <w:rPr>
      <w:rFonts w:ascii="Calibri" w:hAnsi="Calibri" w:eastAsia="宋体" w:cs="Times New Roman"/>
      <w:kern w:val="2"/>
      <w:sz w:val="21"/>
      <w:szCs w:val="24"/>
      <w:lang w:val="en-US" w:eastAsia="zh-CN" w:bidi="ar-SA"/>
    </w:rPr>
  </w:style>
  <w:style w:type="character" w:customStyle="1" w:styleId="39">
    <w:name w:val="标题 1 Char"/>
    <w:link w:val="2"/>
    <w:autoRedefine/>
    <w:qFormat/>
    <w:locked/>
    <w:uiPriority w:val="0"/>
    <w:rPr>
      <w:rFonts w:ascii="Times New Roman" w:hAnsi="Times New Roman" w:eastAsia="宋体"/>
      <w:b/>
      <w:kern w:val="44"/>
      <w:sz w:val="32"/>
      <w:szCs w:val="20"/>
    </w:rPr>
  </w:style>
  <w:style w:type="paragraph" w:customStyle="1" w:styleId="40">
    <w:name w:val="表格字体-靠左"/>
    <w:basedOn w:val="41"/>
    <w:next w:val="1"/>
    <w:autoRedefine/>
    <w:qFormat/>
    <w:uiPriority w:val="0"/>
    <w:pPr>
      <w:ind w:firstLine="280" w:firstLineChars="100"/>
      <w:jc w:val="left"/>
    </w:pPr>
  </w:style>
  <w:style w:type="paragraph" w:customStyle="1" w:styleId="41">
    <w:name w:val="表格字体-居中"/>
    <w:basedOn w:val="1"/>
    <w:next w:val="1"/>
    <w:autoRedefine/>
    <w:qFormat/>
    <w:uiPriority w:val="0"/>
    <w:pPr>
      <w:spacing w:line="240" w:lineRule="auto"/>
      <w:ind w:firstLine="0" w:firstLineChars="0"/>
      <w:jc w:val="center"/>
    </w:pPr>
  </w:style>
  <w:style w:type="paragraph" w:styleId="42">
    <w:name w:val="List Paragraph"/>
    <w:basedOn w:val="1"/>
    <w:autoRedefine/>
    <w:qFormat/>
    <w:uiPriority w:val="99"/>
    <w:pPr>
      <w:ind w:firstLine="420" w:firstLineChars="200"/>
    </w:pPr>
    <w:rPr>
      <w:rFonts w:ascii="Calibri" w:hAnsi="Calibri"/>
      <w:szCs w:val="22"/>
    </w:rPr>
  </w:style>
  <w:style w:type="paragraph" w:customStyle="1" w:styleId="43">
    <w:name w:val="图文"/>
    <w:basedOn w:val="1"/>
    <w:autoRedefine/>
    <w:qFormat/>
    <w:uiPriority w:val="0"/>
    <w:pPr>
      <w:adjustRightInd w:val="0"/>
      <w:snapToGrid w:val="0"/>
      <w:spacing w:after="50" w:afterLines="0" w:line="360" w:lineRule="auto"/>
    </w:pPr>
    <w:rPr>
      <w:sz w:val="24"/>
    </w:rPr>
  </w:style>
  <w:style w:type="paragraph" w:customStyle="1" w:styleId="44">
    <w:name w:val="正文_13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xl26"/>
    <w:basedOn w:val="1"/>
    <w:autoRedefine/>
    <w:qFormat/>
    <w:uiPriority w:val="0"/>
    <w:pPr>
      <w:widowControl/>
      <w:spacing w:before="100" w:beforeAutospacing="1" w:after="100" w:afterAutospacing="1"/>
      <w:jc w:val="left"/>
    </w:pPr>
    <w:rPr>
      <w:rFonts w:hint="eastAsia" w:ascii="仿宋_GB2312" w:hAnsi="宋体" w:eastAsia="仿宋_GB2312"/>
      <w:kern w:val="0"/>
      <w:sz w:val="32"/>
      <w:szCs w:val="32"/>
    </w:rPr>
  </w:style>
  <w:style w:type="character" w:customStyle="1" w:styleId="46">
    <w:name w:val="font61"/>
    <w:basedOn w:val="31"/>
    <w:qFormat/>
    <w:uiPriority w:val="0"/>
    <w:rPr>
      <w:rFonts w:hint="eastAsia" w:ascii="宋体" w:hAnsi="宋体" w:eastAsia="宋体" w:cs="宋体"/>
      <w:color w:val="000000"/>
      <w:sz w:val="28"/>
      <w:szCs w:val="28"/>
      <w:u w:val="none"/>
    </w:rPr>
  </w:style>
  <w:style w:type="character" w:customStyle="1" w:styleId="47">
    <w:name w:val="font91"/>
    <w:basedOn w:val="31"/>
    <w:qFormat/>
    <w:uiPriority w:val="0"/>
    <w:rPr>
      <w:rFonts w:hint="eastAsia" w:ascii="宋体" w:hAnsi="宋体" w:eastAsia="宋体" w:cs="宋体"/>
      <w:color w:val="000000"/>
      <w:sz w:val="28"/>
      <w:szCs w:val="28"/>
      <w:u w:val="none"/>
    </w:rPr>
  </w:style>
  <w:style w:type="character" w:customStyle="1" w:styleId="48">
    <w:name w:val="font101"/>
    <w:basedOn w:val="31"/>
    <w:qFormat/>
    <w:uiPriority w:val="0"/>
    <w:rPr>
      <w:rFonts w:hint="eastAsia" w:ascii="宋体" w:hAnsi="宋体" w:eastAsia="宋体" w:cs="宋体"/>
      <w:color w:val="E54C5E"/>
      <w:sz w:val="28"/>
      <w:szCs w:val="28"/>
      <w:u w:val="none"/>
    </w:rPr>
  </w:style>
  <w:style w:type="character" w:customStyle="1" w:styleId="49">
    <w:name w:val="font111"/>
    <w:basedOn w:val="31"/>
    <w:qFormat/>
    <w:uiPriority w:val="0"/>
    <w:rPr>
      <w:rFonts w:ascii="Calibri" w:hAnsi="Calibri" w:cs="Calibri"/>
      <w:color w:val="E54C5E"/>
      <w:sz w:val="28"/>
      <w:szCs w:val="28"/>
      <w:u w:val="none"/>
    </w:rPr>
  </w:style>
  <w:style w:type="character" w:customStyle="1" w:styleId="50">
    <w:name w:val="font122"/>
    <w:basedOn w:val="31"/>
    <w:qFormat/>
    <w:uiPriority w:val="0"/>
    <w:rPr>
      <w:rFonts w:hint="default" w:ascii="Calibri" w:hAnsi="Calibri" w:cs="Calibri"/>
      <w:color w:val="000000"/>
      <w:sz w:val="28"/>
      <w:szCs w:val="28"/>
      <w:u w:val="none"/>
    </w:rPr>
  </w:style>
  <w:style w:type="character" w:customStyle="1" w:styleId="51">
    <w:name w:val="font51"/>
    <w:basedOn w:val="31"/>
    <w:qFormat/>
    <w:uiPriority w:val="0"/>
    <w:rPr>
      <w:rFonts w:hint="eastAsia" w:ascii="宋体" w:hAnsi="宋体" w:eastAsia="宋体" w:cs="宋体"/>
      <w:color w:val="000000"/>
      <w:sz w:val="28"/>
      <w:szCs w:val="28"/>
      <w:u w:val="none"/>
    </w:rPr>
  </w:style>
  <w:style w:type="character" w:customStyle="1" w:styleId="52">
    <w:name w:val="font81"/>
    <w:basedOn w:val="31"/>
    <w:qFormat/>
    <w:uiPriority w:val="0"/>
    <w:rPr>
      <w:rFonts w:ascii="Calibri" w:hAnsi="Calibri" w:cs="Calibri"/>
      <w:color w:val="000000"/>
      <w:sz w:val="28"/>
      <w:szCs w:val="28"/>
      <w:u w:val="none"/>
    </w:rPr>
  </w:style>
  <w:style w:type="character" w:customStyle="1" w:styleId="53">
    <w:name w:val="NormalCharacter"/>
    <w:autoRedefine/>
    <w:qFormat/>
    <w:uiPriority w:val="0"/>
    <w:rPr>
      <w:rFonts w:ascii="Times New Roman" w:hAnsi="Times New Roman" w:eastAsia="宋体" w:cs="Times New Roman"/>
      <w:kern w:val="2"/>
      <w:sz w:val="21"/>
      <w:szCs w:val="24"/>
      <w:lang w:val="en-US" w:eastAsia="zh-CN" w:bidi="ar-SA"/>
    </w:rPr>
  </w:style>
  <w:style w:type="paragraph" w:customStyle="1" w:styleId="54">
    <w:name w:val="文档正文"/>
    <w:qFormat/>
    <w:uiPriority w:val="99"/>
    <w:pPr>
      <w:widowControl w:val="0"/>
      <w:wordWrap w:val="0"/>
      <w:topLinePunct/>
      <w:adjustRightInd w:val="0"/>
      <w:spacing w:line="480" w:lineRule="atLeast"/>
      <w:ind w:firstLine="567"/>
      <w:jc w:val="both"/>
      <w:textAlignment w:val="baseline"/>
    </w:pPr>
    <w:rPr>
      <w:rFonts w:ascii="??_GB2312" w:hAnsi="宋体" w:eastAsia="Times New Roman" w:cs="宋体"/>
      <w:kern w:val="0"/>
      <w:sz w:val="28"/>
      <w:szCs w:val="21"/>
      <w:lang w:val="en-US" w:eastAsia="zh-CN" w:bidi="ar-SA"/>
    </w:rPr>
  </w:style>
  <w:style w:type="paragraph" w:customStyle="1" w:styleId="55">
    <w:name w:val="p0"/>
    <w:qFormat/>
    <w:uiPriority w:val="0"/>
    <w:pPr>
      <w:widowControl w:val="0"/>
      <w:spacing w:before="0" w:beforeLines="0" w:beforeAutospacing="0" w:after="0" w:afterLines="0" w:afterAutospacing="0"/>
      <w:ind w:left="0" w:right="0"/>
      <w:jc w:val="both"/>
    </w:pPr>
    <w:rPr>
      <w:rFonts w:hint="eastAsia" w:ascii="Times New Roman" w:hAnsi="Times New Roman" w:cs="Times New Roman" w:eastAsiaTheme="minorEastAsia"/>
      <w:color w:val="auto"/>
      <w:kern w:val="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115</Pages>
  <Words>112</Words>
  <Characters>112</Characters>
  <Lines>0</Lines>
  <Paragraphs>0</Paragraphs>
  <TotalTime>19</TotalTime>
  <ScaleCrop>false</ScaleCrop>
  <LinksUpToDate>false</LinksUpToDate>
  <CharactersWithSpaces>112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2024-01-01T12:33:00Z</dcterms:created>
  <dc:creator>123</dc:creator>
  <cp:lastModifiedBy>╰LY F╯</cp:lastModifiedBy>
  <cp:lastPrinted>2025-01-07T03:34:00Z</cp:lastPrinted>
  <dcterms:modified xsi:type="dcterms:W3CDTF">2026-09-23T01:48:57Z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1E72BFDF35764917A261ED45266A037D_13</vt:lpwstr>
  </property>
  <property fmtid="{D5CDD505-2E9C-101B-9397-08002B2CF9AE}" pid="4" name="KSOTemplateDocerSaveRecord">
    <vt:lpwstr>eyJoZGlkIjoiZGJmM2RmMmMyYjEwOWY0Mjc0ODI1NGZlNmNhMTU0OTciLCJ1c2VySWQiOiIyMzY3NTM3MjIifQ==</vt:lpwstr>
  </property>
</Properties>
</file>