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0FBDA">
      <w:pPr>
        <w:spacing w:line="360" w:lineRule="auto"/>
        <w:jc w:val="center"/>
        <w:rPr>
          <w:rFonts w:hint="eastAsia" w:ascii="宋体" w:hAnsi="宋体" w:eastAsia="宋体" w:cs="宋体"/>
          <w:b/>
          <w:sz w:val="48"/>
          <w:szCs w:val="48"/>
          <w:highlight w:val="none"/>
          <w:lang w:val="en-US" w:eastAsia="zh-CN"/>
        </w:rPr>
      </w:pPr>
      <w:r>
        <w:rPr>
          <w:rFonts w:hint="eastAsia" w:ascii="宋体" w:hAnsi="宋体" w:cs="宋体"/>
          <w:b/>
          <w:sz w:val="48"/>
          <w:szCs w:val="48"/>
          <w:highlight w:val="none"/>
          <w:lang w:val="en-US" w:eastAsia="zh-CN"/>
        </w:rPr>
        <w:t xml:space="preserve"> </w:t>
      </w:r>
    </w:p>
    <w:p w14:paraId="4EF16D3B">
      <w:pPr>
        <w:spacing w:line="600" w:lineRule="auto"/>
        <w:jc w:val="center"/>
        <w:outlineLvl w:val="0"/>
        <w:rPr>
          <w:rFonts w:hint="eastAsia" w:ascii="宋体" w:hAnsi="宋体" w:eastAsia="宋体" w:cs="宋体"/>
          <w:b/>
          <w:sz w:val="48"/>
          <w:szCs w:val="48"/>
          <w:highlight w:val="none"/>
          <w:lang w:eastAsia="zh-CN"/>
        </w:rPr>
      </w:pPr>
      <w:bookmarkStart w:id="184" w:name="_GoBack"/>
      <w:r>
        <w:rPr>
          <w:rFonts w:hint="eastAsia" w:ascii="宋体" w:hAnsi="宋体" w:cs="宋体"/>
          <w:b/>
          <w:sz w:val="48"/>
          <w:szCs w:val="48"/>
          <w:highlight w:val="none"/>
          <w:lang w:eastAsia="zh-CN"/>
        </w:rPr>
        <w:t>新乡医学院第一附属医院支气管镜系统、便携式支气管镜购置项目</w:t>
      </w:r>
    </w:p>
    <w:bookmarkEnd w:id="184"/>
    <w:p w14:paraId="5056D47F">
      <w:pPr>
        <w:pStyle w:val="379"/>
        <w:rPr>
          <w:rFonts w:hint="eastAsia" w:ascii="宋体" w:hAnsi="宋体" w:cs="宋体"/>
          <w:highlight w:val="none"/>
        </w:rPr>
      </w:pPr>
    </w:p>
    <w:p w14:paraId="43DCCC1F">
      <w:pPr>
        <w:spacing w:line="360" w:lineRule="auto"/>
        <w:jc w:val="center"/>
        <w:rPr>
          <w:rFonts w:hint="eastAsia" w:ascii="宋体" w:hAnsi="宋体" w:cs="宋体"/>
          <w:b/>
          <w:sz w:val="52"/>
          <w:highlight w:val="none"/>
        </w:rPr>
      </w:pPr>
    </w:p>
    <w:p w14:paraId="0267D7D0">
      <w:pPr>
        <w:spacing w:line="360" w:lineRule="auto"/>
        <w:jc w:val="center"/>
        <w:rPr>
          <w:rFonts w:hint="eastAsia" w:ascii="宋体" w:hAnsi="宋体" w:cs="宋体"/>
          <w:b/>
          <w:sz w:val="96"/>
          <w:szCs w:val="96"/>
          <w:highlight w:val="none"/>
        </w:rPr>
      </w:pPr>
      <w:r>
        <w:rPr>
          <w:rFonts w:hint="eastAsia" w:ascii="宋体" w:hAnsi="宋体" w:cs="宋体"/>
          <w:b/>
          <w:sz w:val="96"/>
          <w:szCs w:val="96"/>
          <w:highlight w:val="none"/>
        </w:rPr>
        <w:t>招 标 文 件</w:t>
      </w:r>
    </w:p>
    <w:p w14:paraId="322FCC20">
      <w:pPr>
        <w:spacing w:line="360" w:lineRule="auto"/>
        <w:jc w:val="center"/>
        <w:outlineLvl w:val="0"/>
        <w:rPr>
          <w:rFonts w:hint="eastAsia" w:ascii="宋体" w:hAnsi="宋体" w:eastAsia="宋体" w:cs="宋体"/>
          <w:b/>
          <w:sz w:val="28"/>
          <w:szCs w:val="28"/>
          <w:highlight w:val="none"/>
          <w:lang w:eastAsia="zh-CN"/>
        </w:rPr>
      </w:pPr>
      <w:r>
        <w:rPr>
          <w:rFonts w:hint="eastAsia" w:ascii="宋体" w:hAnsi="宋体" w:cs="宋体"/>
          <w:b/>
          <w:sz w:val="28"/>
          <w:szCs w:val="28"/>
          <w:highlight w:val="none"/>
        </w:rPr>
        <w:t>项目编号：</w:t>
      </w:r>
      <w:r>
        <w:rPr>
          <w:rFonts w:hint="eastAsia" w:ascii="宋体" w:hAnsi="宋体" w:cs="宋体"/>
          <w:b/>
          <w:sz w:val="28"/>
          <w:szCs w:val="28"/>
          <w:highlight w:val="none"/>
          <w:lang w:eastAsia="zh-CN"/>
        </w:rPr>
        <w:t>豫财招标采购-2025-502</w:t>
      </w:r>
    </w:p>
    <w:p w14:paraId="289C69E6">
      <w:pPr>
        <w:spacing w:line="360" w:lineRule="auto"/>
        <w:jc w:val="center"/>
        <w:outlineLvl w:val="0"/>
        <w:rPr>
          <w:rFonts w:hint="eastAsia" w:ascii="宋体" w:hAnsi="宋体" w:cs="宋体"/>
          <w:b/>
          <w:sz w:val="32"/>
          <w:szCs w:val="32"/>
          <w:highlight w:val="none"/>
        </w:rPr>
      </w:pPr>
    </w:p>
    <w:p w14:paraId="69FDCD28">
      <w:pPr>
        <w:pStyle w:val="101"/>
        <w:rPr>
          <w:rFonts w:hint="eastAsia" w:ascii="宋体" w:hAnsi="宋体" w:cs="宋体"/>
          <w:b/>
          <w:sz w:val="32"/>
          <w:szCs w:val="32"/>
          <w:highlight w:val="none"/>
        </w:rPr>
      </w:pPr>
    </w:p>
    <w:p w14:paraId="3939B5DE">
      <w:pPr>
        <w:pStyle w:val="101"/>
        <w:rPr>
          <w:rFonts w:hint="eastAsia" w:ascii="宋体" w:hAnsi="宋体" w:cs="宋体"/>
          <w:b/>
          <w:sz w:val="32"/>
          <w:szCs w:val="32"/>
          <w:highlight w:val="none"/>
        </w:rPr>
      </w:pPr>
      <w:r>
        <w:rPr>
          <w:rFonts w:hint="eastAsia" w:ascii="仿宋" w:hAnsi="仿宋" w:eastAsia="仿宋" w:cs="仿宋"/>
          <w:color w:val="auto"/>
          <w:sz w:val="32"/>
          <w:szCs w:val="32"/>
          <w:highlight w:val="none"/>
          <w:lang w:eastAsia="zh-CN"/>
        </w:rPr>
        <w:drawing>
          <wp:anchor distT="0" distB="0" distL="114300" distR="114300" simplePos="0" relativeHeight="251659264" behindDoc="1" locked="0" layoutInCell="1" allowOverlap="1">
            <wp:simplePos x="0" y="0"/>
            <wp:positionH relativeFrom="column">
              <wp:posOffset>1915160</wp:posOffset>
            </wp:positionH>
            <wp:positionV relativeFrom="paragraph">
              <wp:posOffset>158115</wp:posOffset>
            </wp:positionV>
            <wp:extent cx="1741170" cy="1504950"/>
            <wp:effectExtent l="0" t="0" r="11430" b="0"/>
            <wp:wrapNone/>
            <wp:docPr id="1" name="图片 1" descr="eadf27d3b79edcb6df176dba897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adf27d3b79edcb6df176dba897a160"/>
                    <pic:cNvPicPr>
                      <a:picLocks noChangeAspect="1"/>
                    </pic:cNvPicPr>
                  </pic:nvPicPr>
                  <pic:blipFill>
                    <a:blip r:embed="rId17"/>
                    <a:stretch>
                      <a:fillRect/>
                    </a:stretch>
                  </pic:blipFill>
                  <pic:spPr>
                    <a:xfrm>
                      <a:off x="0" y="0"/>
                      <a:ext cx="1741170" cy="1504950"/>
                    </a:xfrm>
                    <a:prstGeom prst="rect">
                      <a:avLst/>
                    </a:prstGeom>
                    <a:noFill/>
                    <a:ln>
                      <a:noFill/>
                    </a:ln>
                  </pic:spPr>
                </pic:pic>
              </a:graphicData>
            </a:graphic>
          </wp:anchor>
        </w:drawing>
      </w:r>
    </w:p>
    <w:p w14:paraId="120B7CAB">
      <w:pPr>
        <w:pStyle w:val="101"/>
        <w:rPr>
          <w:rFonts w:hint="eastAsia" w:ascii="宋体" w:hAnsi="宋体" w:cs="宋体"/>
          <w:b/>
          <w:sz w:val="32"/>
          <w:szCs w:val="32"/>
          <w:highlight w:val="none"/>
        </w:rPr>
      </w:pPr>
    </w:p>
    <w:p w14:paraId="3F683B5B">
      <w:pPr>
        <w:pStyle w:val="101"/>
        <w:rPr>
          <w:rFonts w:hint="eastAsia" w:ascii="宋体" w:hAnsi="宋体" w:cs="宋体"/>
          <w:b/>
          <w:sz w:val="32"/>
          <w:szCs w:val="32"/>
          <w:highlight w:val="none"/>
        </w:rPr>
      </w:pPr>
    </w:p>
    <w:p w14:paraId="71FC0DEC">
      <w:pPr>
        <w:pStyle w:val="101"/>
        <w:rPr>
          <w:rFonts w:hint="eastAsia" w:ascii="宋体" w:hAnsi="宋体" w:cs="宋体"/>
          <w:b/>
          <w:sz w:val="32"/>
          <w:szCs w:val="32"/>
          <w:highlight w:val="none"/>
        </w:rPr>
      </w:pPr>
    </w:p>
    <w:p w14:paraId="399CA6AC">
      <w:pPr>
        <w:pStyle w:val="101"/>
        <w:rPr>
          <w:rFonts w:hint="eastAsia" w:ascii="宋体" w:hAnsi="宋体" w:cs="宋体"/>
          <w:b/>
          <w:sz w:val="32"/>
          <w:szCs w:val="32"/>
          <w:highlight w:val="none"/>
        </w:rPr>
      </w:pPr>
    </w:p>
    <w:p w14:paraId="680C57E9">
      <w:pPr>
        <w:pStyle w:val="379"/>
        <w:rPr>
          <w:rFonts w:hint="eastAsia" w:ascii="宋体" w:hAnsi="宋体" w:cs="宋体"/>
          <w:sz w:val="36"/>
          <w:szCs w:val="36"/>
          <w:highlight w:val="none"/>
        </w:rPr>
      </w:pPr>
    </w:p>
    <w:p w14:paraId="30A6DFCA">
      <w:pPr>
        <w:pStyle w:val="379"/>
        <w:rPr>
          <w:rFonts w:hint="eastAsia" w:ascii="宋体" w:hAnsi="宋体" w:cs="宋体"/>
          <w:sz w:val="36"/>
          <w:szCs w:val="36"/>
          <w:highlight w:val="none"/>
        </w:rPr>
      </w:pPr>
    </w:p>
    <w:p w14:paraId="0D619958">
      <w:pPr>
        <w:jc w:val="center"/>
        <w:outlineLvl w:val="0"/>
        <w:rPr>
          <w:rFonts w:hint="eastAsia" w:ascii="宋体" w:hAnsi="宋体" w:cs="宋体"/>
          <w:b/>
          <w:bCs/>
          <w:sz w:val="36"/>
          <w:szCs w:val="36"/>
          <w:highlight w:val="none"/>
        </w:rPr>
      </w:pPr>
      <w:bookmarkStart w:id="0" w:name="_Toc22570551"/>
      <w:bookmarkStart w:id="1" w:name="_Toc22568844"/>
      <w:bookmarkStart w:id="2" w:name="_Toc22724012"/>
      <w:bookmarkStart w:id="3" w:name="_Toc424561847"/>
      <w:bookmarkStart w:id="4" w:name="_Toc22953454"/>
      <w:bookmarkStart w:id="5" w:name="_Toc22804132"/>
      <w:bookmarkStart w:id="6" w:name="_Toc22962935"/>
      <w:bookmarkStart w:id="7" w:name="_Toc22724011"/>
      <w:bookmarkStart w:id="8" w:name="_Toc22953453"/>
      <w:bookmarkStart w:id="9" w:name="_Toc24802284"/>
      <w:bookmarkStart w:id="10" w:name="_Toc22568843"/>
      <w:bookmarkStart w:id="11" w:name="_Toc22570550"/>
      <w:bookmarkStart w:id="12" w:name="_Toc22804131"/>
      <w:bookmarkStart w:id="13" w:name="_Toc22962934"/>
    </w:p>
    <w:p w14:paraId="6E9F8E9E">
      <w:pPr>
        <w:pStyle w:val="101"/>
        <w:rPr>
          <w:rFonts w:hint="eastAsia"/>
          <w:highlight w:val="none"/>
        </w:rPr>
      </w:pPr>
    </w:p>
    <w:p w14:paraId="24EF70FB">
      <w:pPr>
        <w:jc w:val="center"/>
        <w:outlineLvl w:val="0"/>
        <w:rPr>
          <w:rFonts w:hint="eastAsia" w:ascii="宋体" w:hAnsi="宋体" w:eastAsia="宋体" w:cs="宋体"/>
          <w:b/>
          <w:bCs/>
          <w:sz w:val="36"/>
          <w:szCs w:val="36"/>
          <w:highlight w:val="none"/>
          <w:lang w:eastAsia="zh-CN"/>
        </w:rPr>
      </w:pPr>
      <w:r>
        <w:rPr>
          <w:rFonts w:hint="eastAsia" w:ascii="宋体" w:hAnsi="宋体" w:cs="宋体"/>
          <w:b/>
          <w:bCs/>
          <w:sz w:val="36"/>
          <w:szCs w:val="36"/>
          <w:highlight w:val="none"/>
        </w:rPr>
        <w:t>采购人：</w:t>
      </w:r>
      <w:r>
        <w:rPr>
          <w:rFonts w:hint="eastAsia" w:ascii="宋体" w:hAnsi="宋体" w:cs="宋体"/>
          <w:b/>
          <w:bCs/>
          <w:sz w:val="36"/>
          <w:szCs w:val="36"/>
          <w:highlight w:val="none"/>
          <w:lang w:eastAsia="zh-CN"/>
        </w:rPr>
        <w:t>新乡医学院第一附属医院</w:t>
      </w:r>
    </w:p>
    <w:p w14:paraId="10AF94D4">
      <w:pPr>
        <w:spacing w:line="360" w:lineRule="auto"/>
        <w:jc w:val="center"/>
        <w:outlineLvl w:val="0"/>
        <w:rPr>
          <w:rFonts w:hint="eastAsia" w:ascii="宋体" w:hAnsi="宋体" w:eastAsia="宋体" w:cs="宋体"/>
          <w:b/>
          <w:sz w:val="48"/>
          <w:szCs w:val="48"/>
          <w:highlight w:val="none"/>
          <w:lang w:eastAsia="zh-CN"/>
        </w:rPr>
      </w:pPr>
      <w:r>
        <w:rPr>
          <w:rFonts w:hint="eastAsia" w:ascii="宋体" w:hAnsi="宋体" w:cs="宋体"/>
          <w:b/>
          <w:bCs/>
          <w:sz w:val="36"/>
          <w:szCs w:val="36"/>
          <w:highlight w:val="none"/>
        </w:rPr>
        <w:t>采购代理机构：</w:t>
      </w:r>
      <w:r>
        <w:rPr>
          <w:rFonts w:hint="eastAsia" w:ascii="宋体" w:hAnsi="宋体" w:cs="宋体"/>
          <w:b/>
          <w:bCs/>
          <w:sz w:val="36"/>
          <w:szCs w:val="36"/>
          <w:highlight w:val="none"/>
          <w:lang w:eastAsia="zh-CN"/>
        </w:rPr>
        <w:t>大成工程咨询有限公司</w:t>
      </w:r>
    </w:p>
    <w:p w14:paraId="4CD29B25">
      <w:pPr>
        <w:jc w:val="center"/>
        <w:rPr>
          <w:rFonts w:hint="eastAsia" w:ascii="宋体" w:hAnsi="宋体" w:cs="宋体"/>
          <w:b/>
          <w:bCs/>
          <w:sz w:val="44"/>
          <w:szCs w:val="44"/>
          <w:highlight w:val="none"/>
        </w:rPr>
      </w:pPr>
      <w:r>
        <w:rPr>
          <w:rFonts w:hint="eastAsia" w:ascii="宋体" w:hAnsi="宋体" w:cs="宋体"/>
          <w:b/>
          <w:bCs/>
          <w:sz w:val="36"/>
          <w:szCs w:val="44"/>
          <w:highlight w:val="none"/>
          <w:lang w:val="en-US" w:eastAsia="zh-CN"/>
        </w:rPr>
        <w:t>二〇二五</w:t>
      </w:r>
      <w:r>
        <w:rPr>
          <w:rFonts w:hint="eastAsia" w:ascii="宋体" w:hAnsi="宋体" w:cs="宋体"/>
          <w:b/>
          <w:bCs/>
          <w:sz w:val="36"/>
          <w:szCs w:val="44"/>
          <w:highlight w:val="none"/>
        </w:rPr>
        <w:t>年</w:t>
      </w:r>
      <w:r>
        <w:rPr>
          <w:rFonts w:hint="eastAsia" w:ascii="宋体" w:hAnsi="宋体" w:cs="宋体"/>
          <w:b/>
          <w:bCs/>
          <w:color w:val="auto"/>
          <w:sz w:val="36"/>
          <w:szCs w:val="44"/>
          <w:highlight w:val="none"/>
          <w:lang w:val="en-US" w:eastAsia="zh-CN"/>
        </w:rPr>
        <w:t>七</w:t>
      </w:r>
      <w:r>
        <w:rPr>
          <w:rFonts w:hint="eastAsia" w:ascii="宋体" w:hAnsi="宋体" w:cs="宋体"/>
          <w:b/>
          <w:bCs/>
          <w:sz w:val="36"/>
          <w:szCs w:val="44"/>
          <w:highlight w:val="none"/>
        </w:rPr>
        <w:t>月</w:t>
      </w:r>
    </w:p>
    <w:p w14:paraId="40A830BA">
      <w:pPr>
        <w:rPr>
          <w:rFonts w:hint="eastAsia" w:ascii="宋体" w:hAnsi="宋体" w:cs="宋体"/>
          <w:b/>
          <w:sz w:val="44"/>
          <w:highlight w:val="none"/>
        </w:rPr>
        <w:sectPr>
          <w:pgSz w:w="11906" w:h="16838"/>
          <w:pgMar w:top="1440" w:right="1276" w:bottom="1440" w:left="1276" w:header="851" w:footer="992" w:gutter="0"/>
          <w:pgNumType w:fmt="decimal" w:start="1"/>
          <w:cols w:space="720" w:num="1"/>
          <w:titlePg/>
          <w:docGrid w:type="lines" w:linePitch="312" w:charSpace="0"/>
        </w:sectPr>
      </w:pPr>
    </w:p>
    <w:p w14:paraId="2CF92C07">
      <w:pPr>
        <w:rPr>
          <w:rFonts w:hint="eastAsia" w:ascii="宋体" w:hAnsi="宋体" w:cs="宋体"/>
          <w:b/>
          <w:sz w:val="44"/>
          <w:highlight w:val="none"/>
        </w:rPr>
      </w:pPr>
    </w:p>
    <w:p w14:paraId="681E7F35">
      <w:pPr>
        <w:jc w:val="center"/>
        <w:rPr>
          <w:rFonts w:hint="eastAsia" w:ascii="宋体" w:hAnsi="宋体" w:cs="宋体"/>
          <w:sz w:val="44"/>
          <w:highlight w:val="none"/>
        </w:rPr>
      </w:pPr>
      <w:r>
        <w:rPr>
          <w:rFonts w:hint="eastAsia" w:ascii="宋体" w:hAnsi="宋体" w:cs="宋体"/>
          <w:b/>
          <w:sz w:val="48"/>
          <w:highlight w:val="none"/>
        </w:rPr>
        <w:t>目 录</w:t>
      </w:r>
    </w:p>
    <w:p w14:paraId="01C6B785">
      <w:pPr>
        <w:pStyle w:val="69"/>
        <w:tabs>
          <w:tab w:val="right" w:leader="dot" w:pos="9354"/>
        </w:tabs>
        <w:rPr>
          <w:sz w:val="28"/>
          <w:szCs w:val="36"/>
          <w:highlight w:val="none"/>
        </w:rPr>
      </w:pPr>
      <w:r>
        <w:rPr>
          <w:rFonts w:hint="eastAsia" w:ascii="宋体" w:hAnsi="宋体" w:cs="宋体"/>
          <w:sz w:val="36"/>
          <w:szCs w:val="36"/>
          <w:highlight w:val="none"/>
        </w:rPr>
        <w:fldChar w:fldCharType="begin"/>
      </w:r>
      <w:r>
        <w:rPr>
          <w:rFonts w:hint="eastAsia" w:ascii="宋体" w:hAnsi="宋体" w:cs="宋体"/>
          <w:sz w:val="36"/>
          <w:szCs w:val="36"/>
          <w:highlight w:val="none"/>
        </w:rPr>
        <w:instrText xml:space="preserve"> TOC \o "1-3" \h \z </w:instrText>
      </w:r>
      <w:r>
        <w:rPr>
          <w:rFonts w:hint="eastAsia" w:ascii="宋体" w:hAnsi="宋体" w:cs="宋体"/>
          <w:sz w:val="36"/>
          <w:szCs w:val="36"/>
          <w:highlight w:val="none"/>
        </w:rPr>
        <w:fldChar w:fldCharType="separate"/>
      </w:r>
      <w:r>
        <w:rPr>
          <w:rFonts w:hint="eastAsia" w:ascii="宋体" w:hAnsi="宋体" w:cs="宋体"/>
          <w:sz w:val="28"/>
          <w:szCs w:val="36"/>
          <w:highlight w:val="none"/>
        </w:rPr>
        <w:fldChar w:fldCharType="begin"/>
      </w:r>
      <w:r>
        <w:rPr>
          <w:rFonts w:hint="eastAsia" w:ascii="宋体" w:hAnsi="宋体" w:cs="宋体"/>
          <w:sz w:val="28"/>
          <w:szCs w:val="36"/>
          <w:highlight w:val="none"/>
        </w:rPr>
        <w:instrText xml:space="preserve"> HYPERLINK \l _Toc30712 </w:instrText>
      </w:r>
      <w:r>
        <w:rPr>
          <w:rFonts w:hint="eastAsia" w:ascii="宋体" w:hAnsi="宋体" w:cs="宋体"/>
          <w:sz w:val="28"/>
          <w:szCs w:val="36"/>
          <w:highlight w:val="none"/>
        </w:rPr>
        <w:fldChar w:fldCharType="separate"/>
      </w:r>
      <w:r>
        <w:rPr>
          <w:rFonts w:hint="eastAsia" w:ascii="宋体" w:hAnsi="宋体" w:eastAsia="宋体" w:cs="宋体"/>
          <w:sz w:val="28"/>
          <w:szCs w:val="36"/>
          <w:highlight w:val="none"/>
        </w:rPr>
        <w:t>特 别 提 示</w:t>
      </w:r>
      <w:r>
        <w:rPr>
          <w:sz w:val="28"/>
          <w:szCs w:val="36"/>
          <w:highlight w:val="none"/>
        </w:rPr>
        <w:tab/>
      </w:r>
      <w:r>
        <w:rPr>
          <w:sz w:val="28"/>
          <w:szCs w:val="36"/>
          <w:highlight w:val="none"/>
        </w:rPr>
        <w:fldChar w:fldCharType="begin"/>
      </w:r>
      <w:r>
        <w:rPr>
          <w:sz w:val="28"/>
          <w:szCs w:val="36"/>
          <w:highlight w:val="none"/>
        </w:rPr>
        <w:instrText xml:space="preserve"> PAGEREF _Toc30712 \h </w:instrText>
      </w:r>
      <w:r>
        <w:rPr>
          <w:sz w:val="28"/>
          <w:szCs w:val="36"/>
          <w:highlight w:val="none"/>
        </w:rPr>
        <w:fldChar w:fldCharType="separate"/>
      </w:r>
      <w:r>
        <w:rPr>
          <w:sz w:val="28"/>
          <w:szCs w:val="36"/>
          <w:highlight w:val="none"/>
        </w:rPr>
        <w:t>1</w:t>
      </w:r>
      <w:r>
        <w:rPr>
          <w:sz w:val="28"/>
          <w:szCs w:val="36"/>
          <w:highlight w:val="none"/>
        </w:rPr>
        <w:fldChar w:fldCharType="end"/>
      </w:r>
      <w:r>
        <w:rPr>
          <w:rFonts w:hint="eastAsia" w:ascii="宋体" w:hAnsi="宋体" w:cs="宋体"/>
          <w:sz w:val="28"/>
          <w:szCs w:val="36"/>
          <w:highlight w:val="none"/>
        </w:rPr>
        <w:fldChar w:fldCharType="end"/>
      </w:r>
    </w:p>
    <w:p w14:paraId="4E25D5C2">
      <w:pPr>
        <w:pStyle w:val="69"/>
        <w:tabs>
          <w:tab w:val="right" w:leader="dot" w:pos="9354"/>
        </w:tabs>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_Toc19139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44"/>
          <w:highlight w:val="none"/>
        </w:rPr>
        <w:t xml:space="preserve">第一章 </w:t>
      </w:r>
      <w:r>
        <w:rPr>
          <w:rFonts w:hint="eastAsia" w:ascii="宋体" w:hAnsi="宋体" w:eastAsia="宋体" w:cs="宋体"/>
          <w:color w:val="auto"/>
          <w:sz w:val="28"/>
          <w:szCs w:val="44"/>
          <w:highlight w:val="none"/>
          <w:lang w:val="en-US" w:eastAsia="zh-CN"/>
        </w:rPr>
        <w:t>招标</w:t>
      </w:r>
      <w:r>
        <w:rPr>
          <w:rFonts w:hint="eastAsia" w:ascii="宋体" w:hAnsi="宋体" w:eastAsia="宋体" w:cs="宋体"/>
          <w:color w:val="auto"/>
          <w:sz w:val="28"/>
          <w:szCs w:val="44"/>
          <w:highlight w:val="none"/>
        </w:rPr>
        <w:t>公告</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_Toc19139 \h </w:instrText>
      </w:r>
      <w:r>
        <w:rPr>
          <w:color w:val="auto"/>
          <w:sz w:val="28"/>
          <w:szCs w:val="36"/>
          <w:highlight w:val="none"/>
        </w:rPr>
        <w:fldChar w:fldCharType="separate"/>
      </w:r>
      <w:r>
        <w:rPr>
          <w:color w:val="auto"/>
          <w:sz w:val="28"/>
          <w:szCs w:val="36"/>
          <w:highlight w:val="none"/>
        </w:rPr>
        <w:t>3</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17D8B515">
      <w:pPr>
        <w:pStyle w:val="69"/>
        <w:tabs>
          <w:tab w:val="right" w:leader="dot" w:pos="9354"/>
        </w:tabs>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_Toc3344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44"/>
          <w:highlight w:val="none"/>
        </w:rPr>
        <w:t xml:space="preserve">第二章 </w:t>
      </w:r>
      <w:r>
        <w:rPr>
          <w:rFonts w:hint="eastAsia" w:ascii="宋体" w:hAnsi="宋体" w:eastAsia="宋体" w:cs="宋体"/>
          <w:color w:val="auto"/>
          <w:sz w:val="28"/>
          <w:szCs w:val="44"/>
          <w:highlight w:val="none"/>
          <w:lang w:eastAsia="zh-CN"/>
        </w:rPr>
        <w:t>供应商须知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_Toc3344 \h </w:instrText>
      </w:r>
      <w:r>
        <w:rPr>
          <w:color w:val="auto"/>
          <w:sz w:val="28"/>
          <w:szCs w:val="36"/>
          <w:highlight w:val="none"/>
        </w:rPr>
        <w:fldChar w:fldCharType="separate"/>
      </w:r>
      <w:r>
        <w:rPr>
          <w:color w:val="auto"/>
          <w:sz w:val="28"/>
          <w:szCs w:val="36"/>
          <w:highlight w:val="none"/>
        </w:rPr>
        <w:t>3</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3A0F35E5">
      <w:pPr>
        <w:pStyle w:val="69"/>
        <w:tabs>
          <w:tab w:val="right" w:leader="dot" w:pos="9354"/>
        </w:tabs>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_Toc9995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22"/>
          <w:highlight w:val="none"/>
          <w:lang w:eastAsia="zh-CN"/>
        </w:rPr>
        <w:t>供应商须知前附表</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_Toc9995 \h </w:instrText>
      </w:r>
      <w:r>
        <w:rPr>
          <w:color w:val="auto"/>
          <w:sz w:val="28"/>
          <w:szCs w:val="36"/>
          <w:highlight w:val="none"/>
        </w:rPr>
        <w:fldChar w:fldCharType="separate"/>
      </w:r>
      <w:r>
        <w:rPr>
          <w:color w:val="auto"/>
          <w:sz w:val="28"/>
          <w:szCs w:val="36"/>
          <w:highlight w:val="none"/>
        </w:rPr>
        <w:t>8</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2B94E9D1">
      <w:pPr>
        <w:pStyle w:val="69"/>
        <w:tabs>
          <w:tab w:val="right" w:leader="dot" w:pos="9354"/>
        </w:tabs>
        <w:rPr>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_Toc17317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44"/>
          <w:highlight w:val="none"/>
        </w:rPr>
        <w:t>第三章 资格审查、</w:t>
      </w:r>
      <w:r>
        <w:rPr>
          <w:rFonts w:hint="eastAsia" w:ascii="宋体" w:hAnsi="宋体" w:eastAsia="宋体" w:cs="宋体"/>
          <w:color w:val="auto"/>
          <w:sz w:val="28"/>
          <w:szCs w:val="44"/>
          <w:highlight w:val="none"/>
          <w:lang w:val="en-US" w:eastAsia="zh-CN"/>
        </w:rPr>
        <w:t>评审办法</w:t>
      </w:r>
      <w:r>
        <w:rPr>
          <w:rFonts w:hint="eastAsia" w:ascii="宋体" w:hAnsi="宋体" w:eastAsia="宋体" w:cs="宋体"/>
          <w:color w:val="auto"/>
          <w:sz w:val="28"/>
          <w:szCs w:val="44"/>
          <w:highlight w:val="none"/>
        </w:rPr>
        <w:t>和</w:t>
      </w:r>
      <w:r>
        <w:rPr>
          <w:rFonts w:hint="eastAsia" w:ascii="宋体" w:hAnsi="宋体" w:eastAsia="宋体" w:cs="宋体"/>
          <w:color w:val="auto"/>
          <w:sz w:val="28"/>
          <w:szCs w:val="44"/>
          <w:highlight w:val="none"/>
          <w:lang w:val="en-US" w:eastAsia="zh-CN"/>
        </w:rPr>
        <w:t>标准</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_Toc17317 \h </w:instrText>
      </w:r>
      <w:r>
        <w:rPr>
          <w:color w:val="auto"/>
          <w:sz w:val="28"/>
          <w:szCs w:val="36"/>
          <w:highlight w:val="none"/>
        </w:rPr>
        <w:fldChar w:fldCharType="separate"/>
      </w:r>
      <w:r>
        <w:rPr>
          <w:color w:val="auto"/>
          <w:sz w:val="28"/>
          <w:szCs w:val="36"/>
          <w:highlight w:val="none"/>
        </w:rPr>
        <w:t>28</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4AF102AC">
      <w:pPr>
        <w:pStyle w:val="69"/>
        <w:tabs>
          <w:tab w:val="right" w:leader="dot" w:pos="9354"/>
        </w:tabs>
        <w:rPr>
          <w:sz w:val="28"/>
          <w:szCs w:val="36"/>
          <w:highlight w:val="none"/>
        </w:rPr>
      </w:pPr>
      <w:r>
        <w:rPr>
          <w:rFonts w:hint="eastAsia" w:ascii="宋体" w:hAnsi="宋体" w:eastAsia="宋体" w:cs="宋体"/>
          <w:sz w:val="28"/>
          <w:szCs w:val="36"/>
          <w:highlight w:val="none"/>
        </w:rPr>
        <w:fldChar w:fldCharType="begin"/>
      </w:r>
      <w:r>
        <w:rPr>
          <w:rFonts w:hint="eastAsia" w:ascii="宋体" w:hAnsi="宋体" w:eastAsia="宋体" w:cs="宋体"/>
          <w:sz w:val="28"/>
          <w:szCs w:val="36"/>
          <w:highlight w:val="none"/>
        </w:rPr>
        <w:instrText xml:space="preserve"> HYPERLINK \l _Toc18085 </w:instrText>
      </w:r>
      <w:r>
        <w:rPr>
          <w:rFonts w:hint="eastAsia" w:ascii="宋体" w:hAnsi="宋体" w:eastAsia="宋体" w:cs="宋体"/>
          <w:sz w:val="28"/>
          <w:szCs w:val="36"/>
          <w:highlight w:val="none"/>
        </w:rPr>
        <w:fldChar w:fldCharType="separate"/>
      </w:r>
      <w:r>
        <w:rPr>
          <w:rFonts w:hint="eastAsia" w:ascii="宋体" w:hAnsi="宋体" w:eastAsia="宋体" w:cs="宋体"/>
          <w:sz w:val="28"/>
          <w:szCs w:val="44"/>
          <w:highlight w:val="none"/>
        </w:rPr>
        <w:t>第四章 合同条款及格式</w:t>
      </w:r>
      <w:r>
        <w:rPr>
          <w:sz w:val="28"/>
          <w:szCs w:val="36"/>
          <w:highlight w:val="none"/>
        </w:rPr>
        <w:tab/>
      </w:r>
      <w:r>
        <w:rPr>
          <w:sz w:val="28"/>
          <w:szCs w:val="36"/>
          <w:highlight w:val="none"/>
        </w:rPr>
        <w:fldChar w:fldCharType="begin"/>
      </w:r>
      <w:r>
        <w:rPr>
          <w:sz w:val="28"/>
          <w:szCs w:val="36"/>
          <w:highlight w:val="none"/>
        </w:rPr>
        <w:instrText xml:space="preserve"> PAGEREF _Toc18085 \h </w:instrText>
      </w:r>
      <w:r>
        <w:rPr>
          <w:sz w:val="28"/>
          <w:szCs w:val="36"/>
          <w:highlight w:val="none"/>
        </w:rPr>
        <w:fldChar w:fldCharType="separate"/>
      </w:r>
      <w:r>
        <w:rPr>
          <w:sz w:val="28"/>
          <w:szCs w:val="36"/>
          <w:highlight w:val="none"/>
        </w:rPr>
        <w:t>38</w:t>
      </w:r>
      <w:r>
        <w:rPr>
          <w:sz w:val="28"/>
          <w:szCs w:val="36"/>
          <w:highlight w:val="none"/>
        </w:rPr>
        <w:fldChar w:fldCharType="end"/>
      </w:r>
      <w:r>
        <w:rPr>
          <w:rFonts w:hint="eastAsia" w:ascii="宋体" w:hAnsi="宋体" w:eastAsia="宋体" w:cs="宋体"/>
          <w:sz w:val="28"/>
          <w:szCs w:val="36"/>
          <w:highlight w:val="none"/>
        </w:rPr>
        <w:fldChar w:fldCharType="end"/>
      </w:r>
    </w:p>
    <w:p w14:paraId="1EA7D218">
      <w:pPr>
        <w:pStyle w:val="69"/>
        <w:tabs>
          <w:tab w:val="right" w:leader="dot" w:pos="9354"/>
        </w:tabs>
        <w:rPr>
          <w:sz w:val="28"/>
          <w:szCs w:val="36"/>
          <w:highlight w:val="none"/>
        </w:rPr>
      </w:pPr>
      <w:r>
        <w:rPr>
          <w:rFonts w:hint="eastAsia" w:ascii="宋体" w:hAnsi="宋体" w:eastAsia="宋体" w:cs="宋体"/>
          <w:sz w:val="28"/>
          <w:szCs w:val="36"/>
          <w:highlight w:val="none"/>
        </w:rPr>
        <w:fldChar w:fldCharType="begin"/>
      </w:r>
      <w:r>
        <w:rPr>
          <w:rFonts w:hint="eastAsia" w:ascii="宋体" w:hAnsi="宋体" w:eastAsia="宋体" w:cs="宋体"/>
          <w:sz w:val="28"/>
          <w:szCs w:val="36"/>
          <w:highlight w:val="none"/>
        </w:rPr>
        <w:instrText xml:space="preserve"> HYPERLINK \l _Toc13880 </w:instrText>
      </w:r>
      <w:r>
        <w:rPr>
          <w:rFonts w:hint="eastAsia" w:ascii="宋体" w:hAnsi="宋体" w:eastAsia="宋体" w:cs="宋体"/>
          <w:sz w:val="28"/>
          <w:szCs w:val="36"/>
          <w:highlight w:val="none"/>
        </w:rPr>
        <w:fldChar w:fldCharType="separate"/>
      </w:r>
      <w:r>
        <w:rPr>
          <w:rFonts w:hint="eastAsia" w:ascii="宋体" w:hAnsi="宋体" w:eastAsia="宋体" w:cs="宋体"/>
          <w:sz w:val="28"/>
          <w:szCs w:val="44"/>
          <w:highlight w:val="none"/>
        </w:rPr>
        <w:t xml:space="preserve">第五章 </w:t>
      </w:r>
      <w:r>
        <w:rPr>
          <w:rFonts w:hint="eastAsia" w:ascii="宋体" w:hAnsi="宋体" w:eastAsia="宋体" w:cs="宋体"/>
          <w:sz w:val="28"/>
          <w:szCs w:val="44"/>
          <w:highlight w:val="none"/>
          <w:lang w:val="en-US" w:eastAsia="zh-CN"/>
        </w:rPr>
        <w:t>采购</w:t>
      </w:r>
      <w:r>
        <w:rPr>
          <w:rFonts w:hint="eastAsia" w:ascii="宋体" w:hAnsi="宋体" w:eastAsia="宋体" w:cs="宋体"/>
          <w:sz w:val="28"/>
          <w:szCs w:val="44"/>
          <w:highlight w:val="none"/>
        </w:rPr>
        <w:t>需求</w:t>
      </w:r>
      <w:r>
        <w:rPr>
          <w:sz w:val="28"/>
          <w:szCs w:val="36"/>
          <w:highlight w:val="none"/>
        </w:rPr>
        <w:tab/>
      </w:r>
      <w:r>
        <w:rPr>
          <w:sz w:val="28"/>
          <w:szCs w:val="36"/>
          <w:highlight w:val="none"/>
        </w:rPr>
        <w:fldChar w:fldCharType="begin"/>
      </w:r>
      <w:r>
        <w:rPr>
          <w:sz w:val="28"/>
          <w:szCs w:val="36"/>
          <w:highlight w:val="none"/>
        </w:rPr>
        <w:instrText xml:space="preserve"> PAGEREF _Toc13880 \h </w:instrText>
      </w:r>
      <w:r>
        <w:rPr>
          <w:sz w:val="28"/>
          <w:szCs w:val="36"/>
          <w:highlight w:val="none"/>
        </w:rPr>
        <w:fldChar w:fldCharType="separate"/>
      </w:r>
      <w:r>
        <w:rPr>
          <w:sz w:val="28"/>
          <w:szCs w:val="36"/>
          <w:highlight w:val="none"/>
        </w:rPr>
        <w:t>56</w:t>
      </w:r>
      <w:r>
        <w:rPr>
          <w:sz w:val="28"/>
          <w:szCs w:val="36"/>
          <w:highlight w:val="none"/>
        </w:rPr>
        <w:fldChar w:fldCharType="end"/>
      </w:r>
      <w:r>
        <w:rPr>
          <w:rFonts w:hint="eastAsia" w:ascii="宋体" w:hAnsi="宋体" w:eastAsia="宋体" w:cs="宋体"/>
          <w:sz w:val="28"/>
          <w:szCs w:val="36"/>
          <w:highlight w:val="none"/>
        </w:rPr>
        <w:fldChar w:fldCharType="end"/>
      </w:r>
    </w:p>
    <w:p w14:paraId="118D9F62">
      <w:pPr>
        <w:pStyle w:val="69"/>
        <w:tabs>
          <w:tab w:val="right" w:leader="dot" w:pos="9354"/>
        </w:tabs>
        <w:rPr>
          <w:rFonts w:hint="eastAsia" w:eastAsia="宋体"/>
          <w:sz w:val="28"/>
          <w:szCs w:val="36"/>
          <w:highlight w:val="none"/>
          <w:lang w:val="en-US" w:eastAsia="zh-CN"/>
        </w:rPr>
      </w:pPr>
      <w:r>
        <w:rPr>
          <w:rFonts w:hint="eastAsia" w:ascii="宋体" w:hAnsi="宋体" w:eastAsia="宋体" w:cs="宋体"/>
          <w:sz w:val="28"/>
          <w:szCs w:val="36"/>
          <w:highlight w:val="none"/>
        </w:rPr>
        <w:fldChar w:fldCharType="begin"/>
      </w:r>
      <w:r>
        <w:rPr>
          <w:rFonts w:hint="eastAsia" w:ascii="宋体" w:hAnsi="宋体" w:eastAsia="宋体" w:cs="宋体"/>
          <w:sz w:val="28"/>
          <w:szCs w:val="36"/>
          <w:highlight w:val="none"/>
        </w:rPr>
        <w:instrText xml:space="preserve"> HYPERLINK \l _Toc23426 </w:instrText>
      </w:r>
      <w:r>
        <w:rPr>
          <w:rFonts w:hint="eastAsia" w:ascii="宋体" w:hAnsi="宋体" w:eastAsia="宋体" w:cs="宋体"/>
          <w:sz w:val="28"/>
          <w:szCs w:val="36"/>
          <w:highlight w:val="none"/>
        </w:rPr>
        <w:fldChar w:fldCharType="separate"/>
      </w:r>
      <w:r>
        <w:rPr>
          <w:rFonts w:hint="eastAsia" w:ascii="宋体" w:hAnsi="宋体" w:eastAsia="宋体" w:cs="宋体"/>
          <w:sz w:val="28"/>
          <w:szCs w:val="44"/>
          <w:highlight w:val="none"/>
        </w:rPr>
        <w:t>第六章 投标文件</w:t>
      </w:r>
      <w:r>
        <w:rPr>
          <w:rFonts w:hint="eastAsia" w:ascii="宋体" w:hAnsi="宋体" w:eastAsia="宋体" w:cs="宋体"/>
          <w:sz w:val="28"/>
          <w:szCs w:val="44"/>
          <w:highlight w:val="none"/>
          <w:lang w:val="en-US" w:eastAsia="zh-CN"/>
        </w:rPr>
        <w:t>格式</w:t>
      </w:r>
      <w:r>
        <w:rPr>
          <w:sz w:val="28"/>
          <w:szCs w:val="36"/>
          <w:highlight w:val="none"/>
        </w:rPr>
        <w:tab/>
      </w:r>
      <w:r>
        <w:rPr>
          <w:rFonts w:hint="eastAsia"/>
          <w:sz w:val="28"/>
          <w:szCs w:val="36"/>
          <w:highlight w:val="none"/>
          <w:lang w:val="en-US" w:eastAsia="zh-CN"/>
        </w:rPr>
        <w:t>6</w:t>
      </w:r>
      <w:r>
        <w:rPr>
          <w:rFonts w:hint="eastAsia" w:ascii="宋体" w:hAnsi="宋体" w:eastAsia="宋体" w:cs="宋体"/>
          <w:sz w:val="28"/>
          <w:szCs w:val="36"/>
          <w:highlight w:val="none"/>
        </w:rPr>
        <w:fldChar w:fldCharType="end"/>
      </w:r>
      <w:r>
        <w:rPr>
          <w:rFonts w:hint="eastAsia" w:ascii="宋体" w:hAnsi="宋体" w:cs="宋体"/>
          <w:sz w:val="28"/>
          <w:szCs w:val="36"/>
          <w:highlight w:val="none"/>
          <w:lang w:val="en-US" w:eastAsia="zh-CN"/>
        </w:rPr>
        <w:t>7</w:t>
      </w:r>
    </w:p>
    <w:p w14:paraId="783429AB">
      <w:pPr>
        <w:pStyle w:val="3"/>
        <w:numPr>
          <w:ilvl w:val="0"/>
          <w:numId w:val="0"/>
        </w:numPr>
        <w:tabs>
          <w:tab w:val="left" w:pos="3960"/>
        </w:tabs>
        <w:spacing w:line="360" w:lineRule="auto"/>
        <w:ind w:left="2940"/>
        <w:outlineLvl w:val="9"/>
        <w:rPr>
          <w:rFonts w:hint="eastAsia" w:ascii="宋体" w:hAnsi="宋体" w:eastAsia="宋体" w:cs="宋体"/>
          <w:sz w:val="24"/>
          <w:highlight w:val="none"/>
        </w:rPr>
        <w:sectPr>
          <w:footerReference r:id="rId4" w:type="first"/>
          <w:footerReference r:id="rId3" w:type="default"/>
          <w:pgSz w:w="11906" w:h="16838"/>
          <w:pgMar w:top="1440" w:right="1276" w:bottom="1440" w:left="1276" w:header="851" w:footer="992" w:gutter="0"/>
          <w:pgNumType w:fmt="upperRoman" w:start="1"/>
          <w:cols w:space="720" w:num="1"/>
          <w:docGrid w:type="lines" w:linePitch="312" w:charSpace="0"/>
        </w:sectPr>
      </w:pPr>
      <w:r>
        <w:rPr>
          <w:rFonts w:hint="eastAsia" w:ascii="宋体" w:hAnsi="宋体" w:eastAsia="宋体" w:cs="宋体"/>
          <w:sz w:val="56"/>
          <w:szCs w:val="24"/>
          <w:highlight w:val="none"/>
        </w:rPr>
        <w:fldChar w:fldCharType="end"/>
      </w:r>
      <w:bookmarkStart w:id="14" w:name="_Toc364329280"/>
    </w:p>
    <w:p w14:paraId="56D6FCA7">
      <w:pPr>
        <w:pStyle w:val="4"/>
        <w:numPr>
          <w:ilvl w:val="0"/>
          <w:numId w:val="0"/>
        </w:numPr>
        <w:jc w:val="center"/>
        <w:outlineLvl w:val="0"/>
        <w:rPr>
          <w:rFonts w:hint="eastAsia" w:ascii="宋体" w:hAnsi="宋体" w:eastAsia="宋体" w:cs="宋体"/>
          <w:highlight w:val="none"/>
        </w:rPr>
      </w:pPr>
      <w:bookmarkStart w:id="15" w:name="_Toc30712"/>
      <w:r>
        <w:rPr>
          <w:rFonts w:hint="eastAsia" w:ascii="宋体" w:hAnsi="宋体" w:eastAsia="宋体" w:cs="宋体"/>
          <w:highlight w:val="none"/>
        </w:rPr>
        <w:t>特 别 提 示</w:t>
      </w:r>
      <w:bookmarkEnd w:id="14"/>
      <w:bookmarkEnd w:id="15"/>
    </w:p>
    <w:p w14:paraId="19A4410B">
      <w:pPr>
        <w:spacing w:line="440" w:lineRule="exact"/>
        <w:ind w:firstLine="480" w:firstLineChars="200"/>
        <w:outlineLvl w:val="1"/>
        <w:rPr>
          <w:rFonts w:hint="eastAsia" w:ascii="宋体" w:hAnsi="宋体" w:cs="宋体"/>
          <w:b/>
          <w:bCs/>
          <w:sz w:val="24"/>
          <w:highlight w:val="none"/>
        </w:rPr>
      </w:pPr>
      <w:bookmarkStart w:id="16" w:name="_Toc22804073"/>
      <w:bookmarkStart w:id="17" w:name="_Toc22953395"/>
      <w:bookmarkStart w:id="18" w:name="_Toc22962876"/>
      <w:r>
        <w:rPr>
          <w:rFonts w:hint="eastAsia" w:ascii="宋体" w:hAnsi="宋体" w:cs="宋体"/>
          <w:b/>
          <w:bCs/>
          <w:sz w:val="24"/>
          <w:highlight w:val="none"/>
        </w:rPr>
        <w:t>1、</w:t>
      </w:r>
      <w:r>
        <w:rPr>
          <w:rFonts w:hint="eastAsia" w:ascii="宋体" w:hAnsi="宋体" w:cs="宋体"/>
          <w:b/>
          <w:bCs/>
          <w:sz w:val="24"/>
          <w:highlight w:val="none"/>
          <w:lang w:eastAsia="zh-CN"/>
        </w:rPr>
        <w:t>供应商</w:t>
      </w:r>
      <w:r>
        <w:rPr>
          <w:rFonts w:hint="eastAsia" w:ascii="宋体" w:hAnsi="宋体" w:cs="宋体"/>
          <w:b/>
          <w:bCs/>
          <w:sz w:val="24"/>
          <w:highlight w:val="none"/>
        </w:rPr>
        <w:t>注册</w:t>
      </w:r>
    </w:p>
    <w:p w14:paraId="79865B9E">
      <w:pPr>
        <w:spacing w:line="440" w:lineRule="exact"/>
        <w:ind w:firstLine="480" w:firstLineChars="200"/>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kern w:val="0"/>
          <w:sz w:val="24"/>
          <w:highlight w:val="none"/>
        </w:rPr>
        <w:t>首先通过“河南省公共资源交易中心（</w:t>
      </w:r>
      <w:r>
        <w:rPr>
          <w:rFonts w:hint="eastAsia" w:ascii="宋体" w:hAnsi="宋体" w:cs="宋体"/>
          <w:kern w:val="0"/>
          <w:sz w:val="24"/>
          <w:highlight w:val="none"/>
          <w:lang w:eastAsia="zh-CN"/>
        </w:rPr>
        <w:t xml:space="preserve">http://hnsggzyjy.henan.gov.cn/ </w:t>
      </w:r>
      <w:r>
        <w:rPr>
          <w:rFonts w:hint="eastAsia" w:ascii="宋体" w:hAnsi="宋体" w:cs="宋体"/>
          <w:kern w:val="0"/>
          <w:sz w:val="24"/>
          <w:highlight w:val="none"/>
        </w:rPr>
        <w:t>）”网站进行注册，然后按网站公共服务（办事指南及下载专区）公共资源项目CA办理流程准备齐注册资料，办理CA数字证书及电子签章</w:t>
      </w:r>
      <w:r>
        <w:rPr>
          <w:rFonts w:hint="eastAsia" w:ascii="宋体" w:hAnsi="宋体" w:cs="宋体"/>
          <w:sz w:val="24"/>
          <w:highlight w:val="none"/>
        </w:rPr>
        <w:t>。</w:t>
      </w:r>
    </w:p>
    <w:p w14:paraId="283D30B4">
      <w:pPr>
        <w:spacing w:line="440" w:lineRule="exact"/>
        <w:ind w:firstLine="480" w:firstLineChars="200"/>
        <w:outlineLvl w:val="1"/>
        <w:rPr>
          <w:rFonts w:hint="eastAsia" w:ascii="宋体" w:hAnsi="宋体" w:cs="宋体"/>
          <w:b/>
          <w:bCs/>
          <w:sz w:val="24"/>
          <w:highlight w:val="none"/>
        </w:rPr>
      </w:pPr>
      <w:r>
        <w:rPr>
          <w:rFonts w:hint="eastAsia" w:ascii="宋体" w:hAnsi="宋体" w:cs="宋体"/>
          <w:b/>
          <w:bCs/>
          <w:sz w:val="24"/>
          <w:highlight w:val="none"/>
        </w:rPr>
        <w:t>2、投标文件制作</w:t>
      </w:r>
    </w:p>
    <w:p w14:paraId="56DF30E6">
      <w:pPr>
        <w:spacing w:line="440" w:lineRule="exact"/>
        <w:ind w:firstLine="480" w:firstLineChars="200"/>
        <w:rPr>
          <w:rFonts w:hint="eastAsia" w:ascii="宋体" w:hAnsi="宋体" w:cs="宋体"/>
          <w:sz w:val="24"/>
          <w:highlight w:val="none"/>
        </w:rPr>
      </w:pPr>
      <w:r>
        <w:rPr>
          <w:rFonts w:hint="eastAsia" w:ascii="宋体" w:hAnsi="宋体" w:cs="宋体"/>
          <w:sz w:val="24"/>
          <w:highlight w:val="none"/>
        </w:rPr>
        <w:t>2.1、</w:t>
      </w:r>
      <w:r>
        <w:rPr>
          <w:rFonts w:hint="eastAsia" w:ascii="宋体" w:hAnsi="宋体" w:cs="宋体"/>
          <w:sz w:val="24"/>
          <w:highlight w:val="none"/>
          <w:lang w:eastAsia="zh-CN"/>
        </w:rPr>
        <w:t>供应商</w:t>
      </w:r>
      <w:r>
        <w:rPr>
          <w:rFonts w:hint="eastAsia" w:ascii="宋体" w:hAnsi="宋体" w:cs="宋体"/>
          <w:sz w:val="24"/>
          <w:highlight w:val="none"/>
        </w:rPr>
        <w:t>通过“河南省公共资源交易中心（</w:t>
      </w:r>
      <w:r>
        <w:rPr>
          <w:rFonts w:hint="eastAsia" w:ascii="宋体" w:hAnsi="宋体" w:cs="宋体"/>
          <w:iCs/>
          <w:sz w:val="24"/>
          <w:highlight w:val="none"/>
          <w:lang w:eastAsia="zh-CN"/>
        </w:rPr>
        <w:t xml:space="preserve">http://hnsggzyjy.henan.gov.cn/ </w:t>
      </w:r>
      <w:r>
        <w:rPr>
          <w:rFonts w:hint="eastAsia" w:ascii="宋体" w:hAnsi="宋体" w:cs="宋体"/>
          <w:sz w:val="24"/>
          <w:highlight w:val="none"/>
        </w:rPr>
        <w:t>）”网站公共服务（办事指南及下载专区）：下载“投标文件制作工具安装包压缩文件下载”等。</w:t>
      </w:r>
    </w:p>
    <w:p w14:paraId="555D694D">
      <w:pPr>
        <w:tabs>
          <w:tab w:val="left" w:pos="720"/>
        </w:tabs>
        <w:spacing w:line="440" w:lineRule="exact"/>
        <w:ind w:firstLine="480" w:firstLineChars="200"/>
        <w:rPr>
          <w:rFonts w:hint="eastAsia" w:ascii="宋体" w:hAnsi="宋体" w:cs="宋体"/>
          <w:sz w:val="24"/>
          <w:highlight w:val="none"/>
        </w:rPr>
      </w:pPr>
      <w:r>
        <w:rPr>
          <w:rFonts w:hint="eastAsia" w:ascii="宋体" w:hAnsi="宋体" w:cs="宋体"/>
          <w:sz w:val="24"/>
          <w:highlight w:val="none"/>
        </w:rPr>
        <w:t>2.2、</w:t>
      </w:r>
      <w:r>
        <w:rPr>
          <w:rFonts w:hint="eastAsia" w:ascii="宋体" w:hAnsi="宋体" w:cs="宋体"/>
          <w:sz w:val="24"/>
          <w:highlight w:val="none"/>
          <w:lang w:eastAsia="zh-CN"/>
        </w:rPr>
        <w:t>供应商</w:t>
      </w:r>
      <w:r>
        <w:rPr>
          <w:rFonts w:hint="eastAsia" w:ascii="宋体" w:hAnsi="宋体" w:cs="宋体"/>
          <w:sz w:val="24"/>
          <w:highlight w:val="none"/>
        </w:rPr>
        <w:t>凭CA密钥登陆,并按网上提示自行下载每个项目所含格式(.hnzf)的招标文件。</w:t>
      </w:r>
      <w:r>
        <w:rPr>
          <w:rFonts w:hint="eastAsia" w:ascii="宋体" w:hAnsi="宋体" w:cs="宋体"/>
          <w:sz w:val="24"/>
          <w:highlight w:val="none"/>
          <w:lang w:eastAsia="zh-CN"/>
        </w:rPr>
        <w:t>供应商</w:t>
      </w:r>
      <w:r>
        <w:rPr>
          <w:rFonts w:hint="eastAsia" w:ascii="宋体" w:hAnsi="宋体" w:cs="宋体"/>
          <w:sz w:val="24"/>
          <w:highlight w:val="none"/>
        </w:rPr>
        <w:t>须在</w:t>
      </w:r>
      <w:r>
        <w:rPr>
          <w:rFonts w:hint="eastAsia" w:ascii="宋体" w:hAnsi="宋体" w:cs="宋体"/>
          <w:kern w:val="0"/>
          <w:sz w:val="24"/>
          <w:highlight w:val="none"/>
          <w:lang w:val="zh-CN"/>
        </w:rPr>
        <w:t>投标文件递交截止时间</w:t>
      </w:r>
      <w:r>
        <w:rPr>
          <w:rFonts w:hint="eastAsia" w:ascii="宋体" w:hAnsi="宋体" w:cs="宋体"/>
          <w:sz w:val="24"/>
          <w:highlight w:val="none"/>
        </w:rPr>
        <w:t>前制作并提交。</w:t>
      </w:r>
    </w:p>
    <w:p w14:paraId="517A0CD9">
      <w:pPr>
        <w:tabs>
          <w:tab w:val="left" w:pos="720"/>
        </w:tabs>
        <w:spacing w:line="440" w:lineRule="exact"/>
        <w:ind w:firstLine="480" w:firstLineChars="200"/>
        <w:rPr>
          <w:rFonts w:hint="eastAsia" w:ascii="宋体" w:hAnsi="宋体" w:cs="宋体"/>
          <w:sz w:val="24"/>
          <w:highlight w:val="none"/>
        </w:rPr>
      </w:pPr>
      <w:r>
        <w:rPr>
          <w:rFonts w:hint="eastAsia" w:ascii="宋体" w:hAnsi="宋体" w:cs="宋体"/>
          <w:sz w:val="24"/>
          <w:highlight w:val="none"/>
        </w:rPr>
        <w:t>加密的电子投标文件（*.hntf 格式）,应在投标文件截止时间前通过“河南省公共资源交易中心（</w:t>
      </w:r>
      <w:r>
        <w:rPr>
          <w:rFonts w:hint="eastAsia" w:ascii="宋体" w:hAnsi="宋体" w:cs="宋体"/>
          <w:iCs/>
          <w:sz w:val="24"/>
          <w:highlight w:val="none"/>
          <w:lang w:eastAsia="zh-CN"/>
        </w:rPr>
        <w:t xml:space="preserve">http://hnsggzyjy.henan.gov.cn/ </w:t>
      </w:r>
      <w:r>
        <w:rPr>
          <w:rFonts w:hint="eastAsia" w:ascii="宋体" w:hAnsi="宋体" w:cs="宋体"/>
          <w:sz w:val="24"/>
          <w:highlight w:val="none"/>
        </w:rPr>
        <w:t>）”电子交易平台内上传。</w:t>
      </w:r>
    </w:p>
    <w:p w14:paraId="467A0609">
      <w:pPr>
        <w:spacing w:line="440" w:lineRule="exact"/>
        <w:ind w:firstLine="480" w:firstLineChars="200"/>
        <w:rPr>
          <w:rFonts w:hint="eastAsia" w:ascii="宋体" w:hAnsi="宋体" w:cs="宋体"/>
          <w:sz w:val="24"/>
          <w:highlight w:val="none"/>
        </w:rPr>
      </w:pPr>
      <w:r>
        <w:rPr>
          <w:rFonts w:hint="eastAsia" w:ascii="宋体" w:hAnsi="宋体" w:cs="宋体"/>
          <w:kern w:val="0"/>
          <w:sz w:val="24"/>
          <w:highlight w:val="none"/>
          <w:lang w:val="zh-CN"/>
        </w:rPr>
        <w:t>2.3、</w:t>
      </w:r>
      <w:r>
        <w:rPr>
          <w:rFonts w:hint="eastAsia" w:ascii="宋体" w:hAnsi="宋体" w:cs="宋体"/>
          <w:sz w:val="24"/>
          <w:highlight w:val="none"/>
        </w:rPr>
        <w:t>加密的电子投标文件为“河南省公共资源交易中心（</w:t>
      </w:r>
      <w:r>
        <w:rPr>
          <w:rFonts w:hint="eastAsia" w:ascii="宋体" w:hAnsi="宋体" w:cs="宋体"/>
          <w:iCs/>
          <w:sz w:val="24"/>
          <w:highlight w:val="none"/>
          <w:lang w:eastAsia="zh-CN"/>
        </w:rPr>
        <w:t xml:space="preserve">http://hnsggzyjy.henan.gov.cn/ </w:t>
      </w:r>
      <w:r>
        <w:rPr>
          <w:rFonts w:hint="eastAsia" w:ascii="宋体" w:hAnsi="宋体" w:cs="宋体"/>
          <w:sz w:val="24"/>
          <w:highlight w:val="none"/>
        </w:rPr>
        <w:t>）” 网站提供的“投标文件制作工具”软件制作生成的加密版投标文件。</w:t>
      </w:r>
    </w:p>
    <w:p w14:paraId="3D3110D4">
      <w:pPr>
        <w:tabs>
          <w:tab w:val="left" w:pos="720"/>
        </w:tabs>
        <w:spacing w:line="440" w:lineRule="exact"/>
        <w:ind w:firstLine="480" w:firstLineChars="200"/>
        <w:rPr>
          <w:rFonts w:hint="eastAsia" w:ascii="宋体" w:hAnsi="宋体" w:cs="宋体"/>
          <w:sz w:val="24"/>
          <w:highlight w:val="none"/>
        </w:rPr>
      </w:pPr>
      <w:r>
        <w:rPr>
          <w:rFonts w:hint="eastAsia" w:ascii="宋体" w:hAnsi="宋体" w:cs="宋体"/>
          <w:sz w:val="24"/>
          <w:highlight w:val="none"/>
        </w:rPr>
        <w:t>2.4、招标文件格式所要求包含的全部资料应全部制作在投标文件内，严格按照本项目招标文件所有格式如实填写（不涉及的内容除外），不应存在漏项或缺项，否则将存在投标文件被拒绝的风险。封面、资格审查材料、开标一览表、其他内容，须严格按照格式编辑，并作为电子开评标系统上传的依据。</w:t>
      </w:r>
    </w:p>
    <w:p w14:paraId="3F8779F8">
      <w:pPr>
        <w:spacing w:line="440" w:lineRule="exact"/>
        <w:ind w:firstLine="480" w:firstLineChars="200"/>
        <w:outlineLvl w:val="2"/>
        <w:rPr>
          <w:rFonts w:hint="eastAsia" w:ascii="宋体" w:hAnsi="宋体" w:cs="宋体"/>
          <w:sz w:val="24"/>
          <w:highlight w:val="none"/>
        </w:rPr>
      </w:pPr>
      <w:r>
        <w:rPr>
          <w:rFonts w:hint="eastAsia" w:ascii="宋体" w:hAnsi="宋体" w:cs="宋体"/>
          <w:sz w:val="24"/>
          <w:highlight w:val="none"/>
        </w:rPr>
        <w:t>2.5、投标文件以外的任何资料采购人和采购代理机构将拒收。</w:t>
      </w:r>
    </w:p>
    <w:p w14:paraId="4EC10C30">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2.6、</w:t>
      </w:r>
      <w:r>
        <w:rPr>
          <w:rFonts w:hint="eastAsia" w:ascii="宋体" w:hAnsi="宋体" w:cs="宋体"/>
          <w:sz w:val="24"/>
          <w:highlight w:val="none"/>
          <w:lang w:eastAsia="zh-CN"/>
        </w:rPr>
        <w:t>供应商</w:t>
      </w:r>
      <w:r>
        <w:rPr>
          <w:rFonts w:hint="eastAsia" w:ascii="宋体" w:hAnsi="宋体" w:cs="宋体"/>
          <w:sz w:val="24"/>
          <w:highlight w:val="none"/>
        </w:rPr>
        <w:t>编辑电子投标文件时，根据招标文件要求用法定代表人CA密钥和企业CA密钥进行签章制作；最后一步生成电子投标文件（*.hntf格式）时，只能用本单位的企业CA密钥。</w:t>
      </w:r>
    </w:p>
    <w:p w14:paraId="67D933FC">
      <w:pPr>
        <w:spacing w:line="440" w:lineRule="exact"/>
        <w:ind w:firstLine="494" w:firstLineChars="206"/>
        <w:outlineLvl w:val="1"/>
        <w:rPr>
          <w:rFonts w:hint="eastAsia" w:ascii="宋体" w:hAnsi="宋体" w:cs="宋体"/>
          <w:b/>
          <w:bCs/>
          <w:sz w:val="24"/>
          <w:highlight w:val="none"/>
        </w:rPr>
      </w:pPr>
      <w:r>
        <w:rPr>
          <w:rFonts w:hint="eastAsia" w:ascii="宋体" w:hAnsi="宋体" w:cs="宋体"/>
          <w:b/>
          <w:bCs/>
          <w:sz w:val="24"/>
          <w:highlight w:val="none"/>
        </w:rPr>
        <w:t>3、澄清与变更</w:t>
      </w:r>
    </w:p>
    <w:p w14:paraId="68D46048">
      <w:pPr>
        <w:spacing w:line="440" w:lineRule="exact"/>
        <w:ind w:firstLine="494" w:firstLineChars="206"/>
        <w:rPr>
          <w:rFonts w:hint="eastAsia" w:ascii="宋体" w:hAnsi="宋体" w:cs="宋体"/>
          <w:sz w:val="24"/>
          <w:highlight w:val="none"/>
        </w:rPr>
      </w:pPr>
      <w:r>
        <w:rPr>
          <w:rFonts w:hint="eastAsia" w:ascii="宋体" w:hAnsi="宋体" w:cs="宋体"/>
          <w:sz w:val="24"/>
          <w:highlight w:val="none"/>
        </w:rPr>
        <w:t>采购人、采购代理机构对已发出的招标文件进行的澄清、更正或更改，澄清、更正或更改的内容将作为招标文件的组成部分。采购代理机构将通过网站“变更公告”和系统内部“答疑文件”告知</w:t>
      </w:r>
      <w:r>
        <w:rPr>
          <w:rFonts w:hint="eastAsia" w:ascii="宋体" w:hAnsi="宋体" w:cs="宋体"/>
          <w:sz w:val="24"/>
          <w:highlight w:val="none"/>
          <w:lang w:eastAsia="zh-CN"/>
        </w:rPr>
        <w:t>供应商</w:t>
      </w:r>
      <w:r>
        <w:rPr>
          <w:rFonts w:hint="eastAsia" w:ascii="宋体" w:hAnsi="宋体" w:cs="宋体"/>
          <w:sz w:val="24"/>
          <w:highlight w:val="none"/>
        </w:rPr>
        <w:t>，对于各项目中已经成功报名并下载招标文件的项目</w:t>
      </w:r>
      <w:r>
        <w:rPr>
          <w:rFonts w:hint="eastAsia" w:ascii="宋体" w:hAnsi="宋体" w:cs="宋体"/>
          <w:sz w:val="24"/>
          <w:highlight w:val="none"/>
          <w:lang w:eastAsia="zh-CN"/>
        </w:rPr>
        <w:t>供应商</w:t>
      </w:r>
      <w:r>
        <w:rPr>
          <w:rFonts w:hint="eastAsia" w:ascii="宋体" w:hAnsi="宋体" w:cs="宋体"/>
          <w:sz w:val="24"/>
          <w:highlight w:val="none"/>
        </w:rPr>
        <w:t>，系统将通过第三方短信群发方式提醒</w:t>
      </w:r>
      <w:r>
        <w:rPr>
          <w:rFonts w:hint="eastAsia" w:ascii="宋体" w:hAnsi="宋体" w:cs="宋体"/>
          <w:sz w:val="24"/>
          <w:highlight w:val="none"/>
          <w:lang w:eastAsia="zh-CN"/>
        </w:rPr>
        <w:t>供应商</w:t>
      </w:r>
      <w:r>
        <w:rPr>
          <w:rFonts w:hint="eastAsia" w:ascii="宋体" w:hAnsi="宋体" w:cs="宋体"/>
          <w:sz w:val="24"/>
          <w:highlight w:val="none"/>
        </w:rPr>
        <w:t>进行查询。各</w:t>
      </w:r>
      <w:r>
        <w:rPr>
          <w:rFonts w:hint="eastAsia" w:ascii="宋体" w:hAnsi="宋体" w:cs="宋体"/>
          <w:sz w:val="24"/>
          <w:highlight w:val="none"/>
          <w:lang w:eastAsia="zh-CN"/>
        </w:rPr>
        <w:t>供应商</w:t>
      </w:r>
      <w:r>
        <w:rPr>
          <w:rFonts w:hint="eastAsia" w:ascii="宋体" w:hAnsi="宋体" w:cs="宋体"/>
          <w:sz w:val="24"/>
          <w:highlight w:val="none"/>
        </w:rPr>
        <w:t>须重新下载最新的招标文件和答疑文件，以此编制投标文件。</w:t>
      </w:r>
      <w:r>
        <w:rPr>
          <w:rFonts w:hint="eastAsia" w:ascii="宋体" w:hAnsi="宋体" w:cs="宋体"/>
          <w:sz w:val="24"/>
          <w:highlight w:val="none"/>
          <w:lang w:eastAsia="zh-CN"/>
        </w:rPr>
        <w:t>供应商</w:t>
      </w:r>
      <w:r>
        <w:rPr>
          <w:rFonts w:hint="eastAsia" w:ascii="宋体" w:hAnsi="宋体" w:cs="宋体"/>
          <w:sz w:val="24"/>
          <w:highlight w:val="none"/>
        </w:rPr>
        <w:t>注册时所留手机联系方式要保持畅通，因联系方式变更而未及时更新系统内联系方式的，将会造成收不到短信。此短信仅系友情提示，并不具有任何约束性和必要性，采购代理机构不承担</w:t>
      </w:r>
      <w:r>
        <w:rPr>
          <w:rFonts w:hint="eastAsia" w:ascii="宋体" w:hAnsi="宋体" w:cs="宋体"/>
          <w:sz w:val="24"/>
          <w:highlight w:val="none"/>
          <w:lang w:eastAsia="zh-CN"/>
        </w:rPr>
        <w:t>供应商</w:t>
      </w:r>
      <w:r>
        <w:rPr>
          <w:rFonts w:hint="eastAsia" w:ascii="宋体" w:hAnsi="宋体" w:cs="宋体"/>
          <w:sz w:val="24"/>
          <w:highlight w:val="none"/>
        </w:rPr>
        <w:t>未收到短信而引起的一切后果和法律责任。</w:t>
      </w:r>
    </w:p>
    <w:p w14:paraId="550E662C">
      <w:pPr>
        <w:spacing w:line="440" w:lineRule="exact"/>
        <w:ind w:firstLine="494" w:firstLineChars="206"/>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4、</w:t>
      </w:r>
      <w:r>
        <w:rPr>
          <w:rFonts w:hint="eastAsia" w:ascii="宋体" w:hAnsi="宋体" w:eastAsia="宋体" w:cs="宋体"/>
          <w:b/>
          <w:bCs/>
          <w:sz w:val="24"/>
          <w:highlight w:val="none"/>
        </w:rPr>
        <w:t>因河南省公共资源交易中心平台在开标前具有保密性，</w:t>
      </w:r>
      <w:r>
        <w:rPr>
          <w:rFonts w:hint="eastAsia" w:ascii="宋体" w:hAnsi="宋体" w:eastAsia="宋体" w:cs="宋体"/>
          <w:b/>
          <w:bCs/>
          <w:sz w:val="24"/>
          <w:highlight w:val="none"/>
          <w:lang w:eastAsia="zh-CN"/>
        </w:rPr>
        <w:t>供应商</w:t>
      </w:r>
      <w:r>
        <w:rPr>
          <w:rFonts w:hint="eastAsia" w:ascii="宋体" w:hAnsi="宋体" w:eastAsia="宋体" w:cs="宋体"/>
          <w:b/>
          <w:bCs/>
          <w:sz w:val="24"/>
          <w:highlight w:val="none"/>
        </w:rPr>
        <w:t>在投标文件递交截止时间前须自行查看项目进展、变更通知、澄清及回复，因</w:t>
      </w:r>
      <w:r>
        <w:rPr>
          <w:rFonts w:hint="eastAsia" w:ascii="宋体" w:hAnsi="宋体" w:eastAsia="宋体" w:cs="宋体"/>
          <w:b/>
          <w:bCs/>
          <w:sz w:val="24"/>
          <w:highlight w:val="none"/>
          <w:lang w:eastAsia="zh-CN"/>
        </w:rPr>
        <w:t>供应商</w:t>
      </w:r>
      <w:r>
        <w:rPr>
          <w:rFonts w:hint="eastAsia" w:ascii="宋体" w:hAnsi="宋体" w:eastAsia="宋体" w:cs="宋体"/>
          <w:b/>
          <w:bCs/>
          <w:sz w:val="24"/>
          <w:highlight w:val="none"/>
        </w:rPr>
        <w:t>未及时查看而造成的后果自负。</w:t>
      </w:r>
    </w:p>
    <w:p w14:paraId="686799A0">
      <w:pPr>
        <w:spacing w:line="440" w:lineRule="exact"/>
        <w:ind w:firstLine="494" w:firstLineChars="206"/>
        <w:rPr>
          <w:rFonts w:hint="eastAsia" w:ascii="宋体" w:hAnsi="宋体" w:cs="宋体"/>
          <w:b/>
          <w:bCs/>
          <w:sz w:val="24"/>
          <w:highlight w:val="none"/>
        </w:rPr>
      </w:pPr>
      <w:r>
        <w:rPr>
          <w:rFonts w:hint="eastAsia" w:ascii="宋体" w:hAnsi="宋体" w:cs="宋体"/>
          <w:b/>
          <w:bCs/>
          <w:sz w:val="24"/>
          <w:highlight w:val="none"/>
        </w:rPr>
        <w:t>5、本项目采用“远程不见面”开标方式，不见面开标大厅网址为</w:t>
      </w:r>
      <w:r>
        <w:rPr>
          <w:rFonts w:hint="eastAsia" w:ascii="宋体" w:hAnsi="宋体" w:cs="宋体"/>
          <w:b/>
          <w:bCs/>
          <w:iCs/>
          <w:sz w:val="24"/>
          <w:highlight w:val="none"/>
          <w:lang w:eastAsia="zh-CN"/>
        </w:rPr>
        <w:t xml:space="preserve">http://hnsggzyjy.henan.gov.cn/ </w:t>
      </w:r>
      <w:r>
        <w:rPr>
          <w:rFonts w:hint="eastAsia" w:ascii="宋体" w:hAnsi="宋体" w:cs="宋体"/>
          <w:b/>
          <w:bCs/>
          <w:sz w:val="24"/>
          <w:highlight w:val="none"/>
        </w:rPr>
        <w:t>，</w:t>
      </w:r>
      <w:r>
        <w:rPr>
          <w:rFonts w:hint="eastAsia" w:ascii="宋体" w:hAnsi="宋体" w:cs="宋体"/>
          <w:b/>
          <w:bCs/>
          <w:sz w:val="24"/>
          <w:highlight w:val="none"/>
          <w:lang w:eastAsia="zh-CN"/>
        </w:rPr>
        <w:t>供应商</w:t>
      </w:r>
      <w:r>
        <w:rPr>
          <w:rFonts w:hint="eastAsia" w:ascii="宋体" w:hAnsi="宋体" w:cs="宋体"/>
          <w:b/>
          <w:bCs/>
          <w:sz w:val="24"/>
          <w:highlight w:val="none"/>
        </w:rPr>
        <w:t>无需到河南省公共资源交易中心现场参加开标会议，无需到达现场提交原件资料。</w:t>
      </w:r>
      <w:r>
        <w:rPr>
          <w:rFonts w:hint="eastAsia" w:ascii="宋体" w:hAnsi="宋体" w:cs="宋体"/>
          <w:b/>
          <w:bCs/>
          <w:sz w:val="24"/>
          <w:highlight w:val="none"/>
          <w:lang w:eastAsia="zh-CN"/>
        </w:rPr>
        <w:t>供应商</w:t>
      </w:r>
      <w:r>
        <w:rPr>
          <w:rFonts w:hint="eastAsia" w:ascii="宋体" w:hAnsi="宋体" w:cs="宋体"/>
          <w:b/>
          <w:bCs/>
          <w:sz w:val="24"/>
          <w:highlight w:val="none"/>
        </w:rPr>
        <w:t>应当在投标截止时间前，登录不见面开标大厅，在线准时参加开标活动并进行文件解密等。</w:t>
      </w:r>
    </w:p>
    <w:p w14:paraId="6BBDF2FA">
      <w:pPr>
        <w:spacing w:line="440" w:lineRule="exact"/>
        <w:ind w:firstLine="494" w:firstLineChars="206"/>
        <w:rPr>
          <w:rFonts w:hint="eastAsia" w:ascii="宋体" w:hAnsi="宋体" w:cs="宋体"/>
          <w:b/>
          <w:bCs/>
          <w:sz w:val="24"/>
          <w:highlight w:val="none"/>
        </w:rPr>
      </w:pPr>
      <w:r>
        <w:rPr>
          <w:rFonts w:hint="eastAsia" w:ascii="宋体" w:hAnsi="宋体" w:cs="宋体"/>
          <w:b/>
          <w:bCs/>
          <w:sz w:val="24"/>
          <w:highlight w:val="none"/>
        </w:rPr>
        <w:t>6、不见面服务的具体事宜请查阅河南省公共资源交易中心网站。</w:t>
      </w:r>
    </w:p>
    <w:p w14:paraId="66A494C0">
      <w:pPr>
        <w:spacing w:line="440" w:lineRule="exact"/>
        <w:ind w:firstLine="494" w:firstLineChars="206"/>
        <w:rPr>
          <w:rFonts w:hint="eastAsia" w:ascii="宋体" w:hAnsi="宋体" w:cs="宋体"/>
          <w:b/>
          <w:bCs/>
          <w:sz w:val="24"/>
          <w:highlight w:val="none"/>
        </w:rPr>
      </w:pPr>
      <w:bookmarkStart w:id="19" w:name="_Toc18648"/>
      <w:r>
        <w:rPr>
          <w:rFonts w:hint="eastAsia" w:ascii="宋体" w:hAnsi="宋体" w:cs="宋体"/>
          <w:b/>
          <w:bCs/>
          <w:sz w:val="24"/>
          <w:highlight w:val="none"/>
        </w:rPr>
        <w:t>7、投标文件制作、上传机器码一致的，投标文件无效。</w:t>
      </w:r>
      <w:bookmarkEnd w:id="19"/>
    </w:p>
    <w:bookmarkEnd w:id="16"/>
    <w:bookmarkEnd w:id="17"/>
    <w:bookmarkEnd w:id="18"/>
    <w:p w14:paraId="76D4E385">
      <w:pPr>
        <w:tabs>
          <w:tab w:val="left" w:pos="3425"/>
          <w:tab w:val="left" w:pos="3960"/>
          <w:tab w:val="left" w:pos="5410"/>
        </w:tabs>
        <w:spacing w:line="360" w:lineRule="auto"/>
        <w:rPr>
          <w:rFonts w:hint="eastAsia" w:ascii="宋体" w:hAnsi="宋体" w:cs="宋体"/>
          <w:highlight w:val="none"/>
        </w:rPr>
        <w:sectPr>
          <w:headerReference r:id="rId7" w:type="first"/>
          <w:headerReference r:id="rId5" w:type="default"/>
          <w:footerReference r:id="rId8" w:type="default"/>
          <w:headerReference r:id="rId6" w:type="even"/>
          <w:footerReference r:id="rId9" w:type="even"/>
          <w:pgSz w:w="11906" w:h="16838"/>
          <w:pgMar w:top="1701" w:right="1701" w:bottom="1701" w:left="1701" w:header="851" w:footer="851" w:gutter="0"/>
          <w:pgNumType w:fmt="decimal" w:start="1"/>
          <w:cols w:space="720" w:num="1"/>
          <w:docGrid w:type="linesAndChars" w:linePitch="312" w:charSpace="0"/>
        </w:sectPr>
      </w:pPr>
      <w:bookmarkStart w:id="20" w:name="_Toc22962877"/>
      <w:bookmarkStart w:id="21" w:name="_Toc22568788"/>
      <w:bookmarkStart w:id="22" w:name="_Toc22953396"/>
      <w:bookmarkStart w:id="23" w:name="_Toc22723955"/>
      <w:bookmarkStart w:id="24" w:name="_Toc22804074"/>
      <w:bookmarkStart w:id="25" w:name="_Toc22570495"/>
    </w:p>
    <w:p w14:paraId="715F3EBE">
      <w:pPr>
        <w:pStyle w:val="4"/>
        <w:numPr>
          <w:ilvl w:val="0"/>
          <w:numId w:val="22"/>
        </w:numPr>
        <w:ind w:left="0" w:firstLine="0"/>
        <w:outlineLvl w:val="0"/>
        <w:rPr>
          <w:rFonts w:hint="eastAsia"/>
          <w:highlight w:val="none"/>
        </w:rPr>
      </w:pPr>
      <w:bookmarkStart w:id="26" w:name="_Toc19139"/>
      <w:bookmarkStart w:id="27" w:name="_Toc11781"/>
      <w:bookmarkStart w:id="28" w:name="OLE_LINK3"/>
      <w:bookmarkStart w:id="29" w:name="OLE_LINK4"/>
      <w:r>
        <w:rPr>
          <w:rFonts w:hint="eastAsia" w:ascii="宋体" w:hAnsi="宋体" w:eastAsia="宋体" w:cs="宋体"/>
          <w:color w:val="auto"/>
          <w:szCs w:val="32"/>
          <w:highlight w:val="none"/>
          <w:lang w:val="en-US" w:eastAsia="zh-CN"/>
        </w:rPr>
        <w:t>招标</w:t>
      </w:r>
      <w:r>
        <w:rPr>
          <w:rFonts w:hint="eastAsia" w:ascii="宋体" w:hAnsi="宋体" w:eastAsia="宋体" w:cs="宋体"/>
          <w:color w:val="auto"/>
          <w:szCs w:val="32"/>
          <w:highlight w:val="none"/>
        </w:rPr>
        <w:t>公告</w:t>
      </w:r>
      <w:bookmarkEnd w:id="26"/>
      <w:bookmarkEnd w:id="27"/>
    </w:p>
    <w:bookmarkEnd w:id="20"/>
    <w:bookmarkEnd w:id="21"/>
    <w:bookmarkEnd w:id="22"/>
    <w:bookmarkEnd w:id="23"/>
    <w:bookmarkEnd w:id="24"/>
    <w:bookmarkEnd w:id="25"/>
    <w:bookmarkEnd w:id="28"/>
    <w:bookmarkEnd w:id="29"/>
    <w:p w14:paraId="1E538D77">
      <w:pPr>
        <w:pStyle w:val="75"/>
        <w:wordWrap w:val="0"/>
        <w:spacing w:before="0" w:beforeAutospacing="0" w:after="0" w:afterAutospacing="0" w:line="360" w:lineRule="auto"/>
        <w:jc w:val="center"/>
        <w:outlineLvl w:val="1"/>
        <w:rPr>
          <w:rFonts w:hint="eastAsia" w:eastAsia="宋体"/>
          <w:b/>
          <w:sz w:val="28"/>
          <w:szCs w:val="28"/>
          <w:highlight w:val="none"/>
          <w:lang w:eastAsia="zh-CN"/>
        </w:rPr>
      </w:pPr>
      <w:bookmarkStart w:id="30" w:name="_Toc3344"/>
      <w:bookmarkStart w:id="31" w:name="_Toc22953397"/>
      <w:bookmarkStart w:id="32" w:name="_Toc22568789"/>
      <w:bookmarkStart w:id="33" w:name="_Toc14859"/>
      <w:bookmarkStart w:id="34" w:name="_Toc22804075"/>
      <w:bookmarkStart w:id="35" w:name="_Toc497920484"/>
      <w:bookmarkStart w:id="36" w:name="_Toc22962878"/>
      <w:bookmarkStart w:id="37" w:name="_Toc22723956"/>
      <w:bookmarkStart w:id="38" w:name="_Toc22570496"/>
      <w:r>
        <w:rPr>
          <w:rFonts w:hint="eastAsia"/>
          <w:highlight w:val="none"/>
          <w:lang w:eastAsia="zh-CN"/>
        </w:rPr>
        <w:tab/>
      </w:r>
      <w:r>
        <w:rPr>
          <w:rFonts w:hint="eastAsia"/>
          <w:b/>
          <w:sz w:val="28"/>
          <w:szCs w:val="28"/>
          <w:highlight w:val="none"/>
          <w:lang w:eastAsia="zh-CN"/>
        </w:rPr>
        <w:t>新乡医学院第一附属医院支气管镜系统、便携式支气管镜购置项目</w:t>
      </w:r>
    </w:p>
    <w:p w14:paraId="668FC054">
      <w:pPr>
        <w:pStyle w:val="75"/>
        <w:wordWrap w:val="0"/>
        <w:spacing w:before="0" w:beforeAutospacing="0" w:after="0" w:afterAutospacing="0" w:line="360" w:lineRule="auto"/>
        <w:jc w:val="center"/>
        <w:rPr>
          <w:rFonts w:hint="eastAsia" w:ascii="宋体" w:hAnsi="宋体" w:cs="宋体"/>
          <w:bCs/>
          <w:kern w:val="0"/>
          <w:sz w:val="24"/>
          <w:highlight w:val="none"/>
        </w:rPr>
      </w:pPr>
      <w:r>
        <w:rPr>
          <w:rFonts w:hint="eastAsia"/>
          <w:b/>
          <w:sz w:val="28"/>
          <w:szCs w:val="28"/>
          <w:highlight w:val="none"/>
        </w:rPr>
        <w:t>-公开招标公告</w:t>
      </w:r>
    </w:p>
    <w:p w14:paraId="72B5A765">
      <w:pPr>
        <w:tabs>
          <w:tab w:val="left" w:pos="993"/>
        </w:tabs>
        <w:snapToGrid w:val="0"/>
        <w:spacing w:line="360" w:lineRule="auto"/>
        <w:jc w:val="left"/>
        <w:rPr>
          <w:rFonts w:hint="eastAsia" w:ascii="宋体" w:hAnsi="宋体" w:cs="宋体"/>
          <w:b/>
          <w:bCs w:val="0"/>
          <w:kern w:val="0"/>
          <w:sz w:val="24"/>
          <w:highlight w:val="none"/>
        </w:rPr>
      </w:pPr>
      <w:r>
        <w:rPr>
          <w:rFonts w:hint="eastAsia" w:ascii="宋体" w:hAnsi="宋体" w:cs="宋体"/>
          <w:b/>
          <w:bCs w:val="0"/>
          <w:kern w:val="0"/>
          <w:sz w:val="24"/>
          <w:highlight w:val="none"/>
        </w:rPr>
        <w:t>项目概况</w:t>
      </w:r>
    </w:p>
    <w:p w14:paraId="1E18E28F">
      <w:pPr>
        <w:shd w:val="clear" w:color="auto" w:fill="FFFFFF"/>
        <w:wordWrap w:val="0"/>
        <w:spacing w:line="360" w:lineRule="auto"/>
        <w:ind w:firstLine="484" w:firstLineChars="200"/>
        <w:jc w:val="both"/>
        <w:rPr>
          <w:rFonts w:hint="eastAsia" w:ascii="宋体" w:hAnsi="宋体" w:cs="宋体"/>
          <w:sz w:val="24"/>
          <w:highlight w:val="none"/>
        </w:rPr>
      </w:pPr>
      <w:r>
        <w:rPr>
          <w:rFonts w:hint="eastAsia" w:ascii="宋体" w:hAnsi="宋体" w:cs="宋体"/>
          <w:bCs/>
          <w:sz w:val="24"/>
          <w:highlight w:val="none"/>
          <w:lang w:eastAsia="zh-CN"/>
        </w:rPr>
        <w:t>新乡医学院第一附属医院支气管镜系统、便携式支气管镜购置项目</w:t>
      </w:r>
      <w:r>
        <w:rPr>
          <w:rFonts w:hint="eastAsia" w:ascii="宋体" w:hAnsi="宋体" w:cs="宋体"/>
          <w:bCs/>
          <w:sz w:val="24"/>
          <w:highlight w:val="none"/>
        </w:rPr>
        <w:t>招标项目的潜在</w:t>
      </w:r>
      <w:r>
        <w:rPr>
          <w:rFonts w:hint="eastAsia" w:ascii="宋体" w:hAnsi="宋体" w:cs="宋体"/>
          <w:bCs/>
          <w:sz w:val="24"/>
          <w:highlight w:val="none"/>
          <w:lang w:eastAsia="zh-CN"/>
        </w:rPr>
        <w:t>供应商</w:t>
      </w:r>
      <w:r>
        <w:rPr>
          <w:rFonts w:hint="eastAsia" w:ascii="宋体" w:hAnsi="宋体" w:cs="宋体"/>
          <w:bCs/>
          <w:sz w:val="24"/>
          <w:highlight w:val="none"/>
        </w:rPr>
        <w:t>应在河南省公共资源交易中心网站下载获取招标文件，并于</w:t>
      </w:r>
      <w:r>
        <w:rPr>
          <w:rFonts w:hint="eastAsia" w:ascii="宋体" w:hAnsi="宋体" w:cs="宋体"/>
          <w:bCs/>
          <w:color w:val="auto"/>
          <w:sz w:val="24"/>
          <w:highlight w:val="none"/>
          <w:lang w:eastAsia="zh-CN"/>
        </w:rPr>
        <w:t>2025年</w:t>
      </w:r>
      <w:r>
        <w:rPr>
          <w:rFonts w:hint="eastAsia" w:ascii="宋体" w:hAnsi="宋体" w:cs="宋体"/>
          <w:bCs/>
          <w:color w:val="auto"/>
          <w:sz w:val="24"/>
          <w:highlight w:val="none"/>
          <w:lang w:val="en-US" w:eastAsia="zh-CN"/>
        </w:rPr>
        <w:t>08</w:t>
      </w:r>
      <w:r>
        <w:rPr>
          <w:rFonts w:hint="eastAsia" w:ascii="宋体" w:hAnsi="宋体" w:cs="宋体"/>
          <w:bCs/>
          <w:color w:val="auto"/>
          <w:sz w:val="24"/>
          <w:highlight w:val="none"/>
          <w:lang w:eastAsia="zh-CN"/>
        </w:rPr>
        <w:t>月</w:t>
      </w:r>
      <w:r>
        <w:rPr>
          <w:rFonts w:hint="eastAsia" w:ascii="宋体" w:hAnsi="宋体" w:cs="宋体"/>
          <w:bCs/>
          <w:color w:val="auto"/>
          <w:sz w:val="24"/>
          <w:highlight w:val="none"/>
          <w:lang w:val="en-US" w:eastAsia="zh-CN"/>
        </w:rPr>
        <w:t>13</w:t>
      </w:r>
      <w:r>
        <w:rPr>
          <w:rFonts w:hint="eastAsia" w:ascii="宋体" w:hAnsi="宋体" w:cs="宋体"/>
          <w:bCs/>
          <w:color w:val="auto"/>
          <w:sz w:val="24"/>
          <w:highlight w:val="none"/>
          <w:lang w:eastAsia="zh-CN"/>
        </w:rPr>
        <w:t>日09时00分</w:t>
      </w:r>
      <w:r>
        <w:rPr>
          <w:rFonts w:hint="eastAsia" w:ascii="宋体" w:hAnsi="宋体" w:cs="宋体"/>
          <w:bCs/>
          <w:sz w:val="24"/>
          <w:highlight w:val="none"/>
        </w:rPr>
        <w:t>（北京时间）前递交投标文件。</w:t>
      </w:r>
    </w:p>
    <w:p w14:paraId="6C8BA1FC">
      <w:pPr>
        <w:shd w:val="clear" w:color="auto" w:fill="FFFFFF"/>
        <w:wordWrap w:val="0"/>
        <w:spacing w:line="360" w:lineRule="auto"/>
        <w:jc w:val="left"/>
        <w:outlineLvl w:val="1"/>
        <w:rPr>
          <w:rFonts w:hint="eastAsia" w:ascii="宋体" w:hAnsi="宋体" w:cs="宋体"/>
          <w:b/>
          <w:bCs/>
          <w:sz w:val="24"/>
          <w:highlight w:val="none"/>
        </w:rPr>
      </w:pPr>
      <w:r>
        <w:rPr>
          <w:rFonts w:hint="eastAsia" w:ascii="宋体" w:hAnsi="宋体" w:cs="宋体"/>
          <w:b/>
          <w:bCs/>
          <w:sz w:val="24"/>
          <w:highlight w:val="none"/>
        </w:rPr>
        <w:t xml:space="preserve">一、项目基本情况 </w:t>
      </w:r>
    </w:p>
    <w:p w14:paraId="2F27F119">
      <w:pPr>
        <w:shd w:val="clear" w:color="auto" w:fill="FFFFFF"/>
        <w:wordWrap w:val="0"/>
        <w:spacing w:line="360" w:lineRule="auto"/>
        <w:ind w:firstLine="484" w:firstLineChars="200"/>
        <w:jc w:val="left"/>
        <w:rPr>
          <w:rFonts w:hint="eastAsia" w:ascii="宋体" w:hAnsi="宋体" w:cs="宋体"/>
          <w:sz w:val="24"/>
          <w:highlight w:val="none"/>
        </w:rPr>
      </w:pPr>
      <w:r>
        <w:rPr>
          <w:rFonts w:hint="eastAsia" w:ascii="宋体" w:hAnsi="宋体" w:cs="宋体"/>
          <w:sz w:val="24"/>
          <w:highlight w:val="none"/>
        </w:rPr>
        <w:t>1、项目编号：</w:t>
      </w:r>
      <w:r>
        <w:rPr>
          <w:rFonts w:hint="eastAsia" w:ascii="宋体" w:hAnsi="宋体" w:cs="宋体"/>
          <w:sz w:val="24"/>
          <w:highlight w:val="none"/>
          <w:lang w:eastAsia="zh-CN"/>
        </w:rPr>
        <w:t>豫财招标采购-2025-502</w:t>
      </w:r>
      <w:r>
        <w:rPr>
          <w:rFonts w:hint="eastAsia" w:ascii="宋体" w:hAnsi="宋体" w:cs="宋体"/>
          <w:sz w:val="24"/>
          <w:highlight w:val="none"/>
        </w:rPr>
        <w:t xml:space="preserve"> </w:t>
      </w:r>
    </w:p>
    <w:p w14:paraId="398717C0">
      <w:pPr>
        <w:shd w:val="clear" w:color="auto" w:fill="FFFFFF"/>
        <w:wordWrap w:val="0"/>
        <w:spacing w:line="360" w:lineRule="auto"/>
        <w:ind w:firstLine="484" w:firstLineChars="200"/>
        <w:jc w:val="left"/>
        <w:rPr>
          <w:rFonts w:hint="eastAsia" w:ascii="宋体" w:hAnsi="宋体" w:eastAsia="宋体" w:cs="宋体"/>
          <w:sz w:val="24"/>
          <w:highlight w:val="none"/>
          <w:lang w:eastAsia="zh-CN"/>
        </w:rPr>
      </w:pPr>
      <w:r>
        <w:rPr>
          <w:rFonts w:hint="eastAsia" w:ascii="宋体" w:hAnsi="宋体" w:cs="宋体"/>
          <w:sz w:val="24"/>
          <w:highlight w:val="none"/>
        </w:rPr>
        <w:t>2、项目名称：</w:t>
      </w:r>
      <w:r>
        <w:rPr>
          <w:rFonts w:hint="eastAsia" w:ascii="宋体" w:hAnsi="宋体" w:cs="宋体"/>
          <w:sz w:val="24"/>
          <w:highlight w:val="none"/>
          <w:lang w:eastAsia="zh-CN"/>
        </w:rPr>
        <w:t>新乡医学院第一附属医院支气管镜系统、便携式支气管镜购置项目</w:t>
      </w:r>
    </w:p>
    <w:p w14:paraId="18E0C367">
      <w:pPr>
        <w:shd w:val="clear" w:color="auto" w:fill="FFFFFF"/>
        <w:wordWrap w:val="0"/>
        <w:spacing w:line="360" w:lineRule="auto"/>
        <w:ind w:firstLine="484" w:firstLineChars="200"/>
        <w:jc w:val="left"/>
        <w:rPr>
          <w:rFonts w:hint="eastAsia" w:ascii="宋体" w:hAnsi="宋体" w:cs="宋体"/>
          <w:sz w:val="24"/>
          <w:highlight w:val="none"/>
        </w:rPr>
      </w:pPr>
      <w:r>
        <w:rPr>
          <w:rFonts w:hint="eastAsia" w:ascii="宋体" w:hAnsi="宋体" w:cs="宋体"/>
          <w:sz w:val="24"/>
          <w:highlight w:val="none"/>
        </w:rPr>
        <w:t xml:space="preserve">3、采购方式：公开招标  </w:t>
      </w:r>
    </w:p>
    <w:p w14:paraId="785474EF">
      <w:pPr>
        <w:shd w:val="clear" w:color="auto" w:fill="FFFFFF"/>
        <w:wordWrap w:val="0"/>
        <w:spacing w:line="360" w:lineRule="auto"/>
        <w:ind w:firstLine="484" w:firstLineChars="200"/>
        <w:jc w:val="left"/>
        <w:rPr>
          <w:rFonts w:hint="eastAsia" w:ascii="宋体" w:hAnsi="宋体" w:cs="宋体"/>
          <w:sz w:val="24"/>
          <w:highlight w:val="none"/>
        </w:rPr>
      </w:pPr>
      <w:r>
        <w:rPr>
          <w:rFonts w:hint="eastAsia" w:ascii="宋体" w:hAnsi="宋体" w:cs="宋体"/>
          <w:sz w:val="24"/>
          <w:highlight w:val="none"/>
        </w:rPr>
        <w:t>4、预算金额：</w:t>
      </w:r>
      <w:r>
        <w:rPr>
          <w:rFonts w:hint="eastAsia" w:ascii="宋体" w:hAnsi="宋体" w:cs="宋体"/>
          <w:sz w:val="24"/>
          <w:highlight w:val="none"/>
          <w:lang w:val="en-US" w:eastAsia="zh-CN"/>
        </w:rPr>
        <w:t>9230000</w:t>
      </w:r>
      <w:r>
        <w:rPr>
          <w:rFonts w:hint="eastAsia" w:ascii="宋体" w:hAnsi="宋体" w:cs="宋体"/>
          <w:sz w:val="24"/>
          <w:highlight w:val="none"/>
          <w:lang w:eastAsia="zh-CN"/>
        </w:rPr>
        <w:t>.00</w:t>
      </w:r>
      <w:r>
        <w:rPr>
          <w:rFonts w:hint="eastAsia" w:ascii="宋体" w:hAnsi="宋体" w:cs="宋体"/>
          <w:sz w:val="24"/>
          <w:highlight w:val="none"/>
        </w:rPr>
        <w:t xml:space="preserve">元 </w:t>
      </w:r>
    </w:p>
    <w:p w14:paraId="6864D44E">
      <w:pPr>
        <w:spacing w:line="360" w:lineRule="auto"/>
        <w:ind w:firstLine="726" w:firstLineChars="300"/>
        <w:jc w:val="left"/>
        <w:rPr>
          <w:rFonts w:hint="eastAsia" w:ascii="宋体" w:hAnsi="宋体" w:cs="宋体"/>
          <w:sz w:val="24"/>
          <w:highlight w:val="none"/>
        </w:rPr>
      </w:pPr>
      <w:r>
        <w:rPr>
          <w:rFonts w:hint="eastAsia" w:ascii="宋体" w:hAnsi="宋体" w:cs="宋体"/>
          <w:sz w:val="24"/>
          <w:highlight w:val="none"/>
        </w:rPr>
        <w:t>最高限价：</w:t>
      </w:r>
      <w:r>
        <w:rPr>
          <w:rFonts w:hint="eastAsia" w:ascii="宋体" w:hAnsi="宋体" w:eastAsia="宋体" w:cs="宋体"/>
          <w:sz w:val="24"/>
          <w:highlight w:val="none"/>
          <w:lang w:val="en-US" w:eastAsia="zh-CN"/>
        </w:rPr>
        <w:t>9230000.00元</w:t>
      </w:r>
      <w:r>
        <w:rPr>
          <w:rFonts w:hint="eastAsia" w:ascii="宋体" w:hAnsi="宋体" w:cs="宋体"/>
          <w:sz w:val="24"/>
          <w:highlight w:val="none"/>
          <w:lang w:val="en-US" w:eastAsia="zh-CN"/>
        </w:rPr>
        <w:t>。</w:t>
      </w:r>
    </w:p>
    <w:tbl>
      <w:tblPr>
        <w:tblStyle w:val="82"/>
        <w:tblW w:w="0" w:type="auto"/>
        <w:jc w:val="center"/>
        <w:tblLayout w:type="fixed"/>
        <w:tblCellMar>
          <w:top w:w="0" w:type="dxa"/>
          <w:left w:w="108" w:type="dxa"/>
          <w:bottom w:w="0" w:type="dxa"/>
          <w:right w:w="108" w:type="dxa"/>
        </w:tblCellMar>
      </w:tblPr>
      <w:tblGrid>
        <w:gridCol w:w="817"/>
        <w:gridCol w:w="2324"/>
        <w:gridCol w:w="2468"/>
        <w:gridCol w:w="1645"/>
        <w:gridCol w:w="1615"/>
      </w:tblGrid>
      <w:tr w14:paraId="38604CF0">
        <w:tblPrEx>
          <w:tblCellMar>
            <w:top w:w="0" w:type="dxa"/>
            <w:left w:w="108" w:type="dxa"/>
            <w:bottom w:w="0" w:type="dxa"/>
            <w:right w:w="108" w:type="dxa"/>
          </w:tblCellMar>
        </w:tblPrEx>
        <w:trPr>
          <w:trHeight w:val="734"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F76E465">
            <w:pPr>
              <w:spacing w:line="360" w:lineRule="auto"/>
              <w:jc w:val="center"/>
              <w:rPr>
                <w:rFonts w:hint="eastAsia" w:ascii="宋体" w:hAnsi="宋体" w:cs="宋体"/>
                <w:szCs w:val="21"/>
                <w:highlight w:val="none"/>
              </w:rPr>
            </w:pPr>
            <w:r>
              <w:rPr>
                <w:rFonts w:hint="eastAsia" w:ascii="宋体" w:hAnsi="宋体" w:cs="宋体"/>
                <w:sz w:val="24"/>
                <w:highlight w:val="none"/>
              </w:rPr>
              <w:t>序号</w:t>
            </w:r>
          </w:p>
        </w:tc>
        <w:tc>
          <w:tcPr>
            <w:tcW w:w="2324" w:type="dxa"/>
            <w:tcBorders>
              <w:top w:val="single" w:color="auto" w:sz="4" w:space="0"/>
              <w:left w:val="single" w:color="auto" w:sz="4" w:space="0"/>
              <w:bottom w:val="single" w:color="auto" w:sz="4" w:space="0"/>
              <w:right w:val="single" w:color="auto" w:sz="4" w:space="0"/>
            </w:tcBorders>
            <w:noWrap w:val="0"/>
            <w:vAlign w:val="center"/>
          </w:tcPr>
          <w:p w14:paraId="7EA5AD5A">
            <w:pPr>
              <w:spacing w:line="360" w:lineRule="auto"/>
              <w:jc w:val="center"/>
              <w:rPr>
                <w:rFonts w:hint="eastAsia" w:ascii="宋体" w:hAnsi="宋体" w:cs="宋体"/>
                <w:szCs w:val="21"/>
                <w:highlight w:val="none"/>
              </w:rPr>
            </w:pPr>
            <w:r>
              <w:rPr>
                <w:rFonts w:hint="eastAsia" w:ascii="宋体" w:hAnsi="宋体" w:cs="宋体"/>
                <w:sz w:val="24"/>
                <w:highlight w:val="none"/>
              </w:rPr>
              <w:t>包号</w:t>
            </w:r>
          </w:p>
        </w:tc>
        <w:tc>
          <w:tcPr>
            <w:tcW w:w="2468" w:type="dxa"/>
            <w:tcBorders>
              <w:top w:val="single" w:color="auto" w:sz="4" w:space="0"/>
              <w:left w:val="single" w:color="auto" w:sz="4" w:space="0"/>
              <w:bottom w:val="single" w:color="auto" w:sz="4" w:space="0"/>
              <w:right w:val="single" w:color="auto" w:sz="4" w:space="0"/>
            </w:tcBorders>
            <w:noWrap w:val="0"/>
            <w:vAlign w:val="center"/>
          </w:tcPr>
          <w:p w14:paraId="4A272B9C">
            <w:pPr>
              <w:spacing w:line="360" w:lineRule="auto"/>
              <w:jc w:val="center"/>
              <w:rPr>
                <w:rFonts w:hint="eastAsia" w:ascii="宋体" w:hAnsi="宋体" w:cs="宋体"/>
                <w:szCs w:val="21"/>
                <w:highlight w:val="none"/>
              </w:rPr>
            </w:pPr>
            <w:r>
              <w:rPr>
                <w:rFonts w:hint="eastAsia" w:ascii="宋体" w:hAnsi="宋体" w:cs="宋体"/>
                <w:sz w:val="24"/>
                <w:highlight w:val="none"/>
              </w:rPr>
              <w:t>包名称</w:t>
            </w:r>
          </w:p>
        </w:tc>
        <w:tc>
          <w:tcPr>
            <w:tcW w:w="1645" w:type="dxa"/>
            <w:tcBorders>
              <w:top w:val="single" w:color="auto" w:sz="4" w:space="0"/>
              <w:left w:val="nil"/>
              <w:bottom w:val="single" w:color="auto" w:sz="4" w:space="0"/>
              <w:right w:val="single" w:color="auto" w:sz="4" w:space="0"/>
            </w:tcBorders>
            <w:noWrap w:val="0"/>
            <w:vAlign w:val="center"/>
          </w:tcPr>
          <w:p w14:paraId="612EEE56">
            <w:pPr>
              <w:spacing w:line="360" w:lineRule="auto"/>
              <w:jc w:val="center"/>
              <w:rPr>
                <w:rFonts w:hint="eastAsia" w:ascii="宋体" w:hAnsi="宋体" w:cs="宋体"/>
                <w:sz w:val="24"/>
                <w:highlight w:val="none"/>
              </w:rPr>
            </w:pPr>
            <w:r>
              <w:rPr>
                <w:rFonts w:hint="eastAsia" w:ascii="宋体" w:hAnsi="宋体" w:cs="宋体"/>
                <w:sz w:val="24"/>
                <w:highlight w:val="none"/>
              </w:rPr>
              <w:t>包预算</w:t>
            </w:r>
          </w:p>
          <w:p w14:paraId="0DFA9952">
            <w:pPr>
              <w:spacing w:line="360" w:lineRule="auto"/>
              <w:jc w:val="center"/>
              <w:rPr>
                <w:rFonts w:hint="eastAsia" w:ascii="宋体" w:hAnsi="宋体" w:cs="宋体"/>
                <w:szCs w:val="21"/>
                <w:highlight w:val="none"/>
              </w:rPr>
            </w:pPr>
            <w:r>
              <w:rPr>
                <w:rFonts w:hint="eastAsia" w:ascii="宋体" w:hAnsi="宋体" w:cs="宋体"/>
                <w:sz w:val="24"/>
                <w:highlight w:val="none"/>
              </w:rPr>
              <w:t>（元）</w:t>
            </w:r>
          </w:p>
        </w:tc>
        <w:tc>
          <w:tcPr>
            <w:tcW w:w="1615" w:type="dxa"/>
            <w:tcBorders>
              <w:top w:val="single" w:color="auto" w:sz="4" w:space="0"/>
              <w:left w:val="nil"/>
              <w:bottom w:val="single" w:color="auto" w:sz="4" w:space="0"/>
              <w:right w:val="single" w:color="auto" w:sz="4" w:space="0"/>
            </w:tcBorders>
            <w:noWrap/>
            <w:vAlign w:val="center"/>
          </w:tcPr>
          <w:p w14:paraId="0F3E9B0E">
            <w:pPr>
              <w:spacing w:line="360" w:lineRule="auto"/>
              <w:jc w:val="center"/>
              <w:rPr>
                <w:rFonts w:hint="eastAsia" w:ascii="宋体" w:hAnsi="宋体" w:cs="宋体"/>
                <w:szCs w:val="21"/>
                <w:highlight w:val="none"/>
              </w:rPr>
            </w:pPr>
            <w:r>
              <w:rPr>
                <w:rFonts w:hint="eastAsia" w:ascii="宋体" w:hAnsi="宋体" w:cs="宋体"/>
                <w:sz w:val="24"/>
                <w:highlight w:val="none"/>
              </w:rPr>
              <w:t>包最高限价（元）</w:t>
            </w:r>
          </w:p>
        </w:tc>
      </w:tr>
      <w:tr w14:paraId="39F69432">
        <w:tblPrEx>
          <w:tblCellMar>
            <w:top w:w="0" w:type="dxa"/>
            <w:left w:w="108" w:type="dxa"/>
            <w:bottom w:w="0" w:type="dxa"/>
            <w:right w:w="108" w:type="dxa"/>
          </w:tblCellMar>
        </w:tblPrEx>
        <w:trPr>
          <w:trHeight w:val="367"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8255C96">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2324" w:type="dxa"/>
            <w:tcBorders>
              <w:top w:val="single" w:color="auto" w:sz="4" w:space="0"/>
              <w:left w:val="single" w:color="auto" w:sz="4" w:space="0"/>
              <w:bottom w:val="single" w:color="auto" w:sz="4" w:space="0"/>
              <w:right w:val="single" w:color="auto" w:sz="4" w:space="0"/>
            </w:tcBorders>
            <w:noWrap w:val="0"/>
            <w:vAlign w:val="center"/>
          </w:tcPr>
          <w:p w14:paraId="37AA1BA7">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豫政采(2)20251213-1</w:t>
            </w:r>
          </w:p>
        </w:tc>
        <w:tc>
          <w:tcPr>
            <w:tcW w:w="2468" w:type="dxa"/>
            <w:tcBorders>
              <w:top w:val="single" w:color="auto" w:sz="4" w:space="0"/>
              <w:left w:val="single" w:color="auto" w:sz="4" w:space="0"/>
              <w:bottom w:val="single" w:color="auto" w:sz="4" w:space="0"/>
              <w:right w:val="single" w:color="auto" w:sz="4" w:space="0"/>
            </w:tcBorders>
            <w:noWrap w:val="0"/>
            <w:vAlign w:val="top"/>
          </w:tcPr>
          <w:p w14:paraId="20B3073A">
            <w:pPr>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lang w:eastAsia="zh-CN"/>
              </w:rPr>
              <w:t>新乡医学院第一附属医院支气管镜系统、便携式支气管镜购置项目</w:t>
            </w:r>
          </w:p>
        </w:tc>
        <w:tc>
          <w:tcPr>
            <w:tcW w:w="1645" w:type="dxa"/>
            <w:tcBorders>
              <w:top w:val="single" w:color="auto" w:sz="4" w:space="0"/>
              <w:left w:val="nil"/>
              <w:bottom w:val="single" w:color="auto" w:sz="4" w:space="0"/>
              <w:right w:val="single" w:color="auto" w:sz="4" w:space="0"/>
            </w:tcBorders>
            <w:noWrap/>
            <w:vAlign w:val="center"/>
          </w:tcPr>
          <w:p w14:paraId="67500A4D">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923</w:t>
            </w:r>
            <w:r>
              <w:rPr>
                <w:rFonts w:hint="eastAsia" w:ascii="宋体" w:hAnsi="宋体" w:cs="宋体"/>
                <w:sz w:val="24"/>
                <w:highlight w:val="none"/>
                <w:lang w:eastAsia="zh-CN"/>
              </w:rPr>
              <w:t>0000.00</w:t>
            </w:r>
          </w:p>
        </w:tc>
        <w:tc>
          <w:tcPr>
            <w:tcW w:w="1615" w:type="dxa"/>
            <w:tcBorders>
              <w:top w:val="single" w:color="auto" w:sz="4" w:space="0"/>
              <w:left w:val="nil"/>
              <w:bottom w:val="single" w:color="auto" w:sz="4" w:space="0"/>
              <w:right w:val="single" w:color="auto" w:sz="4" w:space="0"/>
            </w:tcBorders>
            <w:noWrap/>
            <w:vAlign w:val="center"/>
          </w:tcPr>
          <w:p w14:paraId="30F750F1">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923</w:t>
            </w:r>
            <w:r>
              <w:rPr>
                <w:rFonts w:hint="eastAsia" w:ascii="宋体" w:hAnsi="宋体" w:cs="宋体"/>
                <w:sz w:val="24"/>
                <w:highlight w:val="none"/>
                <w:lang w:eastAsia="zh-CN"/>
              </w:rPr>
              <w:t>0000.00</w:t>
            </w:r>
          </w:p>
        </w:tc>
      </w:tr>
    </w:tbl>
    <w:p w14:paraId="4253FFE9">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 xml:space="preserve">5、采购需求（包括但不限于标的的名称、数量、简要技术需求或服务要求等） </w:t>
      </w:r>
    </w:p>
    <w:p w14:paraId="57C5754F">
      <w:pPr>
        <w:shd w:val="clear" w:color="auto" w:fill="FFFFFF"/>
        <w:wordWrap w:val="0"/>
        <w:spacing w:line="312" w:lineRule="auto"/>
        <w:jc w:val="left"/>
        <w:rPr>
          <w:rFonts w:hint="default" w:ascii="宋体" w:hAnsi="宋体" w:eastAsia="宋体" w:cs="宋体"/>
          <w:sz w:val="24"/>
          <w:highlight w:val="none"/>
          <w:lang w:val="en-US" w:eastAsia="zh-CN"/>
        </w:rPr>
      </w:pPr>
      <w:r>
        <w:rPr>
          <w:rFonts w:hint="eastAsia" w:ascii="宋体" w:hAnsi="宋体" w:cs="宋体"/>
          <w:sz w:val="24"/>
          <w:highlight w:val="none"/>
        </w:rPr>
        <w:t>5.1</w:t>
      </w:r>
      <w:r>
        <w:rPr>
          <w:rFonts w:hint="eastAsia" w:ascii="宋体" w:hAnsi="宋体" w:cs="宋体"/>
          <w:sz w:val="24"/>
          <w:highlight w:val="none"/>
          <w:lang w:val="en-US" w:eastAsia="zh-CN"/>
        </w:rPr>
        <w:t>采购范围：</w:t>
      </w:r>
      <w:r>
        <w:rPr>
          <w:rFonts w:hint="eastAsia" w:ascii="宋体" w:hAnsi="宋体" w:cs="宋体"/>
          <w:sz w:val="24"/>
          <w:highlight w:val="none"/>
          <w:lang w:eastAsia="zh-CN"/>
        </w:rPr>
        <w:t>支气管镜系统、便携式支气管镜的采购</w:t>
      </w:r>
      <w:r>
        <w:rPr>
          <w:rFonts w:hint="eastAsia" w:ascii="宋体" w:hAnsi="宋体" w:cs="宋体"/>
          <w:sz w:val="24"/>
          <w:highlight w:val="none"/>
        </w:rPr>
        <w:t>、供货、运输、保险、装卸、安装、检测、调试、试运行、验收交付、培训、技术支持、软件升级、售后保修及相关伴随服务等。</w:t>
      </w:r>
      <w:r>
        <w:rPr>
          <w:rFonts w:hint="eastAsia" w:ascii="宋体" w:hAnsi="宋体" w:cs="宋体"/>
          <w:sz w:val="24"/>
          <w:highlight w:val="none"/>
          <w:lang w:val="en-US" w:eastAsia="zh-CN"/>
        </w:rPr>
        <w:t>采购数量：</w:t>
      </w:r>
      <w:r>
        <w:rPr>
          <w:rFonts w:hint="eastAsia" w:ascii="宋体" w:hAnsi="宋体" w:cs="宋体"/>
          <w:sz w:val="24"/>
          <w:highlight w:val="none"/>
          <w:lang w:eastAsia="zh-CN"/>
        </w:rPr>
        <w:t>支气管镜系统</w:t>
      </w:r>
      <w:r>
        <w:rPr>
          <w:rFonts w:hint="eastAsia" w:ascii="宋体" w:hAnsi="宋体" w:cs="宋体"/>
          <w:sz w:val="24"/>
          <w:highlight w:val="none"/>
          <w:lang w:val="en-US" w:eastAsia="zh-CN"/>
        </w:rPr>
        <w:t>2套（接受进口）</w:t>
      </w:r>
      <w:r>
        <w:rPr>
          <w:rFonts w:hint="eastAsia" w:ascii="宋体" w:hAnsi="宋体" w:cs="宋体"/>
          <w:sz w:val="24"/>
          <w:highlight w:val="none"/>
          <w:lang w:eastAsia="zh-CN"/>
        </w:rPr>
        <w:t>、便携式支气管镜</w:t>
      </w:r>
      <w:r>
        <w:rPr>
          <w:rFonts w:hint="eastAsia" w:ascii="宋体" w:hAnsi="宋体" w:cs="宋体"/>
          <w:sz w:val="24"/>
          <w:highlight w:val="none"/>
          <w:lang w:val="en-US" w:eastAsia="zh-CN"/>
        </w:rPr>
        <w:t>2条。</w:t>
      </w:r>
    </w:p>
    <w:p w14:paraId="26356B98">
      <w:pPr>
        <w:shd w:val="clear" w:color="auto" w:fill="FFFFFF"/>
        <w:wordWrap w:val="0"/>
        <w:spacing w:line="360" w:lineRule="auto"/>
        <w:jc w:val="left"/>
        <w:rPr>
          <w:rFonts w:hint="eastAsia" w:ascii="宋体" w:hAnsi="宋体" w:eastAsia="宋体" w:cs="宋体"/>
          <w:color w:val="000000"/>
          <w:sz w:val="24"/>
          <w:highlight w:val="none"/>
          <w:lang w:eastAsia="zh-CN"/>
        </w:rPr>
      </w:pPr>
      <w:r>
        <w:rPr>
          <w:rFonts w:hint="eastAsia" w:ascii="宋体" w:hAnsi="宋体" w:cs="宋体"/>
          <w:sz w:val="24"/>
          <w:highlight w:val="none"/>
        </w:rPr>
        <w:t>5.2交</w:t>
      </w:r>
      <w:r>
        <w:rPr>
          <w:rFonts w:hint="eastAsia" w:ascii="宋体" w:hAnsi="宋体" w:eastAsia="宋体" w:cs="宋体"/>
          <w:sz w:val="24"/>
          <w:highlight w:val="none"/>
        </w:rPr>
        <w:t>货期：</w:t>
      </w:r>
      <w:r>
        <w:rPr>
          <w:rFonts w:hint="eastAsia" w:ascii="宋体" w:hAnsi="宋体" w:eastAsia="宋体" w:cs="宋体"/>
          <w:color w:val="000000"/>
          <w:sz w:val="24"/>
          <w:highlight w:val="none"/>
          <w:lang w:eastAsia="zh-CN"/>
        </w:rPr>
        <w:t>合同签订后60日历天</w:t>
      </w:r>
    </w:p>
    <w:p w14:paraId="29FDEBFF">
      <w:pPr>
        <w:shd w:val="clear" w:color="auto" w:fill="FFFFFF"/>
        <w:wordWrap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5.</w:t>
      </w:r>
      <w:r>
        <w:rPr>
          <w:rFonts w:hint="eastAsia" w:ascii="宋体" w:hAnsi="宋体" w:eastAsia="宋体" w:cs="宋体"/>
          <w:color w:val="000000"/>
          <w:sz w:val="24"/>
          <w:highlight w:val="none"/>
          <w:lang w:val="en-US" w:eastAsia="zh-CN"/>
        </w:rPr>
        <w:t>3</w:t>
      </w:r>
      <w:r>
        <w:rPr>
          <w:rFonts w:hint="eastAsia" w:ascii="宋体" w:hAnsi="宋体" w:eastAsia="宋体" w:cs="宋体"/>
          <w:color w:val="000000"/>
          <w:sz w:val="24"/>
          <w:highlight w:val="none"/>
        </w:rPr>
        <w:t>质保期：</w:t>
      </w:r>
      <w:r>
        <w:rPr>
          <w:rFonts w:hint="eastAsia" w:ascii="宋体" w:hAnsi="宋体" w:eastAsia="宋体" w:cs="宋体"/>
          <w:color w:val="000000"/>
          <w:sz w:val="24"/>
          <w:highlight w:val="none"/>
          <w:lang w:val="en-US" w:eastAsia="zh-CN"/>
        </w:rPr>
        <w:t>设备自验收合格之日起，</w:t>
      </w:r>
      <w:r>
        <w:rPr>
          <w:rFonts w:hint="eastAsia" w:ascii="宋体" w:hAnsi="宋体" w:cs="宋体"/>
          <w:color w:val="000000"/>
          <w:sz w:val="24"/>
          <w:highlight w:val="none"/>
          <w:lang w:eastAsia="zh-CN"/>
        </w:rPr>
        <w:t>支气管镜系统</w:t>
      </w:r>
      <w:r>
        <w:rPr>
          <w:rFonts w:hint="eastAsia" w:ascii="宋体" w:hAnsi="宋体" w:eastAsia="宋体" w:cs="宋体"/>
          <w:color w:val="000000"/>
          <w:sz w:val="24"/>
          <w:highlight w:val="none"/>
          <w:lang w:val="en-US" w:eastAsia="zh-CN"/>
        </w:rPr>
        <w:t>原厂质保期≥</w:t>
      </w:r>
      <w:r>
        <w:rPr>
          <w:rFonts w:hint="eastAsia" w:ascii="宋体" w:hAnsi="宋体" w:cs="宋体"/>
          <w:color w:val="000000"/>
          <w:sz w:val="24"/>
          <w:highlight w:val="none"/>
          <w:lang w:val="en-US" w:eastAsia="zh-CN"/>
        </w:rPr>
        <w:t>4</w:t>
      </w:r>
      <w:r>
        <w:rPr>
          <w:rFonts w:hint="eastAsia" w:ascii="宋体" w:hAnsi="宋体" w:eastAsia="宋体" w:cs="宋体"/>
          <w:color w:val="000000"/>
          <w:sz w:val="24"/>
          <w:highlight w:val="none"/>
          <w:lang w:val="en-US" w:eastAsia="zh-CN"/>
        </w:rPr>
        <w:t>年</w:t>
      </w:r>
      <w:r>
        <w:rPr>
          <w:rFonts w:hint="eastAsia" w:ascii="宋体" w:hAnsi="宋体" w:cs="宋体"/>
          <w:color w:val="000000"/>
          <w:sz w:val="24"/>
          <w:highlight w:val="none"/>
          <w:lang w:val="en-US" w:eastAsia="zh-CN"/>
        </w:rPr>
        <w:t>，</w:t>
      </w:r>
      <w:r>
        <w:rPr>
          <w:rFonts w:hint="eastAsia" w:ascii="宋体" w:hAnsi="宋体" w:cs="宋体"/>
          <w:color w:val="000000"/>
          <w:sz w:val="24"/>
          <w:highlight w:val="none"/>
          <w:lang w:eastAsia="zh-CN"/>
        </w:rPr>
        <w:t>便携式支气管镜</w:t>
      </w:r>
      <w:r>
        <w:rPr>
          <w:rFonts w:hint="eastAsia" w:ascii="宋体" w:hAnsi="宋体" w:eastAsia="宋体" w:cs="宋体"/>
          <w:color w:val="000000"/>
          <w:sz w:val="24"/>
          <w:highlight w:val="none"/>
          <w:lang w:val="en-US" w:eastAsia="zh-CN"/>
        </w:rPr>
        <w:t>原厂质保期≥</w:t>
      </w:r>
      <w:r>
        <w:rPr>
          <w:rFonts w:hint="eastAsia" w:ascii="宋体" w:hAnsi="宋体" w:cs="宋体"/>
          <w:color w:val="000000"/>
          <w:sz w:val="24"/>
          <w:highlight w:val="none"/>
          <w:lang w:val="en-US" w:eastAsia="zh-CN"/>
        </w:rPr>
        <w:t>3</w:t>
      </w:r>
      <w:r>
        <w:rPr>
          <w:rFonts w:hint="eastAsia" w:ascii="宋体" w:hAnsi="宋体" w:eastAsia="宋体" w:cs="宋体"/>
          <w:color w:val="000000"/>
          <w:sz w:val="24"/>
          <w:highlight w:val="none"/>
          <w:lang w:val="en-US" w:eastAsia="zh-CN"/>
        </w:rPr>
        <w:t>年。</w:t>
      </w:r>
    </w:p>
    <w:p w14:paraId="1052A952">
      <w:pPr>
        <w:shd w:val="clear" w:color="auto" w:fill="FFFFFF"/>
        <w:wordWrap w:val="0"/>
        <w:spacing w:line="360" w:lineRule="auto"/>
        <w:jc w:val="left"/>
        <w:rPr>
          <w:rFonts w:hint="eastAsia" w:ascii="宋体" w:hAnsi="宋体" w:eastAsia="宋体" w:cs="宋体"/>
          <w:sz w:val="24"/>
          <w:highlight w:val="none"/>
          <w:lang w:val="en-US" w:eastAsia="zh-CN"/>
        </w:rPr>
      </w:pPr>
      <w:r>
        <w:rPr>
          <w:rFonts w:hint="eastAsia" w:ascii="宋体" w:hAnsi="宋体" w:eastAsia="宋体" w:cs="宋体"/>
          <w:sz w:val="24"/>
          <w:highlight w:val="none"/>
        </w:rPr>
        <w:t>5.</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质量标准：</w:t>
      </w:r>
      <w:r>
        <w:rPr>
          <w:rFonts w:hint="eastAsia" w:ascii="宋体" w:hAnsi="宋体" w:eastAsia="宋体" w:cs="宋体"/>
          <w:sz w:val="24"/>
          <w:highlight w:val="none"/>
          <w:lang w:eastAsia="zh-CN"/>
        </w:rPr>
        <w:t>合格，符合国家、行业相关标准。</w:t>
      </w:r>
    </w:p>
    <w:p w14:paraId="5C2AE1F0">
      <w:pPr>
        <w:shd w:val="clear" w:color="auto" w:fill="FFFFFF"/>
        <w:wordWrap w:val="0"/>
        <w:spacing w:line="360" w:lineRule="auto"/>
        <w:jc w:val="left"/>
        <w:rPr>
          <w:rFonts w:hint="eastAsia" w:ascii="宋体" w:hAnsi="宋体" w:cs="宋体"/>
          <w:color w:val="auto"/>
          <w:sz w:val="24"/>
          <w:highlight w:val="none"/>
          <w:lang w:eastAsia="zh-CN"/>
        </w:rPr>
      </w:pPr>
      <w:r>
        <w:rPr>
          <w:rFonts w:hint="eastAsia" w:ascii="宋体" w:hAnsi="宋体" w:cs="宋体"/>
          <w:color w:val="auto"/>
          <w:sz w:val="24"/>
          <w:highlight w:val="none"/>
        </w:rPr>
        <w:t>6、合同履行期限：自合同生效至</w:t>
      </w:r>
      <w:r>
        <w:rPr>
          <w:rFonts w:hint="eastAsia" w:ascii="宋体" w:hAnsi="宋体" w:cs="宋体"/>
          <w:color w:val="auto"/>
          <w:sz w:val="24"/>
          <w:highlight w:val="none"/>
          <w:lang w:val="en-US" w:eastAsia="zh-CN"/>
        </w:rPr>
        <w:t>所有设备质保期</w:t>
      </w:r>
      <w:r>
        <w:rPr>
          <w:rFonts w:hint="eastAsia" w:ascii="宋体" w:hAnsi="宋体" w:cs="宋体"/>
          <w:color w:val="auto"/>
          <w:sz w:val="24"/>
          <w:highlight w:val="none"/>
        </w:rPr>
        <w:t>结束</w:t>
      </w:r>
      <w:r>
        <w:rPr>
          <w:rFonts w:hint="eastAsia" w:ascii="宋体" w:hAnsi="宋体" w:cs="宋体"/>
          <w:color w:val="auto"/>
          <w:sz w:val="24"/>
          <w:highlight w:val="none"/>
          <w:lang w:eastAsia="zh-CN"/>
        </w:rPr>
        <w:t>。</w:t>
      </w:r>
    </w:p>
    <w:p w14:paraId="176A3E93">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rPr>
        <w:t>7、本项目是否接受联合体投标：否</w:t>
      </w:r>
      <w:r>
        <w:rPr>
          <w:rFonts w:hint="eastAsia" w:ascii="宋体" w:hAnsi="宋体" w:cs="宋体"/>
          <w:sz w:val="24"/>
          <w:highlight w:val="none"/>
          <w:lang w:eastAsia="zh-CN"/>
        </w:rPr>
        <w:t>。</w:t>
      </w:r>
    </w:p>
    <w:p w14:paraId="2B1CCE78">
      <w:pPr>
        <w:shd w:val="clear" w:color="auto" w:fill="FFFFFF"/>
        <w:wordWrap w:val="0"/>
        <w:spacing w:line="360"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8、是否接受进口产品：</w:t>
      </w:r>
      <w:r>
        <w:rPr>
          <w:rFonts w:hint="eastAsia" w:ascii="宋体" w:hAnsi="宋体" w:cs="宋体"/>
          <w:color w:val="auto"/>
          <w:sz w:val="24"/>
          <w:highlight w:val="none"/>
          <w:lang w:val="en-US" w:eastAsia="zh-CN"/>
        </w:rPr>
        <w:t>是。</w:t>
      </w:r>
    </w:p>
    <w:p w14:paraId="680E4426">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rPr>
        <w:t>9、是否专门面向中小企业：否</w:t>
      </w:r>
      <w:r>
        <w:rPr>
          <w:rFonts w:hint="eastAsia" w:ascii="宋体" w:hAnsi="宋体" w:cs="宋体"/>
          <w:sz w:val="24"/>
          <w:highlight w:val="none"/>
          <w:lang w:eastAsia="zh-CN"/>
        </w:rPr>
        <w:t>。</w:t>
      </w:r>
    </w:p>
    <w:p w14:paraId="51CC41DC">
      <w:pPr>
        <w:shd w:val="clear" w:color="auto" w:fill="FFFFFF"/>
        <w:spacing w:line="360" w:lineRule="auto"/>
        <w:outlineLvl w:val="1"/>
        <w:rPr>
          <w:rFonts w:hint="eastAsia" w:ascii="宋体" w:hAnsi="宋体" w:cs="宋体"/>
          <w:sz w:val="24"/>
          <w:highlight w:val="none"/>
        </w:rPr>
      </w:pPr>
      <w:r>
        <w:rPr>
          <w:rFonts w:hint="eastAsia" w:ascii="宋体" w:hAnsi="宋体" w:cs="宋体"/>
          <w:b/>
          <w:bCs/>
          <w:sz w:val="24"/>
          <w:highlight w:val="none"/>
        </w:rPr>
        <w:t>二、申请人资格要求：</w:t>
      </w:r>
      <w:r>
        <w:rPr>
          <w:rFonts w:hint="eastAsia" w:ascii="宋体" w:hAnsi="宋体" w:cs="宋体"/>
          <w:sz w:val="24"/>
          <w:highlight w:val="none"/>
        </w:rPr>
        <w:t xml:space="preserve"> </w:t>
      </w:r>
    </w:p>
    <w:p w14:paraId="1DF4800E">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1、满足《中华人民共和国政府采购法》第二十二条规定</w:t>
      </w:r>
      <w:r>
        <w:rPr>
          <w:rFonts w:hint="eastAsia" w:ascii="宋体" w:hAnsi="宋体" w:cs="宋体"/>
          <w:sz w:val="24"/>
          <w:highlight w:val="none"/>
          <w:lang w:val="en-US" w:eastAsia="zh-CN"/>
        </w:rPr>
        <w:t>。</w:t>
      </w:r>
      <w:r>
        <w:rPr>
          <w:rFonts w:hint="eastAsia" w:ascii="宋体" w:hAnsi="宋体" w:cs="宋体"/>
          <w:sz w:val="24"/>
          <w:highlight w:val="none"/>
        </w:rPr>
        <w:t xml:space="preserve"> </w:t>
      </w:r>
    </w:p>
    <w:p w14:paraId="6A08FBB2">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2、落实政府采购政策满足的资格要求：无</w:t>
      </w:r>
      <w:r>
        <w:rPr>
          <w:rFonts w:hint="eastAsia" w:ascii="宋体" w:hAnsi="宋体" w:cs="宋体"/>
          <w:sz w:val="24"/>
          <w:highlight w:val="none"/>
          <w:lang w:eastAsia="zh-CN"/>
        </w:rPr>
        <w:t>。</w:t>
      </w:r>
      <w:r>
        <w:rPr>
          <w:rFonts w:hint="eastAsia" w:ascii="宋体" w:hAnsi="宋体" w:cs="宋体"/>
          <w:sz w:val="24"/>
          <w:highlight w:val="none"/>
        </w:rPr>
        <w:t xml:space="preserve"> </w:t>
      </w:r>
    </w:p>
    <w:p w14:paraId="4B52DAF0">
      <w:pPr>
        <w:shd w:val="clear" w:color="auto" w:fill="FFFFFF"/>
        <w:wordWrap w:val="0"/>
        <w:spacing w:line="360" w:lineRule="auto"/>
        <w:jc w:val="left"/>
        <w:outlineLvl w:val="2"/>
        <w:rPr>
          <w:rFonts w:hint="eastAsia" w:ascii="宋体" w:hAnsi="宋体" w:cs="宋体"/>
          <w:sz w:val="24"/>
          <w:highlight w:val="none"/>
        </w:rPr>
      </w:pPr>
      <w:r>
        <w:rPr>
          <w:rFonts w:hint="eastAsia" w:ascii="宋体" w:hAnsi="宋体" w:cs="宋体"/>
          <w:sz w:val="24"/>
          <w:highlight w:val="none"/>
        </w:rPr>
        <w:t xml:space="preserve">3、本项目的特定资格要求 </w:t>
      </w:r>
    </w:p>
    <w:p w14:paraId="7E18C0E9">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3.1在中华人民共和国境内注册，具有独立承担民事责任能力的法人或者其他组织或者自然人；提供有效的营业执照或其他有效的证明文件。</w:t>
      </w:r>
    </w:p>
    <w:p w14:paraId="3B4B323F">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3.2具有良好的商业信誉和健全的财务会计制度；提供2023年度或2024年度经审计的财务报告（成立时间不足一年的，可提供自成立以来经审计的财务报告或其基本开户银行出具的资信证明）。</w:t>
      </w:r>
    </w:p>
    <w:p w14:paraId="2EE1B436">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3.3具有履行合同所必需的设备和专业技术能力的证明文件</w:t>
      </w:r>
      <w:r>
        <w:rPr>
          <w:rFonts w:hint="eastAsia" w:ascii="宋体" w:hAnsi="宋体" w:cs="宋体"/>
          <w:sz w:val="24"/>
          <w:highlight w:val="none"/>
          <w:lang w:eastAsia="zh-CN"/>
        </w:rPr>
        <w:t>，</w:t>
      </w:r>
      <w:r>
        <w:rPr>
          <w:rFonts w:hint="eastAsia" w:ascii="宋体" w:hAnsi="宋体" w:cs="宋体"/>
          <w:sz w:val="24"/>
          <w:highlight w:val="none"/>
        </w:rPr>
        <w:t>格式自拟</w:t>
      </w:r>
      <w:r>
        <w:rPr>
          <w:rFonts w:hint="eastAsia" w:ascii="宋体" w:hAnsi="宋体" w:cs="宋体"/>
          <w:sz w:val="24"/>
          <w:highlight w:val="none"/>
          <w:lang w:val="en-US" w:eastAsia="zh-CN"/>
        </w:rPr>
        <w:t>加盖电子章</w:t>
      </w:r>
      <w:r>
        <w:rPr>
          <w:rFonts w:hint="eastAsia" w:ascii="宋体" w:hAnsi="宋体" w:cs="宋体"/>
          <w:sz w:val="24"/>
          <w:highlight w:val="none"/>
        </w:rPr>
        <w:t>。</w:t>
      </w:r>
    </w:p>
    <w:p w14:paraId="6596F31C">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3.4有依法缴纳税收和社会保障资金的相关材料；提供自202</w:t>
      </w:r>
      <w:r>
        <w:rPr>
          <w:rFonts w:hint="eastAsia" w:ascii="宋体" w:hAnsi="宋体" w:cs="宋体"/>
          <w:sz w:val="24"/>
          <w:highlight w:val="none"/>
          <w:lang w:val="en-US" w:eastAsia="zh-CN"/>
        </w:rPr>
        <w:t>5</w:t>
      </w:r>
      <w:r>
        <w:rPr>
          <w:rFonts w:hint="eastAsia" w:ascii="宋体" w:hAnsi="宋体" w:cs="宋体"/>
          <w:sz w:val="24"/>
          <w:highlight w:val="none"/>
        </w:rPr>
        <w:t>年</w:t>
      </w:r>
      <w:r>
        <w:rPr>
          <w:rFonts w:hint="eastAsia" w:ascii="宋体" w:hAnsi="宋体" w:cs="宋体"/>
          <w:sz w:val="24"/>
          <w:highlight w:val="none"/>
          <w:lang w:val="en-US" w:eastAsia="zh-CN"/>
        </w:rPr>
        <w:t>1</w:t>
      </w:r>
      <w:r>
        <w:rPr>
          <w:rFonts w:hint="eastAsia" w:ascii="宋体" w:hAnsi="宋体" w:cs="宋体"/>
          <w:sz w:val="24"/>
          <w:highlight w:val="none"/>
        </w:rPr>
        <w:t>月1日以来任意一个月的纳税证明和社保缴纳证明，依法免税或不需要缴纳社会保障资金的，应提供相应文件证明其依法免税或不需要缴纳社会保障资金。</w:t>
      </w:r>
    </w:p>
    <w:p w14:paraId="73269B31">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3.5参加政府采购活动前三年内，在经营活动中没有重大违法记录；提供声明函，格式自拟</w:t>
      </w:r>
      <w:r>
        <w:rPr>
          <w:rFonts w:hint="eastAsia" w:ascii="宋体" w:hAnsi="宋体" w:cs="宋体"/>
          <w:sz w:val="24"/>
          <w:highlight w:val="none"/>
          <w:lang w:val="en-US" w:eastAsia="zh-CN"/>
        </w:rPr>
        <w:t>加盖电子章</w:t>
      </w:r>
      <w:r>
        <w:rPr>
          <w:rFonts w:hint="eastAsia" w:ascii="宋体" w:hAnsi="宋体" w:cs="宋体"/>
          <w:sz w:val="24"/>
          <w:highlight w:val="none"/>
        </w:rPr>
        <w:t>。</w:t>
      </w:r>
    </w:p>
    <w:p w14:paraId="221A1C59">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rPr>
        <w:t>3.6投标货物须符合中华人民共和国国务院令第 739 号《医疗器械监督管理条例》 相关规定，取得医疗器械注册证或医疗器械产品相关备案凭证；</w:t>
      </w:r>
      <w:r>
        <w:rPr>
          <w:rFonts w:hint="eastAsia" w:ascii="宋体" w:hAnsi="宋体" w:cs="宋体"/>
          <w:color w:val="000000"/>
          <w:sz w:val="24"/>
          <w:highlight w:val="none"/>
        </w:rPr>
        <w:t>如为</w:t>
      </w:r>
      <w:r>
        <w:rPr>
          <w:rFonts w:hint="eastAsia" w:ascii="宋体" w:hAnsi="宋体" w:cs="宋体"/>
          <w:color w:val="000000"/>
          <w:sz w:val="24"/>
          <w:highlight w:val="none"/>
          <w:lang w:val="en-US" w:eastAsia="zh-CN"/>
        </w:rPr>
        <w:t>进口</w:t>
      </w:r>
      <w:r>
        <w:rPr>
          <w:rFonts w:hint="eastAsia" w:ascii="宋体" w:hAnsi="宋体" w:cs="宋体"/>
          <w:color w:val="000000"/>
          <w:sz w:val="24"/>
          <w:highlight w:val="none"/>
        </w:rPr>
        <w:t>产品，供应商须同时提供制造商或总经销商认可的产品授权书（有完整的授权链）</w:t>
      </w:r>
      <w:r>
        <w:rPr>
          <w:rFonts w:hint="eastAsia" w:ascii="宋体" w:hAnsi="宋体" w:cs="宋体"/>
          <w:color w:val="000000"/>
          <w:sz w:val="24"/>
          <w:highlight w:val="none"/>
          <w:lang w:eastAsia="zh-CN"/>
        </w:rPr>
        <w:t>。</w:t>
      </w:r>
      <w:r>
        <w:rPr>
          <w:rFonts w:hint="eastAsia" w:ascii="宋体" w:hAnsi="宋体" w:cs="宋体"/>
          <w:sz w:val="24"/>
          <w:highlight w:val="none"/>
          <w:lang w:val="en-US" w:eastAsia="zh-CN"/>
        </w:rPr>
        <w:t>（注：非医疗器械可不提供）</w:t>
      </w:r>
    </w:p>
    <w:p w14:paraId="7ED371D7">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3.7</w:t>
      </w:r>
      <w:r>
        <w:rPr>
          <w:rFonts w:hint="eastAsia" w:ascii="宋体" w:hAnsi="宋体" w:cs="宋体"/>
          <w:sz w:val="24"/>
          <w:highlight w:val="none"/>
          <w:lang w:eastAsia="zh-CN"/>
        </w:rPr>
        <w:t>供应商</w:t>
      </w:r>
      <w:r>
        <w:rPr>
          <w:rFonts w:hint="eastAsia" w:ascii="宋体" w:hAnsi="宋体" w:cs="宋体"/>
          <w:sz w:val="24"/>
          <w:highlight w:val="none"/>
        </w:rPr>
        <w:t>为代理商或经销商投标时须具有医疗器械经营许可证或医疗器械经营备案凭证（从事第一类医疗器械经营活动的除外）；</w:t>
      </w:r>
      <w:r>
        <w:rPr>
          <w:rFonts w:hint="eastAsia" w:ascii="宋体" w:hAnsi="宋体" w:cs="宋体"/>
          <w:sz w:val="24"/>
          <w:highlight w:val="none"/>
          <w:lang w:eastAsia="zh-CN"/>
        </w:rPr>
        <w:t>供应商</w:t>
      </w:r>
      <w:r>
        <w:rPr>
          <w:rFonts w:hint="eastAsia" w:ascii="宋体" w:hAnsi="宋体" w:cs="宋体"/>
          <w:sz w:val="24"/>
          <w:highlight w:val="none"/>
        </w:rPr>
        <w:t>为境内生产企业投标时须具有医疗器械生产许可证，医疗器械注册人、备案人经营其注册、备案的医疗器械，无需提供医疗器械经营许可或者备案相关资料，但应当符合医疗器械监督管理条例规定的经营条件；</w:t>
      </w:r>
      <w:r>
        <w:rPr>
          <w:rFonts w:hint="eastAsia" w:ascii="宋体" w:hAnsi="宋体" w:cs="宋体"/>
          <w:sz w:val="24"/>
          <w:highlight w:val="none"/>
          <w:lang w:val="en-US" w:eastAsia="zh-CN"/>
        </w:rPr>
        <w:t>（注：非医疗器械可不提供）</w:t>
      </w:r>
    </w:p>
    <w:p w14:paraId="05931685">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3.8根据《关于在政府采购活动中查询及使用信用记录有关问题的通知》(财库(2016)125号)的要求，对列入失信被执行人、重大税收违法失信主体、政府采购严重违法失信行为记录名单的供应商，拒绝参与本项目政府采购活动。【查询渠道：“信用中国网站跳转至中国执行信息公开网 ( http://zxgk.court.gov.cn/ )-失信被执行人”“信用中国网站 ；(https://www.creditchina.gov.cn/)-重大税收违法失信主体”“中国政府采购网(http://www.ccgp.gov.cn/)-政府采购严重违法失信行为记录名单”】</w:t>
      </w:r>
    </w:p>
    <w:p w14:paraId="4E3992F0">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注：采购代理机构在开标当天将对所有参与本项目投标的供应商的信用情况进行查询、打印留存。若在资格审查时查询到供应商有不良信用记录的，则该供应商为无效供应商。</w:t>
      </w:r>
    </w:p>
    <w:p w14:paraId="5CE8CBC4">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3.9单位负责人为同一人或者存在直接控股、管理关系的不同供应商，不得参加同一合同项下的政府采购活动；提供投标供应商在“国家企业信用信息公示系统”中公示的公司基本信息、股东及出资信息、主要人员信息的截图（</w:t>
      </w:r>
      <w:r>
        <w:rPr>
          <w:rFonts w:hint="eastAsia" w:ascii="宋体" w:hAnsi="宋体" w:cs="宋体"/>
          <w:sz w:val="24"/>
          <w:highlight w:val="none"/>
          <w:lang w:eastAsia="zh-CN"/>
        </w:rPr>
        <w:t>网页截图并加盖投标单位电子章，供应商若为事业单位无法在该公示系统查询的，则针对此项做出书面承诺，格式自拟并加盖电子章</w:t>
      </w:r>
      <w:r>
        <w:rPr>
          <w:rFonts w:hint="eastAsia" w:ascii="宋体" w:hAnsi="宋体" w:cs="宋体"/>
          <w:sz w:val="24"/>
          <w:highlight w:val="none"/>
        </w:rPr>
        <w:t>）。</w:t>
      </w:r>
    </w:p>
    <w:p w14:paraId="6E4AD34B">
      <w:pPr>
        <w:shd w:val="clear" w:color="auto" w:fill="FFFFFF"/>
        <w:wordWrap w:val="0"/>
        <w:spacing w:line="360" w:lineRule="auto"/>
        <w:jc w:val="left"/>
        <w:outlineLvl w:val="1"/>
        <w:rPr>
          <w:rFonts w:hint="eastAsia" w:ascii="宋体" w:hAnsi="宋体" w:cs="宋体"/>
          <w:b/>
          <w:bCs/>
          <w:sz w:val="24"/>
          <w:highlight w:val="none"/>
        </w:rPr>
      </w:pPr>
      <w:r>
        <w:rPr>
          <w:rFonts w:hint="eastAsia" w:ascii="宋体" w:hAnsi="宋体" w:cs="宋体"/>
          <w:b/>
          <w:bCs/>
          <w:sz w:val="24"/>
          <w:highlight w:val="none"/>
        </w:rPr>
        <w:t xml:space="preserve">三、获取招标文件 </w:t>
      </w:r>
    </w:p>
    <w:p w14:paraId="7E458103">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1.时间：202</w:t>
      </w:r>
      <w:r>
        <w:rPr>
          <w:rFonts w:hint="eastAsia" w:ascii="宋体" w:hAnsi="宋体" w:cs="宋体"/>
          <w:sz w:val="24"/>
          <w:highlight w:val="none"/>
          <w:lang w:val="en-US" w:eastAsia="zh-CN"/>
        </w:rPr>
        <w:t>5</w:t>
      </w:r>
      <w:r>
        <w:rPr>
          <w:rFonts w:hint="eastAsia" w:ascii="宋体" w:hAnsi="宋体" w:cs="宋体"/>
          <w:sz w:val="24"/>
          <w:highlight w:val="none"/>
        </w:rPr>
        <w:t>年</w:t>
      </w:r>
      <w:r>
        <w:rPr>
          <w:rFonts w:hint="eastAsia" w:ascii="宋体" w:hAnsi="宋体" w:cs="宋体"/>
          <w:sz w:val="24"/>
          <w:highlight w:val="none"/>
          <w:lang w:val="en-US" w:eastAsia="zh-CN"/>
        </w:rPr>
        <w:t>7</w:t>
      </w:r>
      <w:r>
        <w:rPr>
          <w:rFonts w:hint="eastAsia" w:ascii="宋体" w:hAnsi="宋体" w:cs="宋体"/>
          <w:sz w:val="24"/>
          <w:highlight w:val="none"/>
        </w:rPr>
        <w:t>月</w:t>
      </w:r>
      <w:r>
        <w:rPr>
          <w:rFonts w:hint="eastAsia" w:ascii="宋体" w:hAnsi="宋体" w:cs="宋体"/>
          <w:sz w:val="24"/>
          <w:highlight w:val="none"/>
          <w:lang w:val="en-US" w:eastAsia="zh-CN"/>
        </w:rPr>
        <w:t>24</w:t>
      </w:r>
      <w:r>
        <w:rPr>
          <w:rFonts w:hint="eastAsia" w:ascii="宋体" w:hAnsi="宋体" w:cs="宋体"/>
          <w:sz w:val="24"/>
          <w:highlight w:val="none"/>
        </w:rPr>
        <w:t>日至202</w:t>
      </w:r>
      <w:r>
        <w:rPr>
          <w:rFonts w:hint="eastAsia" w:ascii="宋体" w:hAnsi="宋体" w:cs="宋体"/>
          <w:sz w:val="24"/>
          <w:highlight w:val="none"/>
          <w:lang w:val="en-US" w:eastAsia="zh-CN"/>
        </w:rPr>
        <w:t>5</w:t>
      </w:r>
      <w:r>
        <w:rPr>
          <w:rFonts w:hint="eastAsia" w:ascii="宋体" w:hAnsi="宋体" w:cs="宋体"/>
          <w:sz w:val="24"/>
          <w:highlight w:val="none"/>
        </w:rPr>
        <w:t>年</w:t>
      </w:r>
      <w:r>
        <w:rPr>
          <w:rFonts w:hint="eastAsia" w:ascii="宋体" w:hAnsi="宋体" w:cs="宋体"/>
          <w:sz w:val="24"/>
          <w:highlight w:val="none"/>
          <w:lang w:val="en-US" w:eastAsia="zh-CN"/>
        </w:rPr>
        <w:t>7</w:t>
      </w:r>
      <w:r>
        <w:rPr>
          <w:rFonts w:hint="eastAsia" w:ascii="宋体" w:hAnsi="宋体" w:cs="宋体"/>
          <w:sz w:val="24"/>
          <w:highlight w:val="none"/>
        </w:rPr>
        <w:t>月</w:t>
      </w:r>
      <w:r>
        <w:rPr>
          <w:rFonts w:hint="eastAsia" w:ascii="宋体" w:hAnsi="宋体" w:cs="宋体"/>
          <w:sz w:val="24"/>
          <w:highlight w:val="none"/>
          <w:lang w:val="en-US" w:eastAsia="zh-CN"/>
        </w:rPr>
        <w:t>30</w:t>
      </w:r>
      <w:r>
        <w:rPr>
          <w:rFonts w:hint="eastAsia" w:ascii="宋体" w:hAnsi="宋体" w:cs="宋体"/>
          <w:sz w:val="24"/>
          <w:highlight w:val="none"/>
        </w:rPr>
        <w:t xml:space="preserve">日，每天上午00:00至12:00，下午12:00至23:59（北京时间，法定节假日除外） </w:t>
      </w:r>
    </w:p>
    <w:p w14:paraId="0568D71D">
      <w:pPr>
        <w:shd w:val="clear" w:color="auto" w:fill="FFFFFF"/>
        <w:wordWrap w:val="0"/>
        <w:spacing w:line="360" w:lineRule="auto"/>
        <w:jc w:val="left"/>
        <w:outlineLvl w:val="2"/>
        <w:rPr>
          <w:rFonts w:hint="eastAsia" w:ascii="宋体" w:hAnsi="宋体" w:cs="宋体"/>
          <w:sz w:val="24"/>
          <w:highlight w:val="none"/>
        </w:rPr>
      </w:pPr>
      <w:r>
        <w:rPr>
          <w:rFonts w:hint="eastAsia" w:ascii="宋体" w:hAnsi="宋体" w:cs="宋体"/>
          <w:sz w:val="24"/>
          <w:highlight w:val="none"/>
        </w:rPr>
        <w:t xml:space="preserve">2.地点：河南省公共资源交易中心网站下载 </w:t>
      </w:r>
    </w:p>
    <w:p w14:paraId="49441119">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3.方式：市场主体需要完成CA数字证书办理，凭CA密钥登陆河南省公共资源交易中心系统并在规定时间内按网上提示下载招标文件，获取招标文件后，</w:t>
      </w:r>
      <w:r>
        <w:rPr>
          <w:rFonts w:hint="eastAsia" w:ascii="宋体" w:hAnsi="宋体" w:cs="宋体"/>
          <w:sz w:val="24"/>
          <w:highlight w:val="none"/>
          <w:lang w:eastAsia="zh-CN"/>
        </w:rPr>
        <w:t>供应商</w:t>
      </w:r>
      <w:r>
        <w:rPr>
          <w:rFonts w:hint="eastAsia" w:ascii="宋体" w:hAnsi="宋体" w:cs="宋体"/>
          <w:sz w:val="24"/>
          <w:highlight w:val="none"/>
        </w:rPr>
        <w:t>请到河南省公共资源交易中心网站下载最新版本的投标文件制作工具安装包，并使用安装后的最新版本投标文件制作工具制作电子投标文件</w:t>
      </w:r>
      <w:r>
        <w:rPr>
          <w:rFonts w:hint="eastAsia" w:ascii="宋体" w:hAnsi="宋体" w:cs="宋体"/>
          <w:sz w:val="24"/>
          <w:highlight w:val="none"/>
          <w:lang w:eastAsia="zh-CN"/>
        </w:rPr>
        <w:t>。</w:t>
      </w:r>
      <w:r>
        <w:rPr>
          <w:rFonts w:hint="eastAsia" w:ascii="宋体" w:hAnsi="宋体" w:cs="宋体"/>
          <w:sz w:val="24"/>
          <w:highlight w:val="none"/>
        </w:rPr>
        <w:t xml:space="preserve"> </w:t>
      </w:r>
    </w:p>
    <w:p w14:paraId="46EA7BEE">
      <w:pPr>
        <w:shd w:val="clear" w:color="auto" w:fill="FFFFFF"/>
        <w:wordWrap w:val="0"/>
        <w:spacing w:line="360" w:lineRule="auto"/>
        <w:jc w:val="left"/>
        <w:outlineLvl w:val="2"/>
        <w:rPr>
          <w:rFonts w:hint="eastAsia" w:ascii="宋体" w:hAnsi="宋体" w:cs="宋体"/>
          <w:sz w:val="24"/>
          <w:highlight w:val="none"/>
        </w:rPr>
      </w:pPr>
      <w:r>
        <w:rPr>
          <w:rFonts w:hint="eastAsia" w:ascii="宋体" w:hAnsi="宋体" w:cs="宋体"/>
          <w:sz w:val="24"/>
          <w:highlight w:val="none"/>
        </w:rPr>
        <w:t xml:space="preserve">4.售价：0元 </w:t>
      </w:r>
    </w:p>
    <w:p w14:paraId="456D29A7">
      <w:pPr>
        <w:numPr>
          <w:ilvl w:val="0"/>
          <w:numId w:val="23"/>
        </w:numPr>
        <w:shd w:val="clear" w:color="auto" w:fill="FFFFFF"/>
        <w:wordWrap w:val="0"/>
        <w:spacing w:line="360" w:lineRule="auto"/>
        <w:jc w:val="left"/>
        <w:outlineLvl w:val="1"/>
        <w:rPr>
          <w:rFonts w:hint="eastAsia" w:ascii="宋体" w:hAnsi="宋体" w:cs="宋体"/>
          <w:b/>
          <w:bCs/>
          <w:sz w:val="24"/>
          <w:highlight w:val="none"/>
        </w:rPr>
      </w:pPr>
      <w:r>
        <w:rPr>
          <w:rFonts w:hint="eastAsia" w:ascii="宋体" w:hAnsi="宋体" w:cs="宋体"/>
          <w:b/>
          <w:bCs/>
          <w:sz w:val="24"/>
          <w:highlight w:val="none"/>
        </w:rPr>
        <w:t xml:space="preserve">投标截止时间及地点 </w:t>
      </w:r>
    </w:p>
    <w:p w14:paraId="505FF10E">
      <w:pPr>
        <w:shd w:val="clear" w:color="auto" w:fill="FFFFFF"/>
        <w:wordWrap w:val="0"/>
        <w:spacing w:line="360" w:lineRule="auto"/>
        <w:jc w:val="left"/>
        <w:outlineLvl w:val="2"/>
        <w:rPr>
          <w:rFonts w:hint="eastAsia" w:ascii="宋体" w:hAnsi="宋体" w:cs="宋体"/>
          <w:sz w:val="24"/>
          <w:highlight w:val="none"/>
        </w:rPr>
      </w:pPr>
      <w:r>
        <w:rPr>
          <w:rFonts w:hint="eastAsia" w:ascii="宋体" w:hAnsi="宋体" w:cs="宋体"/>
          <w:sz w:val="24"/>
          <w:highlight w:val="none"/>
        </w:rPr>
        <w:t>1.时间：</w:t>
      </w:r>
      <w:r>
        <w:rPr>
          <w:rFonts w:hint="eastAsia" w:ascii="宋体" w:hAnsi="宋体" w:cs="宋体"/>
          <w:sz w:val="24"/>
          <w:highlight w:val="none"/>
          <w:lang w:eastAsia="zh-CN"/>
        </w:rPr>
        <w:t>2025年</w:t>
      </w:r>
      <w:r>
        <w:rPr>
          <w:rFonts w:hint="eastAsia" w:ascii="宋体" w:hAnsi="宋体" w:cs="宋体"/>
          <w:sz w:val="24"/>
          <w:highlight w:val="none"/>
          <w:lang w:val="en-US" w:eastAsia="zh-CN"/>
        </w:rPr>
        <w:t>08</w:t>
      </w:r>
      <w:r>
        <w:rPr>
          <w:rFonts w:hint="eastAsia" w:ascii="宋体" w:hAnsi="宋体" w:cs="宋体"/>
          <w:sz w:val="24"/>
          <w:highlight w:val="none"/>
          <w:lang w:eastAsia="zh-CN"/>
        </w:rPr>
        <w:t>月</w:t>
      </w:r>
      <w:r>
        <w:rPr>
          <w:rFonts w:hint="eastAsia" w:ascii="宋体" w:hAnsi="宋体" w:cs="宋体"/>
          <w:sz w:val="24"/>
          <w:highlight w:val="none"/>
          <w:lang w:val="en-US" w:eastAsia="zh-CN"/>
        </w:rPr>
        <w:t>13</w:t>
      </w:r>
      <w:r>
        <w:rPr>
          <w:rFonts w:hint="eastAsia" w:ascii="宋体" w:hAnsi="宋体" w:cs="宋体"/>
          <w:sz w:val="24"/>
          <w:highlight w:val="none"/>
          <w:lang w:eastAsia="zh-CN"/>
        </w:rPr>
        <w:t>日</w:t>
      </w:r>
      <w:r>
        <w:rPr>
          <w:rFonts w:hint="eastAsia" w:ascii="宋体" w:hAnsi="宋体" w:cs="宋体"/>
          <w:sz w:val="24"/>
          <w:highlight w:val="none"/>
        </w:rPr>
        <w:t xml:space="preserve">09时00分（北京时间） </w:t>
      </w:r>
    </w:p>
    <w:p w14:paraId="61186B12">
      <w:pPr>
        <w:shd w:val="clear" w:color="auto" w:fill="FFFFFF"/>
        <w:wordWrap w:val="0"/>
        <w:spacing w:line="360" w:lineRule="auto"/>
        <w:jc w:val="left"/>
        <w:rPr>
          <w:rFonts w:hint="eastAsia"/>
          <w:highlight w:val="none"/>
        </w:rPr>
      </w:pPr>
      <w:r>
        <w:rPr>
          <w:rFonts w:hint="eastAsia" w:ascii="宋体" w:hAnsi="宋体" w:cs="宋体"/>
          <w:sz w:val="24"/>
          <w:highlight w:val="none"/>
        </w:rPr>
        <w:t>2.地点：加密电子投标文件须在投标截止时间前通过“河南省公共资源交易中心网站（</w:t>
      </w:r>
      <w:r>
        <w:rPr>
          <w:rFonts w:hint="eastAsia" w:ascii="宋体" w:hAnsi="宋体" w:cs="宋体"/>
          <w:sz w:val="24"/>
          <w:highlight w:val="none"/>
          <w:lang w:eastAsia="zh-CN"/>
        </w:rPr>
        <w:t xml:space="preserve">http://hnsggzyjy.henan.gov.cn/ </w:t>
      </w:r>
      <w:r>
        <w:rPr>
          <w:rFonts w:hint="eastAsia" w:ascii="宋体" w:hAnsi="宋体" w:cs="宋体"/>
          <w:sz w:val="24"/>
          <w:highlight w:val="none"/>
        </w:rPr>
        <w:t>）”电子交易平台加密上传。逾期上传的投标文件，采购人不予受理</w:t>
      </w:r>
      <w:r>
        <w:rPr>
          <w:rFonts w:hint="eastAsia" w:ascii="宋体" w:hAnsi="宋体" w:cs="宋体"/>
          <w:sz w:val="24"/>
          <w:highlight w:val="none"/>
          <w:lang w:eastAsia="zh-CN"/>
        </w:rPr>
        <w:t>。</w:t>
      </w:r>
      <w:r>
        <w:rPr>
          <w:rFonts w:hint="eastAsia" w:ascii="宋体" w:hAnsi="宋体" w:cs="宋体"/>
          <w:sz w:val="24"/>
          <w:highlight w:val="none"/>
        </w:rPr>
        <w:t xml:space="preserve"> </w:t>
      </w:r>
    </w:p>
    <w:p w14:paraId="6FE38800">
      <w:pPr>
        <w:shd w:val="clear" w:color="auto" w:fill="FFFFFF"/>
        <w:wordWrap w:val="0"/>
        <w:spacing w:line="360" w:lineRule="auto"/>
        <w:jc w:val="left"/>
        <w:outlineLvl w:val="1"/>
        <w:rPr>
          <w:rFonts w:hint="eastAsia" w:ascii="宋体" w:hAnsi="宋体" w:cs="宋体"/>
          <w:b/>
          <w:bCs/>
          <w:sz w:val="24"/>
          <w:highlight w:val="none"/>
        </w:rPr>
      </w:pPr>
      <w:r>
        <w:rPr>
          <w:rFonts w:hint="eastAsia" w:ascii="宋体" w:hAnsi="宋体" w:cs="宋体"/>
          <w:b/>
          <w:bCs/>
          <w:sz w:val="24"/>
          <w:highlight w:val="none"/>
        </w:rPr>
        <w:t xml:space="preserve">五、开标时间及地点 </w:t>
      </w:r>
    </w:p>
    <w:p w14:paraId="10A9AD73">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1.时间：</w:t>
      </w:r>
      <w:r>
        <w:rPr>
          <w:rFonts w:hint="eastAsia" w:ascii="宋体" w:hAnsi="宋体" w:cs="宋体"/>
          <w:sz w:val="24"/>
          <w:highlight w:val="none"/>
          <w:lang w:eastAsia="zh-CN"/>
        </w:rPr>
        <w:t>2025年</w:t>
      </w:r>
      <w:r>
        <w:rPr>
          <w:rFonts w:hint="eastAsia" w:ascii="宋体" w:hAnsi="宋体" w:cs="宋体"/>
          <w:sz w:val="24"/>
          <w:highlight w:val="none"/>
          <w:lang w:val="en-US" w:eastAsia="zh-CN"/>
        </w:rPr>
        <w:t>08</w:t>
      </w:r>
      <w:r>
        <w:rPr>
          <w:rFonts w:hint="eastAsia" w:ascii="宋体" w:hAnsi="宋体" w:cs="宋体"/>
          <w:sz w:val="24"/>
          <w:highlight w:val="none"/>
          <w:lang w:eastAsia="zh-CN"/>
        </w:rPr>
        <w:t>月</w:t>
      </w:r>
      <w:r>
        <w:rPr>
          <w:rFonts w:hint="eastAsia" w:ascii="宋体" w:hAnsi="宋体" w:cs="宋体"/>
          <w:sz w:val="24"/>
          <w:highlight w:val="none"/>
          <w:lang w:val="en-US" w:eastAsia="zh-CN"/>
        </w:rPr>
        <w:t>13</w:t>
      </w:r>
      <w:r>
        <w:rPr>
          <w:rFonts w:hint="eastAsia" w:ascii="宋体" w:hAnsi="宋体" w:cs="宋体"/>
          <w:sz w:val="24"/>
          <w:highlight w:val="none"/>
          <w:lang w:eastAsia="zh-CN"/>
        </w:rPr>
        <w:t>日09时00分</w:t>
      </w:r>
      <w:r>
        <w:rPr>
          <w:rFonts w:hint="eastAsia" w:ascii="宋体" w:hAnsi="宋体" w:cs="宋体"/>
          <w:sz w:val="24"/>
          <w:highlight w:val="none"/>
        </w:rPr>
        <w:t xml:space="preserve">（北京时间） </w:t>
      </w:r>
    </w:p>
    <w:p w14:paraId="527D6D98">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2.地点：</w:t>
      </w:r>
      <w:r>
        <w:rPr>
          <w:rFonts w:hint="eastAsia" w:ascii="宋体" w:hAnsi="宋体" w:eastAsia="宋体" w:cs="宋体"/>
          <w:spacing w:val="-2"/>
          <w:sz w:val="24"/>
          <w:szCs w:val="24"/>
          <w:highlight w:val="none"/>
        </w:rPr>
        <w:t>河南省公共资源交易中心远程开标室(</w:t>
      </w:r>
      <w:r>
        <w:rPr>
          <w:rFonts w:hint="eastAsia" w:ascii="宋体" w:hAnsi="宋体" w:cs="宋体"/>
          <w:spacing w:val="-2"/>
          <w:sz w:val="24"/>
          <w:szCs w:val="24"/>
          <w:highlight w:val="none"/>
          <w:lang w:val="en-US" w:eastAsia="zh-CN"/>
        </w:rPr>
        <w:t>三</w:t>
      </w:r>
      <w:r>
        <w:rPr>
          <w:rFonts w:hint="eastAsia" w:ascii="宋体" w:hAnsi="宋体" w:eastAsia="宋体" w:cs="宋体"/>
          <w:spacing w:val="-2"/>
          <w:sz w:val="24"/>
          <w:szCs w:val="24"/>
          <w:highlight w:val="none"/>
        </w:rPr>
        <w:t>)-</w:t>
      </w:r>
      <w:r>
        <w:rPr>
          <w:rFonts w:hint="eastAsia" w:ascii="宋体" w:hAnsi="宋体" w:cs="宋体"/>
          <w:spacing w:val="-2"/>
          <w:sz w:val="24"/>
          <w:szCs w:val="24"/>
          <w:highlight w:val="none"/>
          <w:lang w:val="en-US" w:eastAsia="zh-CN"/>
        </w:rPr>
        <w:t>6</w:t>
      </w:r>
      <w:r>
        <w:rPr>
          <w:rFonts w:hint="eastAsia" w:ascii="宋体" w:hAnsi="宋体" w:eastAsia="宋体" w:cs="宋体"/>
          <w:color w:val="0000FF"/>
          <w:spacing w:val="-3"/>
          <w:sz w:val="24"/>
          <w:szCs w:val="24"/>
          <w:highlight w:val="none"/>
        </w:rPr>
        <w:t>，</w:t>
      </w:r>
      <w:r>
        <w:rPr>
          <w:rFonts w:hint="eastAsia" w:ascii="宋体" w:hAnsi="宋体" w:eastAsia="宋体" w:cs="宋体"/>
          <w:spacing w:val="-3"/>
          <w:sz w:val="24"/>
          <w:szCs w:val="24"/>
          <w:highlight w:val="none"/>
        </w:rPr>
        <w:t>郑州市经二路</w:t>
      </w:r>
      <w:r>
        <w:rPr>
          <w:rFonts w:hint="eastAsia" w:ascii="宋体" w:hAnsi="宋体" w:eastAsia="宋体" w:cs="宋体"/>
          <w:spacing w:val="-32"/>
          <w:sz w:val="24"/>
          <w:szCs w:val="24"/>
          <w:highlight w:val="none"/>
        </w:rPr>
        <w:t xml:space="preserve"> </w:t>
      </w:r>
      <w:r>
        <w:rPr>
          <w:rFonts w:hint="eastAsia" w:ascii="宋体" w:hAnsi="宋体" w:eastAsia="宋体" w:cs="宋体"/>
          <w:spacing w:val="-3"/>
          <w:sz w:val="24"/>
          <w:szCs w:val="24"/>
          <w:highlight w:val="none"/>
        </w:rPr>
        <w:t>12</w:t>
      </w:r>
      <w:r>
        <w:rPr>
          <w:rFonts w:hint="eastAsia" w:ascii="宋体" w:hAnsi="宋体" w:eastAsia="宋体" w:cs="宋体"/>
          <w:spacing w:val="-45"/>
          <w:sz w:val="24"/>
          <w:szCs w:val="24"/>
          <w:highlight w:val="none"/>
        </w:rPr>
        <w:t xml:space="preserve"> </w:t>
      </w:r>
      <w:r>
        <w:rPr>
          <w:rFonts w:hint="eastAsia" w:ascii="宋体" w:hAnsi="宋体" w:eastAsia="宋体" w:cs="宋体"/>
          <w:spacing w:val="-3"/>
          <w:sz w:val="24"/>
          <w:szCs w:val="24"/>
          <w:highlight w:val="none"/>
        </w:rPr>
        <w:t>号（经二路与纬四</w:t>
      </w:r>
      <w:r>
        <w:rPr>
          <w:rFonts w:hint="eastAsia" w:ascii="宋体" w:hAnsi="宋体" w:eastAsia="宋体" w:cs="宋体"/>
          <w:spacing w:val="-7"/>
          <w:sz w:val="24"/>
          <w:szCs w:val="24"/>
          <w:highlight w:val="none"/>
        </w:rPr>
        <w:t>路向南</w:t>
      </w:r>
      <w:r>
        <w:rPr>
          <w:rFonts w:hint="eastAsia" w:ascii="宋体" w:hAnsi="宋体" w:eastAsia="宋体" w:cs="宋体"/>
          <w:spacing w:val="-38"/>
          <w:sz w:val="24"/>
          <w:szCs w:val="24"/>
          <w:highlight w:val="none"/>
        </w:rPr>
        <w:t xml:space="preserve"> </w:t>
      </w:r>
      <w:r>
        <w:rPr>
          <w:rFonts w:hint="eastAsia" w:ascii="宋体" w:hAnsi="宋体" w:eastAsia="宋体" w:cs="宋体"/>
          <w:spacing w:val="-7"/>
          <w:sz w:val="24"/>
          <w:szCs w:val="24"/>
          <w:highlight w:val="none"/>
        </w:rPr>
        <w:t>50</w:t>
      </w:r>
      <w:r>
        <w:rPr>
          <w:rFonts w:hint="eastAsia" w:ascii="宋体" w:hAnsi="宋体" w:eastAsia="宋体" w:cs="宋体"/>
          <w:spacing w:val="-50"/>
          <w:sz w:val="24"/>
          <w:szCs w:val="24"/>
          <w:highlight w:val="none"/>
        </w:rPr>
        <w:t xml:space="preserve"> </w:t>
      </w:r>
      <w:r>
        <w:rPr>
          <w:rFonts w:hint="eastAsia" w:ascii="宋体" w:hAnsi="宋体" w:eastAsia="宋体" w:cs="宋体"/>
          <w:spacing w:val="-7"/>
          <w:sz w:val="24"/>
          <w:szCs w:val="24"/>
          <w:highlight w:val="none"/>
        </w:rPr>
        <w:t>米路西）</w:t>
      </w:r>
    </w:p>
    <w:p w14:paraId="4D1D2BC5">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注意事项：（1）本项目采用不见面开标，</w:t>
      </w:r>
      <w:r>
        <w:rPr>
          <w:rFonts w:hint="eastAsia" w:ascii="宋体" w:hAnsi="宋体" w:cs="宋体"/>
          <w:sz w:val="24"/>
          <w:highlight w:val="none"/>
          <w:lang w:eastAsia="zh-CN"/>
        </w:rPr>
        <w:t>供应商</w:t>
      </w:r>
      <w:r>
        <w:rPr>
          <w:rFonts w:hint="eastAsia" w:ascii="宋体" w:hAnsi="宋体" w:cs="宋体"/>
          <w:sz w:val="24"/>
          <w:highlight w:val="none"/>
          <w:lang w:val="en-US" w:eastAsia="zh-CN"/>
        </w:rPr>
        <w:t>无需</w:t>
      </w:r>
      <w:r>
        <w:rPr>
          <w:rFonts w:hint="eastAsia" w:ascii="宋体" w:hAnsi="宋体" w:cs="宋体"/>
          <w:sz w:val="24"/>
          <w:highlight w:val="none"/>
        </w:rPr>
        <w:t>到开标现场解密。不见面服务的具体事宜请查阅河南省公共资源交易中心网站。（2）</w:t>
      </w:r>
      <w:r>
        <w:rPr>
          <w:rFonts w:hint="eastAsia" w:ascii="宋体" w:hAnsi="宋体" w:cs="宋体"/>
          <w:sz w:val="24"/>
          <w:highlight w:val="none"/>
          <w:lang w:eastAsia="zh-CN"/>
        </w:rPr>
        <w:t>供应商</w:t>
      </w:r>
      <w:r>
        <w:rPr>
          <w:rFonts w:hint="eastAsia" w:ascii="宋体" w:hAnsi="宋体" w:cs="宋体"/>
          <w:sz w:val="24"/>
          <w:highlight w:val="none"/>
        </w:rPr>
        <w:t xml:space="preserve">未在规定时间解密的，其投标文件采购人将拒绝接收。 </w:t>
      </w:r>
    </w:p>
    <w:p w14:paraId="7543F76D">
      <w:pPr>
        <w:shd w:val="clear" w:color="auto" w:fill="FFFFFF"/>
        <w:wordWrap w:val="0"/>
        <w:spacing w:line="360" w:lineRule="auto"/>
        <w:jc w:val="left"/>
        <w:outlineLvl w:val="1"/>
        <w:rPr>
          <w:rFonts w:hint="eastAsia" w:ascii="宋体" w:hAnsi="宋体" w:cs="宋体"/>
          <w:b/>
          <w:bCs/>
          <w:sz w:val="24"/>
          <w:highlight w:val="none"/>
        </w:rPr>
      </w:pPr>
      <w:r>
        <w:rPr>
          <w:rFonts w:hint="eastAsia" w:ascii="宋体" w:hAnsi="宋体" w:cs="宋体"/>
          <w:b/>
          <w:bCs/>
          <w:sz w:val="24"/>
          <w:highlight w:val="none"/>
        </w:rPr>
        <w:t xml:space="preserve">六、发布公告的媒介及招标公告期限 </w:t>
      </w:r>
    </w:p>
    <w:p w14:paraId="09676F89">
      <w:pPr>
        <w:shd w:val="clear" w:color="auto" w:fill="FFFFFF"/>
        <w:wordWrap w:val="0"/>
        <w:spacing w:line="360" w:lineRule="auto"/>
        <w:jc w:val="left"/>
        <w:rPr>
          <w:rFonts w:hint="eastAsia"/>
          <w:highlight w:val="none"/>
        </w:rPr>
      </w:pPr>
      <w:r>
        <w:rPr>
          <w:rFonts w:hint="eastAsia" w:ascii="宋体" w:hAnsi="宋体" w:cs="宋体"/>
          <w:sz w:val="24"/>
          <w:highlight w:val="none"/>
        </w:rPr>
        <w:t>本次招标公告在《河南省政府采购网》《河南省公共资源交易中心网》《中国招标投标公共服务平台》《新乡医学院第一附属医院官网》上发布，招标公告期限为五个工作日。</w:t>
      </w:r>
    </w:p>
    <w:p w14:paraId="5FEADF74">
      <w:pPr>
        <w:shd w:val="clear" w:color="auto" w:fill="FFFFFF"/>
        <w:wordWrap w:val="0"/>
        <w:spacing w:line="360" w:lineRule="auto"/>
        <w:jc w:val="left"/>
        <w:outlineLvl w:val="1"/>
        <w:rPr>
          <w:rFonts w:hint="eastAsia" w:ascii="宋体" w:hAnsi="宋体" w:cs="宋体"/>
          <w:b/>
          <w:bCs/>
          <w:sz w:val="24"/>
          <w:highlight w:val="none"/>
        </w:rPr>
      </w:pPr>
      <w:r>
        <w:rPr>
          <w:rFonts w:hint="eastAsia" w:ascii="宋体" w:hAnsi="宋体" w:cs="宋体"/>
          <w:b/>
          <w:bCs/>
          <w:sz w:val="24"/>
          <w:highlight w:val="none"/>
        </w:rPr>
        <w:t xml:space="preserve">七、其他补充事宜 </w:t>
      </w:r>
    </w:p>
    <w:p w14:paraId="281A926C">
      <w:pPr>
        <w:shd w:val="clear" w:color="auto" w:fill="FFFFFF"/>
        <w:wordWrap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w:t>
      </w:r>
      <w:r>
        <w:rPr>
          <w:rFonts w:hint="eastAsia" w:ascii="宋体" w:hAnsi="宋体" w:eastAsia="宋体" w:cs="宋体"/>
          <w:sz w:val="24"/>
          <w:highlight w:val="none"/>
        </w:rPr>
        <w:t>执行《政府采购促进中小企业发展管理办法》（财库〔2020〕46号）；</w:t>
      </w:r>
    </w:p>
    <w:p w14:paraId="143F1B29">
      <w:pPr>
        <w:shd w:val="clear" w:color="auto" w:fill="FFFFFF"/>
        <w:wordWrap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eastAsia="zh-CN"/>
        </w:rPr>
        <w:t>.</w:t>
      </w:r>
      <w:r>
        <w:rPr>
          <w:rFonts w:hint="eastAsia" w:ascii="宋体" w:hAnsi="宋体" w:eastAsia="宋体" w:cs="宋体"/>
          <w:sz w:val="24"/>
          <w:highlight w:val="none"/>
        </w:rPr>
        <w:t>执行《关于进一步加大政府采购支持中小企业力度的通知》（财库〔2022〕19号）；</w:t>
      </w:r>
    </w:p>
    <w:p w14:paraId="489A8E9B">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eastAsia="zh-CN"/>
        </w:rPr>
        <w:t>.</w:t>
      </w:r>
      <w:r>
        <w:rPr>
          <w:rFonts w:hint="eastAsia" w:ascii="宋体" w:hAnsi="宋体" w:eastAsia="宋体" w:cs="宋体"/>
          <w:sz w:val="24"/>
          <w:highlight w:val="none"/>
        </w:rPr>
        <w:t>执行《河南省财政厅关于进一步做好政府采购支持中小企业发展有关事项的通知》（豫财购〔2022〕5号）</w:t>
      </w:r>
      <w:r>
        <w:rPr>
          <w:rFonts w:hint="eastAsia" w:ascii="宋体" w:hAnsi="宋体" w:eastAsia="宋体" w:cs="宋体"/>
          <w:sz w:val="24"/>
          <w:highlight w:val="none"/>
          <w:lang w:eastAsia="zh-CN"/>
        </w:rPr>
        <w:t>；</w:t>
      </w:r>
    </w:p>
    <w:p w14:paraId="30FB6681">
      <w:pPr>
        <w:shd w:val="clear" w:color="auto" w:fill="FFFFFF"/>
        <w:wordWrap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lang w:eastAsia="zh-CN"/>
        </w:rPr>
        <w:t>.</w:t>
      </w:r>
      <w:r>
        <w:rPr>
          <w:rFonts w:hint="eastAsia" w:ascii="宋体" w:hAnsi="宋体" w:eastAsia="宋体" w:cs="宋体"/>
          <w:sz w:val="24"/>
          <w:highlight w:val="none"/>
        </w:rPr>
        <w:t>执行《财政部 司法部关于政府采购支持监狱企业发展有关问题的通知》（财库〔2014〕68号）；</w:t>
      </w:r>
    </w:p>
    <w:p w14:paraId="603F7748">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rPr>
        <w:t>5</w:t>
      </w:r>
      <w:r>
        <w:rPr>
          <w:rFonts w:hint="eastAsia" w:ascii="宋体" w:hAnsi="宋体" w:eastAsia="宋体" w:cs="宋体"/>
          <w:sz w:val="24"/>
          <w:highlight w:val="none"/>
          <w:lang w:eastAsia="zh-CN"/>
        </w:rPr>
        <w:t>.</w:t>
      </w:r>
      <w:r>
        <w:rPr>
          <w:rFonts w:hint="eastAsia" w:ascii="宋体" w:hAnsi="宋体" w:eastAsia="宋体" w:cs="宋体"/>
          <w:sz w:val="24"/>
          <w:highlight w:val="none"/>
        </w:rPr>
        <w:t>执行《财政部 民政部 中国残疾人联合会关于促进残疾人就业政府采购政策的通知》（财库〔2017〕141号）</w:t>
      </w:r>
      <w:r>
        <w:rPr>
          <w:rFonts w:hint="eastAsia" w:ascii="宋体" w:hAnsi="宋体" w:eastAsia="宋体" w:cs="宋体"/>
          <w:sz w:val="24"/>
          <w:highlight w:val="none"/>
          <w:lang w:eastAsia="zh-CN"/>
        </w:rPr>
        <w:t>；</w:t>
      </w:r>
    </w:p>
    <w:p w14:paraId="712A6B51">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rPr>
        <w:t>6</w:t>
      </w:r>
      <w:r>
        <w:rPr>
          <w:rFonts w:hint="eastAsia" w:ascii="宋体" w:hAnsi="宋体" w:eastAsia="宋体" w:cs="宋体"/>
          <w:sz w:val="24"/>
          <w:highlight w:val="none"/>
          <w:lang w:eastAsia="zh-CN"/>
        </w:rPr>
        <w:t>.</w:t>
      </w:r>
      <w:r>
        <w:rPr>
          <w:rFonts w:hint="eastAsia" w:ascii="宋体" w:hAnsi="宋体" w:eastAsia="宋体" w:cs="宋体"/>
          <w:sz w:val="24"/>
          <w:highlight w:val="none"/>
        </w:rPr>
        <w:t>执行《关于调整优化节能产品、环境标志产品政府采购执行机制的通知》（财库〔2019〕9号）</w:t>
      </w:r>
      <w:r>
        <w:rPr>
          <w:rFonts w:hint="eastAsia" w:ascii="宋体" w:hAnsi="宋体" w:eastAsia="宋体" w:cs="宋体"/>
          <w:sz w:val="24"/>
          <w:highlight w:val="none"/>
          <w:lang w:eastAsia="zh-CN"/>
        </w:rPr>
        <w:t>；</w:t>
      </w:r>
    </w:p>
    <w:p w14:paraId="55A13909">
      <w:pPr>
        <w:shd w:val="clear" w:color="auto" w:fill="FFFFFF"/>
        <w:wordWrap w:val="0"/>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7</w:t>
      </w:r>
      <w:r>
        <w:rPr>
          <w:rFonts w:hint="eastAsia" w:ascii="宋体" w:hAnsi="宋体" w:eastAsia="宋体" w:cs="宋体"/>
          <w:sz w:val="24"/>
          <w:highlight w:val="none"/>
          <w:lang w:eastAsia="zh-CN"/>
        </w:rPr>
        <w:t>.</w:t>
      </w:r>
      <w:r>
        <w:rPr>
          <w:rFonts w:hint="eastAsia" w:ascii="宋体" w:hAnsi="宋体" w:eastAsia="宋体" w:cs="宋体"/>
          <w:sz w:val="24"/>
          <w:highlight w:val="none"/>
        </w:rPr>
        <w:t>执行《关于印发节能产品政府采购品目清单的通知》（财库〔2019〕19号）；</w:t>
      </w:r>
    </w:p>
    <w:p w14:paraId="269A2093">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rPr>
        <w:t>8</w:t>
      </w:r>
      <w:r>
        <w:rPr>
          <w:rFonts w:hint="eastAsia" w:ascii="宋体" w:hAnsi="宋体" w:eastAsia="宋体" w:cs="宋体"/>
          <w:sz w:val="24"/>
          <w:highlight w:val="none"/>
          <w:lang w:eastAsia="zh-CN"/>
        </w:rPr>
        <w:t>.</w:t>
      </w:r>
      <w:r>
        <w:rPr>
          <w:rFonts w:hint="eastAsia" w:ascii="宋体" w:hAnsi="宋体" w:eastAsia="宋体" w:cs="宋体"/>
          <w:sz w:val="24"/>
          <w:highlight w:val="none"/>
        </w:rPr>
        <w:t>执行《关于印发环境标志产品政府采购品目清单的通知》（财库〔2019〕18号）</w:t>
      </w:r>
      <w:r>
        <w:rPr>
          <w:rFonts w:hint="eastAsia" w:ascii="宋体" w:hAnsi="宋体" w:cs="宋体"/>
          <w:sz w:val="24"/>
          <w:highlight w:val="none"/>
          <w:lang w:eastAsia="zh-CN"/>
        </w:rPr>
        <w:t>；</w:t>
      </w:r>
    </w:p>
    <w:p w14:paraId="1A578300">
      <w:pPr>
        <w:pStyle w:val="48"/>
        <w:ind w:left="0" w:leftChars="0" w:firstLine="0" w:firstLineChars="0"/>
        <w:jc w:val="left"/>
        <w:rPr>
          <w:rFonts w:hint="eastAsia"/>
          <w:highlight w:val="none"/>
          <w:lang w:eastAsia="zh-CN"/>
        </w:rPr>
      </w:pPr>
      <w:r>
        <w:rPr>
          <w:rFonts w:hint="eastAsia"/>
          <w:highlight w:val="none"/>
          <w:lang w:val="en-US" w:eastAsia="zh-CN"/>
        </w:rPr>
        <w:t>9.本项目代理服务费参考《河南省招标代理服务收费指导意见》豫招协［2023］002号文规定的“招标代理服务收费计算标准”的80%收取，收费标准的计算基数以中标金额为计费基数，由中标人支付。</w:t>
      </w:r>
    </w:p>
    <w:p w14:paraId="0312750C">
      <w:pPr>
        <w:shd w:val="clear" w:color="auto" w:fill="FFFFFF"/>
        <w:wordWrap w:val="0"/>
        <w:spacing w:line="360" w:lineRule="auto"/>
        <w:jc w:val="left"/>
        <w:outlineLvl w:val="1"/>
        <w:rPr>
          <w:rFonts w:hint="eastAsia" w:ascii="宋体" w:hAnsi="宋体" w:cs="宋体"/>
          <w:b/>
          <w:bCs/>
          <w:sz w:val="24"/>
          <w:highlight w:val="none"/>
        </w:rPr>
      </w:pPr>
      <w:r>
        <w:rPr>
          <w:rFonts w:hint="eastAsia" w:ascii="宋体" w:hAnsi="宋体" w:cs="宋体"/>
          <w:b/>
          <w:bCs/>
          <w:sz w:val="24"/>
          <w:highlight w:val="none"/>
        </w:rPr>
        <w:t xml:space="preserve">八、凡对本次招标提出询问，请按照以下方式联系 </w:t>
      </w:r>
    </w:p>
    <w:p w14:paraId="35B90510">
      <w:pPr>
        <w:wordWrap w:val="0"/>
        <w:spacing w:line="360" w:lineRule="auto"/>
        <w:outlineLvl w:val="2"/>
        <w:rPr>
          <w:rFonts w:hint="eastAsia" w:ascii="宋体" w:hAnsi="宋体" w:cs="宋体"/>
          <w:sz w:val="24"/>
          <w:highlight w:val="none"/>
        </w:rPr>
      </w:pPr>
      <w:r>
        <w:rPr>
          <w:rFonts w:hint="eastAsia" w:ascii="宋体" w:hAnsi="宋体" w:cs="宋体"/>
          <w:sz w:val="24"/>
          <w:highlight w:val="none"/>
        </w:rPr>
        <w:t xml:space="preserve">1.采购人信息 </w:t>
      </w:r>
    </w:p>
    <w:p w14:paraId="5B8393C6">
      <w:pPr>
        <w:wordWrap w:val="0"/>
        <w:spacing w:line="360" w:lineRule="auto"/>
        <w:rPr>
          <w:rFonts w:hint="eastAsia" w:ascii="宋体" w:hAnsi="宋体" w:cs="宋体"/>
          <w:sz w:val="24"/>
          <w:highlight w:val="none"/>
        </w:rPr>
      </w:pPr>
      <w:r>
        <w:rPr>
          <w:rFonts w:hint="eastAsia" w:ascii="宋体" w:hAnsi="宋体" w:cs="宋体"/>
          <w:sz w:val="24"/>
          <w:highlight w:val="none"/>
        </w:rPr>
        <w:t>名称：</w:t>
      </w:r>
      <w:r>
        <w:rPr>
          <w:rFonts w:hint="eastAsia" w:ascii="宋体" w:hAnsi="宋体" w:cs="宋体"/>
          <w:sz w:val="24"/>
          <w:highlight w:val="none"/>
          <w:lang w:eastAsia="zh-CN"/>
        </w:rPr>
        <w:t>新乡医学院第一附属医院</w:t>
      </w:r>
      <w:r>
        <w:rPr>
          <w:rFonts w:hint="eastAsia" w:ascii="宋体" w:hAnsi="宋体" w:cs="宋体"/>
          <w:sz w:val="24"/>
          <w:highlight w:val="none"/>
        </w:rPr>
        <w:t xml:space="preserve"> </w:t>
      </w:r>
    </w:p>
    <w:p w14:paraId="3526E348">
      <w:pPr>
        <w:wordWrap w:val="0"/>
        <w:spacing w:line="360" w:lineRule="auto"/>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lang w:eastAsia="zh-CN"/>
        </w:rPr>
        <w:t>河南省卫辉市健康路88号</w:t>
      </w:r>
      <w:r>
        <w:rPr>
          <w:rFonts w:hint="eastAsia" w:ascii="宋体" w:hAnsi="宋体" w:cs="宋体"/>
          <w:sz w:val="24"/>
          <w:highlight w:val="none"/>
        </w:rPr>
        <w:t xml:space="preserve"> </w:t>
      </w:r>
    </w:p>
    <w:p w14:paraId="25D80A32">
      <w:pPr>
        <w:wordWrap w:val="0"/>
        <w:spacing w:line="360" w:lineRule="auto"/>
        <w:rPr>
          <w:rFonts w:hint="eastAsia"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lang w:val="en-US" w:eastAsia="zh-CN"/>
        </w:rPr>
        <w:t>孙斌</w:t>
      </w:r>
    </w:p>
    <w:p w14:paraId="538536F3">
      <w:pPr>
        <w:wordWrap w:val="0"/>
        <w:spacing w:line="360" w:lineRule="auto"/>
        <w:rPr>
          <w:rFonts w:hint="eastAsia" w:ascii="宋体" w:hAnsi="宋体" w:cs="宋体"/>
          <w:sz w:val="24"/>
          <w:highlight w:val="none"/>
        </w:rPr>
      </w:pPr>
      <w:r>
        <w:rPr>
          <w:rFonts w:hint="eastAsia" w:ascii="宋体" w:hAnsi="宋体" w:cs="宋体"/>
          <w:sz w:val="24"/>
          <w:highlight w:val="none"/>
        </w:rPr>
        <w:t>联系方式：</w:t>
      </w:r>
      <w:r>
        <w:rPr>
          <w:rFonts w:hint="eastAsia" w:ascii="宋体" w:hAnsi="宋体" w:cs="宋体"/>
          <w:sz w:val="24"/>
          <w:highlight w:val="none"/>
          <w:lang w:eastAsia="zh-CN"/>
        </w:rPr>
        <w:t>0373-4402905</w:t>
      </w:r>
      <w:r>
        <w:rPr>
          <w:rFonts w:hint="eastAsia" w:ascii="宋体" w:hAnsi="宋体" w:cs="宋体"/>
          <w:sz w:val="24"/>
          <w:highlight w:val="none"/>
        </w:rPr>
        <w:t xml:space="preserve"> </w:t>
      </w:r>
    </w:p>
    <w:p w14:paraId="3269E912">
      <w:pPr>
        <w:numPr>
          <w:ilvl w:val="0"/>
          <w:numId w:val="0"/>
        </w:numPr>
        <w:wordWrap w:val="0"/>
        <w:spacing w:line="360" w:lineRule="auto"/>
        <w:outlineLvl w:val="2"/>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采购代理机构</w:t>
      </w:r>
      <w:r>
        <w:rPr>
          <w:rFonts w:hint="eastAsia" w:ascii="宋体" w:hAnsi="宋体" w:cs="宋体"/>
          <w:sz w:val="24"/>
          <w:highlight w:val="none"/>
          <w:lang w:val="en-US" w:eastAsia="zh-CN"/>
        </w:rPr>
        <w:t>信息</w:t>
      </w:r>
    </w:p>
    <w:p w14:paraId="5FE7F0FA">
      <w:pPr>
        <w:numPr>
          <w:ilvl w:val="0"/>
          <w:numId w:val="0"/>
        </w:numPr>
        <w:wordWrap w:val="0"/>
        <w:spacing w:line="360" w:lineRule="auto"/>
        <w:outlineLvl w:val="2"/>
        <w:rPr>
          <w:rFonts w:hint="eastAsia" w:ascii="宋体" w:hAnsi="宋体" w:eastAsia="宋体" w:cs="宋体"/>
          <w:sz w:val="24"/>
          <w:highlight w:val="none"/>
          <w:lang w:eastAsia="zh-CN"/>
        </w:rPr>
      </w:pPr>
      <w:r>
        <w:rPr>
          <w:rFonts w:hint="eastAsia" w:ascii="宋体" w:hAnsi="宋体" w:cs="宋体"/>
          <w:sz w:val="24"/>
          <w:highlight w:val="none"/>
          <w:lang w:val="en-US" w:eastAsia="zh-CN"/>
        </w:rPr>
        <w:t>名称：</w:t>
      </w:r>
      <w:r>
        <w:rPr>
          <w:rFonts w:hint="eastAsia" w:ascii="宋体" w:hAnsi="宋体" w:cs="宋体"/>
          <w:sz w:val="24"/>
          <w:highlight w:val="none"/>
          <w:lang w:eastAsia="zh-CN"/>
        </w:rPr>
        <w:t>大成工程咨询有限公司</w:t>
      </w:r>
    </w:p>
    <w:p w14:paraId="07503FED">
      <w:pPr>
        <w:wordWrap w:val="0"/>
        <w:spacing w:line="360" w:lineRule="auto"/>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lang w:val="en-US" w:eastAsia="zh-CN"/>
        </w:rPr>
        <w:t>郑州市金水区经三路15号广汇国贸A座12层1202</w:t>
      </w:r>
    </w:p>
    <w:p w14:paraId="7E3C95CD">
      <w:pPr>
        <w:wordWrap w:val="0"/>
        <w:spacing w:line="360" w:lineRule="auto"/>
        <w:rPr>
          <w:rFonts w:hint="eastAsia" w:ascii="宋体" w:hAnsi="宋体" w:eastAsia="宋体" w:cs="宋体"/>
          <w:sz w:val="24"/>
          <w:highlight w:val="none"/>
          <w:lang w:eastAsia="zh-CN"/>
        </w:rPr>
      </w:pPr>
      <w:r>
        <w:rPr>
          <w:rFonts w:hint="eastAsia" w:ascii="宋体" w:hAnsi="宋体" w:cs="宋体"/>
          <w:sz w:val="24"/>
          <w:highlight w:val="none"/>
        </w:rPr>
        <w:t>联系人：杨永丽 田兴 平云霞</w:t>
      </w:r>
    </w:p>
    <w:p w14:paraId="5C67DE43">
      <w:pPr>
        <w:wordWrap w:val="0"/>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联系方式：0371</w:t>
      </w:r>
      <w:r>
        <w:rPr>
          <w:rFonts w:hint="eastAsia" w:ascii="宋体" w:hAnsi="宋体" w:cs="宋体"/>
          <w:sz w:val="24"/>
          <w:highlight w:val="none"/>
          <w:lang w:val="en-US" w:eastAsia="zh-CN"/>
        </w:rPr>
        <w:t>-</w:t>
      </w:r>
      <w:r>
        <w:rPr>
          <w:rFonts w:hint="eastAsia" w:ascii="宋体" w:hAnsi="宋体" w:cs="宋体"/>
          <w:sz w:val="24"/>
          <w:highlight w:val="none"/>
        </w:rPr>
        <w:t>65585906</w:t>
      </w:r>
      <w:r>
        <w:rPr>
          <w:rFonts w:hint="eastAsia" w:ascii="宋体" w:hAnsi="宋体" w:cs="宋体"/>
          <w:sz w:val="24"/>
          <w:highlight w:val="none"/>
          <w:lang w:val="en-US" w:eastAsia="zh-CN"/>
        </w:rPr>
        <w:t xml:space="preserve">  </w:t>
      </w:r>
      <w:r>
        <w:rPr>
          <w:rFonts w:hint="eastAsia" w:ascii="宋体" w:hAnsi="宋体" w:cs="宋体"/>
          <w:sz w:val="24"/>
          <w:highlight w:val="none"/>
          <w:lang w:eastAsia="zh-CN"/>
        </w:rPr>
        <w:t xml:space="preserve"> </w:t>
      </w:r>
      <w:r>
        <w:rPr>
          <w:rFonts w:hint="eastAsia" w:ascii="宋体" w:hAnsi="宋体" w:cs="宋体"/>
          <w:sz w:val="24"/>
          <w:highlight w:val="none"/>
          <w:lang w:val="en-US" w:eastAsia="zh-CN"/>
        </w:rPr>
        <w:t>18595870521</w:t>
      </w:r>
    </w:p>
    <w:p w14:paraId="419E163A">
      <w:pPr>
        <w:wordWrap w:val="0"/>
        <w:spacing w:line="360" w:lineRule="auto"/>
        <w:outlineLvl w:val="2"/>
        <w:rPr>
          <w:rFonts w:hint="eastAsia" w:ascii="宋体" w:hAnsi="宋体" w:cs="宋体"/>
          <w:sz w:val="24"/>
          <w:highlight w:val="none"/>
        </w:rPr>
      </w:pPr>
      <w:r>
        <w:rPr>
          <w:rFonts w:hint="eastAsia" w:ascii="宋体" w:hAnsi="宋体" w:cs="宋体"/>
          <w:sz w:val="24"/>
          <w:highlight w:val="none"/>
        </w:rPr>
        <w:t>3.项目联系人</w:t>
      </w:r>
    </w:p>
    <w:p w14:paraId="4592EBBA">
      <w:pPr>
        <w:wordWrap w:val="0"/>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联系人：杨永丽 田兴 平云霞</w:t>
      </w:r>
    </w:p>
    <w:p w14:paraId="136AE48E">
      <w:pPr>
        <w:rPr>
          <w:highlight w:val="none"/>
        </w:rPr>
      </w:pPr>
      <w:r>
        <w:rPr>
          <w:rFonts w:hint="eastAsia" w:ascii="宋体" w:hAnsi="宋体" w:cs="宋体"/>
          <w:sz w:val="24"/>
          <w:highlight w:val="none"/>
        </w:rPr>
        <w:t>联系方式：0371</w:t>
      </w:r>
      <w:r>
        <w:rPr>
          <w:rFonts w:hint="eastAsia" w:ascii="宋体" w:hAnsi="宋体" w:cs="宋体"/>
          <w:sz w:val="24"/>
          <w:highlight w:val="none"/>
          <w:lang w:val="en-US" w:eastAsia="zh-CN"/>
        </w:rPr>
        <w:t>-</w:t>
      </w:r>
      <w:r>
        <w:rPr>
          <w:rFonts w:hint="eastAsia" w:ascii="宋体" w:hAnsi="宋体" w:cs="宋体"/>
          <w:sz w:val="24"/>
          <w:highlight w:val="none"/>
        </w:rPr>
        <w:t>65585906</w:t>
      </w:r>
      <w:r>
        <w:rPr>
          <w:rFonts w:hint="eastAsia" w:ascii="宋体" w:hAnsi="宋体" w:cs="宋体"/>
          <w:sz w:val="24"/>
          <w:highlight w:val="none"/>
          <w:lang w:val="en-US" w:eastAsia="zh-CN"/>
        </w:rPr>
        <w:t xml:space="preserve">   18595870521</w:t>
      </w:r>
    </w:p>
    <w:p w14:paraId="19B4B243">
      <w:pPr>
        <w:tabs>
          <w:tab w:val="left" w:pos="540"/>
        </w:tabs>
        <w:bidi w:val="0"/>
        <w:jc w:val="left"/>
        <w:rPr>
          <w:rFonts w:hint="eastAsia" w:eastAsia="宋体"/>
          <w:highlight w:val="none"/>
          <w:lang w:eastAsia="zh-CN"/>
        </w:rPr>
        <w:sectPr>
          <w:headerReference r:id="rId10" w:type="default"/>
          <w:footerReference r:id="rId11" w:type="default"/>
          <w:pgSz w:w="11906" w:h="16838"/>
          <w:pgMar w:top="1440" w:right="1416" w:bottom="1440" w:left="1701" w:header="851" w:footer="992" w:gutter="0"/>
          <w:pgNumType w:fmt="decimal"/>
          <w:cols w:space="720" w:num="1"/>
          <w:docGrid w:type="linesAndChars" w:linePitch="314" w:charSpace="532"/>
        </w:sectPr>
      </w:pPr>
    </w:p>
    <w:p w14:paraId="2355158F">
      <w:pPr>
        <w:pStyle w:val="4"/>
        <w:numPr>
          <w:ilvl w:val="0"/>
          <w:numId w:val="22"/>
        </w:numPr>
        <w:ind w:left="0" w:firstLine="0"/>
        <w:outlineLvl w:val="0"/>
        <w:rPr>
          <w:rFonts w:hint="eastAsia" w:ascii="宋体" w:hAnsi="宋体" w:eastAsia="宋体" w:cs="宋体"/>
          <w:szCs w:val="32"/>
          <w:highlight w:val="none"/>
        </w:rPr>
      </w:pPr>
      <w:r>
        <w:rPr>
          <w:rFonts w:hint="eastAsia" w:ascii="宋体" w:hAnsi="宋体" w:eastAsia="宋体" w:cs="宋体"/>
          <w:szCs w:val="32"/>
          <w:highlight w:val="none"/>
          <w:lang w:eastAsia="zh-CN"/>
        </w:rPr>
        <w:t>供应商须知</w:t>
      </w:r>
      <w:bookmarkEnd w:id="30"/>
    </w:p>
    <w:p w14:paraId="799E274C">
      <w:pPr>
        <w:pStyle w:val="4"/>
        <w:numPr>
          <w:ilvl w:val="0"/>
          <w:numId w:val="0"/>
        </w:numPr>
        <w:rPr>
          <w:rFonts w:hint="eastAsia" w:ascii="宋体" w:hAnsi="宋体" w:eastAsia="宋体" w:cs="宋体"/>
          <w:sz w:val="28"/>
          <w:szCs w:val="18"/>
          <w:highlight w:val="none"/>
          <w:lang w:eastAsia="zh-CN"/>
        </w:rPr>
      </w:pPr>
      <w:bookmarkStart w:id="39" w:name="_Toc9995"/>
      <w:r>
        <w:rPr>
          <w:rFonts w:hint="eastAsia" w:ascii="宋体" w:hAnsi="宋体" w:eastAsia="宋体" w:cs="宋体"/>
          <w:sz w:val="28"/>
          <w:szCs w:val="18"/>
          <w:highlight w:val="none"/>
          <w:lang w:eastAsia="zh-CN"/>
        </w:rPr>
        <w:t>供应商须知前附表</w:t>
      </w:r>
      <w:bookmarkEnd w:id="39"/>
    </w:p>
    <w:tbl>
      <w:tblPr>
        <w:tblStyle w:val="82"/>
        <w:tblW w:w="5087" w:type="pct"/>
        <w:tblInd w:w="-6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859"/>
        <w:gridCol w:w="1665"/>
        <w:gridCol w:w="6475"/>
      </w:tblGrid>
      <w:tr w14:paraId="61962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59" w:type="dxa"/>
            <w:noWrap w:val="0"/>
            <w:vAlign w:val="center"/>
          </w:tcPr>
          <w:p w14:paraId="4D82B6E8">
            <w:pPr>
              <w:spacing w:line="360" w:lineRule="auto"/>
              <w:jc w:val="center"/>
              <w:rPr>
                <w:rFonts w:hint="eastAsia" w:ascii="宋体" w:hAnsi="宋体" w:eastAsia="宋体" w:cs="宋体"/>
                <w:sz w:val="24"/>
                <w:highlight w:val="none"/>
              </w:rPr>
            </w:pPr>
            <w:bookmarkStart w:id="40" w:name="_Toc9574"/>
            <w:bookmarkStart w:id="41" w:name="_Toc23104"/>
            <w:r>
              <w:rPr>
                <w:rFonts w:hint="eastAsia" w:ascii="宋体" w:hAnsi="宋体" w:eastAsia="宋体" w:cs="宋体"/>
                <w:sz w:val="24"/>
                <w:highlight w:val="none"/>
                <w:lang w:val="en-US" w:eastAsia="zh-CN"/>
              </w:rPr>
              <w:t>条</w:t>
            </w:r>
            <w:r>
              <w:rPr>
                <w:rFonts w:hint="eastAsia" w:ascii="宋体" w:hAnsi="宋体" w:eastAsia="宋体" w:cs="宋体"/>
                <w:sz w:val="24"/>
                <w:highlight w:val="none"/>
              </w:rPr>
              <w:t>款号</w:t>
            </w:r>
          </w:p>
        </w:tc>
        <w:tc>
          <w:tcPr>
            <w:tcW w:w="1665" w:type="dxa"/>
            <w:noWrap w:val="0"/>
            <w:vAlign w:val="center"/>
          </w:tcPr>
          <w:p w14:paraId="5C5ADC9A">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条款名称</w:t>
            </w:r>
          </w:p>
        </w:tc>
        <w:tc>
          <w:tcPr>
            <w:tcW w:w="6475" w:type="dxa"/>
            <w:noWrap w:val="0"/>
            <w:vAlign w:val="center"/>
          </w:tcPr>
          <w:p w14:paraId="487B19D1">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内        容</w:t>
            </w:r>
          </w:p>
        </w:tc>
      </w:tr>
      <w:tr w14:paraId="67699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59" w:type="dxa"/>
            <w:noWrap w:val="0"/>
            <w:vAlign w:val="center"/>
          </w:tcPr>
          <w:p w14:paraId="063A8240">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1.1.2</w:t>
            </w:r>
          </w:p>
        </w:tc>
        <w:tc>
          <w:tcPr>
            <w:tcW w:w="1665" w:type="dxa"/>
            <w:noWrap w:val="0"/>
            <w:vAlign w:val="center"/>
          </w:tcPr>
          <w:p w14:paraId="66C8C5B2">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采购人</w:t>
            </w:r>
          </w:p>
        </w:tc>
        <w:tc>
          <w:tcPr>
            <w:tcW w:w="6475" w:type="dxa"/>
            <w:noWrap w:val="0"/>
            <w:vAlign w:val="center"/>
          </w:tcPr>
          <w:p w14:paraId="064B292C">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名称：新乡医学院第一附属医院 </w:t>
            </w:r>
          </w:p>
          <w:p w14:paraId="2BB63C76">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地址：河南省卫辉市健康路88号 </w:t>
            </w:r>
          </w:p>
          <w:p w14:paraId="223C255F">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联系人：</w:t>
            </w:r>
            <w:r>
              <w:rPr>
                <w:rFonts w:hint="eastAsia" w:ascii="宋体" w:hAnsi="宋体" w:eastAsia="宋体" w:cs="宋体"/>
                <w:sz w:val="24"/>
                <w:highlight w:val="none"/>
                <w:lang w:val="en-US" w:eastAsia="zh-CN"/>
              </w:rPr>
              <w:t>孙斌</w:t>
            </w:r>
            <w:r>
              <w:rPr>
                <w:rFonts w:hint="eastAsia" w:ascii="宋体" w:hAnsi="宋体" w:eastAsia="宋体" w:cs="宋体"/>
                <w:sz w:val="24"/>
                <w:highlight w:val="none"/>
                <w:lang w:eastAsia="zh-CN"/>
              </w:rPr>
              <w:t xml:space="preserve"> </w:t>
            </w:r>
          </w:p>
          <w:p w14:paraId="04B9208E">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联系方式：0373-4402905 </w:t>
            </w:r>
          </w:p>
        </w:tc>
      </w:tr>
      <w:tr w14:paraId="48724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7579163E">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1.1.3</w:t>
            </w:r>
          </w:p>
        </w:tc>
        <w:tc>
          <w:tcPr>
            <w:tcW w:w="1665" w:type="dxa"/>
            <w:noWrap w:val="0"/>
            <w:vAlign w:val="center"/>
          </w:tcPr>
          <w:p w14:paraId="7D993AA3">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采购代理机构</w:t>
            </w:r>
          </w:p>
        </w:tc>
        <w:tc>
          <w:tcPr>
            <w:tcW w:w="6475" w:type="dxa"/>
            <w:noWrap w:val="0"/>
            <w:vAlign w:val="top"/>
          </w:tcPr>
          <w:p w14:paraId="6BE206D2">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名称</w:t>
            </w:r>
            <w:r>
              <w:rPr>
                <w:rFonts w:hint="eastAsia" w:ascii="宋体" w:hAnsi="宋体" w:eastAsia="宋体" w:cs="宋体"/>
                <w:sz w:val="24"/>
                <w:highlight w:val="none"/>
              </w:rPr>
              <w:t>：</w:t>
            </w:r>
            <w:r>
              <w:rPr>
                <w:rFonts w:hint="eastAsia" w:ascii="宋体" w:hAnsi="宋体" w:eastAsia="宋体" w:cs="宋体"/>
                <w:sz w:val="24"/>
                <w:highlight w:val="none"/>
                <w:lang w:eastAsia="zh-CN"/>
              </w:rPr>
              <w:t>大成工程咨询有限公司</w:t>
            </w:r>
          </w:p>
          <w:p w14:paraId="2B6817E2">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rPr>
              <w:t>地址：</w:t>
            </w:r>
            <w:r>
              <w:rPr>
                <w:rFonts w:hint="eastAsia" w:ascii="宋体" w:hAnsi="宋体" w:eastAsia="宋体" w:cs="宋体"/>
                <w:sz w:val="24"/>
                <w:highlight w:val="none"/>
                <w:lang w:val="en-US" w:eastAsia="zh-CN"/>
              </w:rPr>
              <w:t>郑州市金水区经三路15号广汇国贸A座12层1202</w:t>
            </w:r>
          </w:p>
          <w:p w14:paraId="0FE4713C">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rPr>
              <w:t>联系人：杨永丽 田兴 平云霞</w:t>
            </w:r>
          </w:p>
          <w:p w14:paraId="1920D36E">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rPr>
              <w:t>联系方式：0371</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65585906</w:t>
            </w:r>
            <w:r>
              <w:rPr>
                <w:rFonts w:hint="eastAsia" w:ascii="宋体" w:hAnsi="宋体" w:eastAsia="宋体" w:cs="宋体"/>
                <w:sz w:val="24"/>
                <w:highlight w:val="none"/>
                <w:lang w:val="en-US" w:eastAsia="zh-CN"/>
              </w:rPr>
              <w:t xml:space="preserve">   18595870521</w:t>
            </w:r>
          </w:p>
        </w:tc>
      </w:tr>
      <w:tr w14:paraId="688F0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718BF790">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1.1.4</w:t>
            </w:r>
          </w:p>
        </w:tc>
        <w:tc>
          <w:tcPr>
            <w:tcW w:w="1665" w:type="dxa"/>
            <w:noWrap w:val="0"/>
            <w:vAlign w:val="center"/>
          </w:tcPr>
          <w:p w14:paraId="105D133A">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项目名称</w:t>
            </w:r>
          </w:p>
        </w:tc>
        <w:tc>
          <w:tcPr>
            <w:tcW w:w="6475" w:type="dxa"/>
            <w:noWrap w:val="0"/>
            <w:vAlign w:val="top"/>
          </w:tcPr>
          <w:p w14:paraId="3068FADB">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lang w:eastAsia="zh-CN"/>
              </w:rPr>
              <w:t>新乡医学院第一附属医院支气管镜系统、便携式支气管镜购置项目</w:t>
            </w:r>
          </w:p>
        </w:tc>
      </w:tr>
      <w:tr w14:paraId="62CE7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5E0C4D43">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1.1.5</w:t>
            </w:r>
          </w:p>
        </w:tc>
        <w:tc>
          <w:tcPr>
            <w:tcW w:w="1665" w:type="dxa"/>
            <w:noWrap w:val="0"/>
            <w:vAlign w:val="center"/>
          </w:tcPr>
          <w:p w14:paraId="44EE78AC">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交货地点</w:t>
            </w:r>
          </w:p>
        </w:tc>
        <w:tc>
          <w:tcPr>
            <w:tcW w:w="6475" w:type="dxa"/>
            <w:noWrap w:val="0"/>
            <w:vAlign w:val="top"/>
          </w:tcPr>
          <w:p w14:paraId="0E37A5DD">
            <w:pPr>
              <w:spacing w:line="360" w:lineRule="auto"/>
              <w:jc w:val="left"/>
              <w:rPr>
                <w:rFonts w:hint="default" w:ascii="宋体" w:hAnsi="宋体" w:eastAsia="宋体" w:cs="宋体"/>
                <w:sz w:val="24"/>
                <w:highlight w:val="none"/>
                <w:lang w:val="en-US"/>
              </w:rPr>
            </w:pPr>
            <w:r>
              <w:rPr>
                <w:rFonts w:hint="eastAsia" w:ascii="宋体" w:hAnsi="宋体" w:eastAsia="宋体" w:cs="宋体"/>
                <w:sz w:val="24"/>
                <w:highlight w:val="none"/>
                <w:lang w:eastAsia="zh-CN"/>
              </w:rPr>
              <w:t>新乡医学院第一附属医院</w:t>
            </w:r>
            <w:r>
              <w:rPr>
                <w:rFonts w:hint="eastAsia" w:ascii="宋体" w:hAnsi="宋体" w:eastAsia="宋体" w:cs="宋体"/>
                <w:sz w:val="24"/>
                <w:highlight w:val="none"/>
                <w:lang w:val="en-US" w:eastAsia="zh-CN"/>
              </w:rPr>
              <w:t>指定地点</w:t>
            </w:r>
          </w:p>
        </w:tc>
      </w:tr>
      <w:tr w14:paraId="69AE4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2BACA99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1.2.1</w:t>
            </w:r>
          </w:p>
        </w:tc>
        <w:tc>
          <w:tcPr>
            <w:tcW w:w="1665" w:type="dxa"/>
            <w:noWrap w:val="0"/>
            <w:vAlign w:val="center"/>
          </w:tcPr>
          <w:p w14:paraId="5058F146">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资金来源及落实情况</w:t>
            </w:r>
          </w:p>
        </w:tc>
        <w:tc>
          <w:tcPr>
            <w:tcW w:w="6475" w:type="dxa"/>
            <w:noWrap w:val="0"/>
            <w:vAlign w:val="center"/>
          </w:tcPr>
          <w:p w14:paraId="73933565">
            <w:pPr>
              <w:spacing w:line="360" w:lineRule="auto"/>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财政资金100%，已落实</w:t>
            </w:r>
          </w:p>
        </w:tc>
      </w:tr>
      <w:tr w14:paraId="1591E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5845D65C">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1.2.2</w:t>
            </w:r>
          </w:p>
        </w:tc>
        <w:tc>
          <w:tcPr>
            <w:tcW w:w="1665" w:type="dxa"/>
            <w:noWrap w:val="0"/>
            <w:vAlign w:val="center"/>
          </w:tcPr>
          <w:p w14:paraId="4490FE70">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采购预算</w:t>
            </w:r>
          </w:p>
        </w:tc>
        <w:tc>
          <w:tcPr>
            <w:tcW w:w="6475" w:type="dxa"/>
            <w:noWrap w:val="0"/>
            <w:vAlign w:val="top"/>
          </w:tcPr>
          <w:p w14:paraId="4192F857">
            <w:pPr>
              <w:spacing w:line="360" w:lineRule="auto"/>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预算金额：9230000.00元</w:t>
            </w:r>
            <w:r>
              <w:rPr>
                <w:rFonts w:hint="eastAsia" w:ascii="宋体" w:hAnsi="宋体" w:eastAsia="宋体" w:cs="宋体"/>
                <w:sz w:val="24"/>
                <w:highlight w:val="none"/>
              </w:rPr>
              <w:t>。</w:t>
            </w:r>
          </w:p>
        </w:tc>
      </w:tr>
      <w:tr w14:paraId="187E3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4597639F">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1.3</w:t>
            </w:r>
          </w:p>
        </w:tc>
        <w:tc>
          <w:tcPr>
            <w:tcW w:w="1665" w:type="dxa"/>
            <w:noWrap w:val="0"/>
            <w:vAlign w:val="center"/>
          </w:tcPr>
          <w:p w14:paraId="4E2B4C4C">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最高限价</w:t>
            </w:r>
          </w:p>
        </w:tc>
        <w:tc>
          <w:tcPr>
            <w:tcW w:w="6475" w:type="dxa"/>
            <w:noWrap w:val="0"/>
            <w:vAlign w:val="top"/>
          </w:tcPr>
          <w:p w14:paraId="5A5F83E3">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最高限价：9230000.00元</w:t>
            </w:r>
            <w:r>
              <w:rPr>
                <w:rFonts w:hint="eastAsia" w:ascii="宋体" w:hAnsi="宋体" w:cs="宋体"/>
                <w:sz w:val="24"/>
                <w:highlight w:val="none"/>
                <w:lang w:val="en-US" w:eastAsia="zh-CN"/>
              </w:rPr>
              <w:t>，</w:t>
            </w:r>
            <w:r>
              <w:rPr>
                <w:rFonts w:hint="eastAsia" w:ascii="宋体" w:hAnsi="宋体" w:eastAsia="宋体" w:cs="宋体"/>
                <w:sz w:val="24"/>
                <w:highlight w:val="none"/>
                <w:lang w:val="en-US" w:eastAsia="zh-CN"/>
              </w:rPr>
              <w:t>单项最高限价：支气管镜系统9000000.00元、便携式支气管镜230000.00元。</w:t>
            </w:r>
          </w:p>
          <w:p w14:paraId="7A33CC7B">
            <w:pPr>
              <w:spacing w:line="360" w:lineRule="auto"/>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注：</w:t>
            </w:r>
            <w:r>
              <w:rPr>
                <w:rFonts w:hint="eastAsia" w:ascii="宋体" w:hAnsi="宋体" w:eastAsia="宋体" w:cs="宋体"/>
                <w:sz w:val="24"/>
                <w:highlight w:val="none"/>
              </w:rPr>
              <w:t>供应商投标报价高于最高限价的其投标将被否决。</w:t>
            </w:r>
          </w:p>
        </w:tc>
      </w:tr>
      <w:tr w14:paraId="75B7B3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59" w:type="dxa"/>
            <w:noWrap w:val="0"/>
            <w:vAlign w:val="center"/>
          </w:tcPr>
          <w:p w14:paraId="5702B8E5">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1.4.1</w:t>
            </w:r>
          </w:p>
        </w:tc>
        <w:tc>
          <w:tcPr>
            <w:tcW w:w="1665" w:type="dxa"/>
            <w:noWrap w:val="0"/>
            <w:vAlign w:val="center"/>
          </w:tcPr>
          <w:p w14:paraId="53891AC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采购范围</w:t>
            </w:r>
          </w:p>
        </w:tc>
        <w:tc>
          <w:tcPr>
            <w:tcW w:w="6475" w:type="dxa"/>
            <w:noWrap w:val="0"/>
            <w:vAlign w:val="top"/>
          </w:tcPr>
          <w:p w14:paraId="0CE60D0F">
            <w:pPr>
              <w:pStyle w:val="48"/>
              <w:ind w:left="0" w:leftChars="0" w:firstLine="0" w:firstLineChars="0"/>
              <w:jc w:val="left"/>
              <w:rPr>
                <w:rFonts w:hint="eastAsia"/>
                <w:highlight w:val="none"/>
                <w:lang w:eastAsia="zh-CN"/>
              </w:rPr>
            </w:pPr>
            <w:r>
              <w:rPr>
                <w:rFonts w:hint="eastAsia" w:ascii="宋体" w:hAnsi="宋体" w:cs="宋体"/>
                <w:sz w:val="24"/>
                <w:highlight w:val="none"/>
                <w:lang w:eastAsia="zh-CN"/>
              </w:rPr>
              <w:t>支气管镜系统、便携式支气管镜的采购</w:t>
            </w:r>
            <w:r>
              <w:rPr>
                <w:rFonts w:hint="eastAsia" w:ascii="宋体" w:hAnsi="宋体" w:cs="宋体"/>
                <w:sz w:val="24"/>
                <w:highlight w:val="none"/>
              </w:rPr>
              <w:t>、供货、运输、保险、装卸、安装、检测、调试、试运行、验收交付、培训、技术支持、软件升级、售后保修及相关伴随服务等。</w:t>
            </w:r>
            <w:r>
              <w:rPr>
                <w:rFonts w:hint="eastAsia" w:ascii="宋体" w:hAnsi="宋体" w:cs="宋体"/>
                <w:sz w:val="24"/>
                <w:highlight w:val="none"/>
                <w:lang w:val="en-US" w:eastAsia="zh-CN"/>
              </w:rPr>
              <w:t>采购数量：</w:t>
            </w:r>
            <w:r>
              <w:rPr>
                <w:rFonts w:hint="eastAsia" w:ascii="宋体" w:hAnsi="宋体" w:cs="宋体"/>
                <w:sz w:val="24"/>
                <w:highlight w:val="none"/>
                <w:lang w:eastAsia="zh-CN"/>
              </w:rPr>
              <w:t>支气管镜系统</w:t>
            </w:r>
            <w:r>
              <w:rPr>
                <w:rFonts w:hint="eastAsia" w:ascii="宋体" w:hAnsi="宋体" w:cs="宋体"/>
                <w:sz w:val="24"/>
                <w:highlight w:val="none"/>
                <w:lang w:val="en-US" w:eastAsia="zh-CN"/>
              </w:rPr>
              <w:t>2套（接受进口）</w:t>
            </w:r>
            <w:r>
              <w:rPr>
                <w:rFonts w:hint="eastAsia" w:ascii="宋体" w:hAnsi="宋体" w:cs="宋体"/>
                <w:sz w:val="24"/>
                <w:highlight w:val="none"/>
                <w:lang w:eastAsia="zh-CN"/>
              </w:rPr>
              <w:t>、便携式支气管镜</w:t>
            </w:r>
            <w:r>
              <w:rPr>
                <w:rFonts w:hint="eastAsia" w:ascii="宋体" w:hAnsi="宋体" w:cs="宋体"/>
                <w:sz w:val="24"/>
                <w:highlight w:val="none"/>
                <w:lang w:val="en-US" w:eastAsia="zh-CN"/>
              </w:rPr>
              <w:t>2条。</w:t>
            </w:r>
          </w:p>
        </w:tc>
      </w:tr>
      <w:tr w14:paraId="4BFD9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59" w:type="dxa"/>
            <w:noWrap w:val="0"/>
            <w:vAlign w:val="center"/>
          </w:tcPr>
          <w:p w14:paraId="364571F1">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rPr>
              <w:t>1.4.</w:t>
            </w:r>
            <w:r>
              <w:rPr>
                <w:rFonts w:hint="eastAsia" w:ascii="宋体" w:hAnsi="宋体" w:eastAsia="宋体" w:cs="宋体"/>
                <w:sz w:val="24"/>
                <w:highlight w:val="none"/>
                <w:lang w:val="en-US" w:eastAsia="zh-CN"/>
              </w:rPr>
              <w:t>2</w:t>
            </w:r>
          </w:p>
        </w:tc>
        <w:tc>
          <w:tcPr>
            <w:tcW w:w="1665" w:type="dxa"/>
            <w:noWrap w:val="0"/>
            <w:vAlign w:val="center"/>
          </w:tcPr>
          <w:p w14:paraId="683FE455">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交货期</w:t>
            </w:r>
          </w:p>
        </w:tc>
        <w:tc>
          <w:tcPr>
            <w:tcW w:w="6475" w:type="dxa"/>
            <w:noWrap w:val="0"/>
            <w:vAlign w:val="top"/>
          </w:tcPr>
          <w:p w14:paraId="56BC2C43">
            <w:pPr>
              <w:spacing w:line="360" w:lineRule="auto"/>
              <w:jc w:val="left"/>
              <w:rPr>
                <w:rFonts w:hint="eastAsia" w:ascii="宋体" w:hAnsi="宋体" w:eastAsia="宋体" w:cs="宋体"/>
                <w:sz w:val="24"/>
                <w:highlight w:val="none"/>
                <w:lang w:eastAsia="zh-CN"/>
              </w:rPr>
            </w:pPr>
            <w:r>
              <w:rPr>
                <w:rFonts w:hint="eastAsia" w:ascii="宋体" w:hAnsi="宋体" w:eastAsia="宋体" w:cs="宋体"/>
                <w:color w:val="000000" w:themeColor="text1"/>
                <w:sz w:val="24"/>
                <w:highlight w:val="none"/>
                <w:lang w:eastAsia="zh-CN"/>
                <w14:textFill>
                  <w14:solidFill>
                    <w14:schemeClr w14:val="tx1"/>
                  </w14:solidFill>
                </w14:textFill>
              </w:rPr>
              <w:t>合同签订后60日历天。</w:t>
            </w:r>
          </w:p>
        </w:tc>
      </w:tr>
      <w:tr w14:paraId="22A16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5FE01305">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rPr>
              <w:t>1.4.</w:t>
            </w:r>
            <w:r>
              <w:rPr>
                <w:rFonts w:hint="eastAsia" w:ascii="宋体" w:hAnsi="宋体" w:eastAsia="宋体" w:cs="宋体"/>
                <w:sz w:val="24"/>
                <w:highlight w:val="none"/>
                <w:lang w:val="en-US" w:eastAsia="zh-CN"/>
              </w:rPr>
              <w:t>3</w:t>
            </w:r>
          </w:p>
        </w:tc>
        <w:tc>
          <w:tcPr>
            <w:tcW w:w="1665" w:type="dxa"/>
            <w:noWrap w:val="0"/>
            <w:vAlign w:val="center"/>
          </w:tcPr>
          <w:p w14:paraId="21CC5DEB">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质量标准</w:t>
            </w:r>
          </w:p>
        </w:tc>
        <w:tc>
          <w:tcPr>
            <w:tcW w:w="6475" w:type="dxa"/>
            <w:noWrap w:val="0"/>
            <w:vAlign w:val="top"/>
          </w:tcPr>
          <w:p w14:paraId="02D5BD49">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合格，符合国家、行业相关标准</w:t>
            </w:r>
            <w:r>
              <w:rPr>
                <w:rFonts w:hint="eastAsia" w:ascii="宋体" w:hAnsi="宋体" w:cs="宋体"/>
                <w:color w:val="auto"/>
                <w:sz w:val="24"/>
                <w:highlight w:val="none"/>
                <w:lang w:eastAsia="zh-CN"/>
              </w:rPr>
              <w:t>。</w:t>
            </w:r>
          </w:p>
        </w:tc>
      </w:tr>
      <w:tr w14:paraId="47033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rPr>
        <w:tc>
          <w:tcPr>
            <w:tcW w:w="859" w:type="dxa"/>
            <w:noWrap w:val="0"/>
            <w:vAlign w:val="center"/>
          </w:tcPr>
          <w:p w14:paraId="4430F75D">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1.4.4</w:t>
            </w:r>
          </w:p>
        </w:tc>
        <w:tc>
          <w:tcPr>
            <w:tcW w:w="1665" w:type="dxa"/>
            <w:noWrap w:val="0"/>
            <w:vAlign w:val="center"/>
          </w:tcPr>
          <w:p w14:paraId="7B4FAF9B">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质保期</w:t>
            </w:r>
          </w:p>
        </w:tc>
        <w:tc>
          <w:tcPr>
            <w:tcW w:w="6475" w:type="dxa"/>
            <w:noWrap w:val="0"/>
            <w:vAlign w:val="top"/>
          </w:tcPr>
          <w:p w14:paraId="41DB98E3">
            <w:pPr>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lang w:val="en-US" w:eastAsia="zh-CN"/>
              </w:rPr>
              <w:t>设备自验收合格之日起，支气管镜系统原厂质保期≥4年，便携式支气管镜原厂质保期≥3年。</w:t>
            </w:r>
          </w:p>
        </w:tc>
      </w:tr>
      <w:tr w14:paraId="7A0C7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1" w:hRule="atLeast"/>
        </w:trPr>
        <w:tc>
          <w:tcPr>
            <w:tcW w:w="859" w:type="dxa"/>
            <w:noWrap w:val="0"/>
            <w:vAlign w:val="center"/>
          </w:tcPr>
          <w:p w14:paraId="52ABABAD">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1.5.1</w:t>
            </w:r>
          </w:p>
        </w:tc>
        <w:tc>
          <w:tcPr>
            <w:tcW w:w="1665" w:type="dxa"/>
            <w:noWrap w:val="0"/>
            <w:vAlign w:val="center"/>
          </w:tcPr>
          <w:p w14:paraId="7574E9B4">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供应商资格要求</w:t>
            </w:r>
          </w:p>
        </w:tc>
        <w:tc>
          <w:tcPr>
            <w:tcW w:w="6475" w:type="dxa"/>
            <w:noWrap w:val="0"/>
            <w:vAlign w:val="top"/>
          </w:tcPr>
          <w:p w14:paraId="6BDFEE43">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1、满足《中华人民共和国政府采购法》第二十二条规定</w:t>
            </w:r>
            <w:r>
              <w:rPr>
                <w:rFonts w:hint="eastAsia" w:ascii="宋体" w:hAnsi="宋体" w:cs="宋体"/>
                <w:sz w:val="24"/>
                <w:highlight w:val="none"/>
                <w:lang w:val="en-US" w:eastAsia="zh-CN"/>
              </w:rPr>
              <w:t>。</w:t>
            </w:r>
            <w:r>
              <w:rPr>
                <w:rFonts w:hint="eastAsia" w:ascii="宋体" w:hAnsi="宋体" w:cs="宋体"/>
                <w:sz w:val="24"/>
                <w:highlight w:val="none"/>
              </w:rPr>
              <w:t xml:space="preserve"> </w:t>
            </w:r>
          </w:p>
          <w:p w14:paraId="24C20C5F">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2、落实政府采购政策满足的资格要求：无</w:t>
            </w:r>
            <w:r>
              <w:rPr>
                <w:rFonts w:hint="eastAsia" w:ascii="宋体" w:hAnsi="宋体" w:cs="宋体"/>
                <w:sz w:val="24"/>
                <w:highlight w:val="none"/>
                <w:lang w:eastAsia="zh-CN"/>
              </w:rPr>
              <w:t>。</w:t>
            </w:r>
            <w:r>
              <w:rPr>
                <w:rFonts w:hint="eastAsia" w:ascii="宋体" w:hAnsi="宋体" w:cs="宋体"/>
                <w:sz w:val="24"/>
                <w:highlight w:val="none"/>
              </w:rPr>
              <w:t xml:space="preserve"> </w:t>
            </w:r>
          </w:p>
          <w:p w14:paraId="07A2914A">
            <w:pPr>
              <w:shd w:val="clear" w:color="auto" w:fill="FFFFFF"/>
              <w:wordWrap w:val="0"/>
              <w:spacing w:line="360" w:lineRule="auto"/>
              <w:jc w:val="left"/>
              <w:outlineLvl w:val="2"/>
              <w:rPr>
                <w:rFonts w:hint="eastAsia" w:ascii="宋体" w:hAnsi="宋体" w:cs="宋体"/>
                <w:sz w:val="24"/>
                <w:highlight w:val="none"/>
              </w:rPr>
            </w:pPr>
            <w:r>
              <w:rPr>
                <w:rFonts w:hint="eastAsia" w:ascii="宋体" w:hAnsi="宋体" w:cs="宋体"/>
                <w:sz w:val="24"/>
                <w:highlight w:val="none"/>
              </w:rPr>
              <w:t xml:space="preserve">3、本项目的特定资格要求 </w:t>
            </w:r>
          </w:p>
          <w:p w14:paraId="796065F9">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3.1在中华人民共和国境内注册，具有独立承担民事责任能力的法人或者其他组织或者自然人；提供有效的营业执照或其他有效的证明文件。</w:t>
            </w:r>
          </w:p>
          <w:p w14:paraId="745C47D6">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3.2具有良好的商业信誉和健全的财务会计制度；提供2023年度或2024年度经审计的财务报告（成立时间不足一年的，可提供自成立以来经审计的财务报告或其基本开户银行出具的资信证明）。</w:t>
            </w:r>
          </w:p>
          <w:p w14:paraId="45C8AD2E">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3.3具有履行合同所必需的设备和专业技术能力的证明文</w:t>
            </w:r>
            <w:r>
              <w:rPr>
                <w:rFonts w:hint="eastAsia" w:ascii="宋体" w:hAnsi="宋体" w:cs="宋体"/>
                <w:sz w:val="24"/>
                <w:highlight w:val="none"/>
                <w:lang w:val="en-US" w:eastAsia="zh-CN"/>
              </w:rPr>
              <w:t>件，</w:t>
            </w:r>
            <w:r>
              <w:rPr>
                <w:rFonts w:hint="eastAsia" w:ascii="宋体" w:hAnsi="宋体" w:cs="宋体"/>
                <w:sz w:val="24"/>
                <w:highlight w:val="none"/>
              </w:rPr>
              <w:t>格式自拟</w:t>
            </w:r>
            <w:r>
              <w:rPr>
                <w:rFonts w:hint="eastAsia" w:ascii="宋体" w:hAnsi="宋体" w:cs="宋体"/>
                <w:sz w:val="24"/>
                <w:highlight w:val="none"/>
                <w:lang w:val="en-US" w:eastAsia="zh-CN"/>
              </w:rPr>
              <w:t>加盖电子章</w:t>
            </w:r>
            <w:r>
              <w:rPr>
                <w:rFonts w:hint="eastAsia" w:ascii="宋体" w:hAnsi="宋体" w:cs="宋体"/>
                <w:sz w:val="24"/>
                <w:highlight w:val="none"/>
              </w:rPr>
              <w:t>。</w:t>
            </w:r>
          </w:p>
          <w:p w14:paraId="09006968">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3.4有依法缴纳税收和社会保障资金的相关材料；提供自202</w:t>
            </w:r>
            <w:r>
              <w:rPr>
                <w:rFonts w:hint="eastAsia" w:ascii="宋体" w:hAnsi="宋体" w:cs="宋体"/>
                <w:sz w:val="24"/>
                <w:highlight w:val="none"/>
                <w:lang w:val="en-US" w:eastAsia="zh-CN"/>
              </w:rPr>
              <w:t>5</w:t>
            </w:r>
            <w:r>
              <w:rPr>
                <w:rFonts w:hint="eastAsia" w:ascii="宋体" w:hAnsi="宋体" w:cs="宋体"/>
                <w:sz w:val="24"/>
                <w:highlight w:val="none"/>
              </w:rPr>
              <w:t>年</w:t>
            </w:r>
            <w:r>
              <w:rPr>
                <w:rFonts w:hint="eastAsia" w:ascii="宋体" w:hAnsi="宋体" w:cs="宋体"/>
                <w:sz w:val="24"/>
                <w:highlight w:val="none"/>
                <w:lang w:val="en-US" w:eastAsia="zh-CN"/>
              </w:rPr>
              <w:t>1</w:t>
            </w:r>
            <w:r>
              <w:rPr>
                <w:rFonts w:hint="eastAsia" w:ascii="宋体" w:hAnsi="宋体" w:cs="宋体"/>
                <w:sz w:val="24"/>
                <w:highlight w:val="none"/>
              </w:rPr>
              <w:t>月1日以来任意一个月的纳税证明和社保缴纳证明，依法免税或不需要缴纳社会保障资金的，应提供相应文件证明其依法免税或不需要缴纳社会保障资金。</w:t>
            </w:r>
          </w:p>
          <w:p w14:paraId="6E58937F">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3.5参加政府采购活动前三年内，在经营活动中没有重大违法记录；提供声明函，格式自拟</w:t>
            </w:r>
            <w:r>
              <w:rPr>
                <w:rFonts w:hint="eastAsia" w:ascii="宋体" w:hAnsi="宋体" w:cs="宋体"/>
                <w:sz w:val="24"/>
                <w:highlight w:val="none"/>
                <w:lang w:val="en-US" w:eastAsia="zh-CN"/>
              </w:rPr>
              <w:t>加盖电子章</w:t>
            </w:r>
            <w:r>
              <w:rPr>
                <w:rFonts w:hint="eastAsia" w:ascii="宋体" w:hAnsi="宋体" w:cs="宋体"/>
                <w:sz w:val="24"/>
                <w:highlight w:val="none"/>
              </w:rPr>
              <w:t>。</w:t>
            </w:r>
          </w:p>
          <w:p w14:paraId="4E3BA326">
            <w:pPr>
              <w:shd w:val="clear" w:color="auto" w:fill="FFFFFF"/>
              <w:wordWrap w:val="0"/>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rPr>
              <w:t>3.6投标货物须符合中华人民共和国国务院令第 739 号《医疗器械监督管理条例》 相关规定，取得医疗器械注册证或医疗器械产品相关备案凭证；</w:t>
            </w:r>
            <w:r>
              <w:rPr>
                <w:rFonts w:hint="eastAsia" w:ascii="宋体" w:hAnsi="宋体" w:cs="宋体"/>
                <w:color w:val="000000" w:themeColor="text1"/>
                <w:sz w:val="24"/>
                <w:highlight w:val="none"/>
                <w14:textFill>
                  <w14:solidFill>
                    <w14:schemeClr w14:val="tx1"/>
                  </w14:solidFill>
                </w14:textFill>
              </w:rPr>
              <w:t>如为</w:t>
            </w:r>
            <w:r>
              <w:rPr>
                <w:rFonts w:hint="eastAsia" w:ascii="宋体" w:hAnsi="宋体" w:cs="宋体"/>
                <w:color w:val="000000" w:themeColor="text1"/>
                <w:sz w:val="24"/>
                <w:highlight w:val="none"/>
                <w:lang w:val="en-US" w:eastAsia="zh-CN"/>
                <w14:textFill>
                  <w14:solidFill>
                    <w14:schemeClr w14:val="tx1"/>
                  </w14:solidFill>
                </w14:textFill>
              </w:rPr>
              <w:t>进口</w:t>
            </w:r>
            <w:r>
              <w:rPr>
                <w:rFonts w:hint="eastAsia" w:ascii="宋体" w:hAnsi="宋体" w:cs="宋体"/>
                <w:color w:val="000000" w:themeColor="text1"/>
                <w:sz w:val="24"/>
                <w:highlight w:val="none"/>
                <w14:textFill>
                  <w14:solidFill>
                    <w14:schemeClr w14:val="tx1"/>
                  </w14:solidFill>
                </w14:textFill>
              </w:rPr>
              <w:t>产品，供应商须同时提供制造商或总经销商认可的产品授权书（有完整的授权链）</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sz w:val="24"/>
                <w:highlight w:val="none"/>
                <w:lang w:val="en-US" w:eastAsia="zh-CN"/>
              </w:rPr>
              <w:t>（注：非医疗器械可不提供）</w:t>
            </w:r>
          </w:p>
          <w:p w14:paraId="712D9A9B">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3.7</w:t>
            </w:r>
            <w:r>
              <w:rPr>
                <w:rFonts w:hint="eastAsia" w:ascii="宋体" w:hAnsi="宋体" w:cs="宋体"/>
                <w:sz w:val="24"/>
                <w:highlight w:val="none"/>
                <w:lang w:eastAsia="zh-CN"/>
              </w:rPr>
              <w:t>供应商</w:t>
            </w:r>
            <w:r>
              <w:rPr>
                <w:rFonts w:hint="eastAsia" w:ascii="宋体" w:hAnsi="宋体" w:cs="宋体"/>
                <w:sz w:val="24"/>
                <w:highlight w:val="none"/>
              </w:rPr>
              <w:t>为代理商或经销商投标时须具有医疗器械经营许可证或医疗器械经营备案凭证（从事第一类医疗器械经营活动的除外）；</w:t>
            </w:r>
            <w:r>
              <w:rPr>
                <w:rFonts w:hint="eastAsia" w:ascii="宋体" w:hAnsi="宋体" w:cs="宋体"/>
                <w:sz w:val="24"/>
                <w:highlight w:val="none"/>
                <w:lang w:eastAsia="zh-CN"/>
              </w:rPr>
              <w:t>供应商</w:t>
            </w:r>
            <w:r>
              <w:rPr>
                <w:rFonts w:hint="eastAsia" w:ascii="宋体" w:hAnsi="宋体" w:cs="宋体"/>
                <w:sz w:val="24"/>
                <w:highlight w:val="none"/>
              </w:rPr>
              <w:t>为境内生产企业投标时须具有医疗器械生产许可证，医疗器械注册人、备案人经营其注册、备案的医疗器械，无需提供医疗器械经营许可或者备案相关资料，但应当符合医疗器械监督管理条例规定的经营条件；</w:t>
            </w:r>
            <w:r>
              <w:rPr>
                <w:rFonts w:hint="eastAsia" w:ascii="宋体" w:hAnsi="宋体" w:cs="宋体"/>
                <w:sz w:val="24"/>
                <w:highlight w:val="none"/>
                <w:lang w:val="en-US" w:eastAsia="zh-CN"/>
              </w:rPr>
              <w:t>（注：非医疗器械可不提供）</w:t>
            </w:r>
          </w:p>
          <w:p w14:paraId="0A078C23">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3.8根据《关于在政府采购活动中查询及使用信用记录有关问题的通知》(财库(2016)125号)的要求，对列入失信被执行人、重大税收违法失信主体、政府采购严重违法失信行为记录名单的供应商，拒绝参与本项目政府采购活动。【查询渠道：“信用中国网站跳转至中国执行信息公开网 ( http://zxgk.court.gov.cn/ )-失信被执行人”“信用中国网站 ；(https://www.creditchina.gov.cn/)-重大税收违法失信主体”“中国政府采购网(http://www.ccgp.gov.cn/)-政府采购严重违法失信行为记录名单”】</w:t>
            </w:r>
          </w:p>
          <w:p w14:paraId="285CFEA2">
            <w:pPr>
              <w:shd w:val="clear" w:color="auto" w:fill="FFFFFF"/>
              <w:wordWrap w:val="0"/>
              <w:spacing w:line="360" w:lineRule="auto"/>
              <w:jc w:val="left"/>
              <w:rPr>
                <w:rFonts w:hint="eastAsia" w:ascii="宋体" w:hAnsi="宋体" w:cs="宋体"/>
                <w:sz w:val="24"/>
                <w:highlight w:val="none"/>
              </w:rPr>
            </w:pPr>
            <w:r>
              <w:rPr>
                <w:rFonts w:hint="eastAsia" w:ascii="宋体" w:hAnsi="宋体" w:cs="宋体"/>
                <w:sz w:val="24"/>
                <w:highlight w:val="none"/>
              </w:rPr>
              <w:t>注：采购代理机构在开标当天将对所有参与本项目投标的供应商的信用情况进行查询、打印留存。若在资格审查时查询到供应商有不良信用记录的，则该供应商为无效供应商。</w:t>
            </w:r>
          </w:p>
          <w:p w14:paraId="7E369AD5">
            <w:pPr>
              <w:shd w:val="clear" w:color="auto" w:fill="FFFFFF"/>
              <w:wordWrap w:val="0"/>
              <w:spacing w:line="360" w:lineRule="auto"/>
              <w:jc w:val="left"/>
              <w:rPr>
                <w:rFonts w:hint="eastAsia" w:ascii="宋体" w:hAnsi="宋体" w:eastAsia="宋体" w:cs="宋体"/>
                <w:sz w:val="24"/>
                <w:highlight w:val="none"/>
              </w:rPr>
            </w:pPr>
            <w:r>
              <w:rPr>
                <w:rFonts w:hint="eastAsia" w:ascii="宋体" w:hAnsi="宋体" w:cs="宋体"/>
                <w:sz w:val="24"/>
                <w:highlight w:val="none"/>
              </w:rPr>
              <w:t>3.9单位负责人为同一人或者存在直接控股、管理关系的不同供应商，不得参加同一合同项下的政府采购活动；提供投标供应商在“国家企业信用信息公示系统”中公示的公司基本信息、股东及出资信息、主要人员信息的截图（</w:t>
            </w:r>
            <w:r>
              <w:rPr>
                <w:rFonts w:hint="eastAsia" w:ascii="宋体" w:hAnsi="宋体" w:cs="宋体"/>
                <w:sz w:val="24"/>
                <w:highlight w:val="none"/>
                <w:lang w:eastAsia="zh-CN"/>
              </w:rPr>
              <w:t>网页截图并加盖投标单位电子章，供应商若为事业单位无法在该公示系统查询的，则针对此项做出书面承诺，格式自拟并加盖电子章</w:t>
            </w:r>
            <w:r>
              <w:rPr>
                <w:rFonts w:hint="eastAsia" w:ascii="宋体" w:hAnsi="宋体" w:cs="宋体"/>
                <w:sz w:val="24"/>
                <w:highlight w:val="none"/>
              </w:rPr>
              <w:t>）。</w:t>
            </w:r>
          </w:p>
        </w:tc>
      </w:tr>
      <w:tr w14:paraId="746FB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59" w:hRule="atLeast"/>
        </w:trPr>
        <w:tc>
          <w:tcPr>
            <w:tcW w:w="859" w:type="dxa"/>
            <w:noWrap w:val="0"/>
            <w:vAlign w:val="center"/>
          </w:tcPr>
          <w:p w14:paraId="01B31F3C">
            <w:pPr>
              <w:spacing w:line="360" w:lineRule="auto"/>
              <w:jc w:val="center"/>
              <w:rPr>
                <w:rFonts w:hint="eastAsia" w:ascii="宋体" w:hAnsi="宋体" w:eastAsia="宋体" w:cs="宋体"/>
                <w:sz w:val="24"/>
                <w:highlight w:val="none"/>
                <w:lang w:eastAsia="zh-CN"/>
              </w:rPr>
            </w:pPr>
          </w:p>
          <w:p w14:paraId="1D199025">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rPr>
              <w:t>1.5.2</w:t>
            </w:r>
          </w:p>
        </w:tc>
        <w:tc>
          <w:tcPr>
            <w:tcW w:w="1665" w:type="dxa"/>
            <w:noWrap w:val="0"/>
            <w:vAlign w:val="center"/>
          </w:tcPr>
          <w:p w14:paraId="4D6FC9F2">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是否专门面向中小企业或小型、微型企业采</w:t>
            </w:r>
            <w:r>
              <w:rPr>
                <w:rFonts w:hint="eastAsia" w:ascii="宋体" w:hAnsi="宋体" w:eastAsia="宋体" w:cs="宋体"/>
                <w:sz w:val="24"/>
                <w:highlight w:val="none"/>
              </w:rPr>
              <w:t>购</w:t>
            </w:r>
          </w:p>
        </w:tc>
        <w:tc>
          <w:tcPr>
            <w:tcW w:w="6475" w:type="dxa"/>
            <w:noWrap w:val="0"/>
            <w:vAlign w:val="top"/>
          </w:tcPr>
          <w:p w14:paraId="4A95D009">
            <w:pPr>
              <w:spacing w:line="360" w:lineRule="auto"/>
              <w:jc w:val="left"/>
              <w:rPr>
                <w:rFonts w:hint="eastAsia" w:ascii="宋体" w:hAnsi="宋体" w:eastAsia="宋体" w:cs="宋体"/>
                <w:sz w:val="24"/>
                <w:highlight w:val="none"/>
              </w:rPr>
            </w:pPr>
          </w:p>
          <w:p w14:paraId="4CDB59FE">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否</w:t>
            </w:r>
          </w:p>
        </w:tc>
      </w:tr>
      <w:tr w14:paraId="3502C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50" w:hRule="atLeast"/>
        </w:trPr>
        <w:tc>
          <w:tcPr>
            <w:tcW w:w="859" w:type="dxa"/>
            <w:noWrap w:val="0"/>
            <w:vAlign w:val="center"/>
          </w:tcPr>
          <w:p w14:paraId="076DEE94">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1.5.6</w:t>
            </w:r>
          </w:p>
        </w:tc>
        <w:tc>
          <w:tcPr>
            <w:tcW w:w="1665" w:type="dxa"/>
            <w:noWrap w:val="0"/>
            <w:vAlign w:val="center"/>
          </w:tcPr>
          <w:p w14:paraId="52DEE253">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是否接受联合体投标</w:t>
            </w:r>
          </w:p>
        </w:tc>
        <w:tc>
          <w:tcPr>
            <w:tcW w:w="6475" w:type="dxa"/>
            <w:noWrap w:val="0"/>
            <w:vAlign w:val="center"/>
          </w:tcPr>
          <w:p w14:paraId="1AB09422">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否</w:t>
            </w:r>
          </w:p>
        </w:tc>
      </w:tr>
      <w:tr w14:paraId="1CCDC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0" w:hRule="atLeast"/>
        </w:trPr>
        <w:tc>
          <w:tcPr>
            <w:tcW w:w="859" w:type="dxa"/>
            <w:noWrap w:val="0"/>
            <w:vAlign w:val="center"/>
          </w:tcPr>
          <w:p w14:paraId="4F5241D7">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1.6</w:t>
            </w:r>
          </w:p>
        </w:tc>
        <w:tc>
          <w:tcPr>
            <w:tcW w:w="1665" w:type="dxa"/>
            <w:noWrap w:val="0"/>
            <w:vAlign w:val="center"/>
          </w:tcPr>
          <w:p w14:paraId="421D4585">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分包</w:t>
            </w:r>
          </w:p>
        </w:tc>
        <w:tc>
          <w:tcPr>
            <w:tcW w:w="6475" w:type="dxa"/>
            <w:noWrap w:val="0"/>
            <w:vAlign w:val="center"/>
          </w:tcPr>
          <w:p w14:paraId="1BB372A5">
            <w:pPr>
              <w:spacing w:line="360" w:lineRule="auto"/>
              <w:jc w:val="left"/>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不允许分包</w:t>
            </w:r>
          </w:p>
        </w:tc>
      </w:tr>
      <w:tr w14:paraId="2B687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1" w:hRule="atLeast"/>
        </w:trPr>
        <w:tc>
          <w:tcPr>
            <w:tcW w:w="859" w:type="dxa"/>
            <w:noWrap w:val="0"/>
            <w:vAlign w:val="center"/>
          </w:tcPr>
          <w:p w14:paraId="504AF498">
            <w:pPr>
              <w:spacing w:line="360" w:lineRule="auto"/>
              <w:jc w:val="center"/>
              <w:rPr>
                <w:rFonts w:hint="eastAsia" w:ascii="宋体" w:hAnsi="宋体" w:eastAsia="宋体" w:cs="宋体"/>
                <w:sz w:val="24"/>
                <w:highlight w:val="none"/>
                <w:lang w:eastAsia="zh-CN"/>
              </w:rPr>
            </w:pPr>
          </w:p>
          <w:p w14:paraId="7D9D77AA">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2.1</w:t>
            </w:r>
          </w:p>
        </w:tc>
        <w:tc>
          <w:tcPr>
            <w:tcW w:w="1665" w:type="dxa"/>
            <w:noWrap w:val="0"/>
            <w:vAlign w:val="center"/>
          </w:tcPr>
          <w:p w14:paraId="12E3551D">
            <w:pPr>
              <w:spacing w:line="360" w:lineRule="auto"/>
              <w:jc w:val="center"/>
              <w:rPr>
                <w:rFonts w:hint="eastAsia" w:ascii="宋体" w:hAnsi="宋体" w:eastAsia="宋体" w:cs="宋体"/>
                <w:sz w:val="24"/>
                <w:highlight w:val="none"/>
                <w:lang w:eastAsia="zh-CN"/>
              </w:rPr>
            </w:pPr>
          </w:p>
          <w:p w14:paraId="02A547D2">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构成招标文件的其他材料</w:t>
            </w:r>
          </w:p>
        </w:tc>
        <w:tc>
          <w:tcPr>
            <w:tcW w:w="6475" w:type="dxa"/>
            <w:noWrap w:val="0"/>
            <w:vAlign w:val="center"/>
          </w:tcPr>
          <w:p w14:paraId="008A6839">
            <w:pPr>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除招标文件外，最高投标限价以及采购人在招标期间发出的澄清（如有）、修改、补充、补遗和其它有效正式函件等内容均是招标文件的组成部分。</w:t>
            </w:r>
          </w:p>
        </w:tc>
      </w:tr>
      <w:tr w14:paraId="45CD0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1" w:hRule="atLeast"/>
        </w:trPr>
        <w:tc>
          <w:tcPr>
            <w:tcW w:w="859" w:type="dxa"/>
            <w:noWrap w:val="0"/>
            <w:vAlign w:val="center"/>
          </w:tcPr>
          <w:p w14:paraId="2BE38394">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2.2</w:t>
            </w:r>
          </w:p>
        </w:tc>
        <w:tc>
          <w:tcPr>
            <w:tcW w:w="1665" w:type="dxa"/>
            <w:noWrap w:val="0"/>
            <w:vAlign w:val="center"/>
          </w:tcPr>
          <w:p w14:paraId="1F9B1292">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核心产品</w:t>
            </w:r>
          </w:p>
        </w:tc>
        <w:tc>
          <w:tcPr>
            <w:tcW w:w="6475" w:type="dxa"/>
            <w:noWrap w:val="0"/>
            <w:vAlign w:val="center"/>
          </w:tcPr>
          <w:p w14:paraId="055EEECF">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en-US"/>
              </w:rPr>
              <w:t>本项目核心产品为：</w:t>
            </w:r>
            <w:r>
              <w:rPr>
                <w:rFonts w:hint="eastAsia" w:ascii="宋体" w:hAnsi="宋体" w:eastAsia="宋体" w:cs="宋体"/>
                <w:color w:val="auto"/>
                <w:sz w:val="24"/>
                <w:highlight w:val="none"/>
                <w:lang w:val="en-US" w:eastAsia="zh-CN"/>
              </w:rPr>
              <w:t>超声支气管镜</w:t>
            </w:r>
          </w:p>
          <w:p w14:paraId="0B920BCB">
            <w:pPr>
              <w:spacing w:line="360" w:lineRule="auto"/>
              <w:jc w:val="left"/>
              <w:rPr>
                <w:rFonts w:hint="eastAsia" w:ascii="宋体" w:hAnsi="宋体" w:eastAsia="宋体" w:cs="宋体"/>
                <w:color w:val="auto"/>
                <w:sz w:val="24"/>
                <w:highlight w:val="none"/>
                <w:lang w:val="en-US" w:eastAsia="en-US"/>
              </w:rPr>
            </w:pPr>
            <w:r>
              <w:rPr>
                <w:rFonts w:hint="eastAsia" w:ascii="宋体" w:hAnsi="宋体" w:eastAsia="宋体" w:cs="宋体"/>
                <w:color w:val="auto"/>
                <w:sz w:val="24"/>
                <w:highlight w:val="none"/>
                <w:lang w:val="en-US" w:eastAsia="en-US"/>
              </w:rPr>
              <w:t>1.提供相同品牌产品且通过资格审查、符合性审查的不同投标人参加同一包下投标的，按一家投标人计算，评审后得分最高的同品牌投标人获得中标人推荐资格；评审得分相同的，以投标报价低者获得中标人推荐资格，其他同品牌投标人不作为中标候选人；</w:t>
            </w:r>
          </w:p>
          <w:p w14:paraId="00B3E33A">
            <w:pPr>
              <w:spacing w:line="360" w:lineRule="auto"/>
              <w:jc w:val="left"/>
              <w:rPr>
                <w:rFonts w:hint="eastAsia" w:ascii="宋体" w:hAnsi="宋体" w:eastAsia="宋体" w:cs="宋体"/>
                <w:color w:val="auto"/>
                <w:sz w:val="24"/>
                <w:highlight w:val="none"/>
                <w:lang w:val="en-US" w:eastAsia="en-US"/>
              </w:rPr>
            </w:pPr>
            <w:r>
              <w:rPr>
                <w:rFonts w:hint="eastAsia" w:ascii="宋体" w:hAnsi="宋体" w:eastAsia="宋体" w:cs="宋体"/>
                <w:color w:val="auto"/>
                <w:sz w:val="24"/>
                <w:highlight w:val="none"/>
                <w:lang w:val="en-US" w:eastAsia="en-US"/>
              </w:rPr>
              <w:t>2.非单一产品采购项目，核心产品提供相同品牌产品且通过资格审查、符合性审查的不同投标人参加同一包投标的，按一家投标人计算，评审后得分最高的同品牌投标人获得中标人推荐资格；评审得分相同的，以投标报价低者获得中标人推荐资格，其他同品牌投标人不作为中标候选人。</w:t>
            </w:r>
          </w:p>
          <w:p w14:paraId="6C1EEA60">
            <w:pPr>
              <w:spacing w:line="360" w:lineRule="auto"/>
              <w:jc w:val="left"/>
              <w:rPr>
                <w:rFonts w:hint="eastAsia" w:ascii="宋体" w:hAnsi="宋体" w:eastAsia="宋体" w:cs="宋体"/>
                <w:sz w:val="24"/>
                <w:highlight w:val="none"/>
                <w:lang w:eastAsia="zh-CN"/>
              </w:rPr>
            </w:pPr>
            <w:r>
              <w:rPr>
                <w:rFonts w:hint="eastAsia" w:ascii="宋体" w:hAnsi="宋体" w:eastAsia="宋体" w:cs="宋体"/>
                <w:color w:val="auto"/>
                <w:sz w:val="24"/>
                <w:highlight w:val="none"/>
                <w:lang w:val="en-US" w:eastAsia="en-US"/>
              </w:rPr>
              <w:t>3. 多家投标人提供的核心产品品牌相同的，按前两款规定处理。所投设备为相同品牌产品且通过资格审查、符合性审查的不同供应商参加同一合同项下投标的，按一家供应商计算，评审后得分最高的同品牌供应商获得中标人推荐资格；若评审后得分相同，报价得分最高的供应商获得中标人推荐资格；若评审后得分相同且报价得分相同的，技术参数得分最高的供应商获得中标人推荐资格；</w:t>
            </w:r>
            <w:r>
              <w:rPr>
                <w:rFonts w:hint="eastAsia" w:ascii="宋体" w:hAnsi="宋体" w:eastAsia="宋体" w:cs="宋体"/>
                <w:color w:val="auto"/>
                <w:sz w:val="24"/>
                <w:highlight w:val="none"/>
                <w:lang w:val="en-US" w:eastAsia="zh-CN"/>
              </w:rPr>
              <w:t>以上情况均并列的，采取随机选取的方式确定。</w:t>
            </w:r>
          </w:p>
        </w:tc>
      </w:tr>
      <w:tr w14:paraId="1E9DB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1" w:hRule="atLeast"/>
        </w:trPr>
        <w:tc>
          <w:tcPr>
            <w:tcW w:w="859" w:type="dxa"/>
            <w:noWrap w:val="0"/>
            <w:vAlign w:val="center"/>
          </w:tcPr>
          <w:p w14:paraId="37166C1A">
            <w:pPr>
              <w:spacing w:line="360" w:lineRule="auto"/>
              <w:jc w:val="center"/>
              <w:rPr>
                <w:rFonts w:hint="eastAsia" w:ascii="宋体" w:hAnsi="宋体" w:cs="宋体"/>
                <w:sz w:val="24"/>
                <w:highlight w:val="none"/>
                <w:lang w:eastAsia="zh-CN"/>
              </w:rPr>
            </w:pPr>
          </w:p>
          <w:p w14:paraId="5A8AD6ED">
            <w:pPr>
              <w:spacing w:line="360" w:lineRule="auto"/>
              <w:jc w:val="center"/>
              <w:rPr>
                <w:rFonts w:hint="eastAsia" w:ascii="宋体" w:hAnsi="宋体" w:cs="宋体"/>
                <w:sz w:val="24"/>
                <w:highlight w:val="none"/>
                <w:lang w:eastAsia="zh-CN"/>
              </w:rPr>
            </w:pPr>
            <w:r>
              <w:rPr>
                <w:rFonts w:hint="eastAsia" w:ascii="宋体" w:hAnsi="宋体" w:cs="宋体"/>
                <w:sz w:val="24"/>
                <w:highlight w:val="none"/>
                <w:lang w:eastAsia="zh-CN"/>
              </w:rPr>
              <w:t>2.3.3</w:t>
            </w:r>
          </w:p>
        </w:tc>
        <w:tc>
          <w:tcPr>
            <w:tcW w:w="1665" w:type="dxa"/>
            <w:noWrap w:val="0"/>
            <w:vAlign w:val="center"/>
          </w:tcPr>
          <w:p w14:paraId="4D8037A0">
            <w:pPr>
              <w:spacing w:line="360" w:lineRule="auto"/>
              <w:jc w:val="center"/>
              <w:rPr>
                <w:rFonts w:hint="eastAsia" w:ascii="宋体" w:hAnsi="宋体" w:cs="宋体"/>
                <w:sz w:val="24"/>
                <w:highlight w:val="none"/>
                <w:lang w:eastAsia="zh-CN"/>
              </w:rPr>
            </w:pPr>
            <w:r>
              <w:rPr>
                <w:rFonts w:hint="eastAsia" w:ascii="宋体" w:hAnsi="宋体" w:cs="宋体"/>
                <w:sz w:val="24"/>
                <w:highlight w:val="none"/>
                <w:lang w:eastAsia="zh-CN"/>
              </w:rPr>
              <w:t>采购人发出澄清文件时间</w:t>
            </w:r>
          </w:p>
        </w:tc>
        <w:tc>
          <w:tcPr>
            <w:tcW w:w="6475" w:type="dxa"/>
            <w:noWrap w:val="0"/>
            <w:vAlign w:val="center"/>
          </w:tcPr>
          <w:p w14:paraId="3060080C">
            <w:pPr>
              <w:spacing w:line="360" w:lineRule="auto"/>
              <w:jc w:val="left"/>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采购人对招标文件进行澄清的时间：澄清内容影响投标文件编制的，投标截止时间15天前通过“河南省公共资源交易中心（http://hnsggzyjy.henan.gov.cn/ ）”电子交易平台公布给所有下载招标文件的供应商。</w:t>
            </w:r>
          </w:p>
          <w:p w14:paraId="141CBDDC">
            <w:pPr>
              <w:spacing w:line="360" w:lineRule="auto"/>
              <w:jc w:val="lef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注：一经发布即视为供应商已收到并确认，请各供应商及时关注本项目通过河南省公共资源交易中心系统发出的通知，如有遗漏自行负责。</w:t>
            </w:r>
          </w:p>
        </w:tc>
      </w:tr>
      <w:tr w14:paraId="5577D7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2" w:hRule="atLeast"/>
        </w:trPr>
        <w:tc>
          <w:tcPr>
            <w:tcW w:w="859" w:type="dxa"/>
            <w:noWrap w:val="0"/>
            <w:vAlign w:val="center"/>
          </w:tcPr>
          <w:p w14:paraId="0878115B">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2.4.1</w:t>
            </w:r>
          </w:p>
        </w:tc>
        <w:tc>
          <w:tcPr>
            <w:tcW w:w="1665" w:type="dxa"/>
            <w:noWrap w:val="0"/>
            <w:vAlign w:val="center"/>
          </w:tcPr>
          <w:p w14:paraId="1FC4C724">
            <w:pPr>
              <w:spacing w:line="360" w:lineRule="auto"/>
              <w:jc w:val="center"/>
              <w:rPr>
                <w:rFonts w:hint="eastAsia" w:ascii="宋体" w:hAnsi="宋体" w:cs="宋体"/>
                <w:sz w:val="24"/>
                <w:highlight w:val="none"/>
                <w:lang w:eastAsia="zh-CN"/>
              </w:rPr>
            </w:pPr>
            <w:r>
              <w:rPr>
                <w:rFonts w:hint="eastAsia" w:ascii="宋体" w:hAnsi="宋体" w:cs="宋体"/>
                <w:sz w:val="24"/>
                <w:highlight w:val="none"/>
                <w:lang w:eastAsia="zh-CN"/>
              </w:rPr>
              <w:t>采购人发出</w:t>
            </w:r>
            <w:r>
              <w:rPr>
                <w:rFonts w:hint="eastAsia" w:ascii="宋体" w:hAnsi="宋体" w:cs="宋体"/>
                <w:sz w:val="24"/>
                <w:highlight w:val="none"/>
                <w:lang w:val="en-US" w:eastAsia="zh-CN"/>
              </w:rPr>
              <w:t>修改</w:t>
            </w:r>
            <w:r>
              <w:rPr>
                <w:rFonts w:hint="eastAsia" w:ascii="宋体" w:hAnsi="宋体" w:cs="宋体"/>
                <w:sz w:val="24"/>
                <w:highlight w:val="none"/>
                <w:lang w:eastAsia="zh-CN"/>
              </w:rPr>
              <w:t>文件时间</w:t>
            </w:r>
          </w:p>
        </w:tc>
        <w:tc>
          <w:tcPr>
            <w:tcW w:w="6475" w:type="dxa"/>
            <w:noWrap w:val="0"/>
            <w:vAlign w:val="center"/>
          </w:tcPr>
          <w:p w14:paraId="63BE8533">
            <w:pPr>
              <w:spacing w:line="360" w:lineRule="auto"/>
              <w:jc w:val="left"/>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采购人对招标文件进行修改的时间：修改内容影响投标文件编制的，投标截止时间15天前通过“河南省公共资源交易中心（http://hnsggzyjy.henan.gov.cn/ ）”电子交易平台公布给所有下载招标文件的供应商。</w:t>
            </w:r>
          </w:p>
          <w:p w14:paraId="26A44E67">
            <w:pPr>
              <w:spacing w:line="360" w:lineRule="auto"/>
              <w:jc w:val="left"/>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注：一经发布即视为供应商已收到并确认，请各供应商及时关注本项目通过河南省公共资源交易中心系统发出的通知，如有遗漏自行负责。</w:t>
            </w:r>
          </w:p>
        </w:tc>
      </w:tr>
      <w:tr w14:paraId="34865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57" w:hRule="atLeast"/>
        </w:trPr>
        <w:tc>
          <w:tcPr>
            <w:tcW w:w="859" w:type="dxa"/>
            <w:noWrap w:val="0"/>
            <w:vAlign w:val="center"/>
          </w:tcPr>
          <w:p w14:paraId="6FC702D7">
            <w:pPr>
              <w:spacing w:line="360" w:lineRule="auto"/>
              <w:jc w:val="center"/>
              <w:rPr>
                <w:rFonts w:hint="eastAsia" w:ascii="宋体" w:hAnsi="宋体" w:cs="宋体"/>
                <w:sz w:val="24"/>
                <w:highlight w:val="none"/>
                <w:lang w:eastAsia="zh-CN"/>
              </w:rPr>
            </w:pPr>
          </w:p>
          <w:p w14:paraId="418A5761">
            <w:pPr>
              <w:spacing w:line="360" w:lineRule="auto"/>
              <w:jc w:val="center"/>
              <w:rPr>
                <w:rFonts w:hint="eastAsia" w:ascii="宋体" w:hAnsi="宋体" w:cs="宋体"/>
                <w:sz w:val="24"/>
                <w:highlight w:val="none"/>
                <w:lang w:eastAsia="zh-CN"/>
              </w:rPr>
            </w:pPr>
          </w:p>
          <w:p w14:paraId="3ECC78E4">
            <w:pPr>
              <w:spacing w:line="360" w:lineRule="auto"/>
              <w:jc w:val="center"/>
              <w:rPr>
                <w:rFonts w:hint="eastAsia" w:ascii="宋体" w:hAnsi="宋体" w:cs="宋体"/>
                <w:sz w:val="24"/>
                <w:highlight w:val="none"/>
                <w:lang w:val="en-US" w:eastAsia="zh-CN"/>
              </w:rPr>
            </w:pPr>
            <w:r>
              <w:rPr>
                <w:rFonts w:hint="eastAsia" w:ascii="宋体" w:hAnsi="宋体" w:cs="宋体"/>
                <w:sz w:val="24"/>
                <w:highlight w:val="none"/>
                <w:lang w:eastAsia="zh-CN"/>
              </w:rPr>
              <w:t>2.5</w:t>
            </w:r>
          </w:p>
        </w:tc>
        <w:tc>
          <w:tcPr>
            <w:tcW w:w="1665" w:type="dxa"/>
            <w:noWrap w:val="0"/>
            <w:vAlign w:val="center"/>
          </w:tcPr>
          <w:p w14:paraId="6057FEC3">
            <w:pPr>
              <w:spacing w:line="360" w:lineRule="auto"/>
              <w:jc w:val="center"/>
              <w:rPr>
                <w:rFonts w:hint="eastAsia" w:ascii="宋体" w:hAnsi="宋体" w:cs="宋体"/>
                <w:sz w:val="24"/>
                <w:highlight w:val="none"/>
                <w:lang w:eastAsia="zh-CN"/>
              </w:rPr>
            </w:pPr>
          </w:p>
          <w:p w14:paraId="1E33BA64">
            <w:pPr>
              <w:spacing w:line="360" w:lineRule="auto"/>
              <w:jc w:val="center"/>
              <w:rPr>
                <w:rFonts w:hint="eastAsia" w:ascii="宋体" w:hAnsi="宋体" w:cs="宋体"/>
                <w:sz w:val="24"/>
                <w:highlight w:val="none"/>
                <w:lang w:eastAsia="zh-CN"/>
              </w:rPr>
            </w:pPr>
            <w:r>
              <w:rPr>
                <w:rFonts w:hint="eastAsia" w:ascii="宋体" w:hAnsi="宋体" w:cs="宋体"/>
                <w:sz w:val="24"/>
                <w:highlight w:val="none"/>
                <w:lang w:eastAsia="zh-CN"/>
              </w:rPr>
              <w:t>接收质疑函的方式和联系方式</w:t>
            </w:r>
          </w:p>
        </w:tc>
        <w:tc>
          <w:tcPr>
            <w:tcW w:w="6475" w:type="dxa"/>
            <w:noWrap w:val="0"/>
            <w:vAlign w:val="center"/>
          </w:tcPr>
          <w:p w14:paraId="34D58E81">
            <w:pPr>
              <w:spacing w:line="360" w:lineRule="auto"/>
              <w:jc w:val="left"/>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w:t>
            </w:r>
            <w:r>
              <w:rPr>
                <w:rFonts w:hint="default" w:ascii="宋体" w:hAnsi="宋体" w:cs="宋体"/>
                <w:color w:val="auto"/>
                <w:sz w:val="24"/>
                <w:highlight w:val="none"/>
                <w:lang w:val="en-US" w:eastAsia="zh-CN"/>
              </w:rPr>
              <w:t>供应商认为采购文件、采购过程、中标或者成交结果使自己的权益受到损害的，可以在知道或者应知其权益受到损害之日起7个工作日内，以书面形式向采购人、采购代理机构提出质疑。供应商</w:t>
            </w:r>
            <w:r>
              <w:rPr>
                <w:rFonts w:hint="eastAsia" w:ascii="宋体" w:hAnsi="宋体" w:cs="宋体"/>
                <w:color w:val="auto"/>
                <w:sz w:val="24"/>
                <w:highlight w:val="none"/>
                <w:lang w:val="en-US" w:eastAsia="zh-CN"/>
              </w:rPr>
              <w:t>须</w:t>
            </w:r>
            <w:r>
              <w:rPr>
                <w:rFonts w:hint="default" w:ascii="宋体" w:hAnsi="宋体" w:cs="宋体"/>
                <w:color w:val="auto"/>
                <w:sz w:val="24"/>
                <w:highlight w:val="none"/>
                <w:lang w:val="en-US" w:eastAsia="zh-CN"/>
              </w:rPr>
              <w:t>在法定质疑期内一次性提出针对同一采购程序环节的质疑。</w:t>
            </w:r>
          </w:p>
          <w:p w14:paraId="3CB37F45">
            <w:pPr>
              <w:spacing w:line="360" w:lineRule="auto"/>
              <w:jc w:val="both"/>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default" w:ascii="宋体" w:hAnsi="宋体" w:cs="宋体"/>
                <w:color w:val="auto"/>
                <w:sz w:val="24"/>
                <w:highlight w:val="none"/>
                <w:lang w:val="en-US" w:eastAsia="zh-CN"/>
              </w:rPr>
              <w:t>潜在供应商已依法获取</w:t>
            </w:r>
            <w:r>
              <w:rPr>
                <w:rFonts w:hint="eastAsia" w:ascii="宋体" w:hAnsi="宋体" w:cs="宋体"/>
                <w:color w:val="auto"/>
                <w:sz w:val="24"/>
                <w:highlight w:val="none"/>
                <w:lang w:val="en-US" w:eastAsia="zh-CN"/>
              </w:rPr>
              <w:t>本项目招标</w:t>
            </w:r>
            <w:r>
              <w:rPr>
                <w:rFonts w:hint="default" w:ascii="宋体" w:hAnsi="宋体" w:cs="宋体"/>
                <w:color w:val="auto"/>
                <w:sz w:val="24"/>
                <w:highlight w:val="none"/>
                <w:lang w:val="en-US" w:eastAsia="zh-CN"/>
              </w:rPr>
              <w:t>文件的，可以对该文件提出质疑。对</w:t>
            </w:r>
            <w:r>
              <w:rPr>
                <w:rFonts w:hint="eastAsia" w:ascii="宋体" w:hAnsi="宋体" w:cs="宋体"/>
                <w:color w:val="auto"/>
                <w:sz w:val="24"/>
                <w:highlight w:val="none"/>
                <w:lang w:val="en-US" w:eastAsia="zh-CN"/>
              </w:rPr>
              <w:t>招标</w:t>
            </w:r>
            <w:r>
              <w:rPr>
                <w:rFonts w:hint="default" w:ascii="宋体" w:hAnsi="宋体" w:cs="宋体"/>
                <w:color w:val="auto"/>
                <w:sz w:val="24"/>
                <w:highlight w:val="none"/>
                <w:lang w:val="en-US" w:eastAsia="zh-CN"/>
              </w:rPr>
              <w:t>文件提出质疑的，应当在获取</w:t>
            </w:r>
            <w:r>
              <w:rPr>
                <w:rFonts w:hint="eastAsia" w:ascii="宋体" w:hAnsi="宋体" w:cs="宋体"/>
                <w:color w:val="auto"/>
                <w:sz w:val="24"/>
                <w:highlight w:val="none"/>
                <w:lang w:val="en-US" w:eastAsia="zh-CN"/>
              </w:rPr>
              <w:t>招标</w:t>
            </w:r>
            <w:r>
              <w:rPr>
                <w:rFonts w:hint="default" w:ascii="宋体" w:hAnsi="宋体" w:cs="宋体"/>
                <w:color w:val="auto"/>
                <w:sz w:val="24"/>
                <w:highlight w:val="none"/>
                <w:lang w:val="en-US" w:eastAsia="zh-CN"/>
              </w:rPr>
              <w:t>文件或者</w:t>
            </w:r>
            <w:r>
              <w:rPr>
                <w:rFonts w:hint="eastAsia" w:ascii="宋体" w:hAnsi="宋体" w:cs="宋体"/>
                <w:color w:val="auto"/>
                <w:sz w:val="24"/>
                <w:highlight w:val="none"/>
                <w:lang w:val="en-US" w:eastAsia="zh-CN"/>
              </w:rPr>
              <w:t>招标</w:t>
            </w:r>
            <w:r>
              <w:rPr>
                <w:rFonts w:hint="default" w:ascii="宋体" w:hAnsi="宋体" w:cs="宋体"/>
                <w:color w:val="auto"/>
                <w:sz w:val="24"/>
                <w:highlight w:val="none"/>
                <w:lang w:val="en-US" w:eastAsia="zh-CN"/>
              </w:rPr>
              <w:t>文件公告期限届满之日起7个工作日内在河南省公共资源交易系统中提出，质疑函的格式和内容应当符合《政府采购质疑和投诉办法》</w:t>
            </w:r>
            <w:r>
              <w:rPr>
                <w:rFonts w:hint="eastAsia" w:ascii="宋体" w:hAnsi="宋体" w:cs="宋体"/>
                <w:color w:val="auto"/>
                <w:sz w:val="24"/>
                <w:highlight w:val="none"/>
                <w:lang w:val="en-US" w:eastAsia="zh-CN"/>
              </w:rPr>
              <w:t>（财政部令第94号）</w:t>
            </w:r>
            <w:r>
              <w:rPr>
                <w:rFonts w:hint="default" w:ascii="宋体" w:hAnsi="宋体" w:cs="宋体"/>
                <w:color w:val="auto"/>
                <w:sz w:val="24"/>
                <w:highlight w:val="none"/>
                <w:lang w:val="en-US" w:eastAsia="zh-CN"/>
              </w:rPr>
              <w:t>的要求。</w:t>
            </w:r>
          </w:p>
          <w:p w14:paraId="5877847E">
            <w:pPr>
              <w:spacing w:line="360" w:lineRule="auto"/>
              <w:jc w:val="left"/>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w:t>
            </w:r>
            <w:r>
              <w:rPr>
                <w:rFonts w:hint="default" w:ascii="宋体" w:hAnsi="宋体" w:cs="宋体"/>
                <w:color w:val="auto"/>
                <w:sz w:val="24"/>
                <w:highlight w:val="none"/>
                <w:lang w:val="en-US" w:eastAsia="zh-CN"/>
              </w:rPr>
              <w:t>联系方式</w:t>
            </w:r>
          </w:p>
          <w:p w14:paraId="79DA0742">
            <w:pPr>
              <w:spacing w:line="360" w:lineRule="auto"/>
              <w:jc w:val="left"/>
              <w:rPr>
                <w:rFonts w:hint="default" w:ascii="宋体" w:hAnsi="宋体" w:cs="宋体"/>
                <w:color w:val="auto"/>
                <w:sz w:val="24"/>
                <w:highlight w:val="none"/>
                <w:lang w:val="en-US" w:eastAsia="zh-CN"/>
              </w:rPr>
            </w:pPr>
            <w:r>
              <w:rPr>
                <w:rFonts w:hint="default" w:ascii="宋体" w:hAnsi="宋体" w:cs="宋体"/>
                <w:color w:val="auto"/>
                <w:sz w:val="24"/>
                <w:highlight w:val="none"/>
                <w:lang w:val="en-US" w:eastAsia="zh-CN"/>
              </w:rPr>
              <w:t>联系部门</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eastAsia="zh-CN"/>
              </w:rPr>
              <w:t>大成工程咨询有限公司</w:t>
            </w:r>
          </w:p>
          <w:p w14:paraId="60D0F991">
            <w:pPr>
              <w:spacing w:line="360" w:lineRule="auto"/>
              <w:jc w:val="left"/>
              <w:rPr>
                <w:rFonts w:hint="default" w:ascii="宋体" w:hAnsi="宋体" w:cs="宋体"/>
                <w:color w:val="auto"/>
                <w:sz w:val="24"/>
                <w:highlight w:val="none"/>
                <w:lang w:val="en-US" w:eastAsia="zh-CN"/>
              </w:rPr>
            </w:pPr>
            <w:r>
              <w:rPr>
                <w:rFonts w:hint="default" w:ascii="宋体" w:hAnsi="宋体" w:cs="宋体"/>
                <w:color w:val="auto"/>
                <w:sz w:val="24"/>
                <w:highlight w:val="none"/>
                <w:lang w:val="en-US" w:eastAsia="zh-CN"/>
              </w:rPr>
              <w:t>联系电话</w:t>
            </w:r>
            <w:r>
              <w:rPr>
                <w:rFonts w:hint="eastAsia" w:ascii="宋体" w:hAnsi="宋体" w:cs="宋体"/>
                <w:color w:val="auto"/>
                <w:sz w:val="24"/>
                <w:highlight w:val="none"/>
                <w:lang w:val="en-US" w:eastAsia="zh-CN"/>
              </w:rPr>
              <w:t>：</w:t>
            </w:r>
            <w:r>
              <w:rPr>
                <w:rFonts w:hint="eastAsia" w:ascii="宋体" w:hAnsi="宋体" w:cs="宋体"/>
                <w:sz w:val="24"/>
                <w:highlight w:val="none"/>
              </w:rPr>
              <w:t>0371</w:t>
            </w:r>
            <w:r>
              <w:rPr>
                <w:rFonts w:hint="eastAsia" w:ascii="宋体" w:hAnsi="宋体" w:cs="宋体"/>
                <w:sz w:val="24"/>
                <w:highlight w:val="none"/>
                <w:lang w:val="en-US" w:eastAsia="zh-CN"/>
              </w:rPr>
              <w:t>-</w:t>
            </w:r>
            <w:r>
              <w:rPr>
                <w:rFonts w:hint="eastAsia" w:ascii="宋体" w:hAnsi="宋体" w:cs="宋体"/>
                <w:sz w:val="24"/>
                <w:highlight w:val="none"/>
              </w:rPr>
              <w:t>65585906</w:t>
            </w:r>
            <w:r>
              <w:rPr>
                <w:rFonts w:hint="eastAsia" w:ascii="宋体" w:hAnsi="宋体" w:cs="宋体"/>
                <w:sz w:val="24"/>
                <w:highlight w:val="none"/>
                <w:lang w:val="en-US" w:eastAsia="zh-CN"/>
              </w:rPr>
              <w:t xml:space="preserve"> </w:t>
            </w:r>
            <w:r>
              <w:rPr>
                <w:rFonts w:hint="eastAsia" w:ascii="宋体" w:hAnsi="宋体" w:cs="宋体"/>
                <w:sz w:val="24"/>
                <w:highlight w:val="none"/>
                <w:lang w:eastAsia="zh-CN"/>
              </w:rPr>
              <w:t xml:space="preserve"> </w:t>
            </w:r>
            <w:r>
              <w:rPr>
                <w:rFonts w:hint="eastAsia" w:ascii="宋体" w:hAnsi="宋体" w:cs="宋体"/>
                <w:sz w:val="24"/>
                <w:highlight w:val="none"/>
                <w:lang w:val="en-US" w:eastAsia="zh-CN"/>
              </w:rPr>
              <w:t>18595870521</w:t>
            </w:r>
            <w:r>
              <w:rPr>
                <w:rFonts w:hint="eastAsia" w:ascii="宋体" w:hAnsi="宋体" w:cs="宋体"/>
                <w:color w:val="auto"/>
                <w:sz w:val="24"/>
                <w:highlight w:val="none"/>
                <w:lang w:eastAsia="zh-CN"/>
              </w:rPr>
              <w:t xml:space="preserve"> </w:t>
            </w:r>
          </w:p>
          <w:p w14:paraId="232F5BFA">
            <w:pPr>
              <w:wordWrap w:val="0"/>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联系人：</w:t>
            </w:r>
            <w:r>
              <w:rPr>
                <w:rFonts w:hint="eastAsia" w:ascii="宋体" w:hAnsi="宋体" w:cs="宋体"/>
                <w:sz w:val="24"/>
                <w:highlight w:val="none"/>
              </w:rPr>
              <w:t>杨永丽 田兴 平云霞</w:t>
            </w:r>
          </w:p>
          <w:p w14:paraId="47607FE5">
            <w:pPr>
              <w:spacing w:line="360" w:lineRule="auto"/>
              <w:jc w:val="left"/>
              <w:rPr>
                <w:rFonts w:hint="default" w:ascii="宋体" w:hAnsi="宋体" w:cs="宋体"/>
                <w:sz w:val="24"/>
                <w:highlight w:val="none"/>
                <w:lang w:val="en-US" w:eastAsia="zh-CN"/>
              </w:rPr>
            </w:pPr>
            <w:r>
              <w:rPr>
                <w:rFonts w:hint="default" w:ascii="宋体" w:hAnsi="宋体" w:cs="宋体"/>
                <w:color w:val="auto"/>
                <w:sz w:val="24"/>
                <w:highlight w:val="none"/>
                <w:lang w:val="en-US" w:eastAsia="zh-CN"/>
              </w:rPr>
              <w:t>通讯地址</w:t>
            </w:r>
            <w:r>
              <w:rPr>
                <w:rFonts w:hint="eastAsia" w:ascii="宋体" w:hAnsi="宋体" w:cs="宋体"/>
                <w:color w:val="auto"/>
                <w:sz w:val="24"/>
                <w:highlight w:val="none"/>
                <w:lang w:val="en-US" w:eastAsia="zh-CN"/>
              </w:rPr>
              <w:t>：郑州市金水区经三路15号广汇国贸A座12层1202</w:t>
            </w:r>
          </w:p>
        </w:tc>
      </w:tr>
      <w:tr w14:paraId="196B3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2" w:hRule="atLeast"/>
        </w:trPr>
        <w:tc>
          <w:tcPr>
            <w:tcW w:w="859" w:type="dxa"/>
            <w:noWrap w:val="0"/>
            <w:vAlign w:val="center"/>
          </w:tcPr>
          <w:p w14:paraId="59C76416">
            <w:pPr>
              <w:spacing w:line="360" w:lineRule="auto"/>
              <w:jc w:val="center"/>
              <w:rPr>
                <w:rFonts w:hint="eastAsia" w:ascii="宋体" w:hAnsi="宋体" w:cs="宋体"/>
                <w:sz w:val="24"/>
                <w:highlight w:val="none"/>
                <w:lang w:eastAsia="zh-CN"/>
              </w:rPr>
            </w:pPr>
            <w:r>
              <w:rPr>
                <w:rFonts w:hint="eastAsia" w:ascii="宋体" w:hAnsi="宋体" w:cs="宋体"/>
                <w:sz w:val="24"/>
                <w:highlight w:val="none"/>
                <w:lang w:eastAsia="zh-CN"/>
              </w:rPr>
              <w:t>3.6</w:t>
            </w:r>
          </w:p>
        </w:tc>
        <w:tc>
          <w:tcPr>
            <w:tcW w:w="1665" w:type="dxa"/>
            <w:noWrap w:val="0"/>
            <w:vAlign w:val="center"/>
          </w:tcPr>
          <w:p w14:paraId="176D5A22">
            <w:pPr>
              <w:spacing w:line="360" w:lineRule="auto"/>
              <w:jc w:val="center"/>
              <w:rPr>
                <w:rFonts w:hint="eastAsia" w:ascii="宋体" w:hAnsi="宋体" w:cs="宋体"/>
                <w:sz w:val="24"/>
                <w:highlight w:val="none"/>
                <w:lang w:eastAsia="zh-CN"/>
              </w:rPr>
            </w:pPr>
            <w:r>
              <w:rPr>
                <w:rFonts w:hint="eastAsia" w:ascii="宋体" w:hAnsi="宋体" w:cs="宋体"/>
                <w:sz w:val="24"/>
                <w:highlight w:val="none"/>
                <w:lang w:eastAsia="zh-CN"/>
              </w:rPr>
              <w:t>投标有效期</w:t>
            </w:r>
          </w:p>
        </w:tc>
        <w:tc>
          <w:tcPr>
            <w:tcW w:w="6475" w:type="dxa"/>
            <w:noWrap w:val="0"/>
            <w:vAlign w:val="top"/>
          </w:tcPr>
          <w:p w14:paraId="79B2E5FE">
            <w:pPr>
              <w:spacing w:line="360" w:lineRule="auto"/>
              <w:jc w:val="left"/>
              <w:rPr>
                <w:rFonts w:hint="eastAsia" w:ascii="宋体" w:hAnsi="宋体" w:cs="宋体"/>
                <w:sz w:val="24"/>
                <w:highlight w:val="none"/>
                <w:lang w:val="en-US" w:eastAsia="zh-CN"/>
              </w:rPr>
            </w:pPr>
            <w:r>
              <w:rPr>
                <w:rFonts w:hint="eastAsia" w:ascii="宋体" w:hAnsi="宋体" w:cs="宋体"/>
                <w:sz w:val="24"/>
                <w:highlight w:val="none"/>
                <w:lang w:eastAsia="zh-CN"/>
              </w:rPr>
              <w:t>90 日历天（投标截止之日起）</w:t>
            </w:r>
          </w:p>
        </w:tc>
      </w:tr>
      <w:tr w14:paraId="5A837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trPr>
        <w:tc>
          <w:tcPr>
            <w:tcW w:w="859" w:type="dxa"/>
            <w:noWrap w:val="0"/>
            <w:vAlign w:val="center"/>
          </w:tcPr>
          <w:p w14:paraId="6D96E31E">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3.7</w:t>
            </w:r>
          </w:p>
        </w:tc>
        <w:tc>
          <w:tcPr>
            <w:tcW w:w="1665" w:type="dxa"/>
            <w:noWrap w:val="0"/>
            <w:vAlign w:val="center"/>
          </w:tcPr>
          <w:p w14:paraId="058BA03A">
            <w:pPr>
              <w:spacing w:line="360" w:lineRule="auto"/>
              <w:jc w:val="center"/>
              <w:rPr>
                <w:rFonts w:hint="eastAsia" w:ascii="宋体" w:hAnsi="宋体" w:cs="宋体"/>
                <w:sz w:val="24"/>
                <w:highlight w:val="none"/>
              </w:rPr>
            </w:pPr>
            <w:r>
              <w:rPr>
                <w:rFonts w:hint="eastAsia" w:ascii="宋体" w:hAnsi="宋体" w:cs="宋体"/>
                <w:sz w:val="24"/>
                <w:highlight w:val="none"/>
              </w:rPr>
              <w:t>投标保证金</w:t>
            </w:r>
          </w:p>
        </w:tc>
        <w:tc>
          <w:tcPr>
            <w:tcW w:w="6475" w:type="dxa"/>
            <w:noWrap w:val="0"/>
            <w:vAlign w:val="center"/>
          </w:tcPr>
          <w:p w14:paraId="32EA2928">
            <w:pPr>
              <w:spacing w:line="360" w:lineRule="auto"/>
              <w:jc w:val="left"/>
              <w:rPr>
                <w:rFonts w:hint="eastAsia" w:ascii="宋体" w:hAnsi="宋体" w:cs="宋体"/>
                <w:sz w:val="24"/>
                <w:highlight w:val="none"/>
              </w:rPr>
            </w:pPr>
            <w:r>
              <w:rPr>
                <w:rFonts w:hint="eastAsia" w:ascii="宋体" w:hAnsi="宋体" w:cs="宋体"/>
                <w:sz w:val="24"/>
                <w:highlight w:val="none"/>
              </w:rPr>
              <w:t>本项目不收取投标保证金。</w:t>
            </w:r>
          </w:p>
        </w:tc>
      </w:tr>
      <w:tr w14:paraId="1BB13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4" w:hRule="atLeast"/>
        </w:trPr>
        <w:tc>
          <w:tcPr>
            <w:tcW w:w="859" w:type="dxa"/>
            <w:noWrap w:val="0"/>
            <w:vAlign w:val="center"/>
          </w:tcPr>
          <w:p w14:paraId="389A6B4A">
            <w:pPr>
              <w:spacing w:line="360" w:lineRule="auto"/>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3.8.2</w:t>
            </w:r>
          </w:p>
        </w:tc>
        <w:tc>
          <w:tcPr>
            <w:tcW w:w="1665" w:type="dxa"/>
            <w:noWrap w:val="0"/>
            <w:vAlign w:val="center"/>
          </w:tcPr>
          <w:p w14:paraId="6364CD2B">
            <w:pPr>
              <w:spacing w:line="360" w:lineRule="auto"/>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签字或盖章要求</w:t>
            </w:r>
          </w:p>
        </w:tc>
        <w:tc>
          <w:tcPr>
            <w:tcW w:w="6475" w:type="dxa"/>
            <w:noWrap w:val="0"/>
            <w:vAlign w:val="top"/>
          </w:tcPr>
          <w:p w14:paraId="5500D38B">
            <w:pPr>
              <w:spacing w:line="360" w:lineRule="auto"/>
              <w:jc w:val="left"/>
              <w:rPr>
                <w:rFonts w:hint="default" w:ascii="宋体" w:hAnsi="宋体" w:cs="宋体"/>
                <w:sz w:val="24"/>
                <w:highlight w:val="none"/>
                <w:lang w:val="en-US" w:eastAsia="zh-CN"/>
              </w:rPr>
            </w:pPr>
            <w:r>
              <w:rPr>
                <w:rFonts w:hint="eastAsia" w:ascii="宋体" w:hAnsi="宋体" w:cs="宋体"/>
                <w:sz w:val="24"/>
                <w:highlight w:val="none"/>
                <w:lang w:val="en-US" w:eastAsia="zh-CN"/>
              </w:rPr>
              <w:t>按招标文件规定签字或盖章。招标文件中明确要求投标文件须加盖供应商公章的，都须加盖供应商的CA签章。所有要求法定代表人或其委托代理人（签字或盖章）的地方都须加盖法定代表人或其委托代理人的 CA 签名章或纸质版文件先签字再上传。</w:t>
            </w:r>
          </w:p>
        </w:tc>
      </w:tr>
      <w:tr w14:paraId="13C5E9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859" w:type="dxa"/>
            <w:noWrap w:val="0"/>
            <w:vAlign w:val="center"/>
          </w:tcPr>
          <w:p w14:paraId="15C4F0BB">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4.1.1</w:t>
            </w:r>
          </w:p>
        </w:tc>
        <w:tc>
          <w:tcPr>
            <w:tcW w:w="1665" w:type="dxa"/>
            <w:noWrap w:val="0"/>
            <w:vAlign w:val="center"/>
          </w:tcPr>
          <w:p w14:paraId="7CF967B5">
            <w:pPr>
              <w:spacing w:line="360" w:lineRule="auto"/>
              <w:jc w:val="center"/>
              <w:rPr>
                <w:rFonts w:hint="eastAsia" w:ascii="宋体" w:hAnsi="宋体" w:cs="宋体"/>
                <w:sz w:val="24"/>
                <w:highlight w:val="none"/>
              </w:rPr>
            </w:pPr>
            <w:r>
              <w:rPr>
                <w:rFonts w:hint="eastAsia" w:ascii="宋体" w:hAnsi="宋体" w:cs="宋体"/>
                <w:sz w:val="24"/>
                <w:highlight w:val="none"/>
              </w:rPr>
              <w:t>加密电子投标文件的上传</w:t>
            </w:r>
          </w:p>
        </w:tc>
        <w:tc>
          <w:tcPr>
            <w:tcW w:w="6475" w:type="dxa"/>
            <w:noWrap w:val="0"/>
            <w:vAlign w:val="center"/>
          </w:tcPr>
          <w:p w14:paraId="240C948A">
            <w:pPr>
              <w:spacing w:line="360" w:lineRule="auto"/>
              <w:jc w:val="left"/>
              <w:rPr>
                <w:rFonts w:hint="eastAsia" w:ascii="宋体" w:hAnsi="宋体" w:cs="宋体"/>
                <w:sz w:val="24"/>
                <w:highlight w:val="none"/>
              </w:rPr>
            </w:pPr>
            <w:r>
              <w:rPr>
                <w:rFonts w:hint="eastAsia" w:ascii="宋体" w:hAnsi="宋体" w:cs="宋体"/>
                <w:sz w:val="24"/>
                <w:highlight w:val="none"/>
              </w:rPr>
              <w:t>加密电子投标文件的上传：加密电子投标文件须在投标截止时间前通过“河南省公共资源交易中心（</w:t>
            </w:r>
            <w:r>
              <w:rPr>
                <w:rFonts w:hint="eastAsia" w:ascii="宋体" w:hAnsi="宋体" w:cs="宋体"/>
                <w:sz w:val="24"/>
                <w:highlight w:val="none"/>
                <w:lang w:eastAsia="zh-CN"/>
              </w:rPr>
              <w:t xml:space="preserve">http://hnsggzyjy.henan.gov.cn/ </w:t>
            </w:r>
            <w:r>
              <w:rPr>
                <w:rFonts w:hint="eastAsia" w:ascii="宋体" w:hAnsi="宋体" w:cs="宋体"/>
                <w:sz w:val="24"/>
                <w:highlight w:val="none"/>
              </w:rPr>
              <w:t>）”电子交易平台加密上传。</w:t>
            </w:r>
          </w:p>
        </w:tc>
      </w:tr>
      <w:tr w14:paraId="58979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5" w:hRule="atLeast"/>
        </w:trPr>
        <w:tc>
          <w:tcPr>
            <w:tcW w:w="859" w:type="dxa"/>
            <w:noWrap w:val="0"/>
            <w:vAlign w:val="center"/>
          </w:tcPr>
          <w:p w14:paraId="0B718811">
            <w:pPr>
              <w:spacing w:line="360" w:lineRule="auto"/>
              <w:jc w:val="center"/>
              <w:rPr>
                <w:rFonts w:hint="eastAsia" w:ascii="宋体" w:hAnsi="宋体" w:cs="宋体"/>
                <w:sz w:val="24"/>
                <w:highlight w:val="none"/>
                <w:lang w:eastAsia="zh-CN"/>
              </w:rPr>
            </w:pPr>
          </w:p>
          <w:p w14:paraId="2A4F0C94">
            <w:pPr>
              <w:spacing w:line="360" w:lineRule="auto"/>
              <w:jc w:val="center"/>
              <w:rPr>
                <w:rFonts w:hint="eastAsia" w:ascii="宋体" w:hAnsi="宋体" w:cs="宋体"/>
                <w:sz w:val="24"/>
                <w:highlight w:val="none"/>
              </w:rPr>
            </w:pPr>
            <w:r>
              <w:rPr>
                <w:rFonts w:hint="eastAsia" w:ascii="宋体" w:hAnsi="宋体" w:cs="宋体"/>
                <w:sz w:val="24"/>
                <w:highlight w:val="none"/>
              </w:rPr>
              <w:t>4.2.1</w:t>
            </w:r>
          </w:p>
        </w:tc>
        <w:tc>
          <w:tcPr>
            <w:tcW w:w="1665" w:type="dxa"/>
            <w:noWrap w:val="0"/>
            <w:vAlign w:val="center"/>
          </w:tcPr>
          <w:p w14:paraId="6E151524">
            <w:pPr>
              <w:spacing w:line="360" w:lineRule="auto"/>
              <w:jc w:val="center"/>
              <w:rPr>
                <w:rFonts w:hint="eastAsia" w:ascii="宋体" w:hAnsi="宋体" w:cs="宋体"/>
                <w:sz w:val="24"/>
                <w:highlight w:val="none"/>
              </w:rPr>
            </w:pPr>
            <w:r>
              <w:rPr>
                <w:rFonts w:hint="eastAsia" w:ascii="宋体" w:hAnsi="宋体" w:cs="宋体"/>
                <w:sz w:val="24"/>
                <w:highlight w:val="none"/>
              </w:rPr>
              <w:t>投标截止时间</w:t>
            </w:r>
          </w:p>
        </w:tc>
        <w:tc>
          <w:tcPr>
            <w:tcW w:w="6475" w:type="dxa"/>
            <w:noWrap w:val="0"/>
            <w:vAlign w:val="center"/>
          </w:tcPr>
          <w:p w14:paraId="7022D48D">
            <w:pPr>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lang w:eastAsia="zh-CN"/>
              </w:rPr>
              <w:t>2025年</w:t>
            </w:r>
            <w:r>
              <w:rPr>
                <w:rFonts w:hint="eastAsia" w:ascii="宋体" w:hAnsi="宋体" w:cs="宋体"/>
                <w:sz w:val="24"/>
                <w:highlight w:val="none"/>
                <w:lang w:val="en-US" w:eastAsia="zh-CN"/>
              </w:rPr>
              <w:t>08</w:t>
            </w:r>
            <w:r>
              <w:rPr>
                <w:rFonts w:hint="eastAsia" w:ascii="宋体" w:hAnsi="宋体" w:cs="宋体"/>
                <w:sz w:val="24"/>
                <w:highlight w:val="none"/>
                <w:lang w:eastAsia="zh-CN"/>
              </w:rPr>
              <w:t>月</w:t>
            </w:r>
            <w:r>
              <w:rPr>
                <w:rFonts w:hint="eastAsia" w:ascii="宋体" w:hAnsi="宋体" w:cs="宋体"/>
                <w:sz w:val="24"/>
                <w:highlight w:val="none"/>
                <w:lang w:val="en-US" w:eastAsia="zh-CN"/>
              </w:rPr>
              <w:t>13</w:t>
            </w:r>
            <w:r>
              <w:rPr>
                <w:rFonts w:hint="eastAsia" w:ascii="宋体" w:hAnsi="宋体" w:cs="宋体"/>
                <w:sz w:val="24"/>
                <w:highlight w:val="none"/>
                <w:lang w:eastAsia="zh-CN"/>
              </w:rPr>
              <w:t>日09时00分（</w:t>
            </w:r>
            <w:r>
              <w:rPr>
                <w:rFonts w:hint="eastAsia" w:ascii="宋体" w:hAnsi="宋体" w:cs="宋体"/>
                <w:sz w:val="24"/>
                <w:highlight w:val="none"/>
                <w:lang w:val="en-US" w:eastAsia="zh-CN"/>
              </w:rPr>
              <w:t>北京时间</w:t>
            </w:r>
            <w:r>
              <w:rPr>
                <w:rFonts w:hint="eastAsia" w:ascii="宋体" w:hAnsi="宋体" w:cs="宋体"/>
                <w:sz w:val="24"/>
                <w:highlight w:val="none"/>
                <w:lang w:eastAsia="zh-CN"/>
              </w:rPr>
              <w:t>）</w:t>
            </w:r>
          </w:p>
        </w:tc>
      </w:tr>
      <w:tr w14:paraId="13CA3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859" w:type="dxa"/>
            <w:noWrap w:val="0"/>
            <w:vAlign w:val="center"/>
          </w:tcPr>
          <w:p w14:paraId="07CCC8E7">
            <w:pPr>
              <w:spacing w:line="360" w:lineRule="auto"/>
              <w:jc w:val="center"/>
              <w:rPr>
                <w:rFonts w:hint="eastAsia" w:ascii="宋体" w:hAnsi="宋体" w:cs="宋体"/>
                <w:sz w:val="24"/>
                <w:highlight w:val="none"/>
                <w:lang w:eastAsia="zh-CN"/>
              </w:rPr>
            </w:pPr>
          </w:p>
          <w:p w14:paraId="7DB9A27A">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5.1</w:t>
            </w:r>
          </w:p>
        </w:tc>
        <w:tc>
          <w:tcPr>
            <w:tcW w:w="1665" w:type="dxa"/>
            <w:noWrap w:val="0"/>
            <w:vAlign w:val="center"/>
          </w:tcPr>
          <w:p w14:paraId="02C1B161">
            <w:pPr>
              <w:spacing w:line="360" w:lineRule="auto"/>
              <w:jc w:val="center"/>
              <w:rPr>
                <w:rFonts w:hint="eastAsia" w:ascii="宋体" w:hAnsi="宋体" w:cs="宋体"/>
                <w:sz w:val="24"/>
                <w:highlight w:val="none"/>
              </w:rPr>
            </w:pPr>
          </w:p>
          <w:p w14:paraId="09B80FB7">
            <w:pPr>
              <w:spacing w:line="360" w:lineRule="auto"/>
              <w:jc w:val="center"/>
              <w:rPr>
                <w:rFonts w:hint="eastAsia" w:ascii="宋体" w:hAnsi="宋体" w:cs="宋体"/>
                <w:sz w:val="24"/>
                <w:highlight w:val="none"/>
              </w:rPr>
            </w:pPr>
            <w:r>
              <w:rPr>
                <w:rFonts w:hint="eastAsia" w:ascii="宋体" w:hAnsi="宋体" w:cs="宋体"/>
                <w:sz w:val="24"/>
                <w:highlight w:val="none"/>
                <w:lang w:val="en-US" w:eastAsia="zh-CN"/>
              </w:rPr>
              <w:t>开标时间和</w:t>
            </w:r>
            <w:r>
              <w:rPr>
                <w:rFonts w:hint="eastAsia" w:ascii="宋体" w:hAnsi="宋体" w:cs="宋体"/>
                <w:sz w:val="24"/>
                <w:highlight w:val="none"/>
              </w:rPr>
              <w:t>地点</w:t>
            </w:r>
          </w:p>
        </w:tc>
        <w:tc>
          <w:tcPr>
            <w:tcW w:w="6475" w:type="dxa"/>
            <w:noWrap w:val="0"/>
            <w:vAlign w:val="center"/>
          </w:tcPr>
          <w:p w14:paraId="45545198">
            <w:pPr>
              <w:spacing w:line="360" w:lineRule="auto"/>
              <w:jc w:val="left"/>
              <w:rPr>
                <w:rFonts w:hint="eastAsia" w:ascii="宋体" w:hAnsi="宋体" w:cs="宋体"/>
                <w:sz w:val="24"/>
                <w:highlight w:val="none"/>
              </w:rPr>
            </w:pPr>
            <w:r>
              <w:rPr>
                <w:rFonts w:hint="eastAsia" w:ascii="宋体" w:hAnsi="宋体" w:cs="宋体"/>
                <w:sz w:val="24"/>
                <w:highlight w:val="none"/>
              </w:rPr>
              <w:t>开标时间：</w:t>
            </w:r>
            <w:r>
              <w:rPr>
                <w:rFonts w:hint="eastAsia" w:ascii="宋体" w:hAnsi="宋体" w:cs="宋体"/>
                <w:sz w:val="24"/>
                <w:highlight w:val="none"/>
                <w:lang w:eastAsia="zh-CN"/>
              </w:rPr>
              <w:t>2025年</w:t>
            </w:r>
            <w:r>
              <w:rPr>
                <w:rFonts w:hint="eastAsia" w:ascii="宋体" w:hAnsi="宋体" w:cs="宋体"/>
                <w:sz w:val="24"/>
                <w:highlight w:val="none"/>
                <w:lang w:val="en-US" w:eastAsia="zh-CN"/>
              </w:rPr>
              <w:t>08</w:t>
            </w:r>
            <w:r>
              <w:rPr>
                <w:rFonts w:hint="eastAsia" w:ascii="宋体" w:hAnsi="宋体" w:cs="宋体"/>
                <w:sz w:val="24"/>
                <w:highlight w:val="none"/>
                <w:lang w:eastAsia="zh-CN"/>
              </w:rPr>
              <w:t>月</w:t>
            </w:r>
            <w:r>
              <w:rPr>
                <w:rFonts w:hint="eastAsia" w:ascii="宋体" w:hAnsi="宋体" w:cs="宋体"/>
                <w:sz w:val="24"/>
                <w:highlight w:val="none"/>
                <w:lang w:val="en-US" w:eastAsia="zh-CN"/>
              </w:rPr>
              <w:t>13</w:t>
            </w:r>
            <w:r>
              <w:rPr>
                <w:rFonts w:hint="eastAsia" w:ascii="宋体" w:hAnsi="宋体" w:cs="宋体"/>
                <w:sz w:val="24"/>
                <w:highlight w:val="none"/>
                <w:lang w:eastAsia="zh-CN"/>
              </w:rPr>
              <w:t>日09时00分（</w:t>
            </w:r>
            <w:r>
              <w:rPr>
                <w:rFonts w:hint="eastAsia" w:ascii="宋体" w:hAnsi="宋体" w:cs="宋体"/>
                <w:sz w:val="24"/>
                <w:highlight w:val="none"/>
                <w:lang w:val="en-US" w:eastAsia="zh-CN"/>
              </w:rPr>
              <w:t>北京时间</w:t>
            </w:r>
            <w:r>
              <w:rPr>
                <w:rFonts w:hint="eastAsia" w:ascii="宋体" w:hAnsi="宋体" w:cs="宋体"/>
                <w:sz w:val="24"/>
                <w:highlight w:val="none"/>
                <w:lang w:eastAsia="zh-CN"/>
              </w:rPr>
              <w:t>）</w:t>
            </w:r>
          </w:p>
          <w:p w14:paraId="545AB349">
            <w:pPr>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rPr>
              <w:t>开标地点：</w:t>
            </w:r>
            <w:r>
              <w:rPr>
                <w:rFonts w:hint="eastAsia" w:ascii="宋体" w:hAnsi="宋体" w:eastAsia="宋体" w:cs="宋体"/>
                <w:spacing w:val="-2"/>
                <w:sz w:val="24"/>
                <w:szCs w:val="24"/>
                <w:highlight w:val="none"/>
              </w:rPr>
              <w:t>河南省公共资源交易中心远程开标室(</w:t>
            </w:r>
            <w:r>
              <w:rPr>
                <w:rFonts w:hint="eastAsia" w:ascii="宋体" w:hAnsi="宋体" w:cs="宋体"/>
                <w:spacing w:val="-2"/>
                <w:sz w:val="24"/>
                <w:szCs w:val="24"/>
                <w:highlight w:val="none"/>
                <w:lang w:val="en-US" w:eastAsia="zh-CN"/>
              </w:rPr>
              <w:t>三</w:t>
            </w:r>
            <w:r>
              <w:rPr>
                <w:rFonts w:hint="eastAsia" w:ascii="宋体" w:hAnsi="宋体" w:eastAsia="宋体" w:cs="宋体"/>
                <w:spacing w:val="-2"/>
                <w:sz w:val="24"/>
                <w:szCs w:val="24"/>
                <w:highlight w:val="none"/>
              </w:rPr>
              <w:t>)-</w:t>
            </w:r>
            <w:r>
              <w:rPr>
                <w:rFonts w:hint="eastAsia" w:ascii="宋体" w:hAnsi="宋体" w:cs="宋体"/>
                <w:spacing w:val="-2"/>
                <w:sz w:val="24"/>
                <w:szCs w:val="24"/>
                <w:highlight w:val="none"/>
                <w:lang w:val="en-US" w:eastAsia="zh-CN"/>
              </w:rPr>
              <w:t>6</w:t>
            </w:r>
            <w:r>
              <w:rPr>
                <w:rFonts w:hint="eastAsia" w:ascii="宋体" w:hAnsi="宋体" w:eastAsia="宋体" w:cs="宋体"/>
                <w:color w:val="0000FF"/>
                <w:spacing w:val="-3"/>
                <w:sz w:val="24"/>
                <w:szCs w:val="24"/>
                <w:highlight w:val="none"/>
              </w:rPr>
              <w:t>，</w:t>
            </w:r>
            <w:r>
              <w:rPr>
                <w:rFonts w:hint="eastAsia" w:ascii="宋体" w:hAnsi="宋体" w:eastAsia="宋体" w:cs="宋体"/>
                <w:spacing w:val="-3"/>
                <w:sz w:val="24"/>
                <w:szCs w:val="24"/>
                <w:highlight w:val="none"/>
              </w:rPr>
              <w:t>郑州市经二路</w:t>
            </w:r>
            <w:r>
              <w:rPr>
                <w:rFonts w:hint="eastAsia" w:ascii="宋体" w:hAnsi="宋体" w:eastAsia="宋体" w:cs="宋体"/>
                <w:spacing w:val="-32"/>
                <w:sz w:val="24"/>
                <w:szCs w:val="24"/>
                <w:highlight w:val="none"/>
              </w:rPr>
              <w:t xml:space="preserve"> </w:t>
            </w:r>
            <w:r>
              <w:rPr>
                <w:rFonts w:hint="eastAsia" w:ascii="宋体" w:hAnsi="宋体" w:eastAsia="宋体" w:cs="宋体"/>
                <w:spacing w:val="-3"/>
                <w:sz w:val="24"/>
                <w:szCs w:val="24"/>
                <w:highlight w:val="none"/>
              </w:rPr>
              <w:t>12</w:t>
            </w:r>
            <w:r>
              <w:rPr>
                <w:rFonts w:hint="eastAsia" w:ascii="宋体" w:hAnsi="宋体" w:eastAsia="宋体" w:cs="宋体"/>
                <w:spacing w:val="-45"/>
                <w:sz w:val="24"/>
                <w:szCs w:val="24"/>
                <w:highlight w:val="none"/>
              </w:rPr>
              <w:t xml:space="preserve"> </w:t>
            </w:r>
            <w:r>
              <w:rPr>
                <w:rFonts w:hint="eastAsia" w:ascii="宋体" w:hAnsi="宋体" w:eastAsia="宋体" w:cs="宋体"/>
                <w:spacing w:val="-3"/>
                <w:sz w:val="24"/>
                <w:szCs w:val="24"/>
                <w:highlight w:val="none"/>
              </w:rPr>
              <w:t>号（经二路与纬四</w:t>
            </w:r>
            <w:r>
              <w:rPr>
                <w:rFonts w:hint="eastAsia" w:ascii="宋体" w:hAnsi="宋体" w:eastAsia="宋体" w:cs="宋体"/>
                <w:spacing w:val="-7"/>
                <w:sz w:val="24"/>
                <w:szCs w:val="24"/>
                <w:highlight w:val="none"/>
              </w:rPr>
              <w:t>路向南</w:t>
            </w:r>
            <w:r>
              <w:rPr>
                <w:rFonts w:hint="eastAsia" w:ascii="宋体" w:hAnsi="宋体" w:eastAsia="宋体" w:cs="宋体"/>
                <w:spacing w:val="-38"/>
                <w:sz w:val="24"/>
                <w:szCs w:val="24"/>
                <w:highlight w:val="none"/>
              </w:rPr>
              <w:t xml:space="preserve"> </w:t>
            </w:r>
            <w:r>
              <w:rPr>
                <w:rFonts w:hint="eastAsia" w:ascii="宋体" w:hAnsi="宋体" w:eastAsia="宋体" w:cs="宋体"/>
                <w:spacing w:val="-7"/>
                <w:sz w:val="24"/>
                <w:szCs w:val="24"/>
                <w:highlight w:val="none"/>
              </w:rPr>
              <w:t>50</w:t>
            </w:r>
            <w:r>
              <w:rPr>
                <w:rFonts w:hint="eastAsia" w:ascii="宋体" w:hAnsi="宋体" w:eastAsia="宋体" w:cs="宋体"/>
                <w:spacing w:val="-50"/>
                <w:sz w:val="24"/>
                <w:szCs w:val="24"/>
                <w:highlight w:val="none"/>
              </w:rPr>
              <w:t xml:space="preserve"> </w:t>
            </w:r>
            <w:r>
              <w:rPr>
                <w:rFonts w:hint="eastAsia" w:ascii="宋体" w:hAnsi="宋体" w:eastAsia="宋体" w:cs="宋体"/>
                <w:spacing w:val="-7"/>
                <w:sz w:val="24"/>
                <w:szCs w:val="24"/>
                <w:highlight w:val="none"/>
              </w:rPr>
              <w:t>米路西）</w:t>
            </w:r>
            <w:r>
              <w:rPr>
                <w:rFonts w:hint="eastAsia" w:ascii="宋体" w:hAnsi="宋体" w:cs="宋体"/>
                <w:spacing w:val="-7"/>
                <w:sz w:val="24"/>
                <w:szCs w:val="24"/>
                <w:highlight w:val="none"/>
                <w:lang w:eastAsia="zh-CN"/>
              </w:rPr>
              <w:t>。</w:t>
            </w:r>
          </w:p>
          <w:p w14:paraId="3025BE99">
            <w:pPr>
              <w:spacing w:line="360" w:lineRule="auto"/>
              <w:jc w:val="left"/>
              <w:rPr>
                <w:rFonts w:hint="eastAsia" w:ascii="宋体" w:hAnsi="宋体" w:cs="宋体"/>
                <w:sz w:val="24"/>
                <w:highlight w:val="none"/>
              </w:rPr>
            </w:pPr>
            <w:r>
              <w:rPr>
                <w:rFonts w:hint="eastAsia" w:ascii="宋体" w:hAnsi="宋体" w:cs="宋体"/>
                <w:sz w:val="24"/>
                <w:highlight w:val="none"/>
              </w:rPr>
              <w:t>本项目采用“远程不见面”开标方式，投标</w:t>
            </w:r>
            <w:r>
              <w:rPr>
                <w:rFonts w:hint="eastAsia" w:ascii="宋体" w:hAnsi="宋体" w:cs="宋体"/>
                <w:sz w:val="24"/>
                <w:highlight w:val="none"/>
                <w:lang w:eastAsia="zh-CN"/>
              </w:rPr>
              <w:t>供应商</w:t>
            </w:r>
            <w:r>
              <w:rPr>
                <w:rFonts w:hint="eastAsia" w:ascii="宋体" w:hAnsi="宋体" w:cs="宋体"/>
                <w:sz w:val="24"/>
                <w:highlight w:val="none"/>
              </w:rPr>
              <w:t>无需到河南省公共资源交易中心现场参加开标会议，无需到达现场提交原件资料。投标</w:t>
            </w:r>
            <w:r>
              <w:rPr>
                <w:rFonts w:hint="eastAsia" w:ascii="宋体" w:hAnsi="宋体" w:cs="宋体"/>
                <w:sz w:val="24"/>
                <w:highlight w:val="none"/>
                <w:lang w:eastAsia="zh-CN"/>
              </w:rPr>
              <w:t>供应商</w:t>
            </w:r>
            <w:r>
              <w:rPr>
                <w:rFonts w:hint="eastAsia" w:ascii="宋体" w:hAnsi="宋体" w:cs="宋体"/>
                <w:sz w:val="24"/>
                <w:highlight w:val="none"/>
              </w:rPr>
              <w:t>应在投标截止时间前，登录河南省公共资源交易中心首页的不见面开标大厅，在线准时参加开标活动并进行文件解密等。</w:t>
            </w:r>
          </w:p>
        </w:tc>
      </w:tr>
      <w:tr w14:paraId="0A423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59" w:type="dxa"/>
            <w:noWrap w:val="0"/>
            <w:vAlign w:val="center"/>
          </w:tcPr>
          <w:p w14:paraId="2F8FC074">
            <w:pPr>
              <w:spacing w:line="360" w:lineRule="auto"/>
              <w:jc w:val="center"/>
              <w:rPr>
                <w:rFonts w:hint="eastAsia" w:ascii="宋体" w:hAnsi="宋体" w:cs="宋体"/>
                <w:sz w:val="24"/>
                <w:highlight w:val="none"/>
              </w:rPr>
            </w:pPr>
            <w:r>
              <w:rPr>
                <w:rFonts w:hint="eastAsia" w:ascii="宋体" w:hAnsi="宋体" w:cs="宋体"/>
                <w:sz w:val="24"/>
                <w:highlight w:val="none"/>
              </w:rPr>
              <w:t>6.1</w:t>
            </w:r>
          </w:p>
        </w:tc>
        <w:tc>
          <w:tcPr>
            <w:tcW w:w="1665" w:type="dxa"/>
            <w:noWrap w:val="0"/>
            <w:vAlign w:val="center"/>
          </w:tcPr>
          <w:p w14:paraId="1EAC2AE0">
            <w:pPr>
              <w:spacing w:line="360" w:lineRule="auto"/>
              <w:jc w:val="center"/>
              <w:rPr>
                <w:rFonts w:hint="eastAsia" w:ascii="宋体" w:hAnsi="宋体" w:cs="宋体"/>
                <w:sz w:val="24"/>
                <w:highlight w:val="none"/>
              </w:rPr>
            </w:pPr>
            <w:r>
              <w:rPr>
                <w:rFonts w:hint="eastAsia" w:ascii="宋体" w:hAnsi="宋体" w:cs="宋体"/>
                <w:sz w:val="24"/>
                <w:highlight w:val="none"/>
              </w:rPr>
              <w:t>资格审查主体</w:t>
            </w:r>
          </w:p>
        </w:tc>
        <w:tc>
          <w:tcPr>
            <w:tcW w:w="6475" w:type="dxa"/>
            <w:noWrap w:val="0"/>
            <w:vAlign w:val="top"/>
          </w:tcPr>
          <w:p w14:paraId="2AFAE422">
            <w:pPr>
              <w:spacing w:line="360" w:lineRule="auto"/>
              <w:jc w:val="left"/>
              <w:rPr>
                <w:rFonts w:hint="eastAsia" w:ascii="宋体" w:hAnsi="宋体" w:cs="宋体"/>
                <w:sz w:val="24"/>
                <w:highlight w:val="none"/>
              </w:rPr>
            </w:pPr>
            <w:r>
              <w:rPr>
                <w:rFonts w:hint="eastAsia" w:ascii="宋体" w:hAnsi="宋体" w:eastAsia="宋体" w:cs="宋体"/>
                <w:sz w:val="24"/>
                <w:highlight w:val="none"/>
                <w:lang w:eastAsia="zh-CN"/>
              </w:rPr>
              <w:t>采购人</w:t>
            </w:r>
            <w:r>
              <w:rPr>
                <w:rFonts w:hint="eastAsia" w:ascii="宋体" w:hAnsi="宋体" w:eastAsia="宋体" w:cs="宋体"/>
                <w:color w:val="auto"/>
                <w:sz w:val="24"/>
                <w:highlight w:val="none"/>
                <w:lang w:val="en-US" w:eastAsia="zh-CN"/>
              </w:rPr>
              <w:t>或者</w:t>
            </w:r>
            <w:r>
              <w:rPr>
                <w:rFonts w:hint="eastAsia" w:ascii="宋体" w:hAnsi="宋体" w:eastAsia="宋体" w:cs="宋体"/>
                <w:sz w:val="24"/>
                <w:highlight w:val="none"/>
                <w:lang w:eastAsia="zh-CN"/>
              </w:rPr>
              <w:t>采购代理机构</w:t>
            </w:r>
          </w:p>
        </w:tc>
      </w:tr>
      <w:tr w14:paraId="2682D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859" w:type="dxa"/>
            <w:noWrap w:val="0"/>
            <w:vAlign w:val="center"/>
          </w:tcPr>
          <w:p w14:paraId="1FE6F0A6">
            <w:pPr>
              <w:spacing w:line="360" w:lineRule="auto"/>
              <w:jc w:val="center"/>
              <w:rPr>
                <w:rFonts w:hint="eastAsia" w:ascii="宋体" w:hAnsi="宋体" w:cs="宋体"/>
                <w:sz w:val="24"/>
                <w:highlight w:val="none"/>
              </w:rPr>
            </w:pPr>
            <w:r>
              <w:rPr>
                <w:rFonts w:hint="eastAsia" w:ascii="宋体" w:hAnsi="宋体" w:cs="宋体"/>
                <w:sz w:val="24"/>
                <w:highlight w:val="none"/>
              </w:rPr>
              <w:t>7.1.1</w:t>
            </w:r>
          </w:p>
        </w:tc>
        <w:tc>
          <w:tcPr>
            <w:tcW w:w="1665" w:type="dxa"/>
            <w:noWrap w:val="0"/>
            <w:vAlign w:val="center"/>
          </w:tcPr>
          <w:p w14:paraId="5DDDCC6F">
            <w:pPr>
              <w:spacing w:line="360" w:lineRule="auto"/>
              <w:jc w:val="center"/>
              <w:rPr>
                <w:rFonts w:hint="eastAsia" w:ascii="宋体" w:hAnsi="宋体" w:cs="宋体"/>
                <w:sz w:val="24"/>
                <w:highlight w:val="none"/>
              </w:rPr>
            </w:pPr>
            <w:r>
              <w:rPr>
                <w:rFonts w:hint="eastAsia" w:ascii="宋体" w:hAnsi="宋体" w:cs="宋体"/>
                <w:sz w:val="24"/>
                <w:highlight w:val="none"/>
              </w:rPr>
              <w:t>评标委员会的组建</w:t>
            </w:r>
          </w:p>
        </w:tc>
        <w:tc>
          <w:tcPr>
            <w:tcW w:w="6475" w:type="dxa"/>
            <w:noWrap w:val="0"/>
            <w:vAlign w:val="center"/>
          </w:tcPr>
          <w:p w14:paraId="40263A22">
            <w:pPr>
              <w:spacing w:line="360" w:lineRule="auto"/>
              <w:jc w:val="left"/>
              <w:rPr>
                <w:rFonts w:hint="eastAsia" w:ascii="宋体" w:hAnsi="宋体" w:cs="宋体"/>
                <w:sz w:val="24"/>
                <w:highlight w:val="none"/>
              </w:rPr>
            </w:pPr>
            <w:r>
              <w:rPr>
                <w:rFonts w:hint="eastAsia" w:ascii="宋体" w:hAnsi="宋体" w:cs="宋体"/>
                <w:sz w:val="24"/>
                <w:highlight w:val="none"/>
              </w:rPr>
              <w:t>评标委员会</w:t>
            </w:r>
            <w:r>
              <w:rPr>
                <w:rFonts w:hint="eastAsia" w:ascii="宋体" w:hAnsi="宋体" w:cs="宋体"/>
                <w:sz w:val="24"/>
                <w:highlight w:val="none"/>
                <w:lang w:val="en-US" w:eastAsia="zh-CN"/>
              </w:rPr>
              <w:t>独立评审</w:t>
            </w:r>
            <w:r>
              <w:rPr>
                <w:rFonts w:hint="eastAsia" w:ascii="宋体" w:hAnsi="宋体" w:cs="宋体"/>
                <w:sz w:val="24"/>
                <w:highlight w:val="none"/>
              </w:rPr>
              <w:t>。评标委员会由采购人代表</w:t>
            </w:r>
            <w:r>
              <w:rPr>
                <w:rFonts w:hint="eastAsia" w:ascii="宋体" w:hAnsi="宋体" w:cs="宋体"/>
                <w:sz w:val="24"/>
                <w:highlight w:val="none"/>
                <w:lang w:val="en-US" w:eastAsia="zh-CN"/>
              </w:rPr>
              <w:t>1名</w:t>
            </w:r>
            <w:r>
              <w:rPr>
                <w:rFonts w:hint="eastAsia" w:ascii="宋体" w:hAnsi="宋体" w:cs="宋体"/>
                <w:sz w:val="24"/>
                <w:highlight w:val="none"/>
              </w:rPr>
              <w:t>和</w:t>
            </w:r>
            <w:r>
              <w:rPr>
                <w:rFonts w:hint="eastAsia" w:ascii="宋体" w:hAnsi="宋体" w:cs="宋体"/>
                <w:sz w:val="24"/>
                <w:highlight w:val="none"/>
                <w:lang w:val="en-US" w:eastAsia="zh-CN"/>
              </w:rPr>
              <w:t>从河南省政府采购专家库中随机抽取的4名</w:t>
            </w:r>
            <w:r>
              <w:rPr>
                <w:rFonts w:hint="eastAsia" w:ascii="宋体" w:hAnsi="宋体" w:cs="宋体"/>
                <w:sz w:val="24"/>
                <w:highlight w:val="none"/>
              </w:rPr>
              <w:t>评审专家组成，成员人数</w:t>
            </w:r>
            <w:r>
              <w:rPr>
                <w:rFonts w:hint="eastAsia" w:ascii="宋体" w:hAnsi="宋体" w:cs="宋体"/>
                <w:sz w:val="24"/>
                <w:highlight w:val="none"/>
                <w:lang w:val="en-US" w:eastAsia="zh-CN"/>
              </w:rPr>
              <w:t>为5人</w:t>
            </w:r>
            <w:r>
              <w:rPr>
                <w:rFonts w:hint="eastAsia" w:ascii="宋体" w:hAnsi="宋体" w:cs="宋体"/>
                <w:sz w:val="24"/>
                <w:highlight w:val="none"/>
              </w:rPr>
              <w:t>。</w:t>
            </w:r>
          </w:p>
        </w:tc>
      </w:tr>
      <w:tr w14:paraId="6B28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trPr>
        <w:tc>
          <w:tcPr>
            <w:tcW w:w="859" w:type="dxa"/>
            <w:noWrap w:val="0"/>
            <w:vAlign w:val="center"/>
          </w:tcPr>
          <w:p w14:paraId="07AC63E3">
            <w:pPr>
              <w:spacing w:line="360" w:lineRule="auto"/>
              <w:jc w:val="center"/>
              <w:rPr>
                <w:rFonts w:hint="eastAsia" w:ascii="宋体" w:hAnsi="宋体" w:cs="宋体"/>
                <w:sz w:val="24"/>
                <w:highlight w:val="none"/>
              </w:rPr>
            </w:pPr>
            <w:r>
              <w:rPr>
                <w:rFonts w:hint="eastAsia" w:ascii="宋体" w:hAnsi="宋体" w:cs="宋体"/>
                <w:sz w:val="24"/>
                <w:highlight w:val="none"/>
              </w:rPr>
              <w:t>8.1</w:t>
            </w:r>
          </w:p>
        </w:tc>
        <w:tc>
          <w:tcPr>
            <w:tcW w:w="1665" w:type="dxa"/>
            <w:noWrap w:val="0"/>
            <w:vAlign w:val="center"/>
          </w:tcPr>
          <w:p w14:paraId="229025DF">
            <w:pPr>
              <w:spacing w:line="360" w:lineRule="auto"/>
              <w:jc w:val="center"/>
              <w:rPr>
                <w:rFonts w:hint="eastAsia" w:ascii="宋体" w:hAnsi="宋体" w:cs="宋体"/>
                <w:sz w:val="24"/>
                <w:highlight w:val="none"/>
              </w:rPr>
            </w:pPr>
            <w:r>
              <w:rPr>
                <w:rFonts w:hint="eastAsia" w:ascii="宋体" w:hAnsi="宋体" w:cs="宋体"/>
                <w:sz w:val="24"/>
                <w:highlight w:val="none"/>
                <w:lang w:eastAsia="zh-CN"/>
              </w:rPr>
              <w:t>推荐的中标候选人数量</w:t>
            </w:r>
          </w:p>
        </w:tc>
        <w:tc>
          <w:tcPr>
            <w:tcW w:w="6475" w:type="dxa"/>
            <w:noWrap w:val="0"/>
            <w:vAlign w:val="center"/>
          </w:tcPr>
          <w:p w14:paraId="32EED72B">
            <w:pPr>
              <w:spacing w:line="360" w:lineRule="auto"/>
              <w:jc w:val="left"/>
              <w:rPr>
                <w:rFonts w:hint="eastAsia" w:ascii="宋体" w:hAnsi="宋体" w:cs="宋体"/>
                <w:sz w:val="24"/>
                <w:highlight w:val="none"/>
              </w:rPr>
            </w:pPr>
            <w:r>
              <w:rPr>
                <w:rFonts w:hint="eastAsia" w:ascii="宋体" w:hAnsi="宋体" w:cs="宋体"/>
                <w:sz w:val="24"/>
                <w:highlight w:val="none"/>
              </w:rPr>
              <w:t>3 名</w:t>
            </w:r>
          </w:p>
        </w:tc>
      </w:tr>
      <w:tr w14:paraId="3AC43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859" w:type="dxa"/>
            <w:noWrap w:val="0"/>
            <w:vAlign w:val="center"/>
          </w:tcPr>
          <w:p w14:paraId="4980AC25">
            <w:pPr>
              <w:spacing w:line="360" w:lineRule="auto"/>
              <w:jc w:val="center"/>
              <w:rPr>
                <w:rFonts w:hint="eastAsia" w:ascii="宋体" w:hAnsi="宋体" w:cs="宋体"/>
                <w:sz w:val="24"/>
                <w:highlight w:val="none"/>
              </w:rPr>
            </w:pPr>
            <w:r>
              <w:rPr>
                <w:rFonts w:hint="eastAsia" w:ascii="宋体" w:hAnsi="宋体" w:cs="宋体"/>
                <w:sz w:val="24"/>
                <w:highlight w:val="none"/>
              </w:rPr>
              <w:t>8.2</w:t>
            </w:r>
          </w:p>
        </w:tc>
        <w:tc>
          <w:tcPr>
            <w:tcW w:w="1665" w:type="dxa"/>
            <w:noWrap w:val="0"/>
            <w:vAlign w:val="center"/>
          </w:tcPr>
          <w:p w14:paraId="77655BD3">
            <w:pPr>
              <w:spacing w:line="360" w:lineRule="auto"/>
              <w:jc w:val="center"/>
              <w:rPr>
                <w:rFonts w:hint="eastAsia" w:ascii="宋体" w:hAnsi="宋体" w:cs="宋体"/>
                <w:sz w:val="24"/>
                <w:highlight w:val="none"/>
              </w:rPr>
            </w:pPr>
            <w:r>
              <w:rPr>
                <w:rFonts w:hint="eastAsia" w:ascii="宋体" w:hAnsi="宋体" w:cs="宋体"/>
                <w:sz w:val="24"/>
                <w:highlight w:val="none"/>
                <w:lang w:eastAsia="zh-CN"/>
              </w:rPr>
              <w:t>确定中标供应商的方式</w:t>
            </w:r>
          </w:p>
        </w:tc>
        <w:tc>
          <w:tcPr>
            <w:tcW w:w="6475" w:type="dxa"/>
            <w:noWrap w:val="0"/>
            <w:vAlign w:val="center"/>
          </w:tcPr>
          <w:p w14:paraId="2ED4EEBC">
            <w:pPr>
              <w:spacing w:line="360" w:lineRule="auto"/>
              <w:jc w:val="both"/>
              <w:rPr>
                <w:rFonts w:hint="eastAsia" w:ascii="宋体" w:hAnsi="宋体" w:cs="宋体"/>
                <w:sz w:val="24"/>
                <w:highlight w:val="none"/>
              </w:rPr>
            </w:pPr>
            <w:r>
              <w:rPr>
                <w:rFonts w:hint="eastAsia" w:ascii="宋体" w:hAnsi="宋体" w:cs="宋体"/>
                <w:sz w:val="24"/>
                <w:highlight w:val="none"/>
                <w:lang w:eastAsia="zh-CN"/>
              </w:rPr>
              <w:t>采购人确</w:t>
            </w:r>
            <w:r>
              <w:rPr>
                <w:rFonts w:hint="eastAsia" w:ascii="宋体" w:hAnsi="宋体" w:cs="宋体"/>
                <w:sz w:val="24"/>
                <w:highlight w:val="none"/>
                <w:lang w:val="en-US" w:eastAsia="zh-CN"/>
              </w:rPr>
              <w:t>定</w:t>
            </w:r>
            <w:r>
              <w:rPr>
                <w:rFonts w:hint="eastAsia" w:ascii="宋体" w:hAnsi="宋体" w:cs="宋体"/>
                <w:sz w:val="24"/>
                <w:highlight w:val="none"/>
                <w:lang w:eastAsia="zh-CN"/>
              </w:rPr>
              <w:t>中标供应商</w:t>
            </w:r>
          </w:p>
        </w:tc>
      </w:tr>
      <w:tr w14:paraId="0510D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859" w:type="dxa"/>
            <w:noWrap w:val="0"/>
            <w:vAlign w:val="center"/>
          </w:tcPr>
          <w:p w14:paraId="785C9B8E">
            <w:pPr>
              <w:spacing w:line="360" w:lineRule="auto"/>
              <w:jc w:val="center"/>
              <w:rPr>
                <w:rFonts w:hint="eastAsia" w:ascii="宋体" w:hAnsi="宋体" w:cs="宋体"/>
                <w:sz w:val="24"/>
                <w:highlight w:val="none"/>
              </w:rPr>
            </w:pPr>
            <w:r>
              <w:rPr>
                <w:rFonts w:hint="eastAsia" w:ascii="宋体" w:hAnsi="宋体" w:cs="宋体"/>
                <w:sz w:val="24"/>
                <w:highlight w:val="none"/>
              </w:rPr>
              <w:t>8.4</w:t>
            </w:r>
          </w:p>
        </w:tc>
        <w:tc>
          <w:tcPr>
            <w:tcW w:w="1665" w:type="dxa"/>
            <w:noWrap w:val="0"/>
            <w:vAlign w:val="center"/>
          </w:tcPr>
          <w:p w14:paraId="050247FE">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6475" w:type="dxa"/>
            <w:noWrap w:val="0"/>
            <w:vAlign w:val="top"/>
          </w:tcPr>
          <w:p w14:paraId="4CC7AB64">
            <w:pPr>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r>
              <w:rPr>
                <w:rFonts w:hint="eastAsia" w:ascii="宋体" w:hAnsi="宋体" w:cs="宋体"/>
                <w:color w:val="000000" w:themeColor="text1"/>
                <w:sz w:val="24"/>
                <w:highlight w:val="none"/>
                <w:lang w:eastAsia="zh-CN"/>
                <w14:textFill>
                  <w14:solidFill>
                    <w14:schemeClr w14:val="tx1"/>
                  </w14:solidFill>
                </w14:textFill>
              </w:rPr>
              <w:t>金额</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中标金额的10%</w:t>
            </w:r>
            <w:r>
              <w:rPr>
                <w:rFonts w:hint="eastAsia" w:ascii="宋体" w:hAnsi="宋体" w:cs="宋体"/>
                <w:color w:val="000000" w:themeColor="text1"/>
                <w:sz w:val="24"/>
                <w:highlight w:val="none"/>
                <w14:textFill>
                  <w14:solidFill>
                    <w14:schemeClr w14:val="tx1"/>
                  </w14:solidFill>
                </w14:textFill>
              </w:rPr>
              <w:t>。</w:t>
            </w:r>
          </w:p>
          <w:p w14:paraId="4FA02E09">
            <w:pPr>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递交形式：中标后向采购人提供对应金额</w:t>
            </w:r>
            <w:r>
              <w:rPr>
                <w:rFonts w:hint="eastAsia" w:ascii="宋体" w:hAnsi="宋体" w:cs="宋体"/>
                <w:color w:val="000000" w:themeColor="text1"/>
                <w:sz w:val="24"/>
                <w:highlight w:val="none"/>
                <w:lang w:val="en-US" w:eastAsia="zh-CN"/>
                <w14:textFill>
                  <w14:solidFill>
                    <w14:schemeClr w14:val="tx1"/>
                  </w14:solidFill>
                </w14:textFill>
              </w:rPr>
              <w:t>的</w:t>
            </w:r>
            <w:r>
              <w:rPr>
                <w:rFonts w:hint="eastAsia" w:ascii="宋体" w:hAnsi="宋体" w:cs="宋体"/>
                <w:color w:val="000000" w:themeColor="text1"/>
                <w:sz w:val="24"/>
                <w:highlight w:val="none"/>
                <w14:textFill>
                  <w14:solidFill>
                    <w14:schemeClr w14:val="tx1"/>
                  </w14:solidFill>
                </w14:textFill>
              </w:rPr>
              <w:t>履约保证金</w:t>
            </w:r>
            <w:r>
              <w:rPr>
                <w:rFonts w:hint="eastAsia" w:ascii="宋体" w:hAnsi="宋体" w:cs="宋体"/>
                <w:color w:val="000000" w:themeColor="text1"/>
                <w:sz w:val="24"/>
                <w:highlight w:val="none"/>
                <w:lang w:eastAsia="zh-CN"/>
                <w14:textFill>
                  <w14:solidFill>
                    <w14:schemeClr w14:val="tx1"/>
                  </w14:solidFill>
                </w14:textFill>
              </w:rPr>
              <w:t>，供应商应当以支票、汇票、本票或者金融机构、担保机构出具的保函等非现金形式提交</w:t>
            </w:r>
            <w:r>
              <w:rPr>
                <w:rFonts w:hint="eastAsia" w:ascii="宋体" w:hAnsi="宋体" w:cs="宋体"/>
                <w:color w:val="000000" w:themeColor="text1"/>
                <w:sz w:val="24"/>
                <w:highlight w:val="none"/>
                <w14:textFill>
                  <w14:solidFill>
                    <w14:schemeClr w14:val="tx1"/>
                  </w14:solidFill>
                </w14:textFill>
              </w:rPr>
              <w:t>。</w:t>
            </w:r>
          </w:p>
        </w:tc>
      </w:tr>
      <w:tr w14:paraId="46D48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999" w:type="dxa"/>
            <w:gridSpan w:val="3"/>
            <w:noWrap w:val="0"/>
            <w:vAlign w:val="top"/>
          </w:tcPr>
          <w:p w14:paraId="31A7BF72">
            <w:pPr>
              <w:spacing w:before="163" w:line="233" w:lineRule="auto"/>
              <w:ind w:left="112" w:leftChars="0"/>
              <w:jc w:val="center"/>
              <w:rPr>
                <w:rFonts w:ascii="宋体" w:hAnsi="宋体" w:eastAsia="宋体" w:cs="宋体"/>
                <w:sz w:val="20"/>
                <w:szCs w:val="20"/>
                <w:highlight w:val="none"/>
              </w:rPr>
            </w:pPr>
            <w:r>
              <w:rPr>
                <w:rFonts w:hint="eastAsia"/>
                <w:b/>
                <w:bCs/>
                <w:spacing w:val="8"/>
                <w:sz w:val="24"/>
                <w:szCs w:val="24"/>
                <w:highlight w:val="none"/>
                <w:lang w:val="en-US" w:eastAsia="zh-CN"/>
              </w:rPr>
              <w:t>11.</w:t>
            </w:r>
            <w:r>
              <w:rPr>
                <w:b/>
                <w:bCs/>
                <w:spacing w:val="8"/>
                <w:sz w:val="24"/>
                <w:szCs w:val="24"/>
                <w:highlight w:val="none"/>
              </w:rPr>
              <w:t>需要补充的其他内容</w:t>
            </w:r>
          </w:p>
        </w:tc>
      </w:tr>
      <w:tr w14:paraId="1B309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2524" w:type="dxa"/>
            <w:gridSpan w:val="2"/>
            <w:noWrap w:val="0"/>
            <w:vAlign w:val="center"/>
          </w:tcPr>
          <w:p w14:paraId="42086898">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11.1</w:t>
            </w:r>
          </w:p>
        </w:tc>
        <w:tc>
          <w:tcPr>
            <w:tcW w:w="6475" w:type="dxa"/>
            <w:noWrap w:val="0"/>
            <w:vAlign w:val="center"/>
          </w:tcPr>
          <w:p w14:paraId="4BF00D01">
            <w:pPr>
              <w:spacing w:line="360" w:lineRule="auto"/>
              <w:jc w:val="left"/>
              <w:rPr>
                <w:rFonts w:hint="eastAsia" w:ascii="宋体" w:hAnsi="宋体" w:cs="宋体"/>
                <w:sz w:val="24"/>
                <w:highlight w:val="none"/>
              </w:rPr>
            </w:pPr>
            <w:r>
              <w:rPr>
                <w:rFonts w:hint="eastAsia" w:ascii="宋体" w:hAnsi="宋体" w:cs="宋体"/>
                <w:sz w:val="24"/>
                <w:highlight w:val="none"/>
              </w:rPr>
              <w:t xml:space="preserve">小微型企业扶持政府采购政策：  </w:t>
            </w:r>
          </w:p>
          <w:p w14:paraId="588BE7D2">
            <w:pPr>
              <w:spacing w:line="360" w:lineRule="auto"/>
              <w:jc w:val="left"/>
              <w:rPr>
                <w:rFonts w:hint="eastAsia" w:ascii="宋体" w:hAnsi="宋体" w:cs="宋体"/>
                <w:sz w:val="24"/>
                <w:highlight w:val="none"/>
              </w:rPr>
            </w:pPr>
            <w:r>
              <w:rPr>
                <w:rFonts w:hint="eastAsia" w:ascii="宋体" w:hAnsi="宋体" w:cs="宋体"/>
                <w:sz w:val="24"/>
                <w:highlight w:val="none"/>
              </w:rPr>
              <w:t>根据《关于印发</w:t>
            </w:r>
            <w:r>
              <w:rPr>
                <w:rFonts w:hint="eastAsia" w:ascii="宋体" w:hAnsi="宋体" w:cs="宋体"/>
                <w:sz w:val="24"/>
                <w:highlight w:val="none"/>
              </w:rPr>
              <w:fldChar w:fldCharType="begin"/>
            </w:r>
            <w:r>
              <w:rPr>
                <w:rFonts w:hint="eastAsia" w:ascii="宋体" w:hAnsi="宋体" w:cs="宋体"/>
                <w:sz w:val="24"/>
                <w:highlight w:val="none"/>
              </w:rPr>
              <w:instrText xml:space="preserve">HYPERLINK "http://www.caigou2003.com/" \t "_blank"</w:instrText>
            </w:r>
            <w:r>
              <w:rPr>
                <w:rFonts w:hint="eastAsia" w:ascii="宋体" w:hAnsi="宋体" w:cs="宋体"/>
                <w:sz w:val="24"/>
                <w:highlight w:val="none"/>
              </w:rPr>
              <w:fldChar w:fldCharType="separate"/>
            </w:r>
            <w:r>
              <w:rPr>
                <w:rFonts w:hint="eastAsia" w:ascii="宋体" w:hAnsi="宋体" w:cs="宋体"/>
                <w:sz w:val="24"/>
                <w:highlight w:val="none"/>
              </w:rPr>
              <w:t>政府采购</w:t>
            </w:r>
            <w:r>
              <w:rPr>
                <w:rFonts w:hint="eastAsia" w:ascii="宋体" w:hAnsi="宋体" w:cs="宋体"/>
                <w:sz w:val="24"/>
                <w:highlight w:val="none"/>
              </w:rPr>
              <w:fldChar w:fldCharType="end"/>
            </w:r>
            <w:r>
              <w:rPr>
                <w:rFonts w:hint="eastAsia" w:ascii="宋体" w:hAnsi="宋体" w:cs="宋体"/>
                <w:sz w:val="24"/>
                <w:highlight w:val="none"/>
              </w:rPr>
              <w:t>促进中小企业发展管理办法的通知》（财库〔2020〕46号）、《财政部关于进一步加大政府采购支持中小企业力度的通知》（财库〔2022〕19号）和《河南省财政厅关于进一步做好政府采购支持中小企业发展有关事项的通知》（豫财购〔2022〕5号）的规定，对于非专门面向小型、微型企业预留采购份额的采购项目或者采购包，</w:t>
            </w:r>
            <w:r>
              <w:rPr>
                <w:rFonts w:hint="eastAsia" w:ascii="宋体" w:hAnsi="宋体" w:cs="宋体"/>
                <w:color w:val="auto"/>
                <w:sz w:val="24"/>
                <w:highlight w:val="none"/>
                <w:lang w:val="en-US" w:eastAsia="zh-CN"/>
              </w:rPr>
              <w:t>本项目</w:t>
            </w:r>
            <w:r>
              <w:rPr>
                <w:rFonts w:hint="eastAsia" w:ascii="宋体" w:hAnsi="宋体" w:cs="宋体"/>
                <w:sz w:val="24"/>
                <w:highlight w:val="none"/>
              </w:rPr>
              <w:t>对小型和微型企业产品的价格给予</w:t>
            </w:r>
            <w:r>
              <w:rPr>
                <w:rFonts w:hint="eastAsia" w:ascii="宋体" w:hAnsi="宋体" w:cs="宋体"/>
                <w:b/>
                <w:bCs/>
                <w:sz w:val="24"/>
                <w:highlight w:val="none"/>
              </w:rPr>
              <w:t>10%</w:t>
            </w:r>
            <w:r>
              <w:rPr>
                <w:rFonts w:hint="eastAsia" w:ascii="宋体" w:hAnsi="宋体" w:cs="宋体"/>
                <w:sz w:val="24"/>
                <w:highlight w:val="none"/>
                <w:lang w:val="en-US" w:eastAsia="zh-CN"/>
              </w:rPr>
              <w:t xml:space="preserve"> </w:t>
            </w:r>
            <w:r>
              <w:rPr>
                <w:rFonts w:hint="eastAsia" w:ascii="宋体" w:hAnsi="宋体" w:cs="宋体"/>
                <w:sz w:val="24"/>
                <w:highlight w:val="none"/>
              </w:rPr>
              <w:t>的扣除，用扣除后的价格参与评审，小型、微型企业与大企业的负责人为同一人，或者与大企业存在直接控股、管理关系的除外。监狱企业视同小型、微型企业，残疾人福利性单位视同小型、微型企业，小微企业产品和监狱企业产品及残疾人福利性单位产品只给予一次价格扣除，不重复给予价格扣除。小微企业的认定标准按《中小企业划型标准规定》工信部联企业〔2011〕300号文件执行，</w:t>
            </w:r>
            <w:r>
              <w:rPr>
                <w:rFonts w:hint="eastAsia" w:ascii="宋体" w:hAnsi="宋体" w:cs="宋体"/>
                <w:sz w:val="24"/>
                <w:highlight w:val="none"/>
                <w:lang w:eastAsia="zh-CN"/>
              </w:rPr>
              <w:t>供应商</w:t>
            </w:r>
            <w:r>
              <w:rPr>
                <w:rFonts w:hint="eastAsia" w:ascii="宋体" w:hAnsi="宋体" w:cs="宋体"/>
                <w:sz w:val="24"/>
                <w:highlight w:val="none"/>
              </w:rPr>
              <w:t>应提供《小微企业声明函》等有效证明材料。</w:t>
            </w:r>
          </w:p>
          <w:p w14:paraId="6F4AFCAA">
            <w:pPr>
              <w:spacing w:line="360" w:lineRule="auto"/>
              <w:jc w:val="left"/>
              <w:rPr>
                <w:rFonts w:hint="eastAsia" w:ascii="宋体" w:hAnsi="宋体" w:cs="宋体"/>
                <w:sz w:val="24"/>
                <w:highlight w:val="none"/>
              </w:rPr>
            </w:pPr>
            <w:r>
              <w:rPr>
                <w:rFonts w:hint="eastAsia" w:ascii="宋体" w:hAnsi="宋体" w:cs="宋体"/>
                <w:sz w:val="24"/>
                <w:highlight w:val="none"/>
              </w:rPr>
              <w:t>监狱企业视同小型、微型企业，</w:t>
            </w:r>
            <w:r>
              <w:rPr>
                <w:rFonts w:hint="eastAsia" w:ascii="宋体" w:hAnsi="宋体" w:cs="宋体"/>
                <w:sz w:val="24"/>
                <w:highlight w:val="none"/>
                <w:lang w:eastAsia="zh-CN"/>
              </w:rPr>
              <w:t>供应商</w:t>
            </w:r>
            <w:r>
              <w:rPr>
                <w:rFonts w:hint="eastAsia" w:ascii="宋体" w:hAnsi="宋体" w:cs="宋体"/>
                <w:sz w:val="24"/>
                <w:highlight w:val="none"/>
              </w:rPr>
              <w:t>应提供省级及以上监狱管理局、戒毒管理局（含新疆生产建设兵团）在招标文件发出时间至投标截止时间前出具的属于监狱企业的证明文件。</w:t>
            </w:r>
          </w:p>
          <w:p w14:paraId="661C9D1F">
            <w:pPr>
              <w:spacing w:line="360" w:lineRule="auto"/>
              <w:jc w:val="left"/>
              <w:rPr>
                <w:rFonts w:hint="eastAsia" w:ascii="宋体" w:hAnsi="宋体" w:cs="宋体"/>
                <w:sz w:val="24"/>
                <w:highlight w:val="none"/>
              </w:rPr>
            </w:pPr>
            <w:r>
              <w:rPr>
                <w:rFonts w:hint="eastAsia" w:ascii="宋体" w:hAnsi="宋体" w:cs="宋体"/>
                <w:sz w:val="24"/>
                <w:highlight w:val="none"/>
              </w:rPr>
              <w:t>残疾人福利性单位视同小型、微型企业，残疾人福利性单位须符合《财政部民政部 中国残疾人联合会关于促进残疾人就业政府采购政策的通知》（财库〔2017〕141 号）要求，提供《残疾人福利性单位声明函》，提供的《残疾人福利性单位声明函》与事实不符的，依照《政府采购法》第七十七条第一款的规定追究法律责任。</w:t>
            </w:r>
          </w:p>
          <w:p w14:paraId="6841EE11">
            <w:pPr>
              <w:spacing w:line="360" w:lineRule="auto"/>
              <w:jc w:val="left"/>
              <w:rPr>
                <w:rFonts w:hint="eastAsia" w:ascii="宋体" w:hAnsi="宋体" w:cs="宋体"/>
                <w:sz w:val="24"/>
                <w:highlight w:val="none"/>
              </w:rPr>
            </w:pPr>
            <w:r>
              <w:rPr>
                <w:rFonts w:hint="eastAsia" w:ascii="宋体" w:hAnsi="宋体" w:eastAsia="宋体" w:cs="宋体"/>
                <w:b/>
                <w:bCs/>
                <w:sz w:val="24"/>
                <w:highlight w:val="none"/>
                <w:lang w:val="en-US" w:eastAsia="zh-CN"/>
              </w:rPr>
              <w:t>本项目</w:t>
            </w:r>
            <w:r>
              <w:rPr>
                <w:rFonts w:hint="eastAsia" w:ascii="宋体" w:hAnsi="宋体" w:eastAsia="宋体" w:cs="宋体"/>
                <w:b/>
                <w:bCs/>
                <w:sz w:val="24"/>
                <w:highlight w:val="none"/>
                <w:lang w:eastAsia="zh-CN"/>
              </w:rPr>
              <w:t>采购标的对应的中小企业划分标准所属行业：</w:t>
            </w:r>
            <w:r>
              <w:rPr>
                <w:rFonts w:hint="eastAsia" w:ascii="宋体" w:hAnsi="宋体" w:eastAsia="宋体" w:cs="宋体"/>
                <w:b/>
                <w:bCs/>
                <w:color w:val="auto"/>
                <w:sz w:val="24"/>
                <w:highlight w:val="none"/>
                <w:u w:val="single"/>
                <w:lang w:val="en-US" w:eastAsia="zh-CN"/>
              </w:rPr>
              <w:t>工业</w:t>
            </w:r>
            <w:r>
              <w:rPr>
                <w:rFonts w:hint="eastAsia" w:ascii="宋体" w:hAnsi="宋体" w:eastAsia="宋体" w:cs="宋体"/>
                <w:b/>
                <w:bCs/>
                <w:color w:val="auto"/>
                <w:sz w:val="24"/>
                <w:highlight w:val="none"/>
                <w:lang w:eastAsia="zh-CN"/>
              </w:rPr>
              <w:t>；</w:t>
            </w:r>
          </w:p>
        </w:tc>
      </w:tr>
      <w:tr w14:paraId="389D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2524" w:type="dxa"/>
            <w:gridSpan w:val="2"/>
            <w:noWrap w:val="0"/>
            <w:vAlign w:val="center"/>
          </w:tcPr>
          <w:p w14:paraId="252110AA">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11.2</w:t>
            </w:r>
          </w:p>
        </w:tc>
        <w:tc>
          <w:tcPr>
            <w:tcW w:w="6475" w:type="dxa"/>
            <w:noWrap w:val="0"/>
            <w:vAlign w:val="center"/>
          </w:tcPr>
          <w:p w14:paraId="174674BC">
            <w:pPr>
              <w:spacing w:line="360" w:lineRule="auto"/>
              <w:jc w:val="left"/>
              <w:rPr>
                <w:rFonts w:hint="eastAsia" w:ascii="宋体" w:hAnsi="宋体" w:cs="宋体"/>
                <w:sz w:val="24"/>
                <w:highlight w:val="none"/>
              </w:rPr>
            </w:pPr>
            <w:r>
              <w:rPr>
                <w:rFonts w:hint="eastAsia" w:ascii="宋体" w:hAnsi="宋体" w:cs="宋体"/>
                <w:sz w:val="24"/>
                <w:highlight w:val="none"/>
              </w:rPr>
              <w:t>节能产品、环境标志产品政府采购政策：</w:t>
            </w:r>
          </w:p>
          <w:p w14:paraId="45379189">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1）根据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要求，本项目若含有节能产品政府采购品目清单内政府强制采购产品，</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须选用国家公布的认证机构认证的处于有效期之内的政府强制采购节能产品。本项目若含有节能产品、环境标志产品政府采购品目清单内政府优先采购产品，在性能、技术、服务等指标同等条件下，优先采购国家公布的认证机构认证的处于有效期之内的节能产品（政府强制采购产品除外）、环境标志产品。</w:t>
            </w:r>
          </w:p>
          <w:p w14:paraId="1751A51E">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应提供国家公布的认证机构出具的处于有效期之内的节能产品、环境标志产品认证证书。</w:t>
            </w:r>
          </w:p>
          <w:p w14:paraId="14C281F2">
            <w:pPr>
              <w:spacing w:line="360" w:lineRule="auto"/>
              <w:jc w:val="left"/>
              <w:rPr>
                <w:rFonts w:hint="eastAsia" w:ascii="宋体" w:hAnsi="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优惠情况详见第三章</w:t>
            </w:r>
            <w:r>
              <w:rPr>
                <w:rFonts w:hint="eastAsia" w:ascii="宋体" w:hAnsi="宋体" w:eastAsia="宋体" w:cs="宋体"/>
                <w:sz w:val="24"/>
                <w:highlight w:val="none"/>
              </w:rPr>
              <w:t>。</w:t>
            </w:r>
          </w:p>
        </w:tc>
      </w:tr>
      <w:tr w14:paraId="55959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2524" w:type="dxa"/>
            <w:gridSpan w:val="2"/>
            <w:noWrap w:val="0"/>
            <w:vAlign w:val="center"/>
          </w:tcPr>
          <w:p w14:paraId="0762121E">
            <w:pPr>
              <w:wordWrap w:val="0"/>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11.3</w:t>
            </w:r>
          </w:p>
        </w:tc>
        <w:tc>
          <w:tcPr>
            <w:tcW w:w="6475" w:type="dxa"/>
            <w:noWrap w:val="0"/>
            <w:vAlign w:val="center"/>
          </w:tcPr>
          <w:p w14:paraId="331AFE21">
            <w:pPr>
              <w:spacing w:line="520" w:lineRule="exact"/>
              <w:rPr>
                <w:rFonts w:hint="eastAsia" w:ascii="宋体" w:hAnsi="宋体"/>
                <w:color w:val="auto"/>
                <w:sz w:val="24"/>
                <w:highlight w:val="none"/>
              </w:rPr>
            </w:pPr>
            <w:r>
              <w:rPr>
                <w:rFonts w:hint="eastAsia" w:ascii="宋体" w:hAnsi="宋体" w:cs="宋体"/>
                <w:color w:val="auto"/>
                <w:sz w:val="24"/>
                <w:highlight w:val="none"/>
                <w:lang w:val="en-US" w:eastAsia="zh-CN"/>
              </w:rPr>
              <w:t>招标代理</w:t>
            </w:r>
            <w:r>
              <w:rPr>
                <w:rFonts w:hint="eastAsia" w:ascii="宋体" w:hAnsi="宋体" w:cs="宋体"/>
                <w:sz w:val="24"/>
                <w:highlight w:val="none"/>
              </w:rPr>
              <w:t>服务费：</w:t>
            </w:r>
            <w:r>
              <w:rPr>
                <w:rFonts w:hint="eastAsia" w:ascii="宋体" w:hAnsi="宋体"/>
                <w:color w:val="auto"/>
                <w:sz w:val="24"/>
                <w:highlight w:val="none"/>
                <w:lang w:val="en-US" w:eastAsia="zh-CN"/>
              </w:rPr>
              <w:t>按照</w:t>
            </w:r>
            <w:r>
              <w:rPr>
                <w:rFonts w:hint="eastAsia" w:ascii="宋体" w:hAnsi="宋体"/>
                <w:color w:val="auto"/>
                <w:sz w:val="24"/>
                <w:highlight w:val="none"/>
              </w:rPr>
              <w:t>《河南省招标代理服务收费指导意见》豫招协［2023］002号文规定的“招标代理服务收费计算标准”的80%收取招标代理服务费，收费标准的计算基数以中标金额为计费基数</w:t>
            </w:r>
            <w:r>
              <w:rPr>
                <w:rFonts w:hint="eastAsia" w:ascii="宋体" w:hAnsi="宋体"/>
                <w:color w:val="auto"/>
                <w:sz w:val="24"/>
                <w:highlight w:val="none"/>
                <w:lang w:eastAsia="zh-CN"/>
              </w:rPr>
              <w:t>，</w:t>
            </w:r>
            <w:r>
              <w:rPr>
                <w:rFonts w:hint="eastAsia" w:ascii="宋体" w:hAnsi="宋体"/>
                <w:color w:val="auto"/>
                <w:sz w:val="24"/>
                <w:highlight w:val="none"/>
              </w:rPr>
              <w:t>由</w:t>
            </w:r>
            <w:r>
              <w:rPr>
                <w:rFonts w:hint="eastAsia" w:ascii="宋体" w:hAnsi="宋体"/>
                <w:color w:val="auto"/>
                <w:sz w:val="24"/>
                <w:highlight w:val="none"/>
                <w:lang w:val="en-US" w:eastAsia="zh-CN"/>
              </w:rPr>
              <w:t>中标人</w:t>
            </w:r>
            <w:r>
              <w:rPr>
                <w:rFonts w:hint="eastAsia" w:ascii="宋体" w:hAnsi="宋体"/>
                <w:color w:val="auto"/>
                <w:sz w:val="24"/>
                <w:highlight w:val="none"/>
              </w:rPr>
              <w:t>支付。</w:t>
            </w:r>
          </w:p>
          <w:p w14:paraId="30044CE4">
            <w:pPr>
              <w:spacing w:line="520" w:lineRule="exact"/>
              <w:rPr>
                <w:rFonts w:hint="eastAsia" w:ascii="宋体" w:hAnsi="宋体"/>
                <w:color w:val="auto"/>
                <w:sz w:val="24"/>
                <w:highlight w:val="none"/>
              </w:rPr>
            </w:pPr>
            <w:r>
              <w:rPr>
                <w:rFonts w:hint="eastAsia" w:ascii="宋体" w:hAnsi="宋体"/>
                <w:color w:val="auto"/>
                <w:sz w:val="24"/>
                <w:highlight w:val="none"/>
              </w:rPr>
              <w:t>账户信息如下：</w:t>
            </w:r>
          </w:p>
          <w:p w14:paraId="3FE952A3">
            <w:pPr>
              <w:wordWrap w:val="0"/>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名</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lang w:eastAsia="zh-CN"/>
              </w:rPr>
              <w:t>称：</w:t>
            </w:r>
            <w:r>
              <w:rPr>
                <w:rFonts w:hint="eastAsia" w:ascii="宋体" w:hAnsi="宋体" w:eastAsia="宋体" w:cs="宋体"/>
                <w:sz w:val="24"/>
                <w:highlight w:val="none"/>
                <w:lang w:val="en-US" w:eastAsia="zh-CN"/>
              </w:rPr>
              <w:t>大成工程咨询有限公司河南第一分公司</w:t>
            </w:r>
          </w:p>
          <w:p w14:paraId="2B6EDD36">
            <w:pPr>
              <w:wordWrap w:val="0"/>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开户行：</w:t>
            </w:r>
            <w:r>
              <w:rPr>
                <w:rFonts w:hint="eastAsia" w:ascii="宋体" w:hAnsi="宋体" w:eastAsia="宋体" w:cs="宋体"/>
                <w:sz w:val="24"/>
                <w:highlight w:val="none"/>
                <w:lang w:val="en-US" w:eastAsia="zh-CN"/>
              </w:rPr>
              <w:t>中国建设银行新密市支行</w:t>
            </w:r>
          </w:p>
          <w:p w14:paraId="63177D2D">
            <w:pPr>
              <w:wordWrap w:val="0"/>
              <w:spacing w:line="360" w:lineRule="auto"/>
              <w:rPr>
                <w:rFonts w:hint="eastAsia" w:ascii="宋体" w:hAnsi="宋体" w:cs="宋体"/>
                <w:sz w:val="24"/>
                <w:highlight w:val="none"/>
              </w:rPr>
            </w:pPr>
            <w:r>
              <w:rPr>
                <w:rFonts w:hint="eastAsia" w:ascii="宋体" w:hAnsi="宋体" w:eastAsia="宋体" w:cs="宋体"/>
                <w:sz w:val="24"/>
                <w:highlight w:val="none"/>
                <w:lang w:eastAsia="zh-CN"/>
              </w:rPr>
              <w:t>账</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lang w:eastAsia="zh-CN"/>
              </w:rPr>
              <w:t>号：</w:t>
            </w:r>
            <w:r>
              <w:rPr>
                <w:rFonts w:hint="eastAsia" w:ascii="仿宋" w:hAnsi="仿宋" w:eastAsia="仿宋" w:cs="仿宋"/>
                <w:color w:val="auto"/>
                <w:sz w:val="24"/>
                <w:szCs w:val="24"/>
                <w:highlight w:val="none"/>
                <w:lang w:val="en-US" w:eastAsia="zh-CN"/>
              </w:rPr>
              <w:t>4105 0179 3908 0000 1201</w:t>
            </w:r>
          </w:p>
        </w:tc>
      </w:tr>
      <w:tr w14:paraId="3FAD2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2524" w:type="dxa"/>
            <w:gridSpan w:val="2"/>
            <w:noWrap w:val="0"/>
            <w:vAlign w:val="center"/>
          </w:tcPr>
          <w:p w14:paraId="15C0C7A7">
            <w:pPr>
              <w:wordWrap w:val="0"/>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11.4</w:t>
            </w:r>
          </w:p>
        </w:tc>
        <w:tc>
          <w:tcPr>
            <w:tcW w:w="6475" w:type="dxa"/>
            <w:noWrap w:val="0"/>
            <w:vAlign w:val="center"/>
          </w:tcPr>
          <w:p w14:paraId="44928367">
            <w:pPr>
              <w:wordWrap w:val="0"/>
              <w:spacing w:line="360" w:lineRule="auto"/>
              <w:rPr>
                <w:rFonts w:hint="eastAsia" w:ascii="宋体" w:hAnsi="宋体" w:cs="宋体"/>
                <w:sz w:val="24"/>
                <w:highlight w:val="none"/>
                <w:lang w:eastAsia="zh-CN"/>
              </w:rPr>
            </w:pPr>
            <w:r>
              <w:rPr>
                <w:rFonts w:hint="eastAsia" w:ascii="宋体" w:hAnsi="宋体" w:cs="宋体"/>
                <w:sz w:val="24"/>
                <w:highlight w:val="none"/>
                <w:lang w:eastAsia="zh-CN"/>
              </w:rPr>
              <w:t>中标结果</w:t>
            </w:r>
            <w:r>
              <w:rPr>
                <w:rFonts w:hint="eastAsia" w:ascii="宋体" w:hAnsi="宋体" w:cs="宋体"/>
                <w:sz w:val="24"/>
                <w:highlight w:val="none"/>
                <w:lang w:val="en-US" w:eastAsia="zh-CN"/>
              </w:rPr>
              <w:t>公告</w:t>
            </w:r>
            <w:r>
              <w:rPr>
                <w:rFonts w:hint="eastAsia" w:ascii="宋体" w:hAnsi="宋体" w:cs="宋体"/>
                <w:sz w:val="24"/>
                <w:highlight w:val="none"/>
                <w:lang w:eastAsia="zh-CN"/>
              </w:rPr>
              <w:t>在本招标项目招标公告发布的同一媒介予以公告，公告期限 1个工作日。</w:t>
            </w:r>
          </w:p>
        </w:tc>
      </w:tr>
      <w:tr w14:paraId="482EC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2524" w:type="dxa"/>
            <w:gridSpan w:val="2"/>
            <w:noWrap w:val="0"/>
            <w:vAlign w:val="center"/>
          </w:tcPr>
          <w:p w14:paraId="2A42CA4B">
            <w:pPr>
              <w:wordWrap w:val="0"/>
              <w:spacing w:line="360" w:lineRule="auto"/>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11.5</w:t>
            </w:r>
          </w:p>
        </w:tc>
        <w:tc>
          <w:tcPr>
            <w:tcW w:w="6475" w:type="dxa"/>
            <w:noWrap w:val="0"/>
            <w:vAlign w:val="center"/>
          </w:tcPr>
          <w:p w14:paraId="742DA8DD">
            <w:pPr>
              <w:wordWrap w:val="0"/>
              <w:spacing w:line="360" w:lineRule="auto"/>
              <w:rPr>
                <w:rFonts w:hint="eastAsia" w:ascii="宋体" w:hAnsi="宋体" w:cs="宋体"/>
                <w:sz w:val="24"/>
                <w:highlight w:val="none"/>
                <w:lang w:val="en-US" w:eastAsia="zh-CN"/>
              </w:rPr>
            </w:pPr>
            <w:r>
              <w:rPr>
                <w:rFonts w:hint="eastAsia" w:ascii="宋体" w:hAnsi="宋体" w:cs="宋体"/>
                <w:sz w:val="24"/>
                <w:highlight w:val="none"/>
                <w:lang w:eastAsia="zh-CN"/>
              </w:rPr>
              <w:t>构成本招标文件的各个组成文件应互为解释，互为说明；同一组成文件不同版本之间有不一致的，以形成时间在后者为准。招标文件中与招标公告不一致的地方以招标文件为准。按本款前述规定仍不能形成结论的，由采购人负责解释。</w:t>
            </w:r>
          </w:p>
        </w:tc>
      </w:tr>
      <w:tr w14:paraId="15A5F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2524" w:type="dxa"/>
            <w:gridSpan w:val="2"/>
            <w:noWrap w:val="0"/>
            <w:vAlign w:val="center"/>
          </w:tcPr>
          <w:p w14:paraId="08592847">
            <w:pPr>
              <w:wordWrap w:val="0"/>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11.6</w:t>
            </w:r>
          </w:p>
        </w:tc>
        <w:tc>
          <w:tcPr>
            <w:tcW w:w="6475" w:type="dxa"/>
            <w:noWrap w:val="0"/>
            <w:vAlign w:val="center"/>
          </w:tcPr>
          <w:p w14:paraId="575FE744">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预付款金额：合同金额30%（注：中小企业预付款金额为合同金额的50%）</w:t>
            </w:r>
          </w:p>
          <w:p w14:paraId="05A66AFD">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是否要求中标单位提交预付款保函：是。</w:t>
            </w:r>
          </w:p>
          <w:p w14:paraId="3662D906">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预付款保函担保金额：等同预付款金额。</w:t>
            </w:r>
          </w:p>
          <w:p w14:paraId="5029269E">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提交预付款保函时间：合同签订生效后 10 日历天内。</w:t>
            </w:r>
          </w:p>
          <w:p w14:paraId="1AF5C212">
            <w:pPr>
              <w:adjustRightInd w:val="0"/>
              <w:snapToGrid w:val="0"/>
              <w:spacing w:line="360" w:lineRule="auto"/>
              <w:jc w:val="left"/>
              <w:rPr>
                <w:rFonts w:hint="eastAsia" w:ascii="宋体" w:hAnsi="宋体" w:cs="宋体"/>
                <w:sz w:val="24"/>
                <w:highlight w:val="none"/>
                <w:lang w:eastAsia="zh-CN"/>
              </w:rPr>
            </w:pPr>
            <w:r>
              <w:rPr>
                <w:rFonts w:hint="eastAsia" w:ascii="宋体" w:hAnsi="宋体" w:eastAsia="宋体" w:cs="宋体"/>
                <w:color w:val="auto"/>
                <w:sz w:val="24"/>
                <w:szCs w:val="24"/>
                <w:highlight w:val="none"/>
              </w:rPr>
              <w:t>出具方式：供应商应当以支票、汇票、本票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转账</w:t>
            </w:r>
            <w:r>
              <w:rPr>
                <w:rFonts w:hint="eastAsia" w:ascii="宋体" w:hAnsi="宋体" w:eastAsia="宋体" w:cs="宋体"/>
                <w:color w:val="auto"/>
                <w:sz w:val="24"/>
                <w:szCs w:val="24"/>
                <w:highlight w:val="none"/>
              </w:rPr>
              <w:t>或者由中标人的银行账户所在银行开具的不可撤销、见索即付的无条件保函方式。</w:t>
            </w:r>
          </w:p>
        </w:tc>
      </w:tr>
      <w:tr w14:paraId="6F404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trPr>
        <w:tc>
          <w:tcPr>
            <w:tcW w:w="2524" w:type="dxa"/>
            <w:gridSpan w:val="2"/>
            <w:shd w:val="clear" w:color="auto" w:fill="auto"/>
            <w:noWrap w:val="0"/>
            <w:vAlign w:val="center"/>
          </w:tcPr>
          <w:p w14:paraId="2BF5B49C">
            <w:pPr>
              <w:wordWrap w:val="0"/>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cs="宋体"/>
                <w:sz w:val="24"/>
                <w:highlight w:val="none"/>
                <w:lang w:val="en-US" w:eastAsia="zh-CN"/>
              </w:rPr>
              <w:t>11.7</w:t>
            </w:r>
          </w:p>
        </w:tc>
        <w:tc>
          <w:tcPr>
            <w:tcW w:w="6475" w:type="dxa"/>
            <w:shd w:val="clear" w:color="auto" w:fill="auto"/>
            <w:noWrap w:val="0"/>
            <w:vAlign w:val="center"/>
          </w:tcPr>
          <w:p w14:paraId="7732E03E">
            <w:pPr>
              <w:wordWrap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cs="宋体"/>
                <w:sz w:val="24"/>
                <w:highlight w:val="none"/>
                <w:lang w:eastAsia="zh-CN"/>
              </w:rPr>
              <w:t>招标文件的最终解释权归采购人或者代理机构。</w:t>
            </w:r>
          </w:p>
        </w:tc>
      </w:tr>
    </w:tbl>
    <w:p w14:paraId="67E0CC75">
      <w:pPr>
        <w:spacing w:line="480" w:lineRule="auto"/>
        <w:rPr>
          <w:rFonts w:hint="eastAsia" w:ascii="宋体" w:hAnsi="宋体" w:cs="宋体"/>
          <w:color w:val="auto"/>
          <w:sz w:val="24"/>
          <w:highlight w:val="none"/>
        </w:rPr>
      </w:pPr>
      <w:r>
        <w:rPr>
          <w:rFonts w:hint="eastAsia" w:ascii="宋体" w:hAnsi="宋体" w:eastAsia="宋体" w:cs="宋体"/>
          <w:highlight w:val="none"/>
        </w:rPr>
        <w:br w:type="page"/>
      </w:r>
      <w:bookmarkEnd w:id="31"/>
      <w:bookmarkEnd w:id="32"/>
      <w:bookmarkEnd w:id="33"/>
      <w:bookmarkEnd w:id="34"/>
      <w:bookmarkEnd w:id="35"/>
      <w:bookmarkEnd w:id="36"/>
      <w:bookmarkEnd w:id="37"/>
      <w:bookmarkEnd w:id="38"/>
      <w:bookmarkEnd w:id="40"/>
      <w:bookmarkEnd w:id="41"/>
      <w:r>
        <w:rPr>
          <w:rFonts w:hint="eastAsia" w:ascii="宋体" w:hAnsi="宋体" w:cs="宋体"/>
          <w:b/>
          <w:bCs/>
          <w:color w:val="auto"/>
          <w:sz w:val="24"/>
          <w:highlight w:val="none"/>
        </w:rPr>
        <w:t>附件：</w:t>
      </w:r>
    </w:p>
    <w:p w14:paraId="499BE910">
      <w:pPr>
        <w:pStyle w:val="81"/>
        <w:ind w:left="0" w:leftChars="0"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32"/>
          <w:szCs w:val="24"/>
          <w:highlight w:val="none"/>
        </w:rPr>
        <w:t>河南省政府采购合同融资政策告知函</w:t>
      </w:r>
    </w:p>
    <w:p w14:paraId="5082CDC9">
      <w:pPr>
        <w:pStyle w:val="81"/>
        <w:spacing w:line="520" w:lineRule="exact"/>
        <w:ind w:left="0" w:leftChars="0" w:firstLine="0" w:firstLineChars="0"/>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各</w:t>
      </w:r>
      <w:r>
        <w:rPr>
          <w:rFonts w:hint="eastAsia" w:ascii="宋体" w:hAnsi="宋体" w:eastAsia="宋体" w:cs="宋体"/>
          <w:b w:val="0"/>
          <w:color w:val="auto"/>
          <w:kern w:val="0"/>
          <w:sz w:val="24"/>
          <w:szCs w:val="24"/>
          <w:highlight w:val="none"/>
          <w:lang w:eastAsia="zh-CN"/>
        </w:rPr>
        <w:t>供应商</w:t>
      </w:r>
      <w:r>
        <w:rPr>
          <w:rFonts w:hint="eastAsia" w:ascii="宋体" w:hAnsi="宋体" w:eastAsia="宋体" w:cs="宋体"/>
          <w:b w:val="0"/>
          <w:color w:val="auto"/>
          <w:kern w:val="0"/>
          <w:sz w:val="24"/>
          <w:szCs w:val="24"/>
          <w:highlight w:val="none"/>
        </w:rPr>
        <w:t>：</w:t>
      </w:r>
    </w:p>
    <w:p w14:paraId="4E22FF20">
      <w:pPr>
        <w:pStyle w:val="81"/>
        <w:spacing w:line="520" w:lineRule="exact"/>
        <w:ind w:left="0" w:leftChars="0" w:firstLine="480"/>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欢迎贵公司参与河南省政府采购活动！</w:t>
      </w:r>
    </w:p>
    <w:p w14:paraId="6C191639">
      <w:pPr>
        <w:pStyle w:val="81"/>
        <w:spacing w:line="520" w:lineRule="exact"/>
        <w:ind w:left="0" w:leftChars="0" w:firstLine="480"/>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政府采购合同融资是河南省财政厅支持中小微企业发展，针对参与政府采购活动的</w:t>
      </w:r>
      <w:r>
        <w:rPr>
          <w:rFonts w:hint="eastAsia" w:ascii="宋体" w:hAnsi="宋体" w:eastAsia="宋体" w:cs="宋体"/>
          <w:b w:val="0"/>
          <w:color w:val="auto"/>
          <w:kern w:val="0"/>
          <w:sz w:val="24"/>
          <w:szCs w:val="24"/>
          <w:highlight w:val="none"/>
          <w:lang w:eastAsia="zh-CN"/>
        </w:rPr>
        <w:t>供应商</w:t>
      </w:r>
      <w:r>
        <w:rPr>
          <w:rFonts w:hint="eastAsia" w:ascii="宋体" w:hAnsi="宋体" w:eastAsia="宋体" w:cs="宋体"/>
          <w:b w:val="0"/>
          <w:color w:val="auto"/>
          <w:kern w:val="0"/>
          <w:sz w:val="24"/>
          <w:szCs w:val="24"/>
          <w:highlight w:val="none"/>
        </w:rPr>
        <w:t>融资难、融资贵问题推出的一项融资政策。贵公司若成为本次政府采购项目的中标成交</w:t>
      </w:r>
      <w:r>
        <w:rPr>
          <w:rFonts w:hint="eastAsia" w:ascii="宋体" w:hAnsi="宋体" w:eastAsia="宋体" w:cs="宋体"/>
          <w:b w:val="0"/>
          <w:color w:val="auto"/>
          <w:kern w:val="0"/>
          <w:sz w:val="24"/>
          <w:szCs w:val="24"/>
          <w:highlight w:val="none"/>
          <w:lang w:eastAsia="zh-CN"/>
        </w:rPr>
        <w:t>供应商</w:t>
      </w:r>
      <w:r>
        <w:rPr>
          <w:rFonts w:hint="eastAsia" w:ascii="宋体" w:hAnsi="宋体" w:eastAsia="宋体" w:cs="宋体"/>
          <w:b w:val="0"/>
          <w:color w:val="auto"/>
          <w:kern w:val="0"/>
          <w:sz w:val="24"/>
          <w:szCs w:val="24"/>
          <w:highlight w:val="none"/>
        </w:rPr>
        <w:t>，可持政府采购合同向金融机构申请贷款，无需抵押、担保，融资机构将根据《河南省政府采购合同融资工作实施方案》（豫财购〔2017〕10号），按照双方自愿的原则提供便捷、优惠的贷款服务。</w:t>
      </w:r>
    </w:p>
    <w:p w14:paraId="739BE5B6">
      <w:pPr>
        <w:pStyle w:val="81"/>
        <w:spacing w:line="520" w:lineRule="exact"/>
        <w:ind w:left="0" w:leftChars="0" w:firstLine="480"/>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rPr>
        <w:t>贷款渠道和提供贷款的金融机构，可在河南省政府采购网“河南省政府采购合同融资平台”查询联系。</w:t>
      </w:r>
    </w:p>
    <w:p w14:paraId="1F74F14F">
      <w:pPr>
        <w:numPr>
          <w:ilvl w:val="0"/>
          <w:numId w:val="0"/>
        </w:numPr>
        <w:tabs>
          <w:tab w:val="left" w:pos="640"/>
        </w:tabs>
        <w:spacing w:line="360" w:lineRule="auto"/>
        <w:ind w:leftChars="0"/>
        <w:jc w:val="center"/>
        <w:rPr>
          <w:rFonts w:hint="eastAsia" w:ascii="宋体" w:hAnsi="宋体" w:eastAsia="宋体" w:cs="宋体"/>
          <w:sz w:val="24"/>
          <w:szCs w:val="24"/>
          <w:highlight w:val="none"/>
        </w:rPr>
      </w:pPr>
      <w:r>
        <w:rPr>
          <w:rFonts w:hint="eastAsia" w:ascii="宋体" w:hAnsi="宋体" w:eastAsia="宋体" w:cs="宋体"/>
          <w:b/>
          <w:kern w:val="2"/>
          <w:sz w:val="28"/>
          <w:szCs w:val="18"/>
          <w:highlight w:val="none"/>
          <w:lang w:val="en-US" w:eastAsia="zh-CN" w:bidi="ar-SA"/>
        </w:rPr>
        <w:br w:type="page"/>
      </w:r>
      <w:r>
        <w:rPr>
          <w:rFonts w:hint="eastAsia" w:ascii="宋体" w:hAnsi="宋体" w:eastAsia="宋体" w:cs="宋体"/>
          <w:b/>
          <w:kern w:val="2"/>
          <w:sz w:val="28"/>
          <w:szCs w:val="18"/>
          <w:highlight w:val="none"/>
          <w:lang w:val="en-US" w:eastAsia="zh-CN" w:bidi="ar-SA"/>
        </w:rPr>
        <w:t>供应商须知</w:t>
      </w:r>
    </w:p>
    <w:p w14:paraId="04D427A0">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1.总则</w:t>
      </w:r>
    </w:p>
    <w:p w14:paraId="192B874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1.1项目概况</w:t>
      </w:r>
    </w:p>
    <w:p w14:paraId="1FD4915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1.1.1根据《中华人民共和国政府采购法》和《中华人民共和国政府采购法实施条例》等有关法律、法规和规章的规定，对本招标项目进行招标。</w:t>
      </w:r>
    </w:p>
    <w:p w14:paraId="766BEF6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1.1.2采购人：指依法进行政府采购的国家机关、事业单位、团体组织。</w:t>
      </w:r>
    </w:p>
    <w:p w14:paraId="6DDAA95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本项目采购人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6E1BB0F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1.1.3采购代理机构：指采购人委托的采购代理机构。</w:t>
      </w:r>
    </w:p>
    <w:p w14:paraId="4F70B55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本项目采购代理机构</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7BBDADF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1.1.4采购项目名称：见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7210BFE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1.1.5</w:t>
      </w:r>
      <w:r>
        <w:rPr>
          <w:rFonts w:hint="eastAsia" w:ascii="宋体" w:hAnsi="宋体" w:eastAsia="宋体" w:cs="宋体"/>
          <w:sz w:val="24"/>
          <w:szCs w:val="24"/>
          <w:highlight w:val="none"/>
          <w:lang w:val="en-US" w:eastAsia="zh-CN"/>
        </w:rPr>
        <w:t>交货</w:t>
      </w:r>
      <w:r>
        <w:rPr>
          <w:rFonts w:hint="eastAsia" w:ascii="宋体" w:hAnsi="宋体" w:eastAsia="宋体" w:cs="宋体"/>
          <w:sz w:val="24"/>
          <w:szCs w:val="24"/>
          <w:highlight w:val="none"/>
        </w:rPr>
        <w:t>地点：见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64C6C45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1.2采购预算</w:t>
      </w:r>
    </w:p>
    <w:p w14:paraId="0CB3BFD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1.2.1资金来源及落实情况：</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0D8F9D69">
      <w:pPr>
        <w:numPr>
          <w:ilvl w:val="0"/>
          <w:numId w:val="0"/>
        </w:numPr>
        <w:tabs>
          <w:tab w:val="left" w:pos="640"/>
        </w:tabs>
        <w:spacing w:line="360" w:lineRule="auto"/>
        <w:ind w:left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1.2.2采购预算：</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230035FF">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1.3最高限价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2324C172">
      <w:pPr>
        <w:numPr>
          <w:ilvl w:val="0"/>
          <w:numId w:val="0"/>
        </w:numPr>
        <w:tabs>
          <w:tab w:val="left" w:pos="640"/>
        </w:tabs>
        <w:spacing w:line="360" w:lineRule="auto"/>
        <w:ind w:left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1.4</w:t>
      </w:r>
      <w:r>
        <w:rPr>
          <w:rFonts w:hint="eastAsia" w:ascii="宋体" w:hAnsi="宋体" w:eastAsia="宋体" w:cs="宋体"/>
          <w:sz w:val="24"/>
          <w:szCs w:val="24"/>
          <w:highlight w:val="none"/>
          <w:lang w:val="en-US" w:eastAsia="zh-CN"/>
        </w:rPr>
        <w:t>采购范围、交货期</w:t>
      </w:r>
      <w:r>
        <w:rPr>
          <w:rFonts w:hint="eastAsia" w:ascii="宋体" w:hAnsi="宋体" w:eastAsia="宋体" w:cs="宋体"/>
          <w:sz w:val="24"/>
          <w:szCs w:val="24"/>
          <w:highlight w:val="none"/>
          <w:lang w:eastAsia="zh-CN"/>
        </w:rPr>
        <w:t>、质量标准</w:t>
      </w:r>
      <w:r>
        <w:rPr>
          <w:rFonts w:hint="eastAsia" w:ascii="宋体" w:hAnsi="宋体" w:eastAsia="宋体" w:cs="宋体"/>
          <w:sz w:val="24"/>
          <w:szCs w:val="24"/>
          <w:highlight w:val="none"/>
          <w:lang w:val="en-US" w:eastAsia="zh-CN"/>
        </w:rPr>
        <w:t>和质保期</w:t>
      </w:r>
    </w:p>
    <w:p w14:paraId="297B25A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1.4.1</w:t>
      </w:r>
      <w:r>
        <w:rPr>
          <w:rFonts w:hint="eastAsia" w:ascii="宋体" w:hAnsi="宋体" w:eastAsia="宋体" w:cs="宋体"/>
          <w:sz w:val="24"/>
          <w:szCs w:val="24"/>
          <w:highlight w:val="none"/>
          <w:lang w:val="en-US" w:eastAsia="zh-CN"/>
        </w:rPr>
        <w:t>采购范围</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246864CB">
      <w:pPr>
        <w:numPr>
          <w:ilvl w:val="0"/>
          <w:numId w:val="0"/>
        </w:numPr>
        <w:tabs>
          <w:tab w:val="left" w:pos="640"/>
        </w:tabs>
        <w:spacing w:line="360" w:lineRule="auto"/>
        <w:ind w:left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1.4.2</w:t>
      </w:r>
      <w:r>
        <w:rPr>
          <w:rFonts w:hint="eastAsia" w:ascii="宋体" w:hAnsi="宋体" w:eastAsia="宋体" w:cs="宋体"/>
          <w:sz w:val="24"/>
          <w:szCs w:val="24"/>
          <w:highlight w:val="none"/>
          <w:lang w:eastAsia="zh-CN"/>
        </w:rPr>
        <w:t>交货期：见供应商须知前附表。</w:t>
      </w:r>
    </w:p>
    <w:p w14:paraId="06F52876">
      <w:pPr>
        <w:numPr>
          <w:ilvl w:val="0"/>
          <w:numId w:val="0"/>
        </w:numPr>
        <w:tabs>
          <w:tab w:val="left" w:pos="640"/>
        </w:tabs>
        <w:spacing w:line="360" w:lineRule="auto"/>
        <w:ind w:left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1.4.</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质量标准：见供应商须知前附表。</w:t>
      </w:r>
    </w:p>
    <w:p w14:paraId="067E0FDF">
      <w:pPr>
        <w:numPr>
          <w:ilvl w:val="0"/>
          <w:numId w:val="0"/>
        </w:numPr>
        <w:tabs>
          <w:tab w:val="left" w:pos="640"/>
        </w:tabs>
        <w:spacing w:line="360" w:lineRule="auto"/>
        <w:ind w:left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1.4.4质保期：</w:t>
      </w:r>
      <w:r>
        <w:rPr>
          <w:rFonts w:hint="eastAsia" w:ascii="宋体" w:hAnsi="宋体" w:eastAsia="宋体" w:cs="宋体"/>
          <w:sz w:val="24"/>
          <w:szCs w:val="24"/>
          <w:highlight w:val="none"/>
          <w:lang w:eastAsia="zh-CN"/>
        </w:rPr>
        <w:t>见供应商须知前附表。</w:t>
      </w:r>
    </w:p>
    <w:p w14:paraId="7D47913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1.5</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：指响应招标、参加投标竞争的法人、其他组织或者自然人。</w:t>
      </w:r>
    </w:p>
    <w:p w14:paraId="26A5CDA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1.5.1合格的供应商应具备以下条件：见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3C6F470F">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1.5.2是否专门面向中小企业或小型、微型企业采购：见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58C0FCE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1.5.3</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应当遵循公平竞争的原则，不得恶意串通，不得妨碍其他供应商的竞争行为，不得损害采购人或者其他供应商的合法权益。</w:t>
      </w:r>
    </w:p>
    <w:p w14:paraId="6B6589A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1.5.4</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不得以向采购人、评标委员会成员行贿或者采取其他不正当手段谋取中标。</w:t>
      </w:r>
    </w:p>
    <w:p w14:paraId="1670884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1.5.5本项目将执行在政府采购活动中查询及使用信用记录的规定，具体要求为：(1)信用信息查询的时间：资格审查现场查询。</w:t>
      </w:r>
    </w:p>
    <w:p w14:paraId="0013000F">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(2)查询渠道：“信用中国”网站（www.creditchina.gov.cn）</w:t>
      </w:r>
      <w:r>
        <w:rPr>
          <w:rFonts w:hint="eastAsia" w:ascii="宋体" w:hAnsi="宋体" w:eastAsia="宋体" w:cs="宋体"/>
          <w:sz w:val="24"/>
          <w:szCs w:val="24"/>
          <w:highlight w:val="none"/>
          <w:lang w:eastAsia="zh-CN"/>
        </w:rPr>
        <w:t>、</w:t>
      </w:r>
      <w:r>
        <w:rPr>
          <w:rFonts w:hint="eastAsia" w:ascii="宋体" w:hAnsi="宋体" w:eastAsia="宋体" w:cs="宋体"/>
          <w:sz w:val="24"/>
          <w:highlight w:val="none"/>
        </w:rPr>
        <w:t>信用中国网站跳转至中国执行信息公开网(http://zxgk.court.gov.cn/)</w:t>
      </w:r>
      <w:r>
        <w:rPr>
          <w:rFonts w:hint="eastAsia" w:ascii="宋体" w:hAnsi="宋体" w:eastAsia="宋体" w:cs="宋体"/>
          <w:sz w:val="24"/>
          <w:szCs w:val="24"/>
          <w:highlight w:val="none"/>
        </w:rPr>
        <w:t>和中国政府采购网（www.ccgp.gov.cn）；</w:t>
      </w:r>
    </w:p>
    <w:p w14:paraId="1FDDB4C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(3)信用信息查询记录和证据留存具体方式：将经查询存在不良信用记录的潜在供应商的查询结果网页截图作为查询记录和证据，与其他招标文件一并保存；</w:t>
      </w:r>
    </w:p>
    <w:p w14:paraId="6017195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(4)信用信息的使用规则：本政府采购项目的供应商在信用信息查询时间之前存在不良信用记录的，</w:t>
      </w:r>
      <w:r>
        <w:rPr>
          <w:rFonts w:hint="eastAsia" w:ascii="宋体" w:hAnsi="宋体" w:eastAsia="宋体" w:cs="宋体"/>
          <w:sz w:val="24"/>
          <w:szCs w:val="24"/>
          <w:highlight w:val="none"/>
          <w:lang w:val="en-US" w:eastAsia="zh-CN"/>
        </w:rPr>
        <w:t>其</w:t>
      </w:r>
      <w:r>
        <w:rPr>
          <w:rFonts w:hint="eastAsia" w:ascii="宋体" w:hAnsi="宋体" w:eastAsia="宋体" w:cs="宋体"/>
          <w:sz w:val="24"/>
          <w:szCs w:val="24"/>
          <w:highlight w:val="none"/>
        </w:rPr>
        <w:t>投标无效。</w:t>
      </w:r>
    </w:p>
    <w:p w14:paraId="3309E22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1.5.6招标公告规定接受联合体投标的，除应符合本章第1.5.1项和第1.5.5项的要求外，还应遵守以下规定（本项目不适用）：</w:t>
      </w:r>
    </w:p>
    <w:p w14:paraId="4F2FB5A5">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(1)联合体各方应按招标文件提供的格式签订联合体协议书，明确联合体牵头人和各方工作内容和义务；</w:t>
      </w:r>
    </w:p>
    <w:p w14:paraId="7E4A163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(2)联合体中有同类资质的供应商按照联合体分工承担相同工作的，应当按照资质等级较低的供应商确定联合体的资质等级。</w:t>
      </w:r>
    </w:p>
    <w:p w14:paraId="0ED2985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(3)联合体各方不得再单独参加或者与其他供应商另外组成联合体参加同一合同项下的投标。</w:t>
      </w:r>
    </w:p>
    <w:p w14:paraId="50CDA3C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(4)联合体各方应当共同与采购人签订采购合同，就采购合同约定的事项对采购人承担连带责任。</w:t>
      </w:r>
    </w:p>
    <w:p w14:paraId="4785060E">
      <w:pPr>
        <w:numPr>
          <w:ilvl w:val="0"/>
          <w:numId w:val="0"/>
        </w:numPr>
        <w:tabs>
          <w:tab w:val="left" w:pos="640"/>
        </w:tabs>
        <w:spacing w:line="360" w:lineRule="auto"/>
        <w:ind w:left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1.6分包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本项目不适用</w:t>
      </w:r>
      <w:r>
        <w:rPr>
          <w:rFonts w:hint="eastAsia" w:ascii="宋体" w:hAnsi="宋体" w:eastAsia="宋体" w:cs="宋体"/>
          <w:sz w:val="24"/>
          <w:szCs w:val="24"/>
          <w:highlight w:val="none"/>
          <w:lang w:eastAsia="zh-CN"/>
        </w:rPr>
        <w:t>）</w:t>
      </w:r>
    </w:p>
    <w:p w14:paraId="1226777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供应商根据招标文件的规定和采购项目的实际情况，拟在中标后将中标项目的非主体、非关键性工作分包的，应当在投标文件中载明分包承担主体，分包承担主体应当具备相应资质条件且不得再次分包。政府采购合同分包履行的，中标、中标供应商就采购项目和分包项目向采购人负责，分包人就分包项目承担责任。</w:t>
      </w:r>
    </w:p>
    <w:p w14:paraId="3134E7C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1.7合格的货物（服务）</w:t>
      </w:r>
    </w:p>
    <w:p w14:paraId="54953E3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合同中提供的所有货物（服务），均应来自上述1.5.1项所规定的合格供应商。</w:t>
      </w:r>
    </w:p>
    <w:p w14:paraId="002E0D3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货物（服务）系指供应商按招标文件规定，向采购人提供的符合招标文件要求的投标货物和以及招标文件要求的运输、保险、安装督导或安装、调试、技术培训、售后服务以及其他类似的义务。</w:t>
      </w:r>
    </w:p>
    <w:p w14:paraId="4F89DB9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1.8费用承担</w:t>
      </w:r>
    </w:p>
    <w:p w14:paraId="6AEF8A3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供应商准备和参加投标活动发生的费用自理。</w:t>
      </w:r>
    </w:p>
    <w:p w14:paraId="362DF9C5">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1.9保密</w:t>
      </w:r>
    </w:p>
    <w:p w14:paraId="3148992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参与招标投标活动的各方应对招标文件和投标文件中的商业和技术等秘密保密，违者应对由此造成的后果承担法律责任。</w:t>
      </w:r>
    </w:p>
    <w:p w14:paraId="2E88409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1.10语言文字</w:t>
      </w:r>
    </w:p>
    <w:p w14:paraId="76A087D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除专用术语外，与招标投标有关的语言均使用中文。必要时专用术语应附有中文注释。</w:t>
      </w:r>
    </w:p>
    <w:p w14:paraId="7E15810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1.11计量单位</w:t>
      </w:r>
    </w:p>
    <w:p w14:paraId="2CBD2AE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45DF38F1">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2.招标文件</w:t>
      </w:r>
    </w:p>
    <w:p w14:paraId="0AAC276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2.1招标文件的组成</w:t>
      </w:r>
    </w:p>
    <w:p w14:paraId="399E40D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本招标文件包括：</w:t>
      </w:r>
    </w:p>
    <w:p w14:paraId="6A80143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w:t>
      </w:r>
    </w:p>
    <w:p w14:paraId="560FD4A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供应商须知</w:t>
      </w:r>
      <w:r>
        <w:rPr>
          <w:rFonts w:hint="eastAsia" w:ascii="宋体" w:hAnsi="宋体" w:eastAsia="宋体" w:cs="宋体"/>
          <w:sz w:val="24"/>
          <w:szCs w:val="24"/>
          <w:highlight w:val="none"/>
        </w:rPr>
        <w:t>；</w:t>
      </w:r>
    </w:p>
    <w:p w14:paraId="66A421C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（3）资格审查、</w:t>
      </w:r>
      <w:r>
        <w:rPr>
          <w:rFonts w:hint="eastAsia" w:ascii="宋体" w:hAnsi="宋体" w:eastAsia="宋体" w:cs="宋体"/>
          <w:sz w:val="24"/>
          <w:szCs w:val="24"/>
          <w:highlight w:val="none"/>
          <w:lang w:val="en-US" w:eastAsia="zh-CN"/>
        </w:rPr>
        <w:t>评审</w:t>
      </w:r>
      <w:r>
        <w:rPr>
          <w:rFonts w:hint="eastAsia" w:ascii="宋体" w:hAnsi="宋体" w:eastAsia="宋体" w:cs="宋体"/>
          <w:sz w:val="24"/>
          <w:szCs w:val="24"/>
          <w:highlight w:val="none"/>
        </w:rPr>
        <w:t>办法和标准；</w:t>
      </w:r>
    </w:p>
    <w:p w14:paraId="19667BF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（4）合同条款</w:t>
      </w:r>
      <w:r>
        <w:rPr>
          <w:rFonts w:hint="eastAsia" w:ascii="宋体" w:hAnsi="宋体" w:eastAsia="宋体" w:cs="宋体"/>
          <w:sz w:val="24"/>
          <w:szCs w:val="24"/>
          <w:highlight w:val="none"/>
          <w:lang w:val="en-US" w:eastAsia="zh-CN"/>
        </w:rPr>
        <w:t>及格式</w:t>
      </w:r>
      <w:r>
        <w:rPr>
          <w:rFonts w:hint="eastAsia" w:ascii="宋体" w:hAnsi="宋体" w:eastAsia="宋体" w:cs="宋体"/>
          <w:sz w:val="24"/>
          <w:szCs w:val="24"/>
          <w:highlight w:val="none"/>
        </w:rPr>
        <w:t>；</w:t>
      </w:r>
    </w:p>
    <w:p w14:paraId="5E301F1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（5）采购需求；</w:t>
      </w:r>
    </w:p>
    <w:p w14:paraId="2E864EE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（6）投标文件格式；</w:t>
      </w:r>
    </w:p>
    <w:p w14:paraId="70BD341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根据本章第2.3款和第2.4款对招标文件所作的澄清、修改，构成招标文件的组成部分。</w:t>
      </w:r>
    </w:p>
    <w:p w14:paraId="11BCCF3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2.2核心产品</w:t>
      </w:r>
    </w:p>
    <w:p w14:paraId="04BDE1D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根据采购项目技术构成、产品价格比重等确定核心产品，核心产品见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0F08859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2.3招标文件的澄清</w:t>
      </w:r>
    </w:p>
    <w:p w14:paraId="24E0767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2.3.1</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应仔细阅读和检查招标文件的全部内容。如发现缺页或附件不全，应及时在电子交易系统中向采购人提出，以便补齐。</w:t>
      </w:r>
    </w:p>
    <w:p w14:paraId="55136FC4">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2.3.2如有疑问，</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应在电子交易系统中</w:t>
      </w:r>
      <w:r>
        <w:rPr>
          <w:rFonts w:hint="eastAsia" w:ascii="宋体" w:hAnsi="宋体" w:eastAsia="宋体" w:cs="宋体"/>
          <w:color w:val="auto"/>
          <w:sz w:val="24"/>
          <w:szCs w:val="24"/>
          <w:highlight w:val="none"/>
          <w:lang w:val="en-US" w:eastAsia="zh-CN"/>
        </w:rPr>
        <w:t>提出</w:t>
      </w:r>
      <w:r>
        <w:rPr>
          <w:rFonts w:hint="eastAsia" w:ascii="宋体" w:hAnsi="宋体" w:eastAsia="宋体" w:cs="宋体"/>
          <w:sz w:val="24"/>
          <w:szCs w:val="24"/>
          <w:highlight w:val="none"/>
        </w:rPr>
        <w:t>，要求采购人对招标文件予以澄清。</w:t>
      </w:r>
    </w:p>
    <w:p w14:paraId="547108F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2.3.3采购人或者采购代理机构可以对已发出的招标文件进行必要的澄清。该澄清在原公告发布媒体上发布澄清（更正）公告。澄清的内容为招标文件的组成部分。供应商须在招标公告中规定的投标截止日前，随时查询招标公告发布媒体的信息，获取对招标文件澄清的信息。澄清的内容可能影响投标文件编制的，采购人或者采购代理机构在投标截止时间至少15日前，以澄清（更正）公告形式通知所有获取招标文件的潜在供应商；不足15日的，采购人或者采购代理机构将顺延提交投标文件的截止时间。</w:t>
      </w:r>
    </w:p>
    <w:p w14:paraId="4AA4F6A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2.3.4</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在投标文件递交截止时间前须自行查看项目进展、变更通知、澄清及回复，因供应商未及时查看而造成的后果自负。</w:t>
      </w:r>
    </w:p>
    <w:p w14:paraId="6233947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2.4招标文件的修改</w:t>
      </w:r>
    </w:p>
    <w:p w14:paraId="293AD23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2.4.1采购人或者采购代理机构可以对已发出的招标文件进行必要的修改。该修改在原公告发布媒体上发布澄清（更正）公告。修改的内容为招标文件的组成部分。供应商须在投标截止日前，随时查询招标公告发布媒体的信息，获取对招标文件修改的信息。修改的内容可能影响投标文件编制的，采购人或者采购代理机构在投标截止时间至少15日前，以澄清（更正）公告形式通知所有获取招标文件的潜在供应商；不足15日的，采购人或者采购代理机构将顺延提交投标文件的截止时间。</w:t>
      </w:r>
    </w:p>
    <w:p w14:paraId="6928DB0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2.4.2</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在投标文件递交截止时间前须自行查看项目进展、变更通知、澄清及回复，因供应商未及时查看而造成的后果自负。</w:t>
      </w:r>
    </w:p>
    <w:p w14:paraId="7B3D28F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2.5质疑</w:t>
      </w:r>
    </w:p>
    <w:p w14:paraId="6BCF796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按</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中接收质疑函的方式提出质疑。</w:t>
      </w:r>
    </w:p>
    <w:p w14:paraId="0EA537FB">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3.投标文件</w:t>
      </w:r>
    </w:p>
    <w:p w14:paraId="1278EF2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3.1投标文件的组成</w:t>
      </w:r>
    </w:p>
    <w:p w14:paraId="4E30CD8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3.1.1投标文件应包括下列内容：</w:t>
      </w:r>
    </w:p>
    <w:p w14:paraId="1D86B687">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投标书</w:t>
      </w:r>
    </w:p>
    <w:p w14:paraId="63EDAA56">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资格证明文件</w:t>
      </w:r>
    </w:p>
    <w:p w14:paraId="02939761">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投标报价表格</w:t>
      </w:r>
    </w:p>
    <w:p w14:paraId="4DAD0C21">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技术规格及商务偏离表</w:t>
      </w:r>
    </w:p>
    <w:p w14:paraId="53E403F7">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投标货物详细描述及技术支持资料</w:t>
      </w:r>
    </w:p>
    <w:p w14:paraId="5704AD49">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质保承诺及售后服务</w:t>
      </w:r>
    </w:p>
    <w:p w14:paraId="3F470E0D">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中小微企业声明函</w:t>
      </w:r>
    </w:p>
    <w:p w14:paraId="09231E7D">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残疾人福利企业声明函</w:t>
      </w:r>
    </w:p>
    <w:p w14:paraId="0828D64C">
      <w:pPr>
        <w:numPr>
          <w:ilvl w:val="0"/>
          <w:numId w:val="0"/>
        </w:numPr>
        <w:tabs>
          <w:tab w:val="left" w:pos="640"/>
        </w:tabs>
        <w:spacing w:line="360" w:lineRule="auto"/>
        <w:ind w:leftChars="0" w:firstLine="242"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产品适用政府采购政策情况表</w:t>
      </w:r>
    </w:p>
    <w:p w14:paraId="6C13BD70">
      <w:pPr>
        <w:numPr>
          <w:ilvl w:val="0"/>
          <w:numId w:val="0"/>
        </w:numPr>
        <w:tabs>
          <w:tab w:val="left" w:pos="640"/>
        </w:tabs>
        <w:spacing w:line="360" w:lineRule="auto"/>
        <w:ind w:leftChars="0" w:firstLine="242" w:firstLineChars="1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r>
        <w:rPr>
          <w:rFonts w:hint="eastAsia" w:ascii="宋体" w:hAnsi="宋体" w:cs="宋体"/>
          <w:sz w:val="24"/>
          <w:szCs w:val="24"/>
          <w:highlight w:val="none"/>
          <w:lang w:val="en-US" w:eastAsia="zh-CN"/>
        </w:rPr>
        <w:t>关于进口产品</w:t>
      </w:r>
    </w:p>
    <w:p w14:paraId="50851D60">
      <w:pPr>
        <w:numPr>
          <w:ilvl w:val="0"/>
          <w:numId w:val="0"/>
        </w:numPr>
        <w:tabs>
          <w:tab w:val="left" w:pos="640"/>
        </w:tabs>
        <w:spacing w:line="360" w:lineRule="auto"/>
        <w:ind w:leftChars="0" w:firstLine="242" w:firstLineChars="100"/>
        <w:rPr>
          <w:rFonts w:hint="eastAsia" w:ascii="宋体" w:hAnsi="宋体" w:eastAsia="宋体" w:cs="宋体"/>
          <w:color w:val="FF0000"/>
          <w:highlight w:val="none"/>
          <w:lang w:val="en-US" w:eastAsia="zh-CN"/>
        </w:rPr>
      </w:pP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rPr>
        <w:t>其他资料</w:t>
      </w:r>
    </w:p>
    <w:p w14:paraId="4C704E65">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3.2投标报价</w:t>
      </w:r>
    </w:p>
    <w:p w14:paraId="6D73D1C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3.2.1</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应按招标文件第六章提供的格式进行投标报价。</w:t>
      </w:r>
    </w:p>
    <w:p w14:paraId="7440863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3.2.2所有根据合同或其它原因应由供应商支付的税款和其它应交纳的费用都应包括在</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提交的投标价格中。</w:t>
      </w:r>
    </w:p>
    <w:p w14:paraId="4680D34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3.2.3报价应包含本项目所有税项。</w:t>
      </w:r>
    </w:p>
    <w:p w14:paraId="02942D7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3.2.4</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应仔细阅读所有招标文件，填报自己认为正确的报价。</w:t>
      </w:r>
    </w:p>
    <w:p w14:paraId="4A6D973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3.3</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对采购内容只允许有一个报价，采购人不接受任何有选择的报价。</w:t>
      </w:r>
    </w:p>
    <w:p w14:paraId="3B70C425">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3.4</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根据本招标文件的规定将投标价分成几部分，只是为了方便采购人对投标文件进行比较，并不限制采购人以上述任何条件订立合同的权力。</w:t>
      </w:r>
    </w:p>
    <w:p w14:paraId="67A2571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3.5除非合同另有约定，供应商所报的投标价在合同执行过程中是固定不变的。</w:t>
      </w:r>
    </w:p>
    <w:p w14:paraId="5EE598A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3.6投标有效期</w:t>
      </w:r>
    </w:p>
    <w:p w14:paraId="697FC7A4">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3.6.1本项目投标有效期见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4C82C09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投标有效期从提交投标文件的截止之日起算。</w:t>
      </w:r>
    </w:p>
    <w:p w14:paraId="132E593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3.6.2在</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规定的投标有效期内，供应商不得要求修改其投标文件。</w:t>
      </w:r>
    </w:p>
    <w:p w14:paraId="1163155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3.7投标保证金（本项目不适用）</w:t>
      </w:r>
    </w:p>
    <w:p w14:paraId="303BF38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3.7.1</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在递交投标文件的同时，应按</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规定的金额和第六章“投标文件格式”规定的投标保证金格式递交投标保证金，并作为其投标文件的组成部分。</w:t>
      </w:r>
    </w:p>
    <w:p w14:paraId="17D7BDE4">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3.7.2</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不按本章第3.7.1项要求提交投标保证金的，其投标文件将被否决。</w:t>
      </w:r>
    </w:p>
    <w:p w14:paraId="2701DB9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3.7.3</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在投标截止时间3日前，按招标文件的要求向采购理机构递交投标保证金，投标截止时间之后递交的投标保证金投标将被拒绝。</w:t>
      </w:r>
    </w:p>
    <w:p w14:paraId="46D3923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3.7.4</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在汇款时务必注明所投标项目的招标编号及用途，否则，因款项用途不明导致投标无效等后果由供应商自行承担。</w:t>
      </w:r>
    </w:p>
    <w:p w14:paraId="601BB94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3.7.5采购人或者采购代理机构应当自中标通知书发出之日起5个工作日内退还未中标供应商的投标保证金，自政府采购合同签订之日起5个工作日内退还中标供应商的投标保证金或者转为中标人的履约保证金。</w:t>
      </w:r>
    </w:p>
    <w:p w14:paraId="3FD22AF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采购人或者采购代理机构逾期退还投标保证金的，除退还投标保证金本金外，还应当按中国人民银行同期贷款基准利率上浮20％后的利率支付超期资金占用费，但因供应商自身原因导致无法及时退还的除外。</w:t>
      </w:r>
    </w:p>
    <w:p w14:paraId="5E29A2A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3.7.4有下列情形之一的，投标保证金将不予退还：</w:t>
      </w:r>
    </w:p>
    <w:p w14:paraId="310F4C0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（1）供应商在投标有效期内撤回投标文件的；</w:t>
      </w:r>
    </w:p>
    <w:p w14:paraId="4A91B05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（2）供应商在投标文件中提供虚假材料的；</w:t>
      </w:r>
    </w:p>
    <w:p w14:paraId="0BEE3C2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（3）除因不可抗力或招标文件认可的情形以外，中标供应商不与采购人签订合同的；</w:t>
      </w:r>
    </w:p>
    <w:p w14:paraId="544B520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（4）供应商与采购人、其他供应商或者采购代理机构恶意串通的；</w:t>
      </w:r>
    </w:p>
    <w:p w14:paraId="0AAC407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（5）招标文件规定应由中标供应商缴纳招标服务费而中标供应商未缴纳的；</w:t>
      </w:r>
    </w:p>
    <w:p w14:paraId="2C82BAA4">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（6）招标文件规定的其他情形。</w:t>
      </w:r>
    </w:p>
    <w:p w14:paraId="63E17E2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（7）存在其他违法违规行为的。</w:t>
      </w:r>
    </w:p>
    <w:p w14:paraId="01E0846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3.8投标文件的编制</w:t>
      </w:r>
    </w:p>
    <w:p w14:paraId="7E61129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3.8.1投标文件应按第六章“投标文件格式”进行编写，如有必要，可以增加附页，作为投标文件的组成部分。供应商可以提出比招标文件要求更有利于采购人的承诺。投标文件应当对招标文件有关</w:t>
      </w:r>
      <w:r>
        <w:rPr>
          <w:rFonts w:hint="eastAsia" w:ascii="宋体" w:hAnsi="宋体" w:eastAsia="宋体" w:cs="宋体"/>
          <w:sz w:val="24"/>
          <w:szCs w:val="24"/>
          <w:highlight w:val="none"/>
          <w:lang w:val="en-US" w:eastAsia="zh-CN"/>
        </w:rPr>
        <w:t>交货</w:t>
      </w:r>
      <w:r>
        <w:rPr>
          <w:rFonts w:hint="eastAsia" w:ascii="宋体" w:hAnsi="宋体" w:eastAsia="宋体" w:cs="宋体"/>
          <w:sz w:val="24"/>
          <w:szCs w:val="24"/>
          <w:highlight w:val="none"/>
        </w:rPr>
        <w:t>期、投标有效期、对招标</w:t>
      </w:r>
      <w:r>
        <w:rPr>
          <w:rFonts w:hint="eastAsia" w:ascii="宋体" w:hAnsi="宋体" w:eastAsia="宋体" w:cs="宋体"/>
          <w:sz w:val="24"/>
          <w:szCs w:val="24"/>
          <w:highlight w:val="none"/>
          <w:lang w:eastAsia="zh-CN"/>
        </w:rPr>
        <w:t>采购范围</w:t>
      </w:r>
      <w:r>
        <w:rPr>
          <w:rFonts w:hint="eastAsia" w:ascii="宋体" w:hAnsi="宋体" w:eastAsia="宋体" w:cs="宋体"/>
          <w:sz w:val="24"/>
          <w:szCs w:val="24"/>
          <w:highlight w:val="none"/>
        </w:rPr>
        <w:t>等实质性内容作出响应。</w:t>
      </w:r>
    </w:p>
    <w:p w14:paraId="2E0BBA5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3.8.2</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的法定代表人或经授权的代表须根据招标文件第六章的规定在电子投标文件中需要签字或盖章的位置加盖</w:t>
      </w:r>
      <w:r>
        <w:rPr>
          <w:rFonts w:hint="eastAsia" w:ascii="宋体" w:hAnsi="宋体" w:eastAsia="宋体" w:cs="宋体"/>
          <w:sz w:val="24"/>
          <w:szCs w:val="24"/>
          <w:highlight w:val="none"/>
          <w:lang w:val="en-US" w:eastAsia="zh-CN"/>
        </w:rPr>
        <w:t>签</w:t>
      </w:r>
      <w:r>
        <w:rPr>
          <w:rFonts w:hint="eastAsia" w:ascii="宋体" w:hAnsi="宋体" w:eastAsia="宋体" w:cs="宋体"/>
          <w:sz w:val="24"/>
          <w:szCs w:val="24"/>
          <w:highlight w:val="none"/>
        </w:rPr>
        <w:t>名章或加</w:t>
      </w:r>
      <w:r>
        <w:rPr>
          <w:rFonts w:hint="eastAsia" w:ascii="宋体" w:hAnsi="宋体" w:eastAsia="宋体" w:cs="宋体"/>
          <w:sz w:val="24"/>
          <w:szCs w:val="24"/>
          <w:highlight w:val="none"/>
          <w:lang w:eastAsia="zh-CN"/>
        </w:rPr>
        <w:t>盖单位电子章</w:t>
      </w:r>
      <w:r>
        <w:rPr>
          <w:rFonts w:hint="eastAsia" w:ascii="宋体" w:hAnsi="宋体" w:eastAsia="宋体" w:cs="宋体"/>
          <w:sz w:val="24"/>
          <w:szCs w:val="24"/>
          <w:highlight w:val="none"/>
        </w:rPr>
        <w:t>。授权代表须持有书面的“法定代表人授权书”（标准格式附后），并将其附在电子投标文件中。签字或加盖</w:t>
      </w:r>
      <w:r>
        <w:rPr>
          <w:rFonts w:hint="eastAsia" w:ascii="宋体" w:hAnsi="宋体" w:eastAsia="宋体" w:cs="宋体"/>
          <w:sz w:val="24"/>
          <w:szCs w:val="24"/>
          <w:highlight w:val="none"/>
          <w:lang w:val="en-US" w:eastAsia="zh-CN"/>
        </w:rPr>
        <w:t>签</w:t>
      </w:r>
      <w:r>
        <w:rPr>
          <w:rFonts w:hint="eastAsia" w:ascii="宋体" w:hAnsi="宋体" w:eastAsia="宋体" w:cs="宋体"/>
          <w:sz w:val="24"/>
          <w:szCs w:val="24"/>
          <w:highlight w:val="none"/>
        </w:rPr>
        <w:t>名章的其他要求见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65B96A05">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4.投标</w:t>
      </w:r>
    </w:p>
    <w:p w14:paraId="4858A0B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4.1投标文件的提交</w:t>
      </w:r>
    </w:p>
    <w:p w14:paraId="10D25F7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4.1.1加密电子投标文件应在招标文件规定的投标截止时间（开标时间）之前成功提交至</w:t>
      </w:r>
      <w:r>
        <w:rPr>
          <w:rFonts w:hint="eastAsia" w:ascii="宋体" w:hAnsi="宋体" w:eastAsia="宋体" w:cs="宋体"/>
          <w:sz w:val="24"/>
          <w:szCs w:val="24"/>
          <w:highlight w:val="none"/>
          <w:lang w:eastAsia="zh-CN"/>
        </w:rPr>
        <w:t>“河南省公共资源交易中心（http://hnsggzyjy.henan.gov.cn/ ）”</w:t>
      </w:r>
      <w:r>
        <w:rPr>
          <w:rFonts w:hint="eastAsia" w:ascii="宋体" w:hAnsi="宋体" w:eastAsia="宋体" w:cs="宋体"/>
          <w:sz w:val="24"/>
          <w:szCs w:val="24"/>
          <w:highlight w:val="none"/>
        </w:rPr>
        <w:t>。供应商应充分考虑并预留技术处理和上传数据所需时间。</w:t>
      </w:r>
    </w:p>
    <w:p w14:paraId="73A9710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4.1.2</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对同一项目多个标包进行投标的，加密电子投标文件应按标包分别提交。</w:t>
      </w:r>
    </w:p>
    <w:p w14:paraId="0FE9925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4.2投标文件的修改与撤回</w:t>
      </w:r>
    </w:p>
    <w:p w14:paraId="1471F01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4.2.1在</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规定的投标截止时间前，供应商可以修改或撤回已提交的投标文件，但需在电子交易系统中提交法定代表人或授权委托人签署的申请。</w:t>
      </w:r>
    </w:p>
    <w:p w14:paraId="570B0741">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5.开标</w:t>
      </w:r>
    </w:p>
    <w:p w14:paraId="3A1FA6A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5.1开标时间和地点</w:t>
      </w:r>
    </w:p>
    <w:p w14:paraId="51407C6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采购人在</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规定的地点公开开标。</w:t>
      </w:r>
    </w:p>
    <w:p w14:paraId="1F437D6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5.2电子化项目开标、解密、唱标（按交易中心的具体规定执行）</w:t>
      </w:r>
    </w:p>
    <w:p w14:paraId="6EF2810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按</w:t>
      </w:r>
      <w:r>
        <w:rPr>
          <w:rFonts w:hint="eastAsia" w:ascii="宋体" w:hAnsi="宋体" w:eastAsia="宋体" w:cs="宋体"/>
          <w:sz w:val="24"/>
          <w:szCs w:val="24"/>
          <w:highlight w:val="none"/>
          <w:lang w:eastAsia="zh-CN"/>
        </w:rPr>
        <w:t>河南省公共资源交易中心</w:t>
      </w:r>
      <w:r>
        <w:rPr>
          <w:rFonts w:hint="eastAsia" w:ascii="宋体" w:hAnsi="宋体" w:eastAsia="宋体" w:cs="宋体"/>
          <w:sz w:val="24"/>
          <w:szCs w:val="24"/>
          <w:highlight w:val="none"/>
        </w:rPr>
        <w:t>规定流程执行。</w:t>
      </w:r>
    </w:p>
    <w:p w14:paraId="3846B480">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6.资格审查</w:t>
      </w:r>
    </w:p>
    <w:p w14:paraId="2664F9E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开标结束后，采购人或者采购代理机构依法对供应商的资格进行审查。合格供应商不足3家的，除采购任务取消情形外，将重新招标或采用其他采购方式采购。</w:t>
      </w:r>
    </w:p>
    <w:p w14:paraId="6DFF441B">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7.评标</w:t>
      </w:r>
    </w:p>
    <w:p w14:paraId="70755075">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7.1评标委员会</w:t>
      </w:r>
    </w:p>
    <w:p w14:paraId="22F2E19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7.1.1评标委员会由采购人代表和评审专家组成，成员人数应当为5人，其中评审专家不得少于成员总数的三分之二。评标委员会设主任委员一名，由评标委员会选举产生。评标委员会主任委员负责评标过程的组织和协调工作。评标委员会主任委员与其他评标委员会成员具有平等的表决权。</w:t>
      </w:r>
    </w:p>
    <w:p w14:paraId="120BFC3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7.1.2评标委员会成员有下列情形之一的，应当回避：</w:t>
      </w:r>
    </w:p>
    <w:p w14:paraId="05E8680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（1）参加采购活动前3年内与供应商存在劳动关系；</w:t>
      </w:r>
    </w:p>
    <w:p w14:paraId="2695A6BF">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（2）参加采购活动前3年内担任供应商的董事、监事；</w:t>
      </w:r>
    </w:p>
    <w:p w14:paraId="0D846BC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（3）参加采购活动前3年内是供应商的控股股东或者实际控制人；</w:t>
      </w:r>
    </w:p>
    <w:p w14:paraId="43905A8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（4）与供应商的法定代表人或者负责人有夫妻、直系血亲、三代以内旁系血亲或者近姻亲关系；</w:t>
      </w:r>
    </w:p>
    <w:p w14:paraId="52597B0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（5）与供应商有其他可能影响政府采购活动公平、公正进行的关系。</w:t>
      </w:r>
    </w:p>
    <w:p w14:paraId="1E37034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7.1.3评标委员会负责具体评标事务，并独立履行下列职责：</w:t>
      </w:r>
    </w:p>
    <w:p w14:paraId="06059B4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（1）审查、评价投标文件是否符合招标文件的商务、技术等实质性要求；</w:t>
      </w:r>
    </w:p>
    <w:p w14:paraId="5EF123B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（2）要求供应商对投标文件有关事项作出澄清或者说明；</w:t>
      </w:r>
    </w:p>
    <w:p w14:paraId="20A60CD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（3）对投标文件进行比较和评价；</w:t>
      </w:r>
    </w:p>
    <w:p w14:paraId="67CA1B3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（4）确定中标候选人名单，以及根据采购人委托直接确定中标供应商；</w:t>
      </w:r>
    </w:p>
    <w:p w14:paraId="3B82E50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（5）向采购人、采购代理机构或者有关部门报告评标中发现的违法行为。</w:t>
      </w:r>
    </w:p>
    <w:p w14:paraId="11549E24">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7.2评标委员会应当对符合资格的供应商的投标文件进行符合性审查，以确定其是否满足招标文件的实质性要求。</w:t>
      </w:r>
    </w:p>
    <w:p w14:paraId="5CD632F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7.3不同供应商以相同品牌产品参加同一合同项下投标，且通过资格审查、符合性审查的，按一家供应商计算，评审后得分最高的同品牌供应商获得中标供应商推荐资格；评审得分相同的，由采购人或者采购人委托评标委员会采取随机抽取方式确定，其他同品牌供应商不作为中标候选人。</w:t>
      </w:r>
    </w:p>
    <w:p w14:paraId="1B86C37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7.4评标委员会按照第三章“资格审查、评</w:t>
      </w:r>
      <w:r>
        <w:rPr>
          <w:rFonts w:hint="eastAsia" w:ascii="宋体" w:hAnsi="宋体" w:eastAsia="宋体" w:cs="宋体"/>
          <w:sz w:val="24"/>
          <w:szCs w:val="24"/>
          <w:highlight w:val="none"/>
          <w:lang w:val="en-US" w:eastAsia="zh-CN"/>
        </w:rPr>
        <w:t>审</w:t>
      </w:r>
      <w:r>
        <w:rPr>
          <w:rFonts w:hint="eastAsia" w:ascii="宋体" w:hAnsi="宋体" w:eastAsia="宋体" w:cs="宋体"/>
          <w:sz w:val="24"/>
          <w:szCs w:val="24"/>
          <w:highlight w:val="none"/>
        </w:rPr>
        <w:t>办法和标准”规定的评</w:t>
      </w:r>
      <w:r>
        <w:rPr>
          <w:rFonts w:hint="eastAsia" w:ascii="宋体" w:hAnsi="宋体" w:eastAsia="宋体" w:cs="宋体"/>
          <w:sz w:val="24"/>
          <w:szCs w:val="24"/>
          <w:highlight w:val="none"/>
          <w:lang w:val="en-US" w:eastAsia="zh-CN"/>
        </w:rPr>
        <w:t>审</w:t>
      </w:r>
      <w:r>
        <w:rPr>
          <w:rFonts w:hint="eastAsia" w:ascii="宋体" w:hAnsi="宋体" w:eastAsia="宋体" w:cs="宋体"/>
          <w:sz w:val="24"/>
          <w:szCs w:val="24"/>
          <w:highlight w:val="none"/>
        </w:rPr>
        <w:t>方法和标准，对符合性审查合格的投标文件进行商务和技术评估，综合比较与评价。“评</w:t>
      </w:r>
      <w:r>
        <w:rPr>
          <w:rFonts w:hint="eastAsia" w:ascii="宋体" w:hAnsi="宋体" w:eastAsia="宋体" w:cs="宋体"/>
          <w:sz w:val="24"/>
          <w:szCs w:val="24"/>
          <w:highlight w:val="none"/>
          <w:lang w:val="en-US" w:eastAsia="zh-CN"/>
        </w:rPr>
        <w:t>审</w:t>
      </w:r>
      <w:r>
        <w:rPr>
          <w:rFonts w:hint="eastAsia" w:ascii="宋体" w:hAnsi="宋体" w:eastAsia="宋体" w:cs="宋体"/>
          <w:sz w:val="24"/>
          <w:szCs w:val="24"/>
          <w:highlight w:val="none"/>
        </w:rPr>
        <w:t>办法”没有规定的方法、评审因素和标准，不作为评标依据。</w:t>
      </w:r>
    </w:p>
    <w:p w14:paraId="24C0D8C8">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7.5在评标过程中发现供应商有不遵循公平竞争的原则，恶意串通，妨碍其他供应商的竞争行为，损害采购人或者其他供应商的合法权益的，评标委员会应当认定其投标无效，并书面报告本级财政部门。</w:t>
      </w:r>
    </w:p>
    <w:p w14:paraId="37F56D4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7.6公开招标数额标准以上的采购项目，投标截止后供应商不足3家或者通过资格审查或符合性审查的供应商不足3家的，除采购任务取消情形外，将重新招标或采用其他采购方式采购。</w:t>
      </w:r>
    </w:p>
    <w:p w14:paraId="6F3EDAC5">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8.合同授予</w:t>
      </w:r>
    </w:p>
    <w:p w14:paraId="2743A8A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8.1定标方式</w:t>
      </w:r>
    </w:p>
    <w:p w14:paraId="2A485CA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采购人按评标报告确定的中标候选人名单中按顺序确定中标供应商。评标委员会</w:t>
      </w:r>
      <w:r>
        <w:rPr>
          <w:rFonts w:hint="eastAsia" w:ascii="宋体" w:hAnsi="宋体" w:eastAsia="宋体" w:cs="宋体"/>
          <w:sz w:val="24"/>
          <w:szCs w:val="24"/>
          <w:highlight w:val="none"/>
          <w:lang w:val="en-US" w:eastAsia="zh-CN"/>
        </w:rPr>
        <w:t>推荐的</w:t>
      </w:r>
      <w:r>
        <w:rPr>
          <w:rFonts w:hint="eastAsia" w:ascii="宋体" w:hAnsi="宋体" w:eastAsia="宋体" w:cs="宋体"/>
          <w:sz w:val="24"/>
          <w:szCs w:val="24"/>
          <w:highlight w:val="none"/>
        </w:rPr>
        <w:t>中标候选人</w:t>
      </w:r>
      <w:r>
        <w:rPr>
          <w:rFonts w:hint="eastAsia" w:ascii="宋体" w:hAnsi="宋体" w:eastAsia="宋体" w:cs="宋体"/>
          <w:sz w:val="24"/>
          <w:szCs w:val="24"/>
          <w:highlight w:val="none"/>
          <w:lang w:val="en-US" w:eastAsia="zh-CN"/>
        </w:rPr>
        <w:t>数量</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2578645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8.2中标公告</w:t>
      </w:r>
    </w:p>
    <w:p w14:paraId="5F29B83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8.2.1中标公告期限为1个工作日。</w:t>
      </w:r>
    </w:p>
    <w:p w14:paraId="2C4F738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8.2.2</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对中标结果有疑义的，在</w:t>
      </w:r>
      <w:r>
        <w:rPr>
          <w:rFonts w:hint="eastAsia" w:ascii="宋体" w:hAnsi="宋体" w:eastAsia="宋体" w:cs="宋体"/>
          <w:sz w:val="24"/>
          <w:szCs w:val="24"/>
          <w:highlight w:val="none"/>
          <w:lang w:val="en-US" w:eastAsia="zh-CN"/>
        </w:rPr>
        <w:t>中标结果</w:t>
      </w:r>
      <w:r>
        <w:rPr>
          <w:rFonts w:hint="eastAsia" w:ascii="宋体" w:hAnsi="宋体" w:eastAsia="宋体" w:cs="宋体"/>
          <w:sz w:val="24"/>
          <w:szCs w:val="24"/>
          <w:highlight w:val="none"/>
        </w:rPr>
        <w:t>公告期限届满之日起七个工作日内，按</w:t>
      </w:r>
      <w:r>
        <w:rPr>
          <w:rFonts w:hint="eastAsia" w:ascii="宋体" w:hAnsi="宋体" w:eastAsia="宋体" w:cs="宋体"/>
          <w:sz w:val="24"/>
          <w:szCs w:val="24"/>
          <w:highlight w:val="none"/>
          <w:lang w:val="en-US" w:eastAsia="zh-CN"/>
        </w:rPr>
        <w:t>本项目中标结果公告中</w:t>
      </w:r>
      <w:r>
        <w:rPr>
          <w:rFonts w:hint="eastAsia" w:ascii="宋体" w:hAnsi="宋体" w:eastAsia="宋体" w:cs="宋体"/>
          <w:sz w:val="24"/>
          <w:szCs w:val="24"/>
          <w:highlight w:val="none"/>
        </w:rPr>
        <w:t>接收质疑函的方式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以书面形式一次性提出对中标结果的质疑。</w:t>
      </w:r>
    </w:p>
    <w:p w14:paraId="26F56B94">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8.3中标通知</w:t>
      </w:r>
    </w:p>
    <w:p w14:paraId="5718245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在公告中标结果的同时，向中标供应商发出中标通知书，同时将中标结果通知未中标的供应商。对未通过资格审查的供应商，应当告知其未通过的原因；采用综合评分法评审的，还应当告知未中标供应商本人的评审得分与排序。中标通知书发出后，采购人不得违法改变中标结果，中标供应商无正当理由不得放弃中标。</w:t>
      </w:r>
    </w:p>
    <w:p w14:paraId="62CE424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8.4履约保证金</w:t>
      </w:r>
    </w:p>
    <w:p w14:paraId="2FAACDD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8.4.1中标供应商应按</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规定的金额、担保形式向采购人提交履约保证金。</w:t>
      </w:r>
    </w:p>
    <w:p w14:paraId="02C75FDD">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8.4.2中标供应商不能按本章第8.4.1项要求提交履约保证金的，视为放弃中标，给采购人造成损失的，中标供应商应当对予以赔偿。</w:t>
      </w:r>
    </w:p>
    <w:p w14:paraId="3695457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8.5签订合同</w:t>
      </w:r>
    </w:p>
    <w:p w14:paraId="7EFA0FD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8.5.1采购人应当自中标通知书发出之日起</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日内，按照招标文件和中标供应商投标文件的规定，与中标供应商签订书面合同。所签订的合同不得对招标文件确定的事项和中标供应商投标文件作实质性修改。</w:t>
      </w:r>
    </w:p>
    <w:p w14:paraId="05EC6B1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采购人不得向中标供应商提出任何不合理的要求作为签订合同的条件。</w:t>
      </w:r>
    </w:p>
    <w:p w14:paraId="3166E4B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8.5.2中标供应商无正当理由拒签合同的，采购人取消其中标资格；给采购人造成损失的，中标供应商应当予以赔偿。</w:t>
      </w:r>
    </w:p>
    <w:p w14:paraId="122FB51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8.5.3发出中标通知书后，采购人无正当理由拒签合同的；给中标供应商造成损失的，还应当赔偿损失。</w:t>
      </w:r>
    </w:p>
    <w:p w14:paraId="79FF418E">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9.重新招标和不再招标</w:t>
      </w:r>
    </w:p>
    <w:p w14:paraId="11D9CC9A">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9.1重新招标</w:t>
      </w:r>
    </w:p>
    <w:p w14:paraId="44DFD6F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有下列情形之一的，采购人将重新招标：</w:t>
      </w:r>
    </w:p>
    <w:p w14:paraId="20818855">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（1）投标截止时间止，供应商少于3个的；</w:t>
      </w:r>
    </w:p>
    <w:p w14:paraId="31951B34">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（2）经评标委员会评审后否决所有投标的。</w:t>
      </w:r>
    </w:p>
    <w:p w14:paraId="1E1F0D7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9.2不再招标</w:t>
      </w:r>
    </w:p>
    <w:p w14:paraId="4E49796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重新招标后供应商仍少于3个或者所有投标被否决的，经原审批或核准部门批准后不再进行招标。</w:t>
      </w:r>
    </w:p>
    <w:p w14:paraId="1410890C">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10.纪律和监督</w:t>
      </w:r>
    </w:p>
    <w:p w14:paraId="141F22C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10.1对采购人的要求</w:t>
      </w:r>
    </w:p>
    <w:p w14:paraId="3B37566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采购人在政府采购活动中应当维护国家利益和社会公共利益，公正廉洁，诚实守信，执行政府采购政策。采购人不得向供应商索要或者接受其给予的赠品、回扣或者与采购无关的其他商品、服务。</w:t>
      </w:r>
    </w:p>
    <w:p w14:paraId="656D7FEB">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10.2对采购代理机构的要求</w:t>
      </w:r>
    </w:p>
    <w:p w14:paraId="75FF003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采购代理机构不得与采购人、供应商恶意串通操纵政府采购活动。</w:t>
      </w:r>
    </w:p>
    <w:p w14:paraId="6A2D5E5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采购代理机构工作人员不得接受采购人或者供应商组织的宴请、旅游、娱乐，不得收受礼品、现金、有价证券等，不得向采购人或者供应商报销应当由个人承担的费用。</w:t>
      </w:r>
    </w:p>
    <w:p w14:paraId="0B9A35E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10.3对供应商的纪律要求</w:t>
      </w:r>
    </w:p>
    <w:p w14:paraId="28725D4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7359863C">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10.4评标委员会及其成员不得有下列行为</w:t>
      </w:r>
    </w:p>
    <w:p w14:paraId="6ECBCE9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（1）确定参与评标至评标结束前私自接触供应商；</w:t>
      </w:r>
    </w:p>
    <w:p w14:paraId="1D8F5186">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（2）接受供应商提出的与投标文件不一致的澄清或者说明，评标委员会要求供应商作出必要的澄清、说明或者补正的情形除外；</w:t>
      </w:r>
    </w:p>
    <w:p w14:paraId="16606363">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（3）违反评标纪律发表倾向性意见或者征询采购人的倾向性意见；</w:t>
      </w:r>
    </w:p>
    <w:p w14:paraId="035752B9">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（4）对需要专业判断的主观评审因素协商评分；</w:t>
      </w:r>
    </w:p>
    <w:p w14:paraId="0A669F52">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（5）在评标过程中擅离职守，影响评标程序正常进行的；</w:t>
      </w:r>
    </w:p>
    <w:p w14:paraId="5393EB91">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（6）记录、复制或者带走任何评标资料；</w:t>
      </w:r>
    </w:p>
    <w:p w14:paraId="4037448E">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（7）其他不遵守评标纪律的行为。</w:t>
      </w:r>
    </w:p>
    <w:p w14:paraId="05A9E940">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10.5对与评标活动有关的工作人员的纪律要求</w:t>
      </w:r>
    </w:p>
    <w:p w14:paraId="50E72C47">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AE266BF">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10.6投诉</w:t>
      </w:r>
    </w:p>
    <w:p w14:paraId="1C68B615">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供应商和其他利害关系人认为本次招标活动违反法律、法规和规章规定的，有权向有关行政监督部门投诉。</w:t>
      </w:r>
    </w:p>
    <w:p w14:paraId="62556991">
      <w:pPr>
        <w:numPr>
          <w:ilvl w:val="0"/>
          <w:numId w:val="0"/>
        </w:numPr>
        <w:tabs>
          <w:tab w:val="left" w:pos="640"/>
        </w:tabs>
        <w:spacing w:line="360" w:lineRule="auto"/>
        <w:ind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11.需要补充的其他内容</w:t>
      </w:r>
    </w:p>
    <w:p w14:paraId="7CC79BDF">
      <w:pPr>
        <w:numPr>
          <w:ilvl w:val="0"/>
          <w:numId w:val="0"/>
        </w:numPr>
        <w:tabs>
          <w:tab w:val="left" w:pos="640"/>
        </w:tabs>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供应商须知前附表</w:t>
      </w:r>
      <w:r>
        <w:rPr>
          <w:rFonts w:hint="eastAsia" w:ascii="宋体" w:hAnsi="宋体" w:eastAsia="宋体" w:cs="宋体"/>
          <w:sz w:val="24"/>
          <w:szCs w:val="24"/>
          <w:highlight w:val="none"/>
        </w:rPr>
        <w:t>。</w:t>
      </w:r>
    </w:p>
    <w:p w14:paraId="103EF1F8">
      <w:pPr>
        <w:rPr>
          <w:rFonts w:hint="eastAsia" w:ascii="宋体" w:hAnsi="宋体" w:cs="宋体"/>
          <w:highlight w:val="none"/>
        </w:rPr>
      </w:pPr>
      <w:r>
        <w:rPr>
          <w:rFonts w:hint="eastAsia" w:ascii="宋体" w:hAnsi="宋体" w:cs="宋体"/>
          <w:highlight w:val="none"/>
        </w:rPr>
        <w:br w:type="page"/>
      </w:r>
    </w:p>
    <w:p w14:paraId="0BE3F5B4">
      <w:pPr>
        <w:pStyle w:val="4"/>
        <w:numPr>
          <w:ilvl w:val="0"/>
          <w:numId w:val="22"/>
        </w:numPr>
        <w:ind w:left="0" w:firstLine="0"/>
        <w:outlineLvl w:val="0"/>
        <w:rPr>
          <w:rFonts w:hint="eastAsia" w:ascii="宋体" w:hAnsi="宋体" w:eastAsia="宋体" w:cs="宋体"/>
          <w:szCs w:val="32"/>
          <w:highlight w:val="none"/>
        </w:rPr>
      </w:pPr>
      <w:bookmarkStart w:id="42" w:name="_Toc17317"/>
      <w:bookmarkStart w:id="43" w:name="_Toc22723962"/>
      <w:bookmarkStart w:id="44" w:name="_Toc22953403"/>
      <w:bookmarkStart w:id="45" w:name="_Toc22962884"/>
      <w:bookmarkStart w:id="46" w:name="_Toc22804081"/>
      <w:bookmarkStart w:id="47" w:name="_Toc22570502"/>
      <w:bookmarkStart w:id="48" w:name="_Toc22568795"/>
      <w:r>
        <w:rPr>
          <w:rFonts w:hint="eastAsia" w:ascii="宋体" w:hAnsi="宋体" w:eastAsia="宋体" w:cs="宋体"/>
          <w:szCs w:val="32"/>
          <w:highlight w:val="none"/>
        </w:rPr>
        <w:t>资格审查、</w:t>
      </w:r>
      <w:bookmarkEnd w:id="42"/>
      <w:r>
        <w:rPr>
          <w:rFonts w:hint="eastAsia" w:ascii="宋体" w:hAnsi="宋体" w:eastAsia="宋体" w:cs="宋体"/>
          <w:szCs w:val="32"/>
          <w:highlight w:val="none"/>
          <w:lang w:val="en-US" w:eastAsia="zh-CN"/>
        </w:rPr>
        <w:t>评审办法和标准</w:t>
      </w:r>
    </w:p>
    <w:p w14:paraId="2F278EB6">
      <w:pPr>
        <w:pStyle w:val="64"/>
        <w:tabs>
          <w:tab w:val="left" w:pos="720"/>
          <w:tab w:val="left" w:pos="7088"/>
        </w:tabs>
        <w:spacing w:line="360" w:lineRule="auto"/>
        <w:ind w:left="0" w:firstLine="0"/>
        <w:jc w:val="center"/>
        <w:outlineLvl w:val="1"/>
        <w:rPr>
          <w:rFonts w:hint="eastAsia" w:ascii="宋体" w:hAnsi="宋体" w:eastAsia="宋体" w:cs="宋体"/>
          <w:b/>
          <w:szCs w:val="32"/>
          <w:highlight w:val="none"/>
        </w:rPr>
      </w:pPr>
      <w:r>
        <w:rPr>
          <w:rFonts w:hint="eastAsia" w:ascii="宋体" w:hAnsi="宋体" w:eastAsia="宋体" w:cs="宋体"/>
          <w:b/>
          <w:szCs w:val="32"/>
          <w:highlight w:val="none"/>
        </w:rPr>
        <w:t>一、资格审查表</w:t>
      </w:r>
    </w:p>
    <w:tbl>
      <w:tblPr>
        <w:tblStyle w:val="8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2465"/>
        <w:gridCol w:w="5049"/>
        <w:gridCol w:w="5"/>
        <w:gridCol w:w="640"/>
      </w:tblGrid>
      <w:tr w14:paraId="40CD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0" w:type="dxa"/>
            <w:noWrap w:val="0"/>
            <w:tcMar>
              <w:top w:w="0" w:type="dxa"/>
              <w:left w:w="57" w:type="dxa"/>
              <w:bottom w:w="0" w:type="dxa"/>
              <w:right w:w="57" w:type="dxa"/>
            </w:tcMar>
            <w:vAlign w:val="center"/>
          </w:tcPr>
          <w:p w14:paraId="0DE55A65">
            <w:pPr>
              <w:spacing w:line="440" w:lineRule="exact"/>
              <w:jc w:val="center"/>
              <w:rPr>
                <w:rFonts w:hint="eastAsia" w:ascii="宋体" w:hAnsi="宋体" w:cs="宋体"/>
                <w:b/>
                <w:bCs/>
                <w:sz w:val="24"/>
                <w:highlight w:val="none"/>
              </w:rPr>
            </w:pPr>
            <w:r>
              <w:rPr>
                <w:rFonts w:hint="eastAsia" w:ascii="宋体" w:hAnsi="宋体" w:cs="宋体"/>
                <w:b/>
                <w:bCs/>
                <w:sz w:val="24"/>
                <w:highlight w:val="none"/>
              </w:rPr>
              <w:t>序号</w:t>
            </w:r>
          </w:p>
        </w:tc>
        <w:tc>
          <w:tcPr>
            <w:tcW w:w="2465" w:type="dxa"/>
            <w:noWrap w:val="0"/>
            <w:vAlign w:val="center"/>
          </w:tcPr>
          <w:p w14:paraId="75484D4C">
            <w:pPr>
              <w:spacing w:line="440" w:lineRule="exact"/>
              <w:jc w:val="center"/>
              <w:rPr>
                <w:rFonts w:hint="eastAsia" w:ascii="宋体" w:hAnsi="宋体" w:cs="宋体"/>
                <w:b/>
                <w:bCs/>
                <w:sz w:val="24"/>
                <w:highlight w:val="none"/>
              </w:rPr>
            </w:pPr>
            <w:r>
              <w:rPr>
                <w:rFonts w:hint="eastAsia" w:ascii="宋体" w:hAnsi="宋体" w:cs="宋体"/>
                <w:b/>
                <w:bCs/>
                <w:sz w:val="24"/>
                <w:highlight w:val="none"/>
              </w:rPr>
              <w:t>审查因素</w:t>
            </w:r>
          </w:p>
        </w:tc>
        <w:tc>
          <w:tcPr>
            <w:tcW w:w="5049" w:type="dxa"/>
            <w:noWrap w:val="0"/>
            <w:tcMar>
              <w:top w:w="0" w:type="dxa"/>
              <w:left w:w="57" w:type="dxa"/>
              <w:bottom w:w="0" w:type="dxa"/>
              <w:right w:w="57" w:type="dxa"/>
            </w:tcMar>
            <w:vAlign w:val="center"/>
          </w:tcPr>
          <w:p w14:paraId="405B13CC">
            <w:pPr>
              <w:spacing w:line="440" w:lineRule="exact"/>
              <w:jc w:val="center"/>
              <w:rPr>
                <w:rFonts w:hint="eastAsia" w:ascii="宋体" w:hAnsi="宋体" w:cs="宋体"/>
                <w:b/>
                <w:bCs/>
                <w:sz w:val="24"/>
                <w:highlight w:val="none"/>
              </w:rPr>
            </w:pPr>
            <w:r>
              <w:rPr>
                <w:rFonts w:hint="eastAsia" w:ascii="宋体" w:hAnsi="宋体" w:eastAsia="宋体" w:cs="宋体"/>
                <w:b/>
                <w:bCs/>
                <w:sz w:val="24"/>
                <w:highlight w:val="none"/>
              </w:rPr>
              <w:t>评审合格标准</w:t>
            </w:r>
          </w:p>
        </w:tc>
        <w:tc>
          <w:tcPr>
            <w:tcW w:w="645" w:type="dxa"/>
            <w:gridSpan w:val="2"/>
            <w:noWrap w:val="0"/>
            <w:vAlign w:val="center"/>
          </w:tcPr>
          <w:p w14:paraId="47D82364">
            <w:pPr>
              <w:spacing w:line="440" w:lineRule="exact"/>
              <w:jc w:val="center"/>
              <w:rPr>
                <w:rFonts w:hint="eastAsia" w:ascii="宋体" w:hAnsi="宋体" w:cs="宋体"/>
                <w:b/>
                <w:bCs/>
                <w:sz w:val="24"/>
                <w:highlight w:val="none"/>
              </w:rPr>
            </w:pPr>
            <w:r>
              <w:rPr>
                <w:rFonts w:hint="eastAsia" w:ascii="宋体" w:hAnsi="宋体" w:cs="宋体"/>
                <w:b/>
                <w:bCs/>
                <w:sz w:val="24"/>
                <w:highlight w:val="none"/>
              </w:rPr>
              <w:t>备注</w:t>
            </w:r>
          </w:p>
        </w:tc>
      </w:tr>
      <w:tr w14:paraId="0B55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exact"/>
        </w:trPr>
        <w:tc>
          <w:tcPr>
            <w:tcW w:w="510" w:type="dxa"/>
            <w:noWrap w:val="0"/>
            <w:tcMar>
              <w:top w:w="0" w:type="dxa"/>
              <w:left w:w="57" w:type="dxa"/>
              <w:bottom w:w="0" w:type="dxa"/>
              <w:right w:w="57" w:type="dxa"/>
            </w:tcMar>
            <w:vAlign w:val="center"/>
          </w:tcPr>
          <w:p w14:paraId="31FDBDB1">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1</w:t>
            </w:r>
          </w:p>
        </w:tc>
        <w:tc>
          <w:tcPr>
            <w:tcW w:w="2465" w:type="dxa"/>
            <w:noWrap w:val="0"/>
            <w:tcMar>
              <w:top w:w="0" w:type="dxa"/>
              <w:left w:w="57" w:type="dxa"/>
              <w:bottom w:w="0" w:type="dxa"/>
              <w:right w:w="57" w:type="dxa"/>
            </w:tcMar>
            <w:vAlign w:val="center"/>
          </w:tcPr>
          <w:p w14:paraId="76CF2E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在中华人民共和国境内注册，具有独立承担民事责任能力的法人或者其他组织或者自然人</w:t>
            </w:r>
          </w:p>
        </w:tc>
        <w:tc>
          <w:tcPr>
            <w:tcW w:w="5049" w:type="dxa"/>
            <w:noWrap w:val="0"/>
            <w:vAlign w:val="center"/>
          </w:tcPr>
          <w:p w14:paraId="69894E3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提供有效的营业执照或其他有效的证明文件</w:t>
            </w:r>
          </w:p>
        </w:tc>
        <w:tc>
          <w:tcPr>
            <w:tcW w:w="645" w:type="dxa"/>
            <w:gridSpan w:val="2"/>
            <w:noWrap w:val="0"/>
            <w:tcMar>
              <w:top w:w="0" w:type="dxa"/>
              <w:left w:w="57" w:type="dxa"/>
              <w:bottom w:w="0" w:type="dxa"/>
              <w:right w:w="57" w:type="dxa"/>
            </w:tcMar>
            <w:vAlign w:val="center"/>
          </w:tcPr>
          <w:p w14:paraId="3B853E2F">
            <w:pPr>
              <w:spacing w:line="440" w:lineRule="exact"/>
              <w:jc w:val="center"/>
              <w:rPr>
                <w:rFonts w:hint="eastAsia" w:ascii="宋体" w:hAnsi="宋体" w:cs="宋体"/>
                <w:sz w:val="22"/>
                <w:szCs w:val="22"/>
                <w:highlight w:val="none"/>
              </w:rPr>
            </w:pPr>
          </w:p>
        </w:tc>
      </w:tr>
      <w:tr w14:paraId="2894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exact"/>
        </w:trPr>
        <w:tc>
          <w:tcPr>
            <w:tcW w:w="510" w:type="dxa"/>
            <w:noWrap w:val="0"/>
            <w:tcMar>
              <w:top w:w="0" w:type="dxa"/>
              <w:left w:w="57" w:type="dxa"/>
              <w:bottom w:w="0" w:type="dxa"/>
              <w:right w:w="57" w:type="dxa"/>
            </w:tcMar>
            <w:vAlign w:val="center"/>
          </w:tcPr>
          <w:p w14:paraId="26599CAB">
            <w:pPr>
              <w:spacing w:line="360" w:lineRule="auto"/>
              <w:jc w:val="center"/>
              <w:rPr>
                <w:rFonts w:hint="eastAsia"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2</w:t>
            </w:r>
          </w:p>
        </w:tc>
        <w:tc>
          <w:tcPr>
            <w:tcW w:w="2465" w:type="dxa"/>
            <w:noWrap w:val="0"/>
            <w:tcMar>
              <w:top w:w="0" w:type="dxa"/>
              <w:left w:w="57" w:type="dxa"/>
              <w:bottom w:w="0" w:type="dxa"/>
              <w:right w:w="57" w:type="dxa"/>
            </w:tcMar>
            <w:vAlign w:val="center"/>
          </w:tcPr>
          <w:p w14:paraId="175455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具有良好的商业信誉和健全的财务会计制度</w:t>
            </w:r>
          </w:p>
        </w:tc>
        <w:tc>
          <w:tcPr>
            <w:tcW w:w="5049" w:type="dxa"/>
            <w:noWrap w:val="0"/>
            <w:vAlign w:val="center"/>
          </w:tcPr>
          <w:p w14:paraId="1E478C0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提供2023年度</w:t>
            </w:r>
            <w:r>
              <w:rPr>
                <w:rFonts w:hint="eastAsia" w:ascii="宋体" w:hAnsi="宋体" w:eastAsia="宋体" w:cs="宋体"/>
                <w:sz w:val="22"/>
                <w:szCs w:val="22"/>
                <w:highlight w:val="none"/>
                <w:lang w:val="en-US" w:eastAsia="zh-CN"/>
              </w:rPr>
              <w:t>或2024年度</w:t>
            </w:r>
            <w:r>
              <w:rPr>
                <w:rFonts w:hint="eastAsia" w:ascii="宋体" w:hAnsi="宋体" w:eastAsia="宋体" w:cs="宋体"/>
                <w:sz w:val="22"/>
                <w:szCs w:val="22"/>
                <w:highlight w:val="none"/>
              </w:rPr>
              <w:t>经审计的财务报告</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成立时间不足一年的，可提供自成立以来经审计的财务报告或其基本开户银行出具的资信证明</w:t>
            </w:r>
            <w:r>
              <w:rPr>
                <w:rFonts w:hint="eastAsia" w:ascii="宋体" w:hAnsi="宋体" w:eastAsia="宋体" w:cs="宋体"/>
                <w:sz w:val="22"/>
                <w:szCs w:val="22"/>
                <w:highlight w:val="none"/>
                <w:lang w:eastAsia="zh-CN"/>
              </w:rPr>
              <w:t>）</w:t>
            </w:r>
          </w:p>
        </w:tc>
        <w:tc>
          <w:tcPr>
            <w:tcW w:w="645" w:type="dxa"/>
            <w:gridSpan w:val="2"/>
            <w:noWrap w:val="0"/>
            <w:tcMar>
              <w:top w:w="0" w:type="dxa"/>
              <w:left w:w="57" w:type="dxa"/>
              <w:bottom w:w="0" w:type="dxa"/>
              <w:right w:w="57" w:type="dxa"/>
            </w:tcMar>
            <w:vAlign w:val="center"/>
          </w:tcPr>
          <w:p w14:paraId="7DF134FE">
            <w:pPr>
              <w:spacing w:line="440" w:lineRule="exact"/>
              <w:jc w:val="center"/>
              <w:rPr>
                <w:rFonts w:hint="eastAsia" w:ascii="宋体" w:hAnsi="宋体" w:cs="宋体"/>
                <w:sz w:val="22"/>
                <w:szCs w:val="22"/>
                <w:highlight w:val="none"/>
              </w:rPr>
            </w:pPr>
          </w:p>
        </w:tc>
      </w:tr>
      <w:tr w14:paraId="5358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exact"/>
        </w:trPr>
        <w:tc>
          <w:tcPr>
            <w:tcW w:w="510" w:type="dxa"/>
            <w:noWrap w:val="0"/>
            <w:tcMar>
              <w:top w:w="0" w:type="dxa"/>
              <w:left w:w="57" w:type="dxa"/>
              <w:bottom w:w="0" w:type="dxa"/>
              <w:right w:w="57" w:type="dxa"/>
            </w:tcMar>
            <w:vAlign w:val="center"/>
          </w:tcPr>
          <w:p w14:paraId="531CC50B">
            <w:pPr>
              <w:spacing w:line="360" w:lineRule="auto"/>
              <w:jc w:val="center"/>
              <w:rPr>
                <w:rFonts w:hint="default" w:ascii="宋体" w:hAnsi="宋体" w:cs="宋体"/>
                <w:b/>
                <w:sz w:val="28"/>
                <w:szCs w:val="28"/>
                <w:highlight w:val="none"/>
                <w:lang w:val="en-US" w:eastAsia="zh-CN"/>
              </w:rPr>
            </w:pPr>
            <w:r>
              <w:rPr>
                <w:rFonts w:hint="eastAsia" w:ascii="宋体" w:hAnsi="宋体" w:cs="宋体"/>
                <w:b/>
                <w:sz w:val="28"/>
                <w:szCs w:val="28"/>
                <w:highlight w:val="none"/>
                <w:lang w:val="en-US" w:eastAsia="zh-CN"/>
              </w:rPr>
              <w:t>3</w:t>
            </w:r>
          </w:p>
        </w:tc>
        <w:tc>
          <w:tcPr>
            <w:tcW w:w="2465" w:type="dxa"/>
            <w:noWrap w:val="0"/>
            <w:tcMar>
              <w:top w:w="0" w:type="dxa"/>
              <w:left w:w="57" w:type="dxa"/>
              <w:bottom w:w="0" w:type="dxa"/>
              <w:right w:w="57" w:type="dxa"/>
            </w:tcMar>
            <w:vAlign w:val="center"/>
          </w:tcPr>
          <w:p w14:paraId="74FD7D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2"/>
                <w:szCs w:val="22"/>
                <w:highlight w:val="none"/>
                <w:lang w:val="en-US" w:eastAsia="zh-CN"/>
              </w:rPr>
            </w:pPr>
            <w:r>
              <w:rPr>
                <w:rFonts w:hint="eastAsia" w:ascii="宋体" w:hAnsi="宋体" w:eastAsia="宋体" w:cs="宋体"/>
                <w:sz w:val="22"/>
                <w:szCs w:val="22"/>
                <w:highlight w:val="none"/>
              </w:rPr>
              <w:t>具有履行合同所必需的设备和专业技术能力</w:t>
            </w:r>
            <w:r>
              <w:rPr>
                <w:rFonts w:hint="eastAsia" w:ascii="宋体" w:hAnsi="宋体" w:cs="宋体"/>
                <w:sz w:val="22"/>
                <w:szCs w:val="22"/>
                <w:highlight w:val="none"/>
                <w:lang w:val="en-US" w:eastAsia="zh-CN"/>
              </w:rPr>
              <w:t>的证明文件</w:t>
            </w:r>
          </w:p>
        </w:tc>
        <w:tc>
          <w:tcPr>
            <w:tcW w:w="5049" w:type="dxa"/>
            <w:noWrap w:val="0"/>
            <w:vAlign w:val="center"/>
          </w:tcPr>
          <w:p w14:paraId="5FC54A6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eastAsia="zh-CN"/>
              </w:rPr>
              <w:t>格</w:t>
            </w:r>
            <w:r>
              <w:rPr>
                <w:rFonts w:hint="eastAsia" w:ascii="宋体" w:hAnsi="宋体" w:eastAsia="宋体" w:cs="宋体"/>
                <w:sz w:val="22"/>
                <w:szCs w:val="22"/>
                <w:highlight w:val="none"/>
                <w:lang w:val="en-US" w:eastAsia="zh-CN"/>
              </w:rPr>
              <w:t>式自拟加盖电子章</w:t>
            </w:r>
          </w:p>
        </w:tc>
        <w:tc>
          <w:tcPr>
            <w:tcW w:w="645" w:type="dxa"/>
            <w:gridSpan w:val="2"/>
            <w:noWrap w:val="0"/>
            <w:tcMar>
              <w:top w:w="0" w:type="dxa"/>
              <w:left w:w="57" w:type="dxa"/>
              <w:bottom w:w="0" w:type="dxa"/>
              <w:right w:w="57" w:type="dxa"/>
            </w:tcMar>
            <w:vAlign w:val="center"/>
          </w:tcPr>
          <w:p w14:paraId="35191E22">
            <w:pPr>
              <w:spacing w:line="440" w:lineRule="exact"/>
              <w:jc w:val="center"/>
              <w:rPr>
                <w:rFonts w:hint="eastAsia" w:ascii="宋体" w:hAnsi="宋体" w:cs="宋体"/>
                <w:sz w:val="22"/>
                <w:szCs w:val="22"/>
                <w:highlight w:val="none"/>
              </w:rPr>
            </w:pPr>
          </w:p>
        </w:tc>
      </w:tr>
      <w:tr w14:paraId="4EF1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exact"/>
        </w:trPr>
        <w:tc>
          <w:tcPr>
            <w:tcW w:w="510" w:type="dxa"/>
            <w:noWrap w:val="0"/>
            <w:tcMar>
              <w:top w:w="0" w:type="dxa"/>
              <w:left w:w="57" w:type="dxa"/>
              <w:bottom w:w="0" w:type="dxa"/>
              <w:right w:w="57" w:type="dxa"/>
            </w:tcMar>
            <w:vAlign w:val="center"/>
          </w:tcPr>
          <w:p w14:paraId="2B65BD8C">
            <w:pPr>
              <w:spacing w:line="360" w:lineRule="auto"/>
              <w:jc w:val="center"/>
              <w:rPr>
                <w:rFonts w:hint="default" w:ascii="宋体" w:hAnsi="宋体" w:cs="宋体"/>
                <w:b/>
                <w:sz w:val="28"/>
                <w:szCs w:val="28"/>
                <w:highlight w:val="none"/>
                <w:lang w:val="en-US" w:eastAsia="zh-CN"/>
              </w:rPr>
            </w:pPr>
            <w:r>
              <w:rPr>
                <w:rFonts w:hint="eastAsia" w:ascii="宋体" w:hAnsi="宋体" w:cs="宋体"/>
                <w:b/>
                <w:sz w:val="28"/>
                <w:szCs w:val="28"/>
                <w:highlight w:val="none"/>
                <w:lang w:val="en-US" w:eastAsia="zh-CN"/>
              </w:rPr>
              <w:t>4</w:t>
            </w:r>
          </w:p>
        </w:tc>
        <w:tc>
          <w:tcPr>
            <w:tcW w:w="2465" w:type="dxa"/>
            <w:noWrap w:val="0"/>
            <w:tcMar>
              <w:top w:w="0" w:type="dxa"/>
              <w:left w:w="57" w:type="dxa"/>
              <w:bottom w:w="0" w:type="dxa"/>
              <w:right w:w="57" w:type="dxa"/>
            </w:tcMar>
            <w:vAlign w:val="center"/>
          </w:tcPr>
          <w:p w14:paraId="0B39F0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有依法缴纳税收和社会保障资金的相关材料</w:t>
            </w:r>
          </w:p>
        </w:tc>
        <w:tc>
          <w:tcPr>
            <w:tcW w:w="5049" w:type="dxa"/>
            <w:noWrap w:val="0"/>
            <w:vAlign w:val="center"/>
          </w:tcPr>
          <w:p w14:paraId="178F19D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提供自202</w:t>
            </w:r>
            <w:r>
              <w:rPr>
                <w:rFonts w:hint="eastAsia" w:ascii="宋体" w:hAnsi="宋体" w:cs="宋体"/>
                <w:sz w:val="22"/>
                <w:szCs w:val="22"/>
                <w:highlight w:val="none"/>
                <w:lang w:val="en-US" w:eastAsia="zh-CN"/>
              </w:rPr>
              <w:t>5</w:t>
            </w:r>
            <w:r>
              <w:rPr>
                <w:rFonts w:hint="eastAsia" w:ascii="宋体" w:hAnsi="宋体" w:eastAsia="宋体" w:cs="宋体"/>
                <w:sz w:val="22"/>
                <w:szCs w:val="22"/>
                <w:highlight w:val="none"/>
              </w:rPr>
              <w:t>年</w:t>
            </w:r>
            <w:r>
              <w:rPr>
                <w:rFonts w:hint="eastAsia" w:ascii="宋体" w:hAnsi="宋体" w:eastAsia="宋体" w:cs="宋体"/>
                <w:sz w:val="22"/>
                <w:szCs w:val="22"/>
                <w:highlight w:val="none"/>
                <w:lang w:val="en-US" w:eastAsia="zh-CN"/>
              </w:rPr>
              <w:t>1</w:t>
            </w:r>
            <w:r>
              <w:rPr>
                <w:rFonts w:hint="eastAsia" w:ascii="宋体" w:hAnsi="宋体" w:eastAsia="宋体" w:cs="宋体"/>
                <w:sz w:val="22"/>
                <w:szCs w:val="22"/>
                <w:highlight w:val="none"/>
              </w:rPr>
              <w:t>月1日以来任意一个月的纳税证明和社保缴纳证明，依法免税或不需要缴纳社会保障资金的，应提供相应文件证明其依法免税或不需要缴纳社会保障资金</w:t>
            </w:r>
          </w:p>
        </w:tc>
        <w:tc>
          <w:tcPr>
            <w:tcW w:w="645" w:type="dxa"/>
            <w:gridSpan w:val="2"/>
            <w:noWrap w:val="0"/>
            <w:tcMar>
              <w:top w:w="0" w:type="dxa"/>
              <w:left w:w="57" w:type="dxa"/>
              <w:bottom w:w="0" w:type="dxa"/>
              <w:right w:w="57" w:type="dxa"/>
            </w:tcMar>
            <w:vAlign w:val="center"/>
          </w:tcPr>
          <w:p w14:paraId="323CC40D">
            <w:pPr>
              <w:spacing w:line="440" w:lineRule="exact"/>
              <w:jc w:val="center"/>
              <w:rPr>
                <w:rFonts w:hint="eastAsia" w:ascii="宋体" w:hAnsi="宋体" w:cs="宋体"/>
                <w:sz w:val="22"/>
                <w:szCs w:val="22"/>
                <w:highlight w:val="none"/>
              </w:rPr>
            </w:pPr>
          </w:p>
        </w:tc>
      </w:tr>
      <w:tr w14:paraId="7997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exact"/>
        </w:trPr>
        <w:tc>
          <w:tcPr>
            <w:tcW w:w="510" w:type="dxa"/>
            <w:noWrap w:val="0"/>
            <w:tcMar>
              <w:top w:w="0" w:type="dxa"/>
              <w:left w:w="57" w:type="dxa"/>
              <w:bottom w:w="0" w:type="dxa"/>
              <w:right w:w="57" w:type="dxa"/>
            </w:tcMar>
            <w:vAlign w:val="center"/>
          </w:tcPr>
          <w:p w14:paraId="2424DF79">
            <w:pPr>
              <w:jc w:val="center"/>
              <w:rPr>
                <w:rFonts w:hint="eastAsia" w:ascii="宋体" w:hAnsi="宋体" w:eastAsia="宋体" w:cs="宋体"/>
                <w:b/>
                <w:kern w:val="2"/>
                <w:sz w:val="28"/>
                <w:szCs w:val="28"/>
                <w:highlight w:val="none"/>
                <w:lang w:val="en-US" w:eastAsia="zh-CN" w:bidi="ar-SA"/>
              </w:rPr>
            </w:pPr>
            <w:r>
              <w:rPr>
                <w:rFonts w:hint="eastAsia" w:ascii="宋体" w:hAnsi="宋体" w:cs="宋体"/>
                <w:b/>
                <w:sz w:val="28"/>
                <w:szCs w:val="28"/>
                <w:highlight w:val="none"/>
                <w:lang w:val="en-US" w:eastAsia="zh-CN"/>
              </w:rPr>
              <w:t>5</w:t>
            </w:r>
          </w:p>
        </w:tc>
        <w:tc>
          <w:tcPr>
            <w:tcW w:w="2465" w:type="dxa"/>
            <w:noWrap w:val="0"/>
            <w:tcMar>
              <w:top w:w="0" w:type="dxa"/>
              <w:left w:w="57" w:type="dxa"/>
              <w:bottom w:w="0" w:type="dxa"/>
              <w:right w:w="57" w:type="dxa"/>
            </w:tcMar>
            <w:vAlign w:val="center"/>
          </w:tcPr>
          <w:p w14:paraId="75890E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参加政府采购活动前三年内，在经营活动中没有重大违法记录</w:t>
            </w:r>
          </w:p>
        </w:tc>
        <w:tc>
          <w:tcPr>
            <w:tcW w:w="5049" w:type="dxa"/>
            <w:noWrap w:val="0"/>
            <w:vAlign w:val="center"/>
          </w:tcPr>
          <w:p w14:paraId="1271C1F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lang w:eastAsia="zh-CN"/>
              </w:rPr>
              <w:t>提供声明函，格式自拟</w:t>
            </w:r>
            <w:r>
              <w:rPr>
                <w:rFonts w:hint="eastAsia" w:ascii="宋体" w:hAnsi="宋体" w:eastAsia="宋体" w:cs="宋体"/>
                <w:sz w:val="22"/>
                <w:szCs w:val="22"/>
                <w:highlight w:val="none"/>
                <w:lang w:val="en-US" w:eastAsia="zh-CN"/>
              </w:rPr>
              <w:t>加盖电子章</w:t>
            </w:r>
          </w:p>
        </w:tc>
        <w:tc>
          <w:tcPr>
            <w:tcW w:w="645" w:type="dxa"/>
            <w:gridSpan w:val="2"/>
            <w:noWrap w:val="0"/>
            <w:tcMar>
              <w:top w:w="0" w:type="dxa"/>
              <w:left w:w="57" w:type="dxa"/>
              <w:bottom w:w="0" w:type="dxa"/>
              <w:right w:w="57" w:type="dxa"/>
            </w:tcMar>
            <w:vAlign w:val="center"/>
          </w:tcPr>
          <w:p w14:paraId="055BF7D4">
            <w:pPr>
              <w:spacing w:line="440" w:lineRule="exact"/>
              <w:jc w:val="center"/>
              <w:rPr>
                <w:rFonts w:hint="eastAsia" w:ascii="宋体" w:hAnsi="宋体" w:cs="宋体"/>
                <w:sz w:val="22"/>
                <w:szCs w:val="22"/>
                <w:highlight w:val="none"/>
              </w:rPr>
            </w:pPr>
          </w:p>
        </w:tc>
      </w:tr>
      <w:tr w14:paraId="17CD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exact"/>
        </w:trPr>
        <w:tc>
          <w:tcPr>
            <w:tcW w:w="510" w:type="dxa"/>
            <w:noWrap w:val="0"/>
            <w:tcMar>
              <w:top w:w="0" w:type="dxa"/>
              <w:left w:w="57" w:type="dxa"/>
              <w:bottom w:w="0" w:type="dxa"/>
              <w:right w:w="57" w:type="dxa"/>
            </w:tcMar>
            <w:vAlign w:val="center"/>
          </w:tcPr>
          <w:p w14:paraId="6EAA62F6">
            <w:pPr>
              <w:widowControl/>
              <w:spacing w:line="360" w:lineRule="auto"/>
              <w:jc w:val="center"/>
              <w:rPr>
                <w:rFonts w:hint="default" w:ascii="宋体" w:hAnsi="宋体" w:cs="宋体"/>
                <w:b/>
                <w:sz w:val="28"/>
                <w:szCs w:val="28"/>
                <w:highlight w:val="none"/>
                <w:lang w:val="en-US" w:eastAsia="zh-CN"/>
              </w:rPr>
            </w:pPr>
            <w:r>
              <w:rPr>
                <w:rFonts w:hint="eastAsia" w:ascii="宋体" w:hAnsi="宋体" w:cs="宋体"/>
                <w:b/>
                <w:sz w:val="28"/>
                <w:szCs w:val="28"/>
                <w:highlight w:val="none"/>
                <w:lang w:val="en-US" w:eastAsia="zh-CN"/>
              </w:rPr>
              <w:t>6</w:t>
            </w:r>
          </w:p>
        </w:tc>
        <w:tc>
          <w:tcPr>
            <w:tcW w:w="2465" w:type="dxa"/>
            <w:noWrap w:val="0"/>
            <w:tcMar>
              <w:top w:w="0" w:type="dxa"/>
              <w:left w:w="57" w:type="dxa"/>
              <w:bottom w:w="0" w:type="dxa"/>
              <w:right w:w="57" w:type="dxa"/>
            </w:tcMar>
            <w:vAlign w:val="center"/>
          </w:tcPr>
          <w:p w14:paraId="3E2BCA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《医疗器械注册证或医疗器械产品相关备案凭证》</w:t>
            </w:r>
          </w:p>
        </w:tc>
        <w:tc>
          <w:tcPr>
            <w:tcW w:w="5049" w:type="dxa"/>
            <w:noWrap w:val="0"/>
            <w:vAlign w:val="center"/>
          </w:tcPr>
          <w:p w14:paraId="7866EFB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投标货物须符合中华人民共和国国务院令第 739 号《医疗器械监督管理条例》 相关规定，取得医疗器械注册证或医疗器械产品相关备案凭证；如为进口产品，供应商须同时提供制造商或总经销商认可的产品授权书（有完整的授权链）。（注：非医疗器械可不提供）</w:t>
            </w:r>
          </w:p>
          <w:p w14:paraId="66DF58D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lang w:val="en-US" w:eastAsia="zh-CN"/>
              </w:rPr>
            </w:pPr>
          </w:p>
        </w:tc>
        <w:tc>
          <w:tcPr>
            <w:tcW w:w="645" w:type="dxa"/>
            <w:gridSpan w:val="2"/>
            <w:noWrap w:val="0"/>
            <w:tcMar>
              <w:top w:w="0" w:type="dxa"/>
              <w:left w:w="57" w:type="dxa"/>
              <w:bottom w:w="0" w:type="dxa"/>
              <w:right w:w="57" w:type="dxa"/>
            </w:tcMar>
            <w:vAlign w:val="center"/>
          </w:tcPr>
          <w:p w14:paraId="2565052D">
            <w:pPr>
              <w:spacing w:line="440" w:lineRule="exact"/>
              <w:jc w:val="center"/>
              <w:rPr>
                <w:rFonts w:hint="eastAsia" w:ascii="宋体" w:hAnsi="宋体" w:cs="宋体"/>
                <w:sz w:val="22"/>
                <w:szCs w:val="22"/>
                <w:highlight w:val="none"/>
              </w:rPr>
            </w:pPr>
          </w:p>
        </w:tc>
      </w:tr>
      <w:tr w14:paraId="7D1B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4" w:hRule="exact"/>
        </w:trPr>
        <w:tc>
          <w:tcPr>
            <w:tcW w:w="510" w:type="dxa"/>
            <w:noWrap w:val="0"/>
            <w:tcMar>
              <w:top w:w="0" w:type="dxa"/>
              <w:left w:w="57" w:type="dxa"/>
              <w:bottom w:w="0" w:type="dxa"/>
              <w:right w:w="57" w:type="dxa"/>
            </w:tcMar>
            <w:vAlign w:val="center"/>
          </w:tcPr>
          <w:p w14:paraId="6F7371B8">
            <w:pPr>
              <w:widowControl/>
              <w:spacing w:line="360" w:lineRule="auto"/>
              <w:jc w:val="center"/>
              <w:rPr>
                <w:rFonts w:hint="default" w:ascii="宋体" w:hAnsi="宋体" w:cs="宋体"/>
                <w:b/>
                <w:sz w:val="28"/>
                <w:szCs w:val="28"/>
                <w:highlight w:val="none"/>
                <w:lang w:val="en-US" w:eastAsia="zh-CN"/>
              </w:rPr>
            </w:pPr>
            <w:r>
              <w:rPr>
                <w:rFonts w:hint="eastAsia" w:ascii="宋体" w:hAnsi="宋体" w:cs="宋体"/>
                <w:b/>
                <w:sz w:val="28"/>
                <w:szCs w:val="28"/>
                <w:highlight w:val="none"/>
                <w:lang w:val="en-US" w:eastAsia="zh-CN"/>
              </w:rPr>
              <w:t>7</w:t>
            </w:r>
          </w:p>
        </w:tc>
        <w:tc>
          <w:tcPr>
            <w:tcW w:w="2465" w:type="dxa"/>
            <w:noWrap w:val="0"/>
            <w:tcMar>
              <w:top w:w="0" w:type="dxa"/>
              <w:left w:w="57" w:type="dxa"/>
              <w:bottom w:w="0" w:type="dxa"/>
              <w:right w:w="57" w:type="dxa"/>
            </w:tcMar>
            <w:vAlign w:val="center"/>
          </w:tcPr>
          <w:p w14:paraId="642119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《医疗器械生产许可证</w:t>
            </w:r>
            <w:r>
              <w:rPr>
                <w:rFonts w:hint="eastAsia" w:ascii="宋体" w:hAnsi="宋体" w:cs="宋体"/>
                <w:sz w:val="22"/>
                <w:szCs w:val="22"/>
                <w:highlight w:val="none"/>
                <w:lang w:val="en-US" w:eastAsia="zh-CN"/>
              </w:rPr>
              <w:t>或</w:t>
            </w:r>
            <w:r>
              <w:rPr>
                <w:rFonts w:hint="eastAsia" w:ascii="宋体" w:hAnsi="宋体" w:eastAsia="宋体" w:cs="宋体"/>
                <w:sz w:val="22"/>
                <w:szCs w:val="22"/>
                <w:highlight w:val="none"/>
                <w:lang w:val="en-US" w:eastAsia="zh-CN"/>
              </w:rPr>
              <w:t>医疗器械经营许可证或医疗器械经营备案凭证》</w:t>
            </w:r>
          </w:p>
        </w:tc>
        <w:tc>
          <w:tcPr>
            <w:tcW w:w="5049" w:type="dxa"/>
            <w:noWrap w:val="0"/>
            <w:vAlign w:val="center"/>
          </w:tcPr>
          <w:p w14:paraId="0609291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供应商为代理商或经销商投标时须具有医疗器械经营许可证或医疗器械经营备案凭证（从事第一类医疗器械经营活动的除外）；供应商为境内生产企业投标时须具有医疗器械生产许可证，医疗器械注册人、备案人经营其注册、备案的医疗器械，无需提供医疗器械经营许可或者备案相关资料，但应当符合医疗器械监督管理条例规定的经营条件；（注：非医疗器械可不提供）</w:t>
            </w:r>
          </w:p>
        </w:tc>
        <w:tc>
          <w:tcPr>
            <w:tcW w:w="645" w:type="dxa"/>
            <w:gridSpan w:val="2"/>
            <w:noWrap w:val="0"/>
            <w:tcMar>
              <w:top w:w="0" w:type="dxa"/>
              <w:left w:w="57" w:type="dxa"/>
              <w:bottom w:w="0" w:type="dxa"/>
              <w:right w:w="57" w:type="dxa"/>
            </w:tcMar>
            <w:vAlign w:val="center"/>
          </w:tcPr>
          <w:p w14:paraId="2C775673">
            <w:pPr>
              <w:spacing w:line="440" w:lineRule="exact"/>
              <w:jc w:val="center"/>
              <w:rPr>
                <w:rFonts w:hint="eastAsia" w:ascii="宋体" w:hAnsi="宋体" w:cs="宋体"/>
                <w:sz w:val="22"/>
                <w:szCs w:val="22"/>
                <w:highlight w:val="none"/>
              </w:rPr>
            </w:pPr>
          </w:p>
        </w:tc>
      </w:tr>
      <w:tr w14:paraId="0B85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7" w:hRule="exact"/>
        </w:trPr>
        <w:tc>
          <w:tcPr>
            <w:tcW w:w="510" w:type="dxa"/>
            <w:noWrap w:val="0"/>
            <w:vAlign w:val="center"/>
          </w:tcPr>
          <w:p w14:paraId="2C7F75C2">
            <w:pPr>
              <w:widowControl/>
              <w:spacing w:line="360" w:lineRule="auto"/>
              <w:jc w:val="center"/>
              <w:rPr>
                <w:rFonts w:hint="eastAsia" w:ascii="宋体" w:hAnsi="宋体" w:eastAsia="宋体" w:cs="宋体"/>
                <w:b/>
                <w:kern w:val="2"/>
                <w:sz w:val="28"/>
                <w:szCs w:val="28"/>
                <w:highlight w:val="none"/>
                <w:lang w:val="en-US" w:eastAsia="zh-CN" w:bidi="ar-SA"/>
              </w:rPr>
            </w:pPr>
            <w:r>
              <w:rPr>
                <w:rFonts w:hint="eastAsia" w:ascii="宋体" w:hAnsi="宋体" w:cs="宋体"/>
                <w:b/>
                <w:sz w:val="28"/>
                <w:szCs w:val="28"/>
                <w:highlight w:val="none"/>
                <w:lang w:val="en-US" w:eastAsia="zh-CN"/>
              </w:rPr>
              <w:t>8</w:t>
            </w:r>
          </w:p>
        </w:tc>
        <w:tc>
          <w:tcPr>
            <w:tcW w:w="2465" w:type="dxa"/>
            <w:noWrap w:val="0"/>
            <w:tcMar>
              <w:top w:w="0" w:type="dxa"/>
              <w:left w:w="57" w:type="dxa"/>
              <w:bottom w:w="0" w:type="dxa"/>
              <w:right w:w="57" w:type="dxa"/>
            </w:tcMar>
            <w:vAlign w:val="center"/>
          </w:tcPr>
          <w:p w14:paraId="551BC5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信用查询记录</w:t>
            </w:r>
          </w:p>
        </w:tc>
        <w:tc>
          <w:tcPr>
            <w:tcW w:w="5049" w:type="dxa"/>
            <w:noWrap w:val="0"/>
            <w:vAlign w:val="center"/>
          </w:tcPr>
          <w:p w14:paraId="6E540C1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根据《关于在政府采购活动中查询及使用信用记录有关问题的通知》(财库(2016)125号)的要求，对列入失信被执行人、重大税收违法失信主体、政府采购严重违法失信行为记录名单的供应商，拒绝参与本项目政府采购活动。【查询渠道：“信用中国网站跳转至中国执行信息公开网 ( http://zxgk.court.gov.cn/ )-失信被执行人”“信用中国网站 ；(https://www.creditchina.gov.cn/)-重大税收违法失信主体”“中国政府采购网(http://www.ccgp.gov.cn/)-政府采购严重违法失信行为记录名单”】</w:t>
            </w:r>
          </w:p>
          <w:p w14:paraId="37071C2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注：采购代理机构在开标当天将对所有参与本项目投标的供应商的信用情况进行查询、打印留存。若在资格审查时查询到供应商有不良信用记录的，则该供应商为无效供应商。</w:t>
            </w:r>
          </w:p>
        </w:tc>
        <w:tc>
          <w:tcPr>
            <w:tcW w:w="645" w:type="dxa"/>
            <w:gridSpan w:val="2"/>
            <w:noWrap w:val="0"/>
            <w:tcMar>
              <w:top w:w="0" w:type="dxa"/>
              <w:left w:w="57" w:type="dxa"/>
              <w:bottom w:w="0" w:type="dxa"/>
              <w:right w:w="57" w:type="dxa"/>
            </w:tcMar>
            <w:vAlign w:val="center"/>
          </w:tcPr>
          <w:p w14:paraId="5D11B3A1">
            <w:pPr>
              <w:spacing w:line="320" w:lineRule="exact"/>
              <w:jc w:val="center"/>
              <w:rPr>
                <w:rFonts w:hint="eastAsia" w:ascii="宋体" w:hAnsi="宋体" w:cs="宋体"/>
                <w:sz w:val="22"/>
                <w:szCs w:val="22"/>
                <w:highlight w:val="none"/>
              </w:rPr>
            </w:pPr>
          </w:p>
        </w:tc>
      </w:tr>
      <w:tr w14:paraId="5320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exact"/>
        </w:trPr>
        <w:tc>
          <w:tcPr>
            <w:tcW w:w="510" w:type="dxa"/>
            <w:noWrap w:val="0"/>
            <w:vAlign w:val="center"/>
          </w:tcPr>
          <w:p w14:paraId="3CBB1620">
            <w:pPr>
              <w:widowControl/>
              <w:spacing w:line="360" w:lineRule="auto"/>
              <w:jc w:val="center"/>
              <w:rPr>
                <w:rFonts w:hint="default"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9</w:t>
            </w:r>
          </w:p>
        </w:tc>
        <w:tc>
          <w:tcPr>
            <w:tcW w:w="2465" w:type="dxa"/>
            <w:noWrap w:val="0"/>
            <w:tcMar>
              <w:top w:w="0" w:type="dxa"/>
              <w:left w:w="57" w:type="dxa"/>
              <w:bottom w:w="0" w:type="dxa"/>
              <w:right w:w="57" w:type="dxa"/>
            </w:tcMar>
            <w:vAlign w:val="center"/>
          </w:tcPr>
          <w:p w14:paraId="2E1490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单位负责人为同一人或者存在直接控股、管理关系的不同</w:t>
            </w:r>
            <w:r>
              <w:rPr>
                <w:rFonts w:hint="eastAsia" w:ascii="宋体" w:hAnsi="宋体" w:eastAsia="宋体" w:cs="宋体"/>
                <w:sz w:val="22"/>
                <w:szCs w:val="22"/>
                <w:highlight w:val="none"/>
                <w:lang w:eastAsia="zh-CN"/>
              </w:rPr>
              <w:t>供应商</w:t>
            </w:r>
            <w:r>
              <w:rPr>
                <w:rFonts w:hint="eastAsia" w:ascii="宋体" w:hAnsi="宋体" w:eastAsia="宋体" w:cs="宋体"/>
                <w:sz w:val="22"/>
                <w:szCs w:val="22"/>
                <w:highlight w:val="none"/>
              </w:rPr>
              <w:t>，不得参加同一合同项下的政府采购活动。</w:t>
            </w:r>
          </w:p>
        </w:tc>
        <w:tc>
          <w:tcPr>
            <w:tcW w:w="5049" w:type="dxa"/>
            <w:noWrap w:val="0"/>
            <w:vAlign w:val="center"/>
          </w:tcPr>
          <w:p w14:paraId="15C7F7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提供</w:t>
            </w:r>
            <w:r>
              <w:rPr>
                <w:rFonts w:hint="eastAsia" w:ascii="宋体" w:hAnsi="宋体" w:eastAsia="宋体" w:cs="宋体"/>
                <w:sz w:val="22"/>
                <w:szCs w:val="22"/>
                <w:highlight w:val="none"/>
                <w:lang w:eastAsia="zh-CN"/>
              </w:rPr>
              <w:t>投标供应商</w:t>
            </w:r>
            <w:r>
              <w:rPr>
                <w:rFonts w:hint="eastAsia" w:ascii="宋体" w:hAnsi="宋体" w:eastAsia="宋体" w:cs="宋体"/>
                <w:sz w:val="22"/>
                <w:szCs w:val="22"/>
                <w:highlight w:val="none"/>
              </w:rPr>
              <w:t>在“国家企业信用信息公示系统”中公示的公司</w:t>
            </w:r>
            <w:r>
              <w:rPr>
                <w:rFonts w:hint="eastAsia" w:ascii="宋体" w:hAnsi="宋体" w:eastAsia="宋体" w:cs="宋体"/>
                <w:sz w:val="22"/>
                <w:szCs w:val="22"/>
                <w:highlight w:val="none"/>
                <w:lang w:val="en-US" w:eastAsia="zh-CN"/>
              </w:rPr>
              <w:t>基本</w:t>
            </w:r>
            <w:r>
              <w:rPr>
                <w:rFonts w:hint="eastAsia" w:ascii="宋体" w:hAnsi="宋体" w:eastAsia="宋体" w:cs="宋体"/>
                <w:sz w:val="22"/>
                <w:szCs w:val="22"/>
                <w:highlight w:val="none"/>
              </w:rPr>
              <w:t>信息、股东及出资信息、主要人员信息的截图（</w:t>
            </w:r>
            <w:r>
              <w:rPr>
                <w:rFonts w:hint="eastAsia" w:ascii="宋体" w:hAnsi="宋体" w:eastAsia="宋体" w:cs="宋体"/>
                <w:sz w:val="22"/>
                <w:szCs w:val="22"/>
                <w:highlight w:val="none"/>
                <w:lang w:eastAsia="zh-CN"/>
              </w:rPr>
              <w:t>网页截图并加盖投标单位电子章，供应商若为事业单位无法在该公示系统查询的，则针对此项做出书面承诺，格式自拟并加盖电子章</w:t>
            </w:r>
            <w:r>
              <w:rPr>
                <w:rFonts w:hint="eastAsia" w:ascii="宋体" w:hAnsi="宋体" w:eastAsia="宋体" w:cs="宋体"/>
                <w:sz w:val="22"/>
                <w:szCs w:val="22"/>
                <w:highlight w:val="none"/>
              </w:rPr>
              <w:t>）</w:t>
            </w:r>
          </w:p>
        </w:tc>
        <w:tc>
          <w:tcPr>
            <w:tcW w:w="645" w:type="dxa"/>
            <w:gridSpan w:val="2"/>
            <w:noWrap w:val="0"/>
            <w:tcMar>
              <w:top w:w="0" w:type="dxa"/>
              <w:left w:w="57" w:type="dxa"/>
              <w:bottom w:w="0" w:type="dxa"/>
              <w:right w:w="57" w:type="dxa"/>
            </w:tcMar>
            <w:vAlign w:val="center"/>
          </w:tcPr>
          <w:p w14:paraId="2390CC51">
            <w:pPr>
              <w:spacing w:line="320" w:lineRule="exact"/>
              <w:jc w:val="center"/>
              <w:rPr>
                <w:rFonts w:hint="eastAsia" w:ascii="宋体" w:hAnsi="宋体" w:cs="宋体"/>
                <w:sz w:val="22"/>
                <w:szCs w:val="22"/>
                <w:highlight w:val="none"/>
              </w:rPr>
            </w:pPr>
          </w:p>
        </w:tc>
      </w:tr>
      <w:tr w14:paraId="5A71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975" w:type="dxa"/>
            <w:gridSpan w:val="2"/>
            <w:noWrap w:val="0"/>
            <w:vAlign w:val="center"/>
          </w:tcPr>
          <w:p w14:paraId="503A963F">
            <w:pPr>
              <w:spacing w:line="440" w:lineRule="exact"/>
              <w:jc w:val="center"/>
              <w:rPr>
                <w:rFonts w:hint="eastAsia" w:ascii="宋体" w:hAnsi="宋体" w:cs="宋体"/>
                <w:b/>
                <w:sz w:val="22"/>
                <w:szCs w:val="22"/>
                <w:highlight w:val="none"/>
              </w:rPr>
            </w:pPr>
            <w:r>
              <w:rPr>
                <w:rFonts w:hint="eastAsia" w:ascii="宋体" w:hAnsi="宋体" w:cs="宋体"/>
                <w:b/>
                <w:sz w:val="22"/>
                <w:szCs w:val="22"/>
                <w:highlight w:val="none"/>
              </w:rPr>
              <w:t>结  论</w:t>
            </w:r>
          </w:p>
        </w:tc>
        <w:tc>
          <w:tcPr>
            <w:tcW w:w="5054" w:type="dxa"/>
            <w:gridSpan w:val="2"/>
            <w:noWrap w:val="0"/>
            <w:vAlign w:val="center"/>
          </w:tcPr>
          <w:p w14:paraId="59C13173">
            <w:pPr>
              <w:spacing w:line="440" w:lineRule="exact"/>
              <w:rPr>
                <w:rFonts w:hint="eastAsia" w:ascii="宋体" w:hAnsi="宋体" w:cs="宋体"/>
                <w:sz w:val="22"/>
                <w:szCs w:val="22"/>
                <w:highlight w:val="none"/>
              </w:rPr>
            </w:pPr>
            <w:r>
              <w:rPr>
                <w:rFonts w:hint="eastAsia" w:ascii="宋体" w:hAnsi="宋体" w:cs="宋体"/>
                <w:sz w:val="22"/>
                <w:szCs w:val="28"/>
                <w:highlight w:val="none"/>
              </w:rPr>
              <w:t>是否通过资格审查</w:t>
            </w:r>
          </w:p>
        </w:tc>
        <w:tc>
          <w:tcPr>
            <w:tcW w:w="640" w:type="dxa"/>
            <w:noWrap w:val="0"/>
            <w:vAlign w:val="center"/>
          </w:tcPr>
          <w:p w14:paraId="2F791F05">
            <w:pPr>
              <w:spacing w:line="440" w:lineRule="exact"/>
              <w:rPr>
                <w:rFonts w:hint="eastAsia" w:ascii="宋体" w:hAnsi="宋体" w:cs="宋体"/>
                <w:sz w:val="22"/>
                <w:szCs w:val="28"/>
                <w:highlight w:val="none"/>
              </w:rPr>
            </w:pPr>
          </w:p>
        </w:tc>
      </w:tr>
    </w:tbl>
    <w:p w14:paraId="6F931478">
      <w:pPr>
        <w:pStyle w:val="64"/>
        <w:tabs>
          <w:tab w:val="left" w:pos="720"/>
        </w:tabs>
        <w:spacing w:line="360" w:lineRule="auto"/>
        <w:ind w:left="0" w:firstLine="0"/>
        <w:jc w:val="left"/>
        <w:rPr>
          <w:rFonts w:hint="eastAsia" w:ascii="宋体" w:hAnsi="宋体" w:eastAsia="宋体" w:cs="宋体"/>
          <w:b/>
          <w:sz w:val="22"/>
          <w:szCs w:val="22"/>
          <w:highlight w:val="none"/>
        </w:rPr>
        <w:sectPr>
          <w:pgSz w:w="11906" w:h="16838"/>
          <w:pgMar w:top="1440" w:right="1416" w:bottom="1440" w:left="1701" w:header="851" w:footer="992" w:gutter="0"/>
          <w:pgNumType w:fmt="decimal"/>
          <w:cols w:space="720" w:num="1"/>
          <w:docGrid w:type="linesAndChars" w:linePitch="314" w:charSpace="532"/>
        </w:sectPr>
      </w:pPr>
      <w:r>
        <w:rPr>
          <w:rFonts w:hint="eastAsia" w:ascii="宋体" w:hAnsi="宋体" w:eastAsia="宋体" w:cs="宋体"/>
          <w:b/>
          <w:sz w:val="22"/>
          <w:szCs w:val="22"/>
          <w:highlight w:val="none"/>
        </w:rPr>
        <w:t>注：</w:t>
      </w:r>
      <w:r>
        <w:rPr>
          <w:rFonts w:hint="eastAsia" w:ascii="宋体" w:hAnsi="宋体" w:eastAsia="宋体" w:cs="宋体"/>
          <w:b/>
          <w:sz w:val="22"/>
          <w:szCs w:val="22"/>
          <w:highlight w:val="none"/>
          <w:lang w:eastAsia="zh-CN"/>
        </w:rPr>
        <w:t>供应商</w:t>
      </w:r>
      <w:r>
        <w:rPr>
          <w:rFonts w:hint="eastAsia" w:ascii="宋体" w:hAnsi="宋体" w:eastAsia="宋体" w:cs="宋体"/>
          <w:b/>
          <w:sz w:val="22"/>
          <w:szCs w:val="22"/>
          <w:highlight w:val="none"/>
        </w:rPr>
        <w:t>应根据招标文件要求资格条件提供上述资格证明文件并在河南省公共资源交易中心投标文件制作系统“资格审查材料”中上传提供的资格证明材料。否则将会影响</w:t>
      </w:r>
      <w:r>
        <w:rPr>
          <w:rFonts w:hint="eastAsia" w:ascii="宋体" w:hAnsi="宋体" w:eastAsia="宋体" w:cs="宋体"/>
          <w:b/>
          <w:sz w:val="22"/>
          <w:szCs w:val="22"/>
          <w:highlight w:val="none"/>
          <w:lang w:eastAsia="zh-CN"/>
        </w:rPr>
        <w:t>供应商</w:t>
      </w:r>
      <w:r>
        <w:rPr>
          <w:rFonts w:hint="eastAsia" w:ascii="宋体" w:hAnsi="宋体" w:eastAsia="宋体" w:cs="宋体"/>
          <w:b/>
          <w:sz w:val="22"/>
          <w:szCs w:val="22"/>
          <w:highlight w:val="none"/>
        </w:rPr>
        <w:t>资格审查结果。</w:t>
      </w:r>
    </w:p>
    <w:p w14:paraId="42480D9F">
      <w:pPr>
        <w:pStyle w:val="64"/>
        <w:tabs>
          <w:tab w:val="left" w:pos="720"/>
        </w:tabs>
        <w:spacing w:line="360" w:lineRule="auto"/>
        <w:ind w:left="0" w:firstLine="0"/>
        <w:jc w:val="center"/>
        <w:rPr>
          <w:rFonts w:hint="eastAsia" w:ascii="宋体" w:hAnsi="宋体" w:eastAsia="宋体" w:cs="宋体"/>
          <w:b/>
          <w:szCs w:val="32"/>
          <w:highlight w:val="none"/>
          <w:lang w:val="en-US" w:eastAsia="zh-CN"/>
        </w:rPr>
      </w:pPr>
      <w:r>
        <w:rPr>
          <w:rFonts w:hint="eastAsia" w:ascii="宋体" w:hAnsi="宋体" w:eastAsia="宋体" w:cs="宋体"/>
          <w:b/>
          <w:szCs w:val="32"/>
          <w:highlight w:val="none"/>
        </w:rPr>
        <w:t>二、符合性审查</w:t>
      </w:r>
      <w:r>
        <w:rPr>
          <w:rFonts w:hint="eastAsia" w:ascii="宋体" w:hAnsi="宋体" w:eastAsia="宋体" w:cs="宋体"/>
          <w:b/>
          <w:szCs w:val="32"/>
          <w:highlight w:val="none"/>
          <w:lang w:val="en-US" w:eastAsia="zh-CN"/>
        </w:rPr>
        <w:t>表</w:t>
      </w:r>
    </w:p>
    <w:tbl>
      <w:tblPr>
        <w:tblStyle w:val="82"/>
        <w:tblW w:w="8686"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702"/>
        <w:gridCol w:w="4692"/>
        <w:gridCol w:w="543"/>
      </w:tblGrid>
      <w:tr w14:paraId="7730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49" w:type="dxa"/>
            <w:noWrap w:val="0"/>
            <w:tcMar>
              <w:top w:w="0" w:type="dxa"/>
              <w:left w:w="57" w:type="dxa"/>
              <w:bottom w:w="0" w:type="dxa"/>
              <w:right w:w="57" w:type="dxa"/>
            </w:tcMar>
            <w:vAlign w:val="center"/>
          </w:tcPr>
          <w:p w14:paraId="7969418B">
            <w:pPr>
              <w:spacing w:line="360" w:lineRule="auto"/>
              <w:jc w:val="center"/>
              <w:rPr>
                <w:rFonts w:hint="eastAsia" w:ascii="宋体" w:hAnsi="宋体" w:cs="宋体"/>
                <w:szCs w:val="21"/>
                <w:highlight w:val="none"/>
              </w:rPr>
            </w:pPr>
            <w:bookmarkStart w:id="49" w:name="OLE_LINK50"/>
            <w:bookmarkStart w:id="50" w:name="OLE_LINK81"/>
            <w:bookmarkStart w:id="51" w:name="OLE_LINK51"/>
            <w:bookmarkStart w:id="52" w:name="OLE_LINK82"/>
            <w:r>
              <w:rPr>
                <w:rFonts w:hint="eastAsia" w:ascii="宋体" w:hAnsi="宋体" w:cs="宋体"/>
                <w:b/>
                <w:bCs/>
                <w:sz w:val="24"/>
                <w:highlight w:val="none"/>
              </w:rPr>
              <w:t>序号</w:t>
            </w:r>
          </w:p>
        </w:tc>
        <w:tc>
          <w:tcPr>
            <w:tcW w:w="2702" w:type="dxa"/>
            <w:noWrap w:val="0"/>
            <w:tcMar>
              <w:top w:w="0" w:type="dxa"/>
              <w:left w:w="57" w:type="dxa"/>
              <w:bottom w:w="0" w:type="dxa"/>
              <w:right w:w="57" w:type="dxa"/>
            </w:tcMar>
            <w:vAlign w:val="center"/>
          </w:tcPr>
          <w:p w14:paraId="53BEBAE8">
            <w:pPr>
              <w:spacing w:line="360" w:lineRule="auto"/>
              <w:jc w:val="center"/>
              <w:rPr>
                <w:rFonts w:hint="eastAsia" w:ascii="宋体" w:hAnsi="宋体" w:cs="宋体"/>
                <w:szCs w:val="21"/>
                <w:highlight w:val="none"/>
              </w:rPr>
            </w:pPr>
            <w:r>
              <w:rPr>
                <w:rFonts w:hint="eastAsia" w:ascii="宋体" w:hAnsi="宋体" w:cs="宋体"/>
                <w:b/>
                <w:bCs/>
                <w:sz w:val="24"/>
                <w:highlight w:val="none"/>
              </w:rPr>
              <w:t>审查因素</w:t>
            </w:r>
          </w:p>
        </w:tc>
        <w:tc>
          <w:tcPr>
            <w:tcW w:w="4692" w:type="dxa"/>
            <w:noWrap w:val="0"/>
            <w:vAlign w:val="center"/>
          </w:tcPr>
          <w:p w14:paraId="184375A5">
            <w:pPr>
              <w:spacing w:line="360" w:lineRule="auto"/>
              <w:jc w:val="center"/>
              <w:rPr>
                <w:rFonts w:hint="eastAsia" w:ascii="宋体" w:hAnsi="宋体" w:cs="宋体"/>
                <w:szCs w:val="21"/>
                <w:highlight w:val="none"/>
              </w:rPr>
            </w:pPr>
            <w:r>
              <w:rPr>
                <w:rFonts w:hint="eastAsia" w:ascii="宋体" w:hAnsi="宋体" w:eastAsia="宋体" w:cs="宋体"/>
                <w:b/>
                <w:bCs/>
                <w:sz w:val="24"/>
                <w:highlight w:val="none"/>
              </w:rPr>
              <w:t>评审标准</w:t>
            </w:r>
          </w:p>
        </w:tc>
        <w:tc>
          <w:tcPr>
            <w:tcW w:w="543" w:type="dxa"/>
            <w:noWrap w:val="0"/>
            <w:vAlign w:val="center"/>
          </w:tcPr>
          <w:p w14:paraId="71FFF982">
            <w:pPr>
              <w:spacing w:line="360" w:lineRule="auto"/>
              <w:jc w:val="center"/>
              <w:rPr>
                <w:rFonts w:hint="eastAsia" w:ascii="宋体" w:hAnsi="宋体" w:cs="宋体"/>
                <w:szCs w:val="21"/>
                <w:highlight w:val="none"/>
              </w:rPr>
            </w:pPr>
            <w:r>
              <w:rPr>
                <w:rFonts w:hint="eastAsia" w:ascii="宋体" w:hAnsi="宋体" w:cs="宋体"/>
                <w:b/>
                <w:bCs/>
                <w:sz w:val="24"/>
                <w:highlight w:val="none"/>
              </w:rPr>
              <w:t>备注</w:t>
            </w:r>
          </w:p>
        </w:tc>
      </w:tr>
      <w:tr w14:paraId="3F30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6DE530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1</w:t>
            </w:r>
          </w:p>
        </w:tc>
        <w:tc>
          <w:tcPr>
            <w:tcW w:w="2702" w:type="dxa"/>
            <w:noWrap w:val="0"/>
            <w:tcMar>
              <w:top w:w="0" w:type="dxa"/>
              <w:left w:w="57" w:type="dxa"/>
              <w:bottom w:w="0" w:type="dxa"/>
              <w:right w:w="57" w:type="dxa"/>
            </w:tcMar>
            <w:vAlign w:val="center"/>
          </w:tcPr>
          <w:p w14:paraId="56EE5F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标书雷同性分析</w:t>
            </w:r>
          </w:p>
        </w:tc>
        <w:tc>
          <w:tcPr>
            <w:tcW w:w="4692" w:type="dxa"/>
            <w:noWrap w:val="0"/>
            <w:vAlign w:val="center"/>
          </w:tcPr>
          <w:p w14:paraId="24182D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投标（响应）文件制作机器码不能一致</w:t>
            </w:r>
          </w:p>
        </w:tc>
        <w:tc>
          <w:tcPr>
            <w:tcW w:w="543" w:type="dxa"/>
            <w:noWrap w:val="0"/>
            <w:vAlign w:val="center"/>
          </w:tcPr>
          <w:p w14:paraId="283A80A6">
            <w:pPr>
              <w:spacing w:line="360" w:lineRule="auto"/>
              <w:jc w:val="center"/>
              <w:rPr>
                <w:rFonts w:hint="eastAsia" w:ascii="宋体" w:hAnsi="宋体" w:cs="宋体"/>
                <w:sz w:val="22"/>
                <w:szCs w:val="22"/>
                <w:highlight w:val="none"/>
              </w:rPr>
            </w:pPr>
          </w:p>
        </w:tc>
      </w:tr>
      <w:tr w14:paraId="292F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1C7BAE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2</w:t>
            </w:r>
          </w:p>
        </w:tc>
        <w:tc>
          <w:tcPr>
            <w:tcW w:w="2702" w:type="dxa"/>
            <w:noWrap w:val="0"/>
            <w:tcMar>
              <w:top w:w="0" w:type="dxa"/>
              <w:left w:w="57" w:type="dxa"/>
              <w:bottom w:w="0" w:type="dxa"/>
              <w:right w:w="57" w:type="dxa"/>
            </w:tcMar>
            <w:vAlign w:val="center"/>
          </w:tcPr>
          <w:p w14:paraId="7B8561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lang w:eastAsia="zh-CN"/>
              </w:rPr>
              <w:t>供应商</w:t>
            </w:r>
            <w:r>
              <w:rPr>
                <w:rFonts w:hint="eastAsia" w:ascii="宋体" w:hAnsi="宋体" w:eastAsia="宋体" w:cs="宋体"/>
                <w:sz w:val="22"/>
                <w:szCs w:val="22"/>
                <w:highlight w:val="none"/>
              </w:rPr>
              <w:t>名称</w:t>
            </w:r>
          </w:p>
        </w:tc>
        <w:tc>
          <w:tcPr>
            <w:tcW w:w="4692" w:type="dxa"/>
            <w:noWrap w:val="0"/>
            <w:vAlign w:val="center"/>
          </w:tcPr>
          <w:p w14:paraId="5C08E6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与营业执照或其他有效的证明文件一致</w:t>
            </w:r>
          </w:p>
        </w:tc>
        <w:tc>
          <w:tcPr>
            <w:tcW w:w="543" w:type="dxa"/>
            <w:noWrap w:val="0"/>
            <w:vAlign w:val="center"/>
          </w:tcPr>
          <w:p w14:paraId="0F3E10B8">
            <w:pPr>
              <w:spacing w:line="360" w:lineRule="auto"/>
              <w:jc w:val="center"/>
              <w:rPr>
                <w:rFonts w:hint="eastAsia" w:ascii="宋体" w:hAnsi="宋体" w:cs="宋体"/>
                <w:sz w:val="22"/>
                <w:szCs w:val="22"/>
                <w:highlight w:val="none"/>
              </w:rPr>
            </w:pPr>
          </w:p>
        </w:tc>
      </w:tr>
      <w:tr w14:paraId="51A6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2E218E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3</w:t>
            </w:r>
          </w:p>
        </w:tc>
        <w:tc>
          <w:tcPr>
            <w:tcW w:w="2702" w:type="dxa"/>
            <w:noWrap w:val="0"/>
            <w:tcMar>
              <w:top w:w="0" w:type="dxa"/>
              <w:left w:w="57" w:type="dxa"/>
              <w:bottom w:w="0" w:type="dxa"/>
              <w:right w:w="57" w:type="dxa"/>
            </w:tcMar>
            <w:vAlign w:val="center"/>
          </w:tcPr>
          <w:p w14:paraId="5C7E5C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投标盖章签字</w:t>
            </w:r>
          </w:p>
        </w:tc>
        <w:tc>
          <w:tcPr>
            <w:tcW w:w="4692" w:type="dxa"/>
            <w:noWrap w:val="0"/>
            <w:vAlign w:val="center"/>
          </w:tcPr>
          <w:p w14:paraId="3EF4879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符合</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供应商须知前附表</w:t>
            </w:r>
            <w:r>
              <w:rPr>
                <w:rFonts w:hint="eastAsia" w:ascii="宋体" w:hAnsi="宋体" w:eastAsia="宋体" w:cs="宋体"/>
                <w:sz w:val="22"/>
                <w:szCs w:val="22"/>
                <w:highlight w:val="none"/>
                <w:lang w:val="en-US" w:eastAsia="zh-CN"/>
              </w:rPr>
              <w:t>3.8.2</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项</w:t>
            </w:r>
            <w:r>
              <w:rPr>
                <w:rFonts w:hint="eastAsia" w:ascii="宋体" w:hAnsi="宋体" w:eastAsia="宋体" w:cs="宋体"/>
                <w:sz w:val="22"/>
                <w:szCs w:val="22"/>
                <w:highlight w:val="none"/>
              </w:rPr>
              <w:t>要求</w:t>
            </w:r>
          </w:p>
        </w:tc>
        <w:tc>
          <w:tcPr>
            <w:tcW w:w="543" w:type="dxa"/>
            <w:noWrap w:val="0"/>
            <w:vAlign w:val="center"/>
          </w:tcPr>
          <w:p w14:paraId="2CAA94FC">
            <w:pPr>
              <w:spacing w:line="360" w:lineRule="auto"/>
              <w:jc w:val="center"/>
              <w:rPr>
                <w:rFonts w:hint="eastAsia" w:ascii="宋体" w:hAnsi="宋体" w:cs="宋体"/>
                <w:sz w:val="22"/>
                <w:szCs w:val="22"/>
                <w:highlight w:val="none"/>
              </w:rPr>
            </w:pPr>
          </w:p>
        </w:tc>
      </w:tr>
      <w:tr w14:paraId="0941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054D78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val="en-US" w:eastAsia="zh-CN"/>
              </w:rPr>
              <w:t>4</w:t>
            </w:r>
          </w:p>
        </w:tc>
        <w:tc>
          <w:tcPr>
            <w:tcW w:w="2702" w:type="dxa"/>
            <w:noWrap w:val="0"/>
            <w:tcMar>
              <w:top w:w="0" w:type="dxa"/>
              <w:left w:w="57" w:type="dxa"/>
              <w:bottom w:w="0" w:type="dxa"/>
              <w:right w:w="57" w:type="dxa"/>
            </w:tcMar>
            <w:vAlign w:val="center"/>
          </w:tcPr>
          <w:p w14:paraId="2240AB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投标报价</w:t>
            </w:r>
          </w:p>
        </w:tc>
        <w:tc>
          <w:tcPr>
            <w:tcW w:w="4692" w:type="dxa"/>
            <w:noWrap w:val="0"/>
            <w:vAlign w:val="center"/>
          </w:tcPr>
          <w:p w14:paraId="02E617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投标报价未超出</w:t>
            </w:r>
            <w:r>
              <w:rPr>
                <w:rFonts w:hint="eastAsia" w:ascii="宋体" w:hAnsi="宋体" w:eastAsia="宋体" w:cs="宋体"/>
                <w:sz w:val="22"/>
                <w:szCs w:val="22"/>
                <w:highlight w:val="none"/>
                <w:lang w:val="en-US" w:eastAsia="zh-CN"/>
              </w:rPr>
              <w:t>最高限价</w:t>
            </w:r>
            <w:r>
              <w:rPr>
                <w:rFonts w:hint="eastAsia" w:ascii="宋体" w:hAnsi="宋体" w:eastAsia="宋体" w:cs="宋体"/>
                <w:sz w:val="22"/>
                <w:szCs w:val="22"/>
                <w:highlight w:val="none"/>
              </w:rPr>
              <w:t>且只有一个有效报价</w:t>
            </w:r>
          </w:p>
        </w:tc>
        <w:tc>
          <w:tcPr>
            <w:tcW w:w="543" w:type="dxa"/>
            <w:noWrap w:val="0"/>
            <w:vAlign w:val="center"/>
          </w:tcPr>
          <w:p w14:paraId="4A4FBCDD">
            <w:pPr>
              <w:spacing w:line="360" w:lineRule="auto"/>
              <w:jc w:val="center"/>
              <w:rPr>
                <w:rFonts w:hint="eastAsia" w:ascii="宋体" w:hAnsi="宋体" w:cs="宋体"/>
                <w:sz w:val="22"/>
                <w:szCs w:val="22"/>
                <w:highlight w:val="none"/>
              </w:rPr>
            </w:pPr>
          </w:p>
        </w:tc>
      </w:tr>
      <w:tr w14:paraId="3B08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3ADA15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val="en-US" w:eastAsia="zh-CN"/>
              </w:rPr>
              <w:t>5</w:t>
            </w:r>
          </w:p>
        </w:tc>
        <w:tc>
          <w:tcPr>
            <w:tcW w:w="2702" w:type="dxa"/>
            <w:noWrap w:val="0"/>
            <w:tcMar>
              <w:top w:w="0" w:type="dxa"/>
              <w:left w:w="57" w:type="dxa"/>
              <w:bottom w:w="0" w:type="dxa"/>
              <w:right w:w="57" w:type="dxa"/>
            </w:tcMar>
            <w:vAlign w:val="center"/>
          </w:tcPr>
          <w:p w14:paraId="6C322E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投标有效期</w:t>
            </w:r>
          </w:p>
        </w:tc>
        <w:tc>
          <w:tcPr>
            <w:tcW w:w="4692" w:type="dxa"/>
            <w:noWrap w:val="0"/>
            <w:vAlign w:val="center"/>
          </w:tcPr>
          <w:p w14:paraId="620A3D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符合</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供应商须知前附表</w:t>
            </w:r>
            <w:r>
              <w:rPr>
                <w:rFonts w:hint="eastAsia" w:ascii="宋体" w:hAnsi="宋体" w:eastAsia="宋体" w:cs="宋体"/>
                <w:sz w:val="22"/>
                <w:szCs w:val="22"/>
                <w:highlight w:val="none"/>
                <w:lang w:val="en-US" w:eastAsia="zh-CN"/>
              </w:rPr>
              <w:t>3.6</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项</w:t>
            </w:r>
            <w:r>
              <w:rPr>
                <w:rFonts w:hint="eastAsia" w:ascii="宋体" w:hAnsi="宋体" w:eastAsia="宋体" w:cs="宋体"/>
                <w:sz w:val="22"/>
                <w:szCs w:val="22"/>
                <w:highlight w:val="none"/>
              </w:rPr>
              <w:t>要求</w:t>
            </w:r>
          </w:p>
        </w:tc>
        <w:tc>
          <w:tcPr>
            <w:tcW w:w="543" w:type="dxa"/>
            <w:noWrap w:val="0"/>
            <w:vAlign w:val="center"/>
          </w:tcPr>
          <w:p w14:paraId="5162BE50">
            <w:pPr>
              <w:spacing w:line="360" w:lineRule="auto"/>
              <w:jc w:val="center"/>
              <w:rPr>
                <w:rFonts w:hint="eastAsia" w:ascii="宋体" w:hAnsi="宋体" w:cs="宋体"/>
                <w:sz w:val="22"/>
                <w:szCs w:val="28"/>
                <w:highlight w:val="none"/>
              </w:rPr>
            </w:pPr>
          </w:p>
        </w:tc>
      </w:tr>
      <w:tr w14:paraId="71E2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18797E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val="en-US" w:eastAsia="zh-CN"/>
              </w:rPr>
              <w:t>6</w:t>
            </w:r>
          </w:p>
        </w:tc>
        <w:tc>
          <w:tcPr>
            <w:tcW w:w="2702" w:type="dxa"/>
            <w:noWrap w:val="0"/>
            <w:tcMar>
              <w:top w:w="0" w:type="dxa"/>
              <w:left w:w="57" w:type="dxa"/>
              <w:bottom w:w="0" w:type="dxa"/>
              <w:right w:w="57" w:type="dxa"/>
            </w:tcMar>
            <w:vAlign w:val="center"/>
          </w:tcPr>
          <w:p w14:paraId="3AEBEEE1">
            <w:pPr>
              <w:pStyle w:val="398"/>
              <w:spacing w:before="65" w:line="360" w:lineRule="auto"/>
              <w:jc w:val="center"/>
              <w:rPr>
                <w:rFonts w:hint="eastAsia" w:ascii="宋体" w:hAnsi="宋体" w:eastAsia="宋体" w:cs="宋体"/>
                <w:sz w:val="21"/>
                <w:szCs w:val="22"/>
                <w:highlight w:val="none"/>
              </w:rPr>
            </w:pPr>
            <w:r>
              <w:rPr>
                <w:rFonts w:hint="eastAsia" w:ascii="宋体" w:hAnsi="宋体" w:eastAsia="宋体" w:cs="宋体"/>
                <w:spacing w:val="5"/>
                <w:sz w:val="22"/>
                <w:szCs w:val="22"/>
                <w:highlight w:val="none"/>
                <w:lang w:val="en-US" w:eastAsia="zh-CN"/>
              </w:rPr>
              <w:t>采购范围</w:t>
            </w:r>
          </w:p>
        </w:tc>
        <w:tc>
          <w:tcPr>
            <w:tcW w:w="4692" w:type="dxa"/>
            <w:noWrap w:val="0"/>
            <w:vAlign w:val="center"/>
          </w:tcPr>
          <w:p w14:paraId="4EED75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符合</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供应商须知前附表</w:t>
            </w:r>
            <w:r>
              <w:rPr>
                <w:rFonts w:hint="eastAsia" w:ascii="宋体" w:hAnsi="宋体" w:eastAsia="宋体" w:cs="宋体"/>
                <w:sz w:val="22"/>
                <w:szCs w:val="22"/>
                <w:highlight w:val="none"/>
                <w:lang w:val="en-US" w:eastAsia="zh-CN"/>
              </w:rPr>
              <w:t>1.4.1</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项</w:t>
            </w:r>
            <w:r>
              <w:rPr>
                <w:rFonts w:hint="eastAsia" w:ascii="宋体" w:hAnsi="宋体" w:eastAsia="宋体" w:cs="宋体"/>
                <w:sz w:val="22"/>
                <w:szCs w:val="22"/>
                <w:highlight w:val="none"/>
              </w:rPr>
              <w:t>要求</w:t>
            </w:r>
          </w:p>
        </w:tc>
        <w:tc>
          <w:tcPr>
            <w:tcW w:w="543" w:type="dxa"/>
            <w:noWrap w:val="0"/>
            <w:vAlign w:val="center"/>
          </w:tcPr>
          <w:p w14:paraId="7E96DFF2">
            <w:pPr>
              <w:spacing w:line="360" w:lineRule="auto"/>
              <w:jc w:val="center"/>
              <w:rPr>
                <w:rFonts w:hint="eastAsia" w:ascii="宋体" w:hAnsi="宋体" w:cs="宋体"/>
                <w:sz w:val="22"/>
                <w:szCs w:val="28"/>
                <w:highlight w:val="none"/>
              </w:rPr>
            </w:pPr>
          </w:p>
        </w:tc>
      </w:tr>
      <w:tr w14:paraId="3170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4FDD94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7</w:t>
            </w:r>
          </w:p>
        </w:tc>
        <w:tc>
          <w:tcPr>
            <w:tcW w:w="2702" w:type="dxa"/>
            <w:noWrap w:val="0"/>
            <w:tcMar>
              <w:top w:w="0" w:type="dxa"/>
              <w:left w:w="57" w:type="dxa"/>
              <w:bottom w:w="0" w:type="dxa"/>
              <w:right w:w="57" w:type="dxa"/>
            </w:tcMar>
            <w:vAlign w:val="center"/>
          </w:tcPr>
          <w:p w14:paraId="04CED6BD">
            <w:pPr>
              <w:pStyle w:val="398"/>
              <w:spacing w:before="65" w:line="360" w:lineRule="auto"/>
              <w:jc w:val="center"/>
              <w:rPr>
                <w:rFonts w:hint="default" w:ascii="宋体" w:hAnsi="宋体" w:eastAsia="宋体" w:cs="宋体"/>
                <w:sz w:val="21"/>
                <w:szCs w:val="22"/>
                <w:highlight w:val="none"/>
                <w:lang w:val="en-US" w:eastAsia="zh-CN"/>
              </w:rPr>
            </w:pPr>
            <w:r>
              <w:rPr>
                <w:rFonts w:hint="eastAsia" w:ascii="宋体" w:hAnsi="宋体" w:eastAsia="宋体" w:cs="宋体"/>
                <w:spacing w:val="5"/>
                <w:sz w:val="22"/>
                <w:szCs w:val="22"/>
                <w:highlight w:val="none"/>
                <w:lang w:val="en-US" w:eastAsia="zh-CN"/>
              </w:rPr>
              <w:t>交货期</w:t>
            </w:r>
          </w:p>
        </w:tc>
        <w:tc>
          <w:tcPr>
            <w:tcW w:w="4692" w:type="dxa"/>
            <w:noWrap w:val="0"/>
            <w:vAlign w:val="center"/>
          </w:tcPr>
          <w:p w14:paraId="32ABAF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符合</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供应商须知前附表</w:t>
            </w:r>
            <w:r>
              <w:rPr>
                <w:rFonts w:hint="eastAsia" w:ascii="宋体" w:hAnsi="宋体" w:eastAsia="宋体" w:cs="宋体"/>
                <w:sz w:val="22"/>
                <w:szCs w:val="22"/>
                <w:highlight w:val="none"/>
                <w:lang w:val="en-US" w:eastAsia="zh-CN"/>
              </w:rPr>
              <w:t>1.4.2</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项</w:t>
            </w:r>
            <w:r>
              <w:rPr>
                <w:rFonts w:hint="eastAsia" w:ascii="宋体" w:hAnsi="宋体" w:eastAsia="宋体" w:cs="宋体"/>
                <w:sz w:val="22"/>
                <w:szCs w:val="22"/>
                <w:highlight w:val="none"/>
              </w:rPr>
              <w:t>要求</w:t>
            </w:r>
          </w:p>
        </w:tc>
        <w:tc>
          <w:tcPr>
            <w:tcW w:w="543" w:type="dxa"/>
            <w:noWrap w:val="0"/>
            <w:vAlign w:val="center"/>
          </w:tcPr>
          <w:p w14:paraId="6C68A6D0">
            <w:pPr>
              <w:spacing w:line="360" w:lineRule="auto"/>
              <w:jc w:val="center"/>
              <w:rPr>
                <w:rFonts w:hint="eastAsia" w:ascii="宋体" w:hAnsi="宋体" w:cs="宋体"/>
                <w:sz w:val="22"/>
                <w:szCs w:val="28"/>
                <w:highlight w:val="none"/>
              </w:rPr>
            </w:pPr>
          </w:p>
        </w:tc>
      </w:tr>
      <w:tr w14:paraId="581C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36ACFC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8</w:t>
            </w:r>
          </w:p>
        </w:tc>
        <w:tc>
          <w:tcPr>
            <w:tcW w:w="2702" w:type="dxa"/>
            <w:noWrap w:val="0"/>
            <w:tcMar>
              <w:top w:w="0" w:type="dxa"/>
              <w:left w:w="57" w:type="dxa"/>
              <w:bottom w:w="0" w:type="dxa"/>
              <w:right w:w="57" w:type="dxa"/>
            </w:tcMar>
            <w:vAlign w:val="center"/>
          </w:tcPr>
          <w:p w14:paraId="047D51FF">
            <w:pPr>
              <w:pStyle w:val="398"/>
              <w:spacing w:before="65" w:line="360" w:lineRule="auto"/>
              <w:jc w:val="center"/>
              <w:rPr>
                <w:rFonts w:hint="default" w:ascii="宋体" w:hAnsi="宋体" w:eastAsia="宋体" w:cs="宋体"/>
                <w:sz w:val="21"/>
                <w:szCs w:val="22"/>
                <w:highlight w:val="none"/>
                <w:lang w:val="en-US" w:eastAsia="zh-CN"/>
              </w:rPr>
            </w:pPr>
            <w:r>
              <w:rPr>
                <w:rFonts w:hint="eastAsia" w:ascii="宋体" w:hAnsi="宋体" w:eastAsia="宋体" w:cs="宋体"/>
                <w:spacing w:val="5"/>
                <w:sz w:val="22"/>
                <w:szCs w:val="22"/>
                <w:highlight w:val="none"/>
                <w:lang w:val="en-US" w:eastAsia="zh-CN"/>
              </w:rPr>
              <w:t>采购地点</w:t>
            </w:r>
          </w:p>
        </w:tc>
        <w:tc>
          <w:tcPr>
            <w:tcW w:w="4692" w:type="dxa"/>
            <w:noWrap w:val="0"/>
            <w:vAlign w:val="center"/>
          </w:tcPr>
          <w:p w14:paraId="47F6BDD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符合</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供应商须知前附表</w:t>
            </w:r>
            <w:r>
              <w:rPr>
                <w:rFonts w:hint="eastAsia" w:ascii="宋体" w:hAnsi="宋体" w:eastAsia="宋体" w:cs="宋体"/>
                <w:sz w:val="22"/>
                <w:szCs w:val="22"/>
                <w:highlight w:val="none"/>
                <w:lang w:val="en-US" w:eastAsia="zh-CN"/>
              </w:rPr>
              <w:t>1.1.5</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项</w:t>
            </w:r>
            <w:r>
              <w:rPr>
                <w:rFonts w:hint="eastAsia" w:ascii="宋体" w:hAnsi="宋体" w:eastAsia="宋体" w:cs="宋体"/>
                <w:sz w:val="22"/>
                <w:szCs w:val="22"/>
                <w:highlight w:val="none"/>
              </w:rPr>
              <w:t>要求</w:t>
            </w:r>
          </w:p>
        </w:tc>
        <w:tc>
          <w:tcPr>
            <w:tcW w:w="543" w:type="dxa"/>
            <w:noWrap w:val="0"/>
            <w:vAlign w:val="center"/>
          </w:tcPr>
          <w:p w14:paraId="6E8AE86A">
            <w:pPr>
              <w:spacing w:line="360" w:lineRule="auto"/>
              <w:jc w:val="center"/>
              <w:rPr>
                <w:rFonts w:hint="eastAsia" w:ascii="宋体" w:hAnsi="宋体" w:cs="宋体"/>
                <w:sz w:val="22"/>
                <w:szCs w:val="28"/>
                <w:highlight w:val="none"/>
              </w:rPr>
            </w:pPr>
          </w:p>
        </w:tc>
      </w:tr>
      <w:tr w14:paraId="668F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7B90FB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9</w:t>
            </w:r>
          </w:p>
        </w:tc>
        <w:tc>
          <w:tcPr>
            <w:tcW w:w="2702" w:type="dxa"/>
            <w:noWrap w:val="0"/>
            <w:tcMar>
              <w:top w:w="0" w:type="dxa"/>
              <w:left w:w="57" w:type="dxa"/>
              <w:bottom w:w="0" w:type="dxa"/>
              <w:right w:w="57" w:type="dxa"/>
            </w:tcMar>
            <w:vAlign w:val="center"/>
          </w:tcPr>
          <w:p w14:paraId="3542518E">
            <w:pPr>
              <w:pStyle w:val="398"/>
              <w:spacing w:before="65" w:line="360" w:lineRule="auto"/>
              <w:jc w:val="center"/>
              <w:rPr>
                <w:rFonts w:hint="default" w:ascii="宋体" w:hAnsi="宋体" w:eastAsia="宋体" w:cs="宋体"/>
                <w:sz w:val="21"/>
                <w:szCs w:val="22"/>
                <w:highlight w:val="none"/>
                <w:lang w:val="en-US" w:eastAsia="zh-CN"/>
              </w:rPr>
            </w:pPr>
            <w:r>
              <w:rPr>
                <w:rFonts w:hint="eastAsia" w:ascii="宋体" w:hAnsi="宋体" w:eastAsia="宋体" w:cs="宋体"/>
                <w:spacing w:val="5"/>
                <w:sz w:val="22"/>
                <w:szCs w:val="22"/>
                <w:highlight w:val="none"/>
                <w:lang w:val="en-US" w:eastAsia="zh-CN"/>
              </w:rPr>
              <w:t>质量标准</w:t>
            </w:r>
          </w:p>
        </w:tc>
        <w:tc>
          <w:tcPr>
            <w:tcW w:w="4692" w:type="dxa"/>
            <w:noWrap w:val="0"/>
            <w:vAlign w:val="center"/>
          </w:tcPr>
          <w:p w14:paraId="3E76521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符合</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供应商须知前附表</w:t>
            </w:r>
            <w:r>
              <w:rPr>
                <w:rFonts w:hint="eastAsia" w:ascii="宋体" w:hAnsi="宋体" w:eastAsia="宋体" w:cs="宋体"/>
                <w:sz w:val="22"/>
                <w:szCs w:val="22"/>
                <w:highlight w:val="none"/>
                <w:lang w:val="en-US" w:eastAsia="zh-CN"/>
              </w:rPr>
              <w:t>1.4.3</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项</w:t>
            </w:r>
            <w:r>
              <w:rPr>
                <w:rFonts w:hint="eastAsia" w:ascii="宋体" w:hAnsi="宋体" w:eastAsia="宋体" w:cs="宋体"/>
                <w:sz w:val="22"/>
                <w:szCs w:val="22"/>
                <w:highlight w:val="none"/>
              </w:rPr>
              <w:t>要求</w:t>
            </w:r>
          </w:p>
        </w:tc>
        <w:tc>
          <w:tcPr>
            <w:tcW w:w="543" w:type="dxa"/>
            <w:noWrap w:val="0"/>
            <w:vAlign w:val="center"/>
          </w:tcPr>
          <w:p w14:paraId="67E93E78">
            <w:pPr>
              <w:spacing w:line="360" w:lineRule="auto"/>
              <w:jc w:val="center"/>
              <w:rPr>
                <w:rFonts w:hint="eastAsia" w:ascii="宋体" w:hAnsi="宋体" w:cs="宋体"/>
                <w:sz w:val="22"/>
                <w:szCs w:val="22"/>
                <w:highlight w:val="none"/>
              </w:rPr>
            </w:pPr>
          </w:p>
        </w:tc>
      </w:tr>
      <w:tr w14:paraId="1586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5DF7DA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2"/>
                <w:szCs w:val="22"/>
                <w:highlight w:val="none"/>
                <w:lang w:val="en-US" w:eastAsia="zh-CN"/>
              </w:rPr>
            </w:pPr>
            <w:r>
              <w:rPr>
                <w:rFonts w:hint="eastAsia" w:ascii="宋体" w:hAnsi="宋体" w:eastAsia="宋体" w:cs="宋体"/>
                <w:sz w:val="22"/>
                <w:szCs w:val="22"/>
                <w:highlight w:val="none"/>
              </w:rPr>
              <w:t>1</w:t>
            </w:r>
            <w:r>
              <w:rPr>
                <w:rFonts w:hint="eastAsia" w:ascii="宋体" w:hAnsi="宋体" w:eastAsia="宋体" w:cs="宋体"/>
                <w:sz w:val="22"/>
                <w:szCs w:val="22"/>
                <w:highlight w:val="none"/>
                <w:lang w:val="en-US" w:eastAsia="zh-CN"/>
              </w:rPr>
              <w:t>0</w:t>
            </w:r>
          </w:p>
        </w:tc>
        <w:tc>
          <w:tcPr>
            <w:tcW w:w="2702" w:type="dxa"/>
            <w:noWrap w:val="0"/>
            <w:tcMar>
              <w:top w:w="0" w:type="dxa"/>
              <w:left w:w="57" w:type="dxa"/>
              <w:bottom w:w="0" w:type="dxa"/>
              <w:right w:w="57" w:type="dxa"/>
            </w:tcMar>
            <w:vAlign w:val="center"/>
          </w:tcPr>
          <w:p w14:paraId="1D61ED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付款方式</w:t>
            </w:r>
          </w:p>
        </w:tc>
        <w:tc>
          <w:tcPr>
            <w:tcW w:w="4692" w:type="dxa"/>
            <w:noWrap w:val="0"/>
            <w:vAlign w:val="center"/>
          </w:tcPr>
          <w:p w14:paraId="11BFD4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rPr>
              <w:t>符合招标文件</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第四章 合同条款及格式”</w:t>
            </w:r>
            <w:r>
              <w:rPr>
                <w:rFonts w:hint="eastAsia" w:ascii="宋体" w:hAnsi="宋体" w:eastAsia="宋体" w:cs="宋体"/>
                <w:sz w:val="22"/>
                <w:szCs w:val="22"/>
                <w:highlight w:val="none"/>
              </w:rPr>
              <w:t>要求</w:t>
            </w:r>
          </w:p>
        </w:tc>
        <w:tc>
          <w:tcPr>
            <w:tcW w:w="543" w:type="dxa"/>
            <w:noWrap w:val="0"/>
            <w:vAlign w:val="center"/>
          </w:tcPr>
          <w:p w14:paraId="0C3B0B87">
            <w:pPr>
              <w:spacing w:line="360" w:lineRule="auto"/>
              <w:jc w:val="center"/>
              <w:rPr>
                <w:rFonts w:hint="eastAsia" w:ascii="宋体" w:hAnsi="宋体" w:cs="宋体"/>
                <w:sz w:val="22"/>
                <w:szCs w:val="28"/>
                <w:highlight w:val="none"/>
              </w:rPr>
            </w:pPr>
          </w:p>
        </w:tc>
      </w:tr>
      <w:tr w14:paraId="1E69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49" w:type="dxa"/>
            <w:noWrap w:val="0"/>
            <w:tcMar>
              <w:top w:w="0" w:type="dxa"/>
              <w:left w:w="57" w:type="dxa"/>
              <w:bottom w:w="0" w:type="dxa"/>
              <w:right w:w="57" w:type="dxa"/>
            </w:tcMar>
            <w:vAlign w:val="center"/>
          </w:tcPr>
          <w:p w14:paraId="38B8E2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11</w:t>
            </w:r>
          </w:p>
        </w:tc>
        <w:tc>
          <w:tcPr>
            <w:tcW w:w="2702" w:type="dxa"/>
            <w:noWrap w:val="0"/>
            <w:tcMar>
              <w:top w:w="0" w:type="dxa"/>
              <w:left w:w="57" w:type="dxa"/>
              <w:bottom w:w="0" w:type="dxa"/>
              <w:right w:w="57" w:type="dxa"/>
            </w:tcMar>
            <w:vAlign w:val="center"/>
          </w:tcPr>
          <w:p w14:paraId="0E5B40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其他实质性要求</w:t>
            </w:r>
          </w:p>
        </w:tc>
        <w:tc>
          <w:tcPr>
            <w:tcW w:w="4692" w:type="dxa"/>
            <w:noWrap w:val="0"/>
            <w:vAlign w:val="center"/>
          </w:tcPr>
          <w:p w14:paraId="7A3F485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符合招标</w:t>
            </w:r>
            <w:r>
              <w:rPr>
                <w:rFonts w:hint="eastAsia" w:ascii="宋体" w:hAnsi="宋体" w:eastAsia="宋体" w:cs="宋体"/>
                <w:sz w:val="22"/>
                <w:szCs w:val="22"/>
                <w:highlight w:val="none"/>
                <w:lang w:val="en-US" w:eastAsia="zh-CN"/>
              </w:rPr>
              <w:t>文件</w:t>
            </w:r>
            <w:r>
              <w:rPr>
                <w:rFonts w:hint="eastAsia" w:ascii="宋体" w:hAnsi="宋体" w:eastAsia="宋体" w:cs="宋体"/>
                <w:sz w:val="22"/>
                <w:szCs w:val="22"/>
                <w:highlight w:val="none"/>
              </w:rPr>
              <w:t>规定的其他实质性响应情形</w:t>
            </w:r>
          </w:p>
        </w:tc>
        <w:tc>
          <w:tcPr>
            <w:tcW w:w="543" w:type="dxa"/>
            <w:noWrap w:val="0"/>
            <w:vAlign w:val="center"/>
          </w:tcPr>
          <w:p w14:paraId="48241FAC">
            <w:pPr>
              <w:spacing w:line="360" w:lineRule="auto"/>
              <w:jc w:val="center"/>
              <w:outlineLvl w:val="9"/>
              <w:rPr>
                <w:rFonts w:hint="eastAsia" w:ascii="宋体" w:hAnsi="宋体" w:cs="宋体"/>
                <w:sz w:val="22"/>
                <w:szCs w:val="28"/>
                <w:highlight w:val="none"/>
              </w:rPr>
            </w:pPr>
          </w:p>
        </w:tc>
      </w:tr>
      <w:tr w14:paraId="69C2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451" w:type="dxa"/>
            <w:gridSpan w:val="2"/>
            <w:noWrap w:val="0"/>
            <w:tcMar>
              <w:top w:w="0" w:type="dxa"/>
              <w:left w:w="57" w:type="dxa"/>
              <w:bottom w:w="0" w:type="dxa"/>
              <w:right w:w="57" w:type="dxa"/>
            </w:tcMar>
            <w:vAlign w:val="center"/>
          </w:tcPr>
          <w:p w14:paraId="501573A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结论</w:t>
            </w:r>
          </w:p>
        </w:tc>
        <w:tc>
          <w:tcPr>
            <w:tcW w:w="4692" w:type="dxa"/>
            <w:noWrap w:val="0"/>
            <w:vAlign w:val="center"/>
          </w:tcPr>
          <w:p w14:paraId="60E215D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是否通过符合性审查</w:t>
            </w:r>
          </w:p>
        </w:tc>
        <w:tc>
          <w:tcPr>
            <w:tcW w:w="543" w:type="dxa"/>
            <w:noWrap w:val="0"/>
            <w:vAlign w:val="center"/>
          </w:tcPr>
          <w:p w14:paraId="3082900C">
            <w:pPr>
              <w:spacing w:line="360" w:lineRule="auto"/>
              <w:rPr>
                <w:rFonts w:hint="eastAsia" w:ascii="宋体" w:hAnsi="宋体" w:cs="宋体"/>
                <w:sz w:val="22"/>
                <w:szCs w:val="28"/>
                <w:highlight w:val="none"/>
              </w:rPr>
            </w:pPr>
          </w:p>
        </w:tc>
      </w:tr>
    </w:tbl>
    <w:p w14:paraId="5F2B3822">
      <w:pPr>
        <w:pStyle w:val="64"/>
        <w:tabs>
          <w:tab w:val="left" w:pos="720"/>
        </w:tabs>
        <w:spacing w:line="360" w:lineRule="auto"/>
        <w:ind w:left="0" w:firstLine="0"/>
        <w:jc w:val="center"/>
        <w:rPr>
          <w:rFonts w:hint="eastAsia" w:ascii="宋体" w:hAnsi="宋体" w:eastAsia="宋体" w:cs="宋体"/>
          <w:color w:val="auto"/>
          <w:sz w:val="24"/>
          <w:highlight w:val="none"/>
        </w:rPr>
      </w:pPr>
      <w:r>
        <w:rPr>
          <w:rFonts w:hint="eastAsia" w:ascii="宋体" w:hAnsi="宋体" w:eastAsia="宋体" w:cs="宋体"/>
          <w:b/>
          <w:szCs w:val="32"/>
          <w:highlight w:val="none"/>
        </w:rPr>
        <w:br w:type="page"/>
      </w:r>
      <w:r>
        <w:rPr>
          <w:rFonts w:hint="eastAsia" w:ascii="宋体" w:hAnsi="宋体" w:eastAsia="宋体" w:cs="宋体"/>
          <w:b/>
          <w:color w:val="auto"/>
          <w:szCs w:val="32"/>
          <w:highlight w:val="none"/>
        </w:rPr>
        <w:t>三、评</w:t>
      </w:r>
      <w:r>
        <w:rPr>
          <w:rFonts w:hint="eastAsia" w:ascii="宋体" w:hAnsi="宋体" w:eastAsia="宋体" w:cs="宋体"/>
          <w:b/>
          <w:color w:val="auto"/>
          <w:szCs w:val="32"/>
          <w:highlight w:val="none"/>
          <w:lang w:val="en-US" w:eastAsia="zh-CN"/>
        </w:rPr>
        <w:t>审</w:t>
      </w:r>
      <w:r>
        <w:rPr>
          <w:rFonts w:hint="eastAsia" w:ascii="宋体" w:hAnsi="宋体" w:eastAsia="宋体" w:cs="宋体"/>
          <w:b/>
          <w:color w:val="auto"/>
          <w:szCs w:val="32"/>
          <w:highlight w:val="none"/>
        </w:rPr>
        <w:t>办法</w:t>
      </w:r>
    </w:p>
    <w:bookmarkEnd w:id="49"/>
    <w:bookmarkEnd w:id="50"/>
    <w:bookmarkEnd w:id="51"/>
    <w:bookmarkEnd w:id="52"/>
    <w:p w14:paraId="28E7873E">
      <w:pPr>
        <w:pStyle w:val="64"/>
        <w:tabs>
          <w:tab w:val="left" w:pos="720"/>
        </w:tabs>
        <w:spacing w:line="360" w:lineRule="auto"/>
        <w:ind w:left="0" w:firstLine="0"/>
        <w:jc w:val="center"/>
        <w:outlineLvl w:val="2"/>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综合评分法</w:t>
      </w:r>
      <w:r>
        <w:rPr>
          <w:rFonts w:hint="eastAsia" w:ascii="宋体" w:hAnsi="宋体" w:eastAsia="宋体" w:cs="宋体"/>
          <w:b/>
          <w:color w:val="auto"/>
          <w:sz w:val="24"/>
          <w:highlight w:val="none"/>
          <w:lang w:eastAsia="zh-CN"/>
        </w:rPr>
        <w:t>）</w:t>
      </w:r>
    </w:p>
    <w:p w14:paraId="35E13BBD">
      <w:pPr>
        <w:pStyle w:val="64"/>
        <w:tabs>
          <w:tab w:val="left" w:pos="720"/>
        </w:tabs>
        <w:spacing w:line="360" w:lineRule="auto"/>
        <w:ind w:left="0" w:firstLine="480" w:firstLineChars="200"/>
        <w:rPr>
          <w:rFonts w:hint="eastAsia" w:ascii="宋体" w:hAnsi="宋体" w:eastAsia="宋体" w:cs="宋体"/>
          <w:sz w:val="24"/>
          <w:highlight w:val="none"/>
        </w:rPr>
      </w:pPr>
      <w:r>
        <w:rPr>
          <w:rFonts w:hint="eastAsia" w:ascii="宋体" w:hAnsi="宋体" w:eastAsia="宋体" w:cs="宋体"/>
          <w:sz w:val="24"/>
          <w:highlight w:val="none"/>
        </w:rPr>
        <w:t>按照《政府采购货物和服务招标投标管理办法》等有关规定，结合本次采购具体情况，制定本办法。</w:t>
      </w:r>
    </w:p>
    <w:tbl>
      <w:tblPr>
        <w:tblStyle w:val="8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695"/>
        <w:gridCol w:w="6058"/>
      </w:tblGrid>
      <w:tr w14:paraId="68E5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13" w:type="pct"/>
            <w:noWrap w:val="0"/>
            <w:vAlign w:val="center"/>
          </w:tcPr>
          <w:p w14:paraId="219E3BBC">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分值构成</w:t>
            </w:r>
          </w:p>
        </w:tc>
        <w:tc>
          <w:tcPr>
            <w:tcW w:w="937" w:type="pct"/>
            <w:noWrap w:val="0"/>
            <w:vAlign w:val="center"/>
          </w:tcPr>
          <w:p w14:paraId="49605EBE">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评审因素</w:t>
            </w:r>
          </w:p>
        </w:tc>
        <w:tc>
          <w:tcPr>
            <w:tcW w:w="3349" w:type="pct"/>
            <w:noWrap w:val="0"/>
            <w:vAlign w:val="center"/>
          </w:tcPr>
          <w:p w14:paraId="08138559">
            <w:pPr>
              <w:pStyle w:val="64"/>
              <w:tabs>
                <w:tab w:val="left" w:pos="720"/>
              </w:tabs>
              <w:spacing w:line="360" w:lineRule="auto"/>
              <w:ind w:left="0" w:firstLine="480" w:firstLineChars="200"/>
              <w:rPr>
                <w:rFonts w:hint="eastAsia" w:ascii="宋体" w:hAnsi="宋体" w:eastAsia="宋体" w:cs="宋体"/>
                <w:sz w:val="24"/>
                <w:highlight w:val="none"/>
              </w:rPr>
            </w:pPr>
            <w:r>
              <w:rPr>
                <w:rFonts w:hint="eastAsia" w:ascii="宋体" w:hAnsi="宋体" w:eastAsia="宋体" w:cs="宋体"/>
                <w:sz w:val="24"/>
                <w:highlight w:val="none"/>
              </w:rPr>
              <w:t>评审标准</w:t>
            </w:r>
          </w:p>
        </w:tc>
      </w:tr>
      <w:tr w14:paraId="61F7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13" w:type="pct"/>
            <w:vMerge w:val="restart"/>
            <w:noWrap w:val="0"/>
            <w:vAlign w:val="center"/>
          </w:tcPr>
          <w:p w14:paraId="12002508">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投标报价</w:t>
            </w:r>
          </w:p>
          <w:p w14:paraId="5A923647">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（30分）</w:t>
            </w:r>
          </w:p>
        </w:tc>
        <w:tc>
          <w:tcPr>
            <w:tcW w:w="937" w:type="pct"/>
            <w:noWrap w:val="0"/>
            <w:vAlign w:val="center"/>
          </w:tcPr>
          <w:p w14:paraId="5E960804">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评标基准价</w:t>
            </w:r>
          </w:p>
        </w:tc>
        <w:tc>
          <w:tcPr>
            <w:tcW w:w="3349" w:type="pct"/>
            <w:noWrap w:val="0"/>
            <w:vAlign w:val="center"/>
          </w:tcPr>
          <w:p w14:paraId="5A620217">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即通过初步评审满足招标文件要求且报价最低的为评标基准价</w:t>
            </w:r>
          </w:p>
        </w:tc>
      </w:tr>
      <w:tr w14:paraId="412D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13" w:type="pct"/>
            <w:vMerge w:val="continue"/>
            <w:noWrap w:val="0"/>
            <w:vAlign w:val="center"/>
          </w:tcPr>
          <w:p w14:paraId="4CE90636">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0C557AB6">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价格扣除</w:t>
            </w:r>
          </w:p>
        </w:tc>
        <w:tc>
          <w:tcPr>
            <w:tcW w:w="3349" w:type="pct"/>
            <w:noWrap w:val="0"/>
            <w:vAlign w:val="center"/>
          </w:tcPr>
          <w:p w14:paraId="3C03EDEB">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1.投标供应商符合小微企业、监狱企业、残疾人福利性单位政策扶持规定的，用扣除后的价格参与投标报价评审。小微企业的评标报价=小微企业的投标报价×（1-10%）</w:t>
            </w:r>
          </w:p>
          <w:p w14:paraId="6054B73A">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2.政府优先采购节能产品（非标记“★”产品）、环境标志产品清单所列产品价格给予扣除标准</w:t>
            </w:r>
          </w:p>
          <w:p w14:paraId="47B246F4">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节能、环保产品的评标报价=企业的投标报价×（1-3%）</w:t>
            </w:r>
          </w:p>
          <w:p w14:paraId="0809A609">
            <w:pPr>
              <w:pStyle w:val="64"/>
              <w:tabs>
                <w:tab w:val="left" w:pos="720"/>
              </w:tabs>
              <w:spacing w:line="360" w:lineRule="auto"/>
              <w:ind w:left="0"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注：对于同时列入环保清单和节能产品政府采购清单的产品，只给予其中一个清单的产品的价格扣除，不重复给予价格扣除。</w:t>
            </w:r>
            <w:r>
              <w:rPr>
                <w:rFonts w:hint="eastAsia" w:ascii="宋体" w:hAnsi="宋体" w:eastAsia="宋体" w:cs="宋体"/>
                <w:b/>
                <w:bCs/>
                <w:sz w:val="24"/>
                <w:szCs w:val="24"/>
                <w:highlight w:val="none"/>
                <w:lang w:val="en-US" w:eastAsia="zh-CN"/>
              </w:rPr>
              <w:t>（节能产品、环境标志产品清单详见“第六章”）</w:t>
            </w:r>
          </w:p>
          <w:p w14:paraId="111DB007">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szCs w:val="24"/>
                <w:highlight w:val="none"/>
                <w:lang w:val="en-US" w:eastAsia="zh-CN"/>
              </w:rPr>
              <w:t>若供货产品中属于“环境标志产品清单”及“节能产品清单”中</w:t>
            </w:r>
            <w:r>
              <w:rPr>
                <w:rFonts w:hint="eastAsia" w:ascii="宋体" w:hAnsi="宋体" w:eastAsia="宋体" w:cs="宋体"/>
                <w:b/>
                <w:bCs/>
                <w:sz w:val="24"/>
                <w:szCs w:val="24"/>
                <w:highlight w:val="none"/>
                <w:lang w:val="en-US" w:eastAsia="zh-CN"/>
              </w:rPr>
              <w:t>非标记“★”的产品，</w:t>
            </w:r>
            <w:r>
              <w:rPr>
                <w:rFonts w:hint="eastAsia" w:ascii="宋体" w:hAnsi="宋体" w:eastAsia="宋体" w:cs="宋体"/>
                <w:sz w:val="24"/>
                <w:szCs w:val="24"/>
                <w:highlight w:val="none"/>
                <w:lang w:val="en-US" w:eastAsia="zh-CN"/>
              </w:rPr>
              <w:t>并经“机构名录”中的认证机构出具相应的产品认证证书的给予优先采购。对于评标委员会认可的政府优先采购节能产品，给予该合同包节能产品报价总金额 3％的价格扣除，用扣除后的价格参与评审。供应商须提供所投产品在财政部和发展改革委联合下发的节能产品政府采购品目清单之内的有效证明材料及国家确定的认证机构出具的（国家市场监督总局公布的认证机构）、处于有效期之内的产品认证证书，否则不予认可。</w:t>
            </w:r>
          </w:p>
        </w:tc>
      </w:tr>
      <w:tr w14:paraId="2718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3" w:type="pct"/>
            <w:vMerge w:val="continue"/>
            <w:noWrap w:val="0"/>
            <w:vAlign w:val="center"/>
          </w:tcPr>
          <w:p w14:paraId="7A322641">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5A01B1DE">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投标报价得分（30分）</w:t>
            </w:r>
          </w:p>
        </w:tc>
        <w:tc>
          <w:tcPr>
            <w:tcW w:w="3349" w:type="pct"/>
            <w:noWrap w:val="0"/>
            <w:vAlign w:val="center"/>
          </w:tcPr>
          <w:p w14:paraId="319F1CB0">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价格分采用低价优先法计算（最终得分计算保留小数点后两位）：</w:t>
            </w:r>
          </w:p>
          <w:p w14:paraId="0EB3050C">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报价得分=（评标基准价/评标报价）×30%×100</w:t>
            </w:r>
          </w:p>
          <w:p w14:paraId="26EE73B5">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评标委员会认为投标供应商的报价明显低于其他通过初步审查投标供应商的报价，有可能影响产品质量或者不能诚信履约的，应当要求其在评标现场合理的时间内提供书面说明，必要时提交相关证明材料；投标供应商不能证明其报价合理性的，评标委员会应当将其作为无效投标处理。</w:t>
            </w:r>
          </w:p>
        </w:tc>
      </w:tr>
      <w:tr w14:paraId="5403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pct"/>
            <w:vMerge w:val="restart"/>
            <w:noWrap w:val="0"/>
            <w:vAlign w:val="center"/>
          </w:tcPr>
          <w:p w14:paraId="195A6448">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商务部分</w:t>
            </w:r>
          </w:p>
          <w:p w14:paraId="197565E8">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12</w:t>
            </w:r>
            <w:r>
              <w:rPr>
                <w:rFonts w:hint="eastAsia" w:ascii="宋体" w:hAnsi="宋体" w:eastAsia="宋体" w:cs="宋体"/>
                <w:sz w:val="24"/>
                <w:highlight w:val="none"/>
              </w:rPr>
              <w:t>分）</w:t>
            </w:r>
          </w:p>
        </w:tc>
        <w:tc>
          <w:tcPr>
            <w:tcW w:w="937" w:type="pct"/>
            <w:noWrap w:val="0"/>
            <w:vAlign w:val="center"/>
          </w:tcPr>
          <w:p w14:paraId="327507E8">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设备合同业绩（4分）</w:t>
            </w:r>
          </w:p>
        </w:tc>
        <w:tc>
          <w:tcPr>
            <w:tcW w:w="3349" w:type="pct"/>
            <w:noWrap w:val="0"/>
            <w:vAlign w:val="center"/>
          </w:tcPr>
          <w:p w14:paraId="5B344E84">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供应商提供2021年1月1日以来类似产品的合同业绩完整扫描件，合同业绩应包含合同、中标（成交）通知书，合同一方应为产品最终使用方，合同另一方不限定主体，每提供一份完全符合要求的合同业绩得2分，最高得4分。</w:t>
            </w:r>
          </w:p>
        </w:tc>
      </w:tr>
      <w:tr w14:paraId="4926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3" w:type="pct"/>
            <w:vMerge w:val="continue"/>
            <w:noWrap w:val="0"/>
            <w:vAlign w:val="center"/>
          </w:tcPr>
          <w:p w14:paraId="48F0F5C7">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36AB56B4">
            <w:pPr>
              <w:pStyle w:val="64"/>
              <w:tabs>
                <w:tab w:val="left" w:pos="720"/>
              </w:tabs>
              <w:spacing w:line="360" w:lineRule="auto"/>
              <w:ind w:left="0" w:leftChars="0" w:firstLine="0" w:firstLineChars="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质保期（2分）</w:t>
            </w:r>
          </w:p>
        </w:tc>
        <w:tc>
          <w:tcPr>
            <w:tcW w:w="3349" w:type="pct"/>
            <w:noWrap w:val="0"/>
            <w:vAlign w:val="center"/>
          </w:tcPr>
          <w:p w14:paraId="03CD9343">
            <w:pPr>
              <w:pStyle w:val="64"/>
              <w:tabs>
                <w:tab w:val="left" w:pos="720"/>
              </w:tabs>
              <w:spacing w:line="360" w:lineRule="auto"/>
              <w:ind w:left="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优于招标文件要求的，按照响应情况支气管镜系统、便携式支气管镜原厂质保期每增加1年得 1分，最多得2分。（注：质保期只增加其中一种的，不得分；时间不足1年的，不得分。）</w:t>
            </w:r>
          </w:p>
        </w:tc>
      </w:tr>
      <w:tr w14:paraId="3A27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3" w:type="pct"/>
            <w:vMerge w:val="continue"/>
            <w:noWrap w:val="0"/>
            <w:vAlign w:val="center"/>
          </w:tcPr>
          <w:p w14:paraId="51292A7C">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2AA335BC">
            <w:pPr>
              <w:pStyle w:val="64"/>
              <w:tabs>
                <w:tab w:val="left" w:pos="720"/>
              </w:tabs>
              <w:spacing w:line="360" w:lineRule="auto"/>
              <w:ind w:left="0" w:leftChars="0" w:firstLine="0" w:firstLineChars="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项目整体实施方案（6分）</w:t>
            </w:r>
          </w:p>
        </w:tc>
        <w:tc>
          <w:tcPr>
            <w:tcW w:w="3349" w:type="pct"/>
            <w:noWrap w:val="0"/>
            <w:vAlign w:val="center"/>
          </w:tcPr>
          <w:p w14:paraId="427BAA34">
            <w:pPr>
              <w:pStyle w:val="64"/>
              <w:tabs>
                <w:tab w:val="left" w:pos="720"/>
              </w:tabs>
              <w:spacing w:line="360" w:lineRule="auto"/>
              <w:ind w:left="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供应商提供详细的实施部署方案，包括实施计划、项目实施人员、部署方案等，评委根据其内容是否准确理解采购人需求并能够充分满足采购人需求，实施重点难点分析是否得当，实施部署方案是否合理等方面进行综合评价，具体分值范围如下：</w:t>
            </w:r>
          </w:p>
          <w:p w14:paraId="271E0D5E">
            <w:pPr>
              <w:pStyle w:val="64"/>
              <w:tabs>
                <w:tab w:val="left" w:pos="720"/>
              </w:tabs>
              <w:spacing w:line="360" w:lineRule="auto"/>
              <w:ind w:left="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所投实施部署方案合理成熟，能充分满足采购需求，实施重点难点分析非常得当，人员配备非常合理，可控性强，对招标文件的响应程度高得6分；</w:t>
            </w:r>
          </w:p>
          <w:p w14:paraId="5E5ECB18">
            <w:pPr>
              <w:pStyle w:val="64"/>
              <w:tabs>
                <w:tab w:val="left" w:pos="720"/>
              </w:tabs>
              <w:spacing w:line="360" w:lineRule="auto"/>
              <w:ind w:left="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所投实施部署方案较合理，能满足采购需求，实施重点难点分析比较得当，人员配备比较合理，可控性较强，对招标文件的响应程度较高得3分；</w:t>
            </w:r>
          </w:p>
          <w:p w14:paraId="4E7F8924">
            <w:pPr>
              <w:pStyle w:val="64"/>
              <w:tabs>
                <w:tab w:val="left" w:pos="720"/>
              </w:tabs>
              <w:spacing w:line="360" w:lineRule="auto"/>
              <w:ind w:left="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所投实施部署方案一般，基本满足采购需求，实施重点难点分析基本得当，人员配备合理性一般，可控性一般，对招标文件的响应程度一般得1分；不提供不得分</w:t>
            </w:r>
          </w:p>
        </w:tc>
      </w:tr>
      <w:tr w14:paraId="2249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3" w:type="pct"/>
            <w:vMerge w:val="restart"/>
            <w:noWrap w:val="0"/>
            <w:vAlign w:val="center"/>
          </w:tcPr>
          <w:p w14:paraId="4BE62ADD">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技术部分</w:t>
            </w:r>
          </w:p>
          <w:p w14:paraId="410E88B6">
            <w:pPr>
              <w:pStyle w:val="64"/>
              <w:tabs>
                <w:tab w:val="left" w:pos="720"/>
              </w:tabs>
              <w:spacing w:line="360" w:lineRule="auto"/>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58</w:t>
            </w:r>
            <w:r>
              <w:rPr>
                <w:rFonts w:hint="eastAsia" w:ascii="宋体" w:hAnsi="宋体" w:eastAsia="宋体" w:cs="宋体"/>
                <w:sz w:val="24"/>
                <w:highlight w:val="none"/>
              </w:rPr>
              <w:t>分)</w:t>
            </w:r>
          </w:p>
        </w:tc>
        <w:tc>
          <w:tcPr>
            <w:tcW w:w="937" w:type="pct"/>
            <w:noWrap w:val="0"/>
            <w:vAlign w:val="center"/>
          </w:tcPr>
          <w:p w14:paraId="51D4CF1F">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技术参数（30）</w:t>
            </w:r>
          </w:p>
        </w:tc>
        <w:tc>
          <w:tcPr>
            <w:tcW w:w="3349" w:type="pct"/>
            <w:noWrap w:val="0"/>
            <w:vAlign w:val="center"/>
          </w:tcPr>
          <w:p w14:paraId="731493AE">
            <w:pPr>
              <w:pStyle w:val="64"/>
              <w:tabs>
                <w:tab w:val="left" w:pos="720"/>
              </w:tabs>
              <w:spacing w:line="360" w:lineRule="auto"/>
              <w:ind w:left="0" w:leftChars="0" w:firstLine="0" w:firstLineChars="0"/>
              <w:rPr>
                <w:rFonts w:hint="eastAsia" w:ascii="宋体" w:hAnsi="宋体" w:eastAsia="宋体" w:cs="宋体"/>
                <w:color w:val="auto"/>
                <w:sz w:val="24"/>
                <w:highlight w:val="none"/>
                <w:lang w:val="en-US" w:eastAsia="zh-CN"/>
              </w:rPr>
            </w:pPr>
            <w:r>
              <w:rPr>
                <w:rFonts w:hint="eastAsia" w:ascii="宋体" w:hAnsi="宋体" w:eastAsia="宋体" w:cs="宋体"/>
                <w:sz w:val="24"/>
                <w:highlight w:val="none"/>
                <w:lang w:val="en-US" w:eastAsia="zh-CN"/>
              </w:rPr>
              <w:t>投标产品满足第五章采购需求中的设备参数要求得30分。经评委认定，重要技术指标（即“</w:t>
            </w:r>
            <w:r>
              <w:rPr>
                <w:rFonts w:hint="eastAsia" w:ascii="宋体" w:hAnsi="宋体" w:eastAsia="宋体" w:cs="宋体"/>
                <w:color w:val="000000"/>
                <w:sz w:val="24"/>
                <w:szCs w:val="24"/>
                <w:highlight w:val="none"/>
              </w:rPr>
              <w:t>★</w:t>
            </w:r>
            <w:r>
              <w:rPr>
                <w:rFonts w:hint="eastAsia" w:ascii="宋体" w:hAnsi="宋体" w:eastAsia="宋体" w:cs="宋体"/>
                <w:sz w:val="24"/>
                <w:highlight w:val="none"/>
                <w:lang w:val="en-US" w:eastAsia="zh-CN"/>
              </w:rPr>
              <w:t>”技术指标）有一项负偏离的，扣0.5分，一般性技术指标（即非“</w:t>
            </w:r>
            <w:r>
              <w:rPr>
                <w:rFonts w:hint="eastAsia" w:ascii="宋体" w:hAnsi="宋体" w:eastAsia="宋体" w:cs="宋体"/>
                <w:color w:val="000000"/>
                <w:sz w:val="24"/>
                <w:szCs w:val="24"/>
                <w:highlight w:val="none"/>
              </w:rPr>
              <w:t>★</w:t>
            </w:r>
            <w:r>
              <w:rPr>
                <w:rFonts w:hint="eastAsia" w:ascii="宋体" w:hAnsi="宋体" w:eastAsia="宋体" w:cs="宋体"/>
                <w:sz w:val="24"/>
                <w:highlight w:val="none"/>
                <w:lang w:val="en-US" w:eastAsia="zh-CN"/>
              </w:rPr>
              <w:t>”技术参数）存在负偏离，每项扣0.1分，扣完为止。</w:t>
            </w:r>
            <w:r>
              <w:rPr>
                <w:rFonts w:hint="eastAsia" w:ascii="宋体" w:hAnsi="宋体" w:eastAsia="宋体" w:cs="宋体"/>
                <w:color w:val="auto"/>
                <w:sz w:val="24"/>
                <w:highlight w:val="none"/>
                <w:lang w:val="en-US" w:eastAsia="zh-CN"/>
              </w:rPr>
              <w:t>（耗材不参与技术参数评审，耗材技术参数仅供参考）</w:t>
            </w:r>
          </w:p>
          <w:p w14:paraId="20F111AA">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注：供应商须提供由相关机构出具的产品彩页或技术白皮书或检测报告作为参数支撑材料。</w:t>
            </w:r>
          </w:p>
          <w:p w14:paraId="43647DD8">
            <w:pPr>
              <w:pStyle w:val="64"/>
              <w:tabs>
                <w:tab w:val="left" w:pos="720"/>
              </w:tabs>
              <w:spacing w:line="360" w:lineRule="auto"/>
              <w:ind w:left="0" w:firstLine="480" w:firstLineChars="200"/>
              <w:rPr>
                <w:rFonts w:hint="eastAsia" w:ascii="宋体" w:hAnsi="宋体" w:eastAsia="宋体" w:cs="宋体"/>
                <w:color w:val="FF0000"/>
                <w:sz w:val="24"/>
                <w:highlight w:val="none"/>
                <w:lang w:val="en-US" w:eastAsia="zh-CN"/>
              </w:rPr>
            </w:pPr>
            <w:r>
              <w:rPr>
                <w:rFonts w:hint="eastAsia" w:ascii="宋体" w:hAnsi="宋体" w:eastAsia="宋体" w:cs="宋体"/>
                <w:color w:val="FF0000"/>
                <w:sz w:val="24"/>
                <w:highlight w:val="none"/>
                <w:lang w:val="en-US" w:eastAsia="zh-CN"/>
              </w:rPr>
              <w:t>本项目核心产品为：超声支气管镜</w:t>
            </w:r>
          </w:p>
          <w:p w14:paraId="79982FA4">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提供相同品牌产品且通过资格审查、符合性审查的不同投标人参加同一包下投标的，按一家投标人计算，评审后得分最高的同品牌投标人获得中标人推荐资格；评审得分相同的，以投标报价低者获得中标人推荐资格，其他同品牌投标人不作为中标候选人；</w:t>
            </w:r>
          </w:p>
          <w:p w14:paraId="24DA388A">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非单一产品采购项目，核心产品提供相同品牌产品且通过资格审查、符合性审查的不同投标人参加同一包投标的，按一家投标人计算，评审后得分最高的同品牌投标人获得中标人推荐资格；评审得分相同的，以投标报价低者获得中标人推荐资格，其他同品牌投标人不作为中标候选人。</w:t>
            </w:r>
          </w:p>
          <w:p w14:paraId="5B7196FB">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 多家投标人提供的核心产品品牌相同的，按前两款规定处理。</w:t>
            </w:r>
          </w:p>
        </w:tc>
      </w:tr>
      <w:tr w14:paraId="6CF0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3" w:type="pct"/>
            <w:vMerge w:val="continue"/>
            <w:noWrap w:val="0"/>
            <w:vAlign w:val="center"/>
          </w:tcPr>
          <w:p w14:paraId="29064474">
            <w:pPr>
              <w:pStyle w:val="64"/>
              <w:tabs>
                <w:tab w:val="left" w:pos="720"/>
              </w:tabs>
              <w:spacing w:line="360" w:lineRule="auto"/>
              <w:ind w:left="0" w:leftChars="0" w:firstLine="0" w:firstLineChars="0"/>
              <w:rPr>
                <w:rFonts w:hint="eastAsia" w:ascii="宋体" w:hAnsi="宋体" w:eastAsia="宋体" w:cs="宋体"/>
                <w:sz w:val="24"/>
                <w:highlight w:val="none"/>
              </w:rPr>
            </w:pPr>
          </w:p>
        </w:tc>
        <w:tc>
          <w:tcPr>
            <w:tcW w:w="937" w:type="pct"/>
            <w:noWrap w:val="0"/>
            <w:vAlign w:val="center"/>
          </w:tcPr>
          <w:p w14:paraId="2E2977F9">
            <w:pPr>
              <w:pStyle w:val="64"/>
              <w:spacing w:line="360" w:lineRule="auto"/>
              <w:ind w:left="0" w:leftChars="0" w:firstLine="0" w:firstLineChars="0"/>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设备专用耗材及易损件（8分）</w:t>
            </w:r>
          </w:p>
        </w:tc>
        <w:tc>
          <w:tcPr>
            <w:tcW w:w="3349" w:type="pct"/>
            <w:noWrap w:val="0"/>
            <w:vAlign w:val="center"/>
          </w:tcPr>
          <w:p w14:paraId="24636B22">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根据投标设备运行所需专用耗材及易损件的供应价格、规格型号、单次使用价格、更换周期等进行综合评价：</w:t>
            </w:r>
          </w:p>
          <w:p w14:paraId="12C796DC">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设备运行及后期维保使用成本控制低，专用耗材、易损件报价低、规格型号齐全、更换周期短或所投设备不需要使用耗材、易损件（提供详细运行机制说明），即可开展工作及良好运行的，得 8 分；</w:t>
            </w:r>
          </w:p>
          <w:p w14:paraId="44996F69">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设备运行及后期维保使用成本控制得当，专用耗材、易损件报价较低，规格型号较全，更换周期较短的，得 5 分；</w:t>
            </w:r>
          </w:p>
          <w:p w14:paraId="0CF6BD4C">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设备运行及后期维保使用成本控制一般，专用耗材、易损件报价高 ，规格型号不全，更换周期长的，得2分；</w:t>
            </w:r>
          </w:p>
          <w:p w14:paraId="29672877">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未提供设备专用耗材及易损件价格及相关内容或者内容缺失不全的不得分。</w:t>
            </w:r>
          </w:p>
        </w:tc>
      </w:tr>
      <w:tr w14:paraId="2BEE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3" w:type="pct"/>
            <w:vMerge w:val="continue"/>
            <w:noWrap w:val="0"/>
            <w:vAlign w:val="center"/>
          </w:tcPr>
          <w:p w14:paraId="52AC9930">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0234B4CD">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售后服务技术方案（5分）</w:t>
            </w:r>
          </w:p>
        </w:tc>
        <w:tc>
          <w:tcPr>
            <w:tcW w:w="3349" w:type="pct"/>
            <w:noWrap w:val="0"/>
            <w:vAlign w:val="center"/>
          </w:tcPr>
          <w:p w14:paraId="3A320EDA">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以采购需求售后服务基本要求为进行评审打分。</w:t>
            </w:r>
          </w:p>
          <w:p w14:paraId="7F01B04D">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售后服务计划（包括服务内容、服务团队、巡检服务和故障响应时间、解决问题时间、保障措施等）全面、详尽、符合项目特点，完全满足项目要求的，得5分；内容较全面、较详尽、保障措施较充分、可靠、有效的，得 3分；不符合项目特点、无法保障货物正常运行和维护的，得1分；本项缺项得0分。</w:t>
            </w:r>
          </w:p>
        </w:tc>
      </w:tr>
      <w:tr w14:paraId="2A7B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3" w:type="pct"/>
            <w:vMerge w:val="continue"/>
            <w:noWrap w:val="0"/>
            <w:vAlign w:val="center"/>
          </w:tcPr>
          <w:p w14:paraId="11F95829">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42CBA152">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培训计划方案（5分）</w:t>
            </w:r>
          </w:p>
        </w:tc>
        <w:tc>
          <w:tcPr>
            <w:tcW w:w="3349" w:type="pct"/>
            <w:noWrap w:val="0"/>
            <w:vAlign w:val="center"/>
          </w:tcPr>
          <w:p w14:paraId="21230803">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培训计划包括培训方案、培训内容、培训人员等内容。 </w:t>
            </w:r>
          </w:p>
          <w:p w14:paraId="56B6454C">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培训计划全面合理、可行性强、针对性强，优于采购人需求的得5分；</w:t>
            </w:r>
          </w:p>
          <w:p w14:paraId="0B44A031">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培训计划基本全面、可行性较强、针对性较强，符合采购人需求的得3分； </w:t>
            </w:r>
          </w:p>
          <w:p w14:paraId="25A6BBFA">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培训计划欠合理、可行性一般、针对性一般的得1分； </w:t>
            </w:r>
          </w:p>
          <w:p w14:paraId="6C8949E1">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未提供得0分。</w:t>
            </w:r>
          </w:p>
        </w:tc>
      </w:tr>
      <w:tr w14:paraId="6F8E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3" w:type="pct"/>
            <w:vMerge w:val="continue"/>
            <w:noWrap w:val="0"/>
            <w:vAlign w:val="center"/>
          </w:tcPr>
          <w:p w14:paraId="356732C1">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18C1E403">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安装调试方案（5分）</w:t>
            </w:r>
          </w:p>
        </w:tc>
        <w:tc>
          <w:tcPr>
            <w:tcW w:w="3349" w:type="pct"/>
            <w:noWrap w:val="0"/>
            <w:vAlign w:val="center"/>
          </w:tcPr>
          <w:p w14:paraId="272A6205">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根据项目的采购需求，对安装、调试、运行内容进行评审打分。</w:t>
            </w:r>
          </w:p>
          <w:p w14:paraId="2D573DF4">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安装调试方案内容详尽、安装调试人员配置合理，时间安排得当且高效，实施保障措施可靠且完全满足项目实施需求的，得5分，</w:t>
            </w:r>
          </w:p>
          <w:p w14:paraId="2DD7F60A">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有较具体的安装调试方案，内容较详尽，基本符合项目要求的，得3分，</w:t>
            </w:r>
          </w:p>
          <w:p w14:paraId="4C66EC49">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安装调试方案欠合理、可行性一般，实施保障措施欠有效的得1分；</w:t>
            </w:r>
          </w:p>
          <w:p w14:paraId="3A79EFCB">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未提供得0分。</w:t>
            </w:r>
          </w:p>
        </w:tc>
      </w:tr>
      <w:tr w14:paraId="7187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pct"/>
            <w:vMerge w:val="continue"/>
            <w:noWrap w:val="0"/>
            <w:vAlign w:val="center"/>
          </w:tcPr>
          <w:p w14:paraId="11C0656E">
            <w:pPr>
              <w:pStyle w:val="64"/>
              <w:tabs>
                <w:tab w:val="left" w:pos="720"/>
              </w:tabs>
              <w:spacing w:line="360" w:lineRule="auto"/>
              <w:ind w:left="0" w:firstLine="480" w:firstLineChars="200"/>
              <w:rPr>
                <w:rFonts w:hint="eastAsia" w:ascii="宋体" w:hAnsi="宋体" w:eastAsia="宋体" w:cs="宋体"/>
                <w:sz w:val="24"/>
                <w:highlight w:val="none"/>
              </w:rPr>
            </w:pPr>
          </w:p>
        </w:tc>
        <w:tc>
          <w:tcPr>
            <w:tcW w:w="937" w:type="pct"/>
            <w:noWrap w:val="0"/>
            <w:vAlign w:val="center"/>
          </w:tcPr>
          <w:p w14:paraId="41F343C2">
            <w:pPr>
              <w:pStyle w:val="64"/>
              <w:tabs>
                <w:tab w:val="left" w:pos="720"/>
              </w:tabs>
              <w:spacing w:line="360" w:lineRule="auto"/>
              <w:ind w:left="0" w:leftChars="0"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应急维修措施（5分）</w:t>
            </w:r>
          </w:p>
        </w:tc>
        <w:tc>
          <w:tcPr>
            <w:tcW w:w="3349" w:type="pct"/>
            <w:noWrap w:val="0"/>
            <w:vAlign w:val="center"/>
          </w:tcPr>
          <w:p w14:paraId="4D3C78F9">
            <w:pPr>
              <w:pStyle w:val="64"/>
              <w:tabs>
                <w:tab w:val="left" w:pos="720"/>
              </w:tabs>
              <w:spacing w:line="360" w:lineRule="auto"/>
              <w:ind w:left="0"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应急维修措施预案及质保期满后的售后服务措施、软件版本更新措施等，全面、详尽、符合项目特点，完全满足项目要求的，得5分；较全面详尽、保障措施较充分、可靠、有效的，得3分；不符合项目特点、无法保障货物正常运行和维护的，得1分；本项缺项得0分。</w:t>
            </w:r>
          </w:p>
        </w:tc>
      </w:tr>
    </w:tbl>
    <w:p w14:paraId="56418C5B">
      <w:pPr>
        <w:pStyle w:val="64"/>
        <w:tabs>
          <w:tab w:val="left" w:pos="720"/>
        </w:tabs>
        <w:spacing w:line="360" w:lineRule="auto"/>
        <w:ind w:left="0" w:firstLine="480" w:firstLineChars="200"/>
        <w:rPr>
          <w:rFonts w:hint="eastAsia" w:ascii="宋体" w:hAnsi="宋体" w:eastAsia="宋体" w:cs="宋体"/>
          <w:sz w:val="24"/>
          <w:highlight w:val="none"/>
        </w:rPr>
      </w:pPr>
    </w:p>
    <w:p w14:paraId="2C070841">
      <w:pPr>
        <w:pStyle w:val="64"/>
        <w:tabs>
          <w:tab w:val="left" w:pos="720"/>
        </w:tabs>
        <w:spacing w:line="360" w:lineRule="auto"/>
        <w:ind w:left="0"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lang w:val="zh-CN"/>
        </w:rPr>
        <w:t>注：得分计算：供应商最终得分取评委汇总得分的算术平均值，报价得分及最终得分四舍五入保留小数点后2位。</w:t>
      </w:r>
    </w:p>
    <w:p w14:paraId="244860A2">
      <w:pPr>
        <w:spacing w:before="120" w:beforeLines="50" w:after="120" w:afterLines="50" w:line="520" w:lineRule="exact"/>
        <w:outlineLvl w:val="3"/>
        <w:rPr>
          <w:rFonts w:hint="eastAsia" w:ascii="宋体" w:hAnsi="宋体"/>
          <w:b/>
          <w:color w:val="auto"/>
          <w:sz w:val="28"/>
          <w:highlight w:val="none"/>
        </w:rPr>
      </w:pPr>
      <w:r>
        <w:rPr>
          <w:rFonts w:hint="eastAsia" w:ascii="宋体" w:hAnsi="宋体"/>
          <w:b/>
          <w:color w:val="auto"/>
          <w:sz w:val="28"/>
          <w:highlight w:val="none"/>
        </w:rPr>
        <w:t>1.</w:t>
      </w:r>
      <w:r>
        <w:rPr>
          <w:rFonts w:hint="eastAsia" w:ascii="宋体" w:hAnsi="宋体"/>
          <w:b/>
          <w:color w:val="auto"/>
          <w:sz w:val="28"/>
          <w:highlight w:val="none"/>
          <w:lang w:eastAsia="zh-CN"/>
        </w:rPr>
        <w:t>评标</w:t>
      </w:r>
      <w:r>
        <w:rPr>
          <w:rFonts w:hint="eastAsia" w:ascii="宋体" w:hAnsi="宋体"/>
          <w:b/>
          <w:color w:val="auto"/>
          <w:sz w:val="28"/>
          <w:highlight w:val="none"/>
        </w:rPr>
        <w:t>程序及方法</w:t>
      </w:r>
    </w:p>
    <w:p w14:paraId="73E2AC79">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1.1初步评审；</w:t>
      </w:r>
    </w:p>
    <w:p w14:paraId="165ABDC9">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1.2综合评分。</w:t>
      </w:r>
    </w:p>
    <w:p w14:paraId="20AC5A9A">
      <w:pPr>
        <w:spacing w:before="120" w:beforeLines="50" w:after="120" w:afterLines="50" w:line="520" w:lineRule="exact"/>
        <w:outlineLvl w:val="3"/>
        <w:rPr>
          <w:rFonts w:hint="eastAsia" w:ascii="宋体" w:hAnsi="宋体"/>
          <w:b/>
          <w:color w:val="auto"/>
          <w:sz w:val="28"/>
          <w:highlight w:val="none"/>
        </w:rPr>
      </w:pPr>
      <w:r>
        <w:rPr>
          <w:rFonts w:hint="eastAsia" w:ascii="宋体" w:hAnsi="宋体"/>
          <w:b/>
          <w:color w:val="auto"/>
          <w:sz w:val="28"/>
          <w:highlight w:val="none"/>
        </w:rPr>
        <w:t>2.确定</w:t>
      </w:r>
      <w:r>
        <w:rPr>
          <w:rFonts w:hint="eastAsia" w:ascii="宋体" w:hAnsi="宋体"/>
          <w:b/>
          <w:color w:val="auto"/>
          <w:sz w:val="28"/>
          <w:highlight w:val="none"/>
          <w:lang w:val="en-US" w:eastAsia="zh-CN"/>
        </w:rPr>
        <w:t>中标</w:t>
      </w:r>
      <w:r>
        <w:rPr>
          <w:rFonts w:hint="eastAsia" w:ascii="宋体" w:hAnsi="宋体"/>
          <w:b/>
          <w:color w:val="auto"/>
          <w:sz w:val="28"/>
          <w:highlight w:val="none"/>
          <w:lang w:eastAsia="zh-CN"/>
        </w:rPr>
        <w:t>人</w:t>
      </w:r>
      <w:r>
        <w:rPr>
          <w:rFonts w:hint="eastAsia" w:ascii="宋体" w:hAnsi="宋体"/>
          <w:b/>
          <w:color w:val="auto"/>
          <w:sz w:val="28"/>
          <w:highlight w:val="none"/>
        </w:rPr>
        <w:t>原则</w:t>
      </w:r>
    </w:p>
    <w:p w14:paraId="37D79D99">
      <w:pPr>
        <w:tabs>
          <w:tab w:val="left" w:pos="720"/>
          <w:tab w:val="left" w:pos="1980"/>
        </w:tabs>
        <w:spacing w:line="520" w:lineRule="exact"/>
        <w:ind w:firstLine="480" w:firstLineChars="200"/>
        <w:rPr>
          <w:rFonts w:hint="eastAsia" w:ascii="宋体" w:hAnsi="宋体"/>
          <w:b w:val="0"/>
          <w:bCs/>
          <w:color w:val="auto"/>
          <w:sz w:val="24"/>
          <w:highlight w:val="none"/>
        </w:rPr>
      </w:pPr>
      <w:bookmarkStart w:id="53" w:name="_Toc409023137"/>
      <w:bookmarkStart w:id="54" w:name="_Toc144974568"/>
      <w:bookmarkStart w:id="55" w:name="_Toc179632619"/>
      <w:bookmarkStart w:id="56" w:name="_Toc152045601"/>
      <w:bookmarkStart w:id="57" w:name="_Toc152042378"/>
      <w:r>
        <w:rPr>
          <w:rFonts w:hint="eastAsia" w:ascii="宋体" w:hAnsi="宋体"/>
          <w:b w:val="0"/>
          <w:bCs/>
          <w:color w:val="auto"/>
          <w:sz w:val="24"/>
          <w:highlight w:val="none"/>
        </w:rPr>
        <w:t>所投设备为相同品牌产品且通过资格审查、符合性审查的不同供应商参加同一合同项下投标的，按一家供应商计算，评审后得分最高的同品牌供应商获得中标人推荐资格；若评审后得分相同，报价得分最高的供应商获得中标人推荐资格；若评审后得分相同且报价得分相同的，技术参数得分最高的供应商获得中标人推荐资格；以上情况均并列的，采取随机选取的方式确定。</w:t>
      </w:r>
    </w:p>
    <w:bookmarkEnd w:id="53"/>
    <w:bookmarkEnd w:id="54"/>
    <w:bookmarkEnd w:id="55"/>
    <w:bookmarkEnd w:id="56"/>
    <w:bookmarkEnd w:id="57"/>
    <w:p w14:paraId="440F7E86">
      <w:pPr>
        <w:spacing w:before="120" w:beforeLines="50" w:after="120" w:afterLines="50" w:line="520" w:lineRule="exact"/>
        <w:outlineLvl w:val="3"/>
        <w:rPr>
          <w:rFonts w:hint="eastAsia" w:ascii="宋体" w:hAnsi="宋体"/>
          <w:b/>
          <w:color w:val="auto"/>
          <w:sz w:val="28"/>
          <w:highlight w:val="none"/>
        </w:rPr>
      </w:pPr>
      <w:bookmarkStart w:id="58" w:name="_Toc152042379"/>
      <w:bookmarkStart w:id="59" w:name="_Toc179632620"/>
      <w:bookmarkStart w:id="60" w:name="_Toc144974569"/>
      <w:bookmarkStart w:id="61" w:name="_Toc152045602"/>
      <w:r>
        <w:rPr>
          <w:rFonts w:hint="eastAsia" w:ascii="宋体" w:hAnsi="宋体"/>
          <w:b/>
          <w:color w:val="auto"/>
          <w:sz w:val="28"/>
          <w:highlight w:val="none"/>
        </w:rPr>
        <w:t>3.初步评审</w:t>
      </w:r>
    </w:p>
    <w:p w14:paraId="5D9703C2">
      <w:pPr>
        <w:spacing w:line="520" w:lineRule="exact"/>
        <w:ind w:firstLine="480" w:firstLineChars="200"/>
        <w:outlineLvl w:val="4"/>
        <w:rPr>
          <w:rFonts w:hint="eastAsia" w:ascii="宋体" w:hAnsi="宋体"/>
          <w:color w:val="auto"/>
          <w:sz w:val="24"/>
          <w:highlight w:val="none"/>
        </w:rPr>
      </w:pPr>
      <w:r>
        <w:rPr>
          <w:rFonts w:hint="eastAsia" w:ascii="宋体" w:hAnsi="宋体"/>
          <w:color w:val="auto"/>
          <w:sz w:val="24"/>
          <w:highlight w:val="none"/>
        </w:rPr>
        <w:t>3.1初步评审标准</w:t>
      </w:r>
      <w:bookmarkEnd w:id="58"/>
      <w:bookmarkEnd w:id="59"/>
      <w:bookmarkEnd w:id="60"/>
      <w:bookmarkEnd w:id="61"/>
    </w:p>
    <w:p w14:paraId="4BD930E6">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3.1.1资格审查：见资格审查表。</w:t>
      </w:r>
    </w:p>
    <w:p w14:paraId="42A4EBE5">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3.1.2符合性审查：见符合性审查表。</w:t>
      </w:r>
    </w:p>
    <w:p w14:paraId="2D56E446">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3.2 </w:t>
      </w:r>
      <w:r>
        <w:rPr>
          <w:rFonts w:hint="eastAsia" w:ascii="宋体" w:hAnsi="宋体"/>
          <w:color w:val="auto"/>
          <w:sz w:val="24"/>
          <w:highlight w:val="none"/>
          <w:lang w:eastAsia="zh-CN"/>
        </w:rPr>
        <w:t>评标委员会</w:t>
      </w:r>
      <w:r>
        <w:rPr>
          <w:rFonts w:hint="eastAsia" w:ascii="宋体" w:hAnsi="宋体"/>
          <w:color w:val="auto"/>
          <w:sz w:val="24"/>
          <w:highlight w:val="none"/>
        </w:rPr>
        <w:t>依据本章第</w:t>
      </w:r>
      <w:r>
        <w:rPr>
          <w:rFonts w:hint="eastAsia" w:ascii="宋体" w:hAnsi="宋体"/>
          <w:color w:val="auto"/>
          <w:sz w:val="24"/>
          <w:highlight w:val="none"/>
          <w:lang w:val="en-US" w:eastAsia="zh-CN"/>
        </w:rPr>
        <w:t>2</w:t>
      </w:r>
      <w:r>
        <w:rPr>
          <w:rFonts w:hint="eastAsia" w:ascii="宋体" w:hAnsi="宋体"/>
          <w:color w:val="auto"/>
          <w:sz w:val="24"/>
          <w:highlight w:val="none"/>
        </w:rPr>
        <w:t>款</w:t>
      </w:r>
      <w:r>
        <w:rPr>
          <w:rFonts w:hint="eastAsia" w:ascii="宋体" w:hAnsi="宋体"/>
          <w:color w:val="auto"/>
          <w:sz w:val="24"/>
          <w:highlight w:val="none"/>
          <w:lang w:eastAsia="zh-CN"/>
        </w:rPr>
        <w:t>“</w:t>
      </w:r>
      <w:r>
        <w:rPr>
          <w:rFonts w:hint="eastAsia" w:ascii="宋体" w:hAnsi="宋体"/>
          <w:color w:val="auto"/>
          <w:sz w:val="24"/>
          <w:highlight w:val="none"/>
        </w:rPr>
        <w:t>符合性审查表</w:t>
      </w:r>
      <w:r>
        <w:rPr>
          <w:rFonts w:hint="eastAsia" w:ascii="宋体" w:hAnsi="宋体"/>
          <w:color w:val="auto"/>
          <w:sz w:val="24"/>
          <w:highlight w:val="none"/>
          <w:lang w:eastAsia="zh-CN"/>
        </w:rPr>
        <w:t>”</w:t>
      </w:r>
      <w:r>
        <w:rPr>
          <w:rFonts w:hint="eastAsia" w:ascii="宋体" w:hAnsi="宋体"/>
          <w:color w:val="auto"/>
          <w:sz w:val="24"/>
          <w:highlight w:val="none"/>
        </w:rPr>
        <w:t>规定的标准对</w:t>
      </w:r>
      <w:r>
        <w:rPr>
          <w:rFonts w:hint="eastAsia" w:ascii="宋体" w:hAnsi="宋体"/>
          <w:color w:val="auto"/>
          <w:sz w:val="24"/>
          <w:highlight w:val="none"/>
          <w:lang w:eastAsia="zh-CN"/>
        </w:rPr>
        <w:t>投标文件</w:t>
      </w:r>
      <w:r>
        <w:rPr>
          <w:rFonts w:hint="eastAsia" w:ascii="宋体" w:hAnsi="宋体"/>
          <w:color w:val="auto"/>
          <w:sz w:val="24"/>
          <w:highlight w:val="none"/>
        </w:rPr>
        <w:t>进行</w:t>
      </w:r>
      <w:r>
        <w:rPr>
          <w:rFonts w:hint="eastAsia" w:ascii="宋体" w:hAnsi="宋体"/>
          <w:color w:val="auto"/>
          <w:sz w:val="24"/>
          <w:highlight w:val="none"/>
          <w:lang w:val="en-US" w:eastAsia="zh-CN"/>
        </w:rPr>
        <w:t>符合性</w:t>
      </w:r>
      <w:r>
        <w:rPr>
          <w:rFonts w:hint="eastAsia" w:ascii="宋体" w:hAnsi="宋体"/>
          <w:color w:val="auto"/>
          <w:sz w:val="24"/>
          <w:highlight w:val="none"/>
        </w:rPr>
        <w:t>评审。</w:t>
      </w:r>
      <w:r>
        <w:rPr>
          <w:rFonts w:hint="eastAsia" w:ascii="宋体" w:hAnsi="宋体"/>
          <w:b/>
          <w:color w:val="auto"/>
          <w:sz w:val="24"/>
          <w:highlight w:val="none"/>
        </w:rPr>
        <w:t>有一项不符合评审标准的，作无效标处理。</w:t>
      </w:r>
    </w:p>
    <w:p w14:paraId="0E375B45">
      <w:pPr>
        <w:spacing w:line="480" w:lineRule="exact"/>
        <w:ind w:firstLine="480" w:firstLineChars="200"/>
        <w:outlineLvl w:val="4"/>
        <w:rPr>
          <w:rFonts w:hint="eastAsia" w:ascii="宋体" w:hAnsi="宋体"/>
          <w:color w:val="auto"/>
          <w:sz w:val="24"/>
          <w:highlight w:val="none"/>
        </w:rPr>
      </w:pPr>
      <w:r>
        <w:rPr>
          <w:rFonts w:hint="eastAsia" w:ascii="宋体" w:hAnsi="宋体"/>
          <w:color w:val="auto"/>
          <w:sz w:val="24"/>
          <w:highlight w:val="none"/>
        </w:rPr>
        <w:t xml:space="preserve">3.3 </w:t>
      </w:r>
      <w:r>
        <w:rPr>
          <w:rFonts w:hint="eastAsia" w:ascii="宋体" w:hAnsi="宋体"/>
          <w:b/>
          <w:color w:val="auto"/>
          <w:sz w:val="24"/>
          <w:highlight w:val="none"/>
          <w:lang w:eastAsia="zh-CN"/>
        </w:rPr>
        <w:t>供应商</w:t>
      </w:r>
      <w:r>
        <w:rPr>
          <w:rFonts w:hint="eastAsia" w:ascii="宋体" w:hAnsi="宋体"/>
          <w:b/>
          <w:color w:val="auto"/>
          <w:sz w:val="24"/>
          <w:highlight w:val="none"/>
        </w:rPr>
        <w:t>有以下情形之一的，其</w:t>
      </w:r>
      <w:r>
        <w:rPr>
          <w:rFonts w:hint="eastAsia" w:ascii="宋体" w:hAnsi="宋体"/>
          <w:b/>
          <w:color w:val="auto"/>
          <w:sz w:val="24"/>
          <w:highlight w:val="none"/>
          <w:lang w:eastAsia="zh-CN"/>
        </w:rPr>
        <w:t>投标文件</w:t>
      </w:r>
      <w:r>
        <w:rPr>
          <w:rFonts w:hint="eastAsia" w:ascii="宋体" w:hAnsi="宋体"/>
          <w:b/>
          <w:color w:val="auto"/>
          <w:sz w:val="24"/>
          <w:highlight w:val="none"/>
        </w:rPr>
        <w:t>作无效标处理</w:t>
      </w:r>
      <w:r>
        <w:rPr>
          <w:rFonts w:hint="eastAsia" w:ascii="宋体" w:hAnsi="宋体"/>
          <w:color w:val="auto"/>
          <w:sz w:val="24"/>
          <w:highlight w:val="none"/>
        </w:rPr>
        <w:t>：</w:t>
      </w:r>
    </w:p>
    <w:p w14:paraId="71383112">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（1）串通</w:t>
      </w:r>
      <w:r>
        <w:rPr>
          <w:rFonts w:hint="eastAsia" w:ascii="宋体" w:hAnsi="宋体"/>
          <w:color w:val="auto"/>
          <w:sz w:val="24"/>
          <w:highlight w:val="none"/>
          <w:lang w:val="en-US" w:eastAsia="zh-CN"/>
        </w:rPr>
        <w:t>投标</w:t>
      </w:r>
      <w:r>
        <w:rPr>
          <w:rFonts w:hint="eastAsia" w:ascii="宋体" w:hAnsi="宋体"/>
          <w:color w:val="auto"/>
          <w:sz w:val="24"/>
          <w:highlight w:val="none"/>
        </w:rPr>
        <w:t>活动或弄虚作假或有其他违法行为的；</w:t>
      </w:r>
    </w:p>
    <w:p w14:paraId="1412EAA6">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（2）不按</w:t>
      </w:r>
      <w:r>
        <w:rPr>
          <w:rFonts w:hint="eastAsia" w:ascii="宋体" w:hAnsi="宋体"/>
          <w:color w:val="auto"/>
          <w:sz w:val="24"/>
          <w:highlight w:val="none"/>
          <w:lang w:eastAsia="zh-CN"/>
        </w:rPr>
        <w:t>评标委员会</w:t>
      </w:r>
      <w:r>
        <w:rPr>
          <w:rFonts w:hint="eastAsia" w:ascii="宋体" w:hAnsi="宋体"/>
          <w:color w:val="auto"/>
          <w:sz w:val="24"/>
          <w:highlight w:val="none"/>
        </w:rPr>
        <w:t>要求澄清、说明或补正的。</w:t>
      </w:r>
    </w:p>
    <w:p w14:paraId="6A00B20F">
      <w:pPr>
        <w:spacing w:line="520" w:lineRule="exact"/>
        <w:ind w:firstLine="480" w:firstLineChars="200"/>
        <w:rPr>
          <w:rFonts w:hint="eastAsia" w:ascii="宋体" w:hAnsi="宋体"/>
          <w:b/>
          <w:color w:val="auto"/>
          <w:sz w:val="24"/>
          <w:highlight w:val="none"/>
        </w:rPr>
      </w:pPr>
      <w:r>
        <w:rPr>
          <w:rFonts w:hint="eastAsia" w:ascii="宋体" w:hAnsi="宋体"/>
          <w:color w:val="auto"/>
          <w:sz w:val="24"/>
          <w:highlight w:val="none"/>
        </w:rPr>
        <w:t>（3）不同</w:t>
      </w:r>
      <w:r>
        <w:rPr>
          <w:rFonts w:hint="eastAsia" w:ascii="宋体" w:hAnsi="宋体"/>
          <w:color w:val="auto"/>
          <w:sz w:val="24"/>
          <w:highlight w:val="none"/>
          <w:lang w:eastAsia="zh-CN"/>
        </w:rPr>
        <w:t>供应商</w:t>
      </w:r>
      <w:r>
        <w:rPr>
          <w:rFonts w:hint="eastAsia" w:ascii="宋体" w:hAnsi="宋体"/>
          <w:color w:val="auto"/>
          <w:sz w:val="24"/>
          <w:highlight w:val="none"/>
        </w:rPr>
        <w:t>的</w:t>
      </w:r>
      <w:r>
        <w:rPr>
          <w:rFonts w:hint="eastAsia" w:ascii="宋体" w:hAnsi="宋体"/>
          <w:color w:val="auto"/>
          <w:sz w:val="24"/>
          <w:highlight w:val="none"/>
          <w:lang w:val="en-US" w:eastAsia="zh-CN"/>
        </w:rPr>
        <w:t>投标</w:t>
      </w:r>
      <w:r>
        <w:rPr>
          <w:rFonts w:hint="eastAsia" w:ascii="宋体" w:hAnsi="宋体"/>
          <w:color w:val="auto"/>
          <w:sz w:val="24"/>
          <w:highlight w:val="none"/>
        </w:rPr>
        <w:t>文件制作机器码是一致的。</w:t>
      </w:r>
    </w:p>
    <w:p w14:paraId="6D10B099">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3.4 </w:t>
      </w:r>
      <w:r>
        <w:rPr>
          <w:rFonts w:hint="eastAsia" w:ascii="宋体" w:hAnsi="宋体"/>
          <w:color w:val="auto"/>
          <w:sz w:val="24"/>
          <w:highlight w:val="none"/>
          <w:lang w:eastAsia="zh-CN"/>
        </w:rPr>
        <w:t>评标委员会</w:t>
      </w:r>
      <w:r>
        <w:rPr>
          <w:rFonts w:hint="eastAsia" w:ascii="宋体" w:hAnsi="宋体"/>
          <w:color w:val="auto"/>
          <w:sz w:val="24"/>
          <w:highlight w:val="none"/>
        </w:rPr>
        <w:t>在对</w:t>
      </w:r>
      <w:r>
        <w:rPr>
          <w:rFonts w:hint="eastAsia" w:ascii="宋体" w:hAnsi="宋体"/>
          <w:color w:val="auto"/>
          <w:sz w:val="24"/>
          <w:highlight w:val="none"/>
          <w:lang w:val="en-US" w:eastAsia="zh-CN"/>
        </w:rPr>
        <w:t>投标</w:t>
      </w:r>
      <w:r>
        <w:rPr>
          <w:rFonts w:hint="eastAsia" w:ascii="宋体" w:hAnsi="宋体"/>
          <w:color w:val="auto"/>
          <w:sz w:val="24"/>
          <w:highlight w:val="none"/>
        </w:rPr>
        <w:t>文件的有效性、完整性和响应程度进行审查时，可以要求</w:t>
      </w:r>
      <w:r>
        <w:rPr>
          <w:rFonts w:hint="eastAsia" w:ascii="宋体" w:hAnsi="宋体"/>
          <w:color w:val="auto"/>
          <w:sz w:val="24"/>
          <w:highlight w:val="none"/>
          <w:lang w:eastAsia="zh-CN"/>
        </w:rPr>
        <w:t>供应商</w:t>
      </w:r>
      <w:r>
        <w:rPr>
          <w:rFonts w:hint="eastAsia" w:ascii="宋体" w:hAnsi="宋体"/>
          <w:color w:val="auto"/>
          <w:sz w:val="24"/>
          <w:highlight w:val="none"/>
        </w:rPr>
        <w:t>对</w:t>
      </w:r>
      <w:r>
        <w:rPr>
          <w:rFonts w:hint="eastAsia" w:ascii="宋体" w:hAnsi="宋体"/>
          <w:color w:val="auto"/>
          <w:sz w:val="24"/>
          <w:highlight w:val="none"/>
          <w:lang w:val="en-US" w:eastAsia="zh-CN"/>
        </w:rPr>
        <w:t>投标</w:t>
      </w:r>
      <w:r>
        <w:rPr>
          <w:rFonts w:hint="eastAsia" w:ascii="宋体" w:hAnsi="宋体"/>
          <w:color w:val="auto"/>
          <w:sz w:val="24"/>
          <w:highlight w:val="none"/>
        </w:rPr>
        <w:t>文件中含义不明确、同类问题表述不一致或者有明显文件和计算错误的内容等做出必要的澄清、说明或者更正。</w:t>
      </w:r>
      <w:r>
        <w:rPr>
          <w:rFonts w:hint="eastAsia" w:ascii="宋体" w:hAnsi="宋体"/>
          <w:color w:val="auto"/>
          <w:sz w:val="24"/>
          <w:highlight w:val="none"/>
          <w:lang w:eastAsia="zh-CN"/>
        </w:rPr>
        <w:t>供应商</w:t>
      </w:r>
      <w:r>
        <w:rPr>
          <w:rFonts w:hint="eastAsia" w:ascii="宋体" w:hAnsi="宋体"/>
          <w:color w:val="auto"/>
          <w:sz w:val="24"/>
          <w:highlight w:val="none"/>
        </w:rPr>
        <w:t>的澄清、说明或者更正不得超出</w:t>
      </w:r>
      <w:r>
        <w:rPr>
          <w:rFonts w:hint="eastAsia" w:ascii="宋体" w:hAnsi="宋体"/>
          <w:color w:val="auto"/>
          <w:sz w:val="24"/>
          <w:highlight w:val="none"/>
          <w:lang w:val="en-US" w:eastAsia="zh-CN"/>
        </w:rPr>
        <w:t>投标</w:t>
      </w:r>
      <w:r>
        <w:rPr>
          <w:rFonts w:hint="eastAsia" w:ascii="宋体" w:hAnsi="宋体"/>
          <w:color w:val="auto"/>
          <w:sz w:val="24"/>
          <w:highlight w:val="none"/>
        </w:rPr>
        <w:t>文件的范围或者</w:t>
      </w:r>
      <w:r>
        <w:rPr>
          <w:rFonts w:hint="eastAsia" w:ascii="宋体" w:hAnsi="宋体"/>
          <w:color w:val="auto"/>
          <w:sz w:val="24"/>
          <w:highlight w:val="none"/>
          <w:lang w:val="en-US" w:eastAsia="zh-CN"/>
        </w:rPr>
        <w:t>投标</w:t>
      </w:r>
      <w:r>
        <w:rPr>
          <w:rFonts w:hint="eastAsia" w:ascii="宋体" w:hAnsi="宋体"/>
          <w:color w:val="auto"/>
          <w:sz w:val="24"/>
          <w:highlight w:val="none"/>
        </w:rPr>
        <w:t>文件的实质性内容。</w:t>
      </w:r>
    </w:p>
    <w:p w14:paraId="1966E249">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lang w:eastAsia="zh-CN"/>
        </w:rPr>
        <w:t>评标委员会</w:t>
      </w:r>
      <w:r>
        <w:rPr>
          <w:rFonts w:hint="eastAsia" w:ascii="宋体" w:hAnsi="宋体"/>
          <w:color w:val="auto"/>
          <w:sz w:val="24"/>
          <w:highlight w:val="none"/>
        </w:rPr>
        <w:t>要求</w:t>
      </w:r>
      <w:r>
        <w:rPr>
          <w:rFonts w:hint="eastAsia" w:ascii="宋体" w:hAnsi="宋体"/>
          <w:color w:val="auto"/>
          <w:sz w:val="24"/>
          <w:highlight w:val="none"/>
          <w:lang w:eastAsia="zh-CN"/>
        </w:rPr>
        <w:t>供应商</w:t>
      </w:r>
      <w:r>
        <w:rPr>
          <w:rFonts w:hint="eastAsia" w:ascii="宋体" w:hAnsi="宋体"/>
          <w:color w:val="auto"/>
          <w:sz w:val="24"/>
          <w:highlight w:val="none"/>
        </w:rPr>
        <w:t>澄清、说明或者更正</w:t>
      </w:r>
      <w:r>
        <w:rPr>
          <w:rFonts w:hint="eastAsia" w:ascii="宋体" w:hAnsi="宋体"/>
          <w:color w:val="auto"/>
          <w:sz w:val="24"/>
          <w:highlight w:val="none"/>
          <w:lang w:val="en-US" w:eastAsia="zh-CN"/>
        </w:rPr>
        <w:t>投标</w:t>
      </w:r>
      <w:r>
        <w:rPr>
          <w:rFonts w:hint="eastAsia" w:ascii="宋体" w:hAnsi="宋体"/>
          <w:color w:val="auto"/>
          <w:sz w:val="24"/>
          <w:highlight w:val="none"/>
        </w:rPr>
        <w:t>文件应规定时间。</w:t>
      </w:r>
      <w:r>
        <w:rPr>
          <w:rFonts w:hint="eastAsia" w:ascii="宋体" w:hAnsi="宋体"/>
          <w:color w:val="auto"/>
          <w:sz w:val="24"/>
          <w:highlight w:val="none"/>
          <w:lang w:eastAsia="zh-CN"/>
        </w:rPr>
        <w:t>供应商</w:t>
      </w:r>
      <w:r>
        <w:rPr>
          <w:rFonts w:hint="eastAsia" w:ascii="宋体" w:hAnsi="宋体"/>
          <w:color w:val="auto"/>
          <w:sz w:val="24"/>
          <w:highlight w:val="none"/>
        </w:rPr>
        <w:t>的澄清、说明或者更正应在规定的时间内完成，不回应的视为放弃修改。</w:t>
      </w:r>
    </w:p>
    <w:p w14:paraId="6BF53FA3">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3.5 </w:t>
      </w:r>
      <w:r>
        <w:rPr>
          <w:rFonts w:hint="eastAsia" w:ascii="宋体" w:hAnsi="宋体"/>
          <w:color w:val="auto"/>
          <w:sz w:val="24"/>
          <w:highlight w:val="none"/>
          <w:lang w:val="en-US" w:eastAsia="zh-CN"/>
        </w:rPr>
        <w:t>投标</w:t>
      </w:r>
      <w:r>
        <w:rPr>
          <w:rFonts w:hint="eastAsia" w:ascii="宋体" w:hAnsi="宋体"/>
          <w:color w:val="auto"/>
          <w:sz w:val="24"/>
          <w:highlight w:val="none"/>
        </w:rPr>
        <w:t>报价有算术错误的，</w:t>
      </w:r>
      <w:r>
        <w:rPr>
          <w:rFonts w:hint="eastAsia" w:ascii="宋体" w:hAnsi="宋体"/>
          <w:color w:val="auto"/>
          <w:sz w:val="24"/>
          <w:highlight w:val="none"/>
          <w:lang w:eastAsia="zh-CN"/>
        </w:rPr>
        <w:t>评标委员会</w:t>
      </w:r>
      <w:r>
        <w:rPr>
          <w:rFonts w:hint="eastAsia" w:ascii="宋体" w:hAnsi="宋体"/>
          <w:color w:val="auto"/>
          <w:sz w:val="24"/>
          <w:highlight w:val="none"/>
        </w:rPr>
        <w:t>按以下原则对</w:t>
      </w:r>
      <w:r>
        <w:rPr>
          <w:rFonts w:hint="eastAsia" w:ascii="宋体" w:hAnsi="宋体"/>
          <w:color w:val="auto"/>
          <w:sz w:val="24"/>
          <w:highlight w:val="none"/>
          <w:lang w:val="en-US" w:eastAsia="zh-CN"/>
        </w:rPr>
        <w:t>投标</w:t>
      </w:r>
      <w:r>
        <w:rPr>
          <w:rFonts w:hint="eastAsia" w:ascii="宋体" w:hAnsi="宋体"/>
          <w:color w:val="auto"/>
          <w:sz w:val="24"/>
          <w:highlight w:val="none"/>
        </w:rPr>
        <w:t>报价进行修正，修正的价格经</w:t>
      </w:r>
      <w:r>
        <w:rPr>
          <w:rFonts w:hint="eastAsia" w:ascii="宋体" w:hAnsi="宋体"/>
          <w:color w:val="auto"/>
          <w:sz w:val="24"/>
          <w:highlight w:val="none"/>
          <w:lang w:eastAsia="zh-CN"/>
        </w:rPr>
        <w:t>供应商</w:t>
      </w:r>
      <w:r>
        <w:rPr>
          <w:rFonts w:hint="eastAsia" w:ascii="宋体" w:hAnsi="宋体"/>
          <w:color w:val="auto"/>
          <w:sz w:val="24"/>
          <w:highlight w:val="none"/>
        </w:rPr>
        <w:t>书面确认后具有约束力。</w:t>
      </w:r>
      <w:r>
        <w:rPr>
          <w:rFonts w:hint="eastAsia" w:ascii="宋体" w:hAnsi="宋体"/>
          <w:color w:val="auto"/>
          <w:sz w:val="24"/>
          <w:highlight w:val="none"/>
          <w:lang w:eastAsia="zh-CN"/>
        </w:rPr>
        <w:t>供应商</w:t>
      </w:r>
      <w:r>
        <w:rPr>
          <w:rFonts w:hint="eastAsia" w:ascii="宋体" w:hAnsi="宋体"/>
          <w:color w:val="auto"/>
          <w:sz w:val="24"/>
          <w:highlight w:val="none"/>
        </w:rPr>
        <w:t>不接受修正价格的，其</w:t>
      </w:r>
      <w:r>
        <w:rPr>
          <w:rFonts w:hint="eastAsia" w:ascii="宋体" w:hAnsi="宋体"/>
          <w:color w:val="auto"/>
          <w:sz w:val="24"/>
          <w:highlight w:val="none"/>
          <w:lang w:eastAsia="zh-CN"/>
        </w:rPr>
        <w:t>投标文件</w:t>
      </w:r>
      <w:r>
        <w:rPr>
          <w:rFonts w:hint="eastAsia" w:ascii="宋体" w:hAnsi="宋体"/>
          <w:color w:val="auto"/>
          <w:sz w:val="24"/>
          <w:highlight w:val="none"/>
        </w:rPr>
        <w:t>作无效标处理。</w:t>
      </w:r>
      <w:bookmarkStart w:id="62" w:name="_Toc152042383"/>
    </w:p>
    <w:p w14:paraId="7D76B738">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eastAsia="zh-CN"/>
        </w:rPr>
        <w:t>投标文件</w:t>
      </w:r>
      <w:r>
        <w:rPr>
          <w:rFonts w:hint="eastAsia" w:ascii="宋体" w:hAnsi="宋体"/>
          <w:color w:val="auto"/>
          <w:sz w:val="24"/>
          <w:highlight w:val="none"/>
        </w:rPr>
        <w:t>的大写金额和小写金额不一致的，以大写金额为准；总价金额与按单价汇总金额不一致的，以单价金额计算结果为准；单价金额小数点有明显错位的，应以总价为准，并修改单价；对不同文字文本</w:t>
      </w:r>
      <w:r>
        <w:rPr>
          <w:rFonts w:hint="eastAsia" w:ascii="宋体" w:hAnsi="宋体"/>
          <w:color w:val="auto"/>
          <w:sz w:val="24"/>
          <w:highlight w:val="none"/>
          <w:lang w:eastAsia="zh-CN"/>
        </w:rPr>
        <w:t>投标文件</w:t>
      </w:r>
      <w:r>
        <w:rPr>
          <w:rFonts w:hint="eastAsia" w:ascii="宋体" w:hAnsi="宋体"/>
          <w:color w:val="auto"/>
          <w:sz w:val="24"/>
          <w:highlight w:val="none"/>
        </w:rPr>
        <w:t>的解释发生异议的，以中文文本为准；</w:t>
      </w:r>
      <w:bookmarkEnd w:id="62"/>
    </w:p>
    <w:p w14:paraId="60BD6E55">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（2）总价金额与依据单价计算出的结果不一致的，以单价金额为准修正总价，但单价金额小数点有明显错误的除外。</w:t>
      </w:r>
    </w:p>
    <w:p w14:paraId="65019A66">
      <w:pPr>
        <w:spacing w:before="120" w:beforeLines="50" w:after="120" w:afterLines="50" w:line="520" w:lineRule="exact"/>
        <w:outlineLvl w:val="3"/>
        <w:rPr>
          <w:rFonts w:hint="eastAsia" w:ascii="宋体" w:hAnsi="宋体"/>
          <w:b/>
          <w:color w:val="auto"/>
          <w:sz w:val="28"/>
          <w:highlight w:val="none"/>
        </w:rPr>
      </w:pPr>
      <w:bookmarkStart w:id="63" w:name="_Toc179632624"/>
      <w:bookmarkStart w:id="64" w:name="_Toc144974573"/>
      <w:bookmarkStart w:id="65" w:name="_Toc152042384"/>
      <w:bookmarkStart w:id="66" w:name="_Toc152045606"/>
      <w:r>
        <w:rPr>
          <w:rFonts w:hint="eastAsia" w:ascii="宋体" w:hAnsi="宋体"/>
          <w:b/>
          <w:color w:val="auto"/>
          <w:sz w:val="28"/>
          <w:highlight w:val="none"/>
        </w:rPr>
        <w:t>4.</w:t>
      </w:r>
      <w:bookmarkEnd w:id="63"/>
      <w:bookmarkEnd w:id="64"/>
      <w:bookmarkEnd w:id="65"/>
      <w:bookmarkEnd w:id="66"/>
      <w:bookmarkStart w:id="67" w:name="_Toc179632626"/>
      <w:bookmarkStart w:id="68" w:name="_Toc144974576"/>
      <w:bookmarkStart w:id="69" w:name="_Toc152042386"/>
      <w:bookmarkStart w:id="70" w:name="_Toc152045608"/>
      <w:r>
        <w:rPr>
          <w:rFonts w:hint="eastAsia" w:ascii="宋体" w:hAnsi="宋体"/>
          <w:b/>
          <w:color w:val="auto"/>
          <w:sz w:val="28"/>
          <w:highlight w:val="none"/>
        </w:rPr>
        <w:t>综合评分</w:t>
      </w:r>
    </w:p>
    <w:p w14:paraId="780FE929">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由</w:t>
      </w:r>
      <w:r>
        <w:rPr>
          <w:rFonts w:hint="eastAsia" w:ascii="宋体" w:hAnsi="宋体"/>
          <w:color w:val="auto"/>
          <w:sz w:val="24"/>
          <w:highlight w:val="none"/>
          <w:lang w:eastAsia="zh-CN"/>
        </w:rPr>
        <w:t>评标委员会</w:t>
      </w:r>
      <w:r>
        <w:rPr>
          <w:rFonts w:hint="eastAsia" w:ascii="宋体" w:hAnsi="宋体"/>
          <w:color w:val="auto"/>
          <w:sz w:val="24"/>
          <w:highlight w:val="none"/>
        </w:rPr>
        <w:t>采用综合评分法对</w:t>
      </w:r>
      <w:r>
        <w:rPr>
          <w:rFonts w:hint="eastAsia" w:ascii="宋体" w:hAnsi="宋体"/>
          <w:color w:val="auto"/>
          <w:sz w:val="24"/>
          <w:highlight w:val="none"/>
          <w:lang w:val="en-US" w:eastAsia="zh-CN"/>
        </w:rPr>
        <w:t>有效</w:t>
      </w:r>
      <w:r>
        <w:rPr>
          <w:rFonts w:hint="eastAsia" w:ascii="宋体" w:hAnsi="宋体"/>
          <w:color w:val="auto"/>
          <w:sz w:val="24"/>
          <w:highlight w:val="none"/>
          <w:lang w:eastAsia="zh-CN"/>
        </w:rPr>
        <w:t>供应商</w:t>
      </w:r>
      <w:r>
        <w:rPr>
          <w:rFonts w:hint="eastAsia" w:ascii="宋体" w:hAnsi="宋体"/>
          <w:color w:val="auto"/>
          <w:sz w:val="24"/>
          <w:highlight w:val="none"/>
        </w:rPr>
        <w:t>的</w:t>
      </w:r>
      <w:r>
        <w:rPr>
          <w:rFonts w:hint="eastAsia" w:ascii="宋体" w:hAnsi="宋体"/>
          <w:color w:val="auto"/>
          <w:sz w:val="24"/>
          <w:highlight w:val="none"/>
          <w:lang w:val="en-US" w:eastAsia="zh-CN"/>
        </w:rPr>
        <w:t>投标</w:t>
      </w:r>
      <w:r>
        <w:rPr>
          <w:rFonts w:hint="eastAsia" w:ascii="宋体" w:hAnsi="宋体"/>
          <w:color w:val="auto"/>
          <w:sz w:val="24"/>
          <w:highlight w:val="none"/>
        </w:rPr>
        <w:t>文件和最后报价进行综合评分。</w:t>
      </w:r>
    </w:p>
    <w:p w14:paraId="2FE54235">
      <w:pPr>
        <w:spacing w:line="520" w:lineRule="exact"/>
        <w:ind w:firstLine="480" w:firstLineChars="200"/>
        <w:outlineLvl w:val="4"/>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.1分值构成</w:t>
      </w:r>
    </w:p>
    <w:p w14:paraId="11D60DE1">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分值构成：见</w:t>
      </w:r>
      <w:r>
        <w:rPr>
          <w:rFonts w:hint="eastAsia" w:ascii="宋体" w:hAnsi="宋体"/>
          <w:color w:val="auto"/>
          <w:sz w:val="24"/>
          <w:highlight w:val="none"/>
          <w:lang w:val="en-US" w:eastAsia="zh-CN"/>
        </w:rPr>
        <w:t>评审办法（综合评分法）</w:t>
      </w:r>
      <w:r>
        <w:rPr>
          <w:rFonts w:hint="eastAsia" w:ascii="宋体" w:hAnsi="宋体"/>
          <w:color w:val="auto"/>
          <w:sz w:val="24"/>
          <w:highlight w:val="none"/>
        </w:rPr>
        <w:t>。</w:t>
      </w:r>
    </w:p>
    <w:p w14:paraId="7E7DC5CC">
      <w:pPr>
        <w:spacing w:line="520" w:lineRule="exact"/>
        <w:ind w:firstLine="480" w:firstLineChars="200"/>
        <w:outlineLvl w:val="4"/>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 xml:space="preserve">.2 </w:t>
      </w:r>
      <w:r>
        <w:rPr>
          <w:rFonts w:hint="eastAsia" w:ascii="宋体" w:hAnsi="宋体"/>
          <w:color w:val="auto"/>
          <w:sz w:val="24"/>
          <w:highlight w:val="none"/>
          <w:lang w:val="en-US" w:eastAsia="zh-CN"/>
        </w:rPr>
        <w:t>评标</w:t>
      </w:r>
      <w:r>
        <w:rPr>
          <w:rFonts w:hint="eastAsia" w:ascii="宋体" w:hAnsi="宋体"/>
          <w:color w:val="auto"/>
          <w:sz w:val="24"/>
          <w:highlight w:val="none"/>
        </w:rPr>
        <w:t>基准价</w:t>
      </w:r>
    </w:p>
    <w:p w14:paraId="70062340">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评标</w:t>
      </w:r>
      <w:r>
        <w:rPr>
          <w:rFonts w:hint="eastAsia" w:ascii="宋体" w:hAnsi="宋体"/>
          <w:color w:val="auto"/>
          <w:sz w:val="24"/>
          <w:highlight w:val="none"/>
        </w:rPr>
        <w:t>基准价：见</w:t>
      </w:r>
      <w:r>
        <w:rPr>
          <w:rFonts w:hint="eastAsia" w:ascii="宋体" w:hAnsi="宋体"/>
          <w:color w:val="auto"/>
          <w:sz w:val="24"/>
          <w:highlight w:val="none"/>
          <w:lang w:val="en-US" w:eastAsia="zh-CN"/>
        </w:rPr>
        <w:t>评审办法（综合评分法）</w:t>
      </w:r>
      <w:r>
        <w:rPr>
          <w:rFonts w:hint="eastAsia" w:ascii="宋体" w:hAnsi="宋体"/>
          <w:color w:val="auto"/>
          <w:sz w:val="24"/>
          <w:highlight w:val="none"/>
        </w:rPr>
        <w:t>。</w:t>
      </w:r>
    </w:p>
    <w:p w14:paraId="78C8D646">
      <w:pPr>
        <w:spacing w:line="520" w:lineRule="exact"/>
        <w:ind w:firstLine="480" w:firstLineChars="200"/>
        <w:outlineLvl w:val="4"/>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.3 评分标准</w:t>
      </w:r>
    </w:p>
    <w:p w14:paraId="352F8ED4">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评分标准：见</w:t>
      </w:r>
      <w:r>
        <w:rPr>
          <w:rFonts w:hint="eastAsia" w:ascii="宋体" w:hAnsi="宋体"/>
          <w:color w:val="auto"/>
          <w:sz w:val="24"/>
          <w:highlight w:val="none"/>
          <w:lang w:val="en-US" w:eastAsia="zh-CN"/>
        </w:rPr>
        <w:t>评审办法（综合评分法）</w:t>
      </w:r>
      <w:r>
        <w:rPr>
          <w:rFonts w:hint="eastAsia" w:ascii="宋体" w:hAnsi="宋体"/>
          <w:color w:val="auto"/>
          <w:sz w:val="24"/>
          <w:highlight w:val="none"/>
        </w:rPr>
        <w:t>。</w:t>
      </w:r>
    </w:p>
    <w:p w14:paraId="062E82E8">
      <w:pPr>
        <w:spacing w:before="120" w:beforeLines="50" w:after="120" w:afterLines="50" w:line="520" w:lineRule="exact"/>
        <w:outlineLvl w:val="3"/>
        <w:rPr>
          <w:rFonts w:hint="eastAsia" w:ascii="宋体" w:hAnsi="宋体"/>
          <w:b/>
          <w:color w:val="auto"/>
          <w:sz w:val="28"/>
          <w:highlight w:val="none"/>
        </w:rPr>
      </w:pPr>
      <w:r>
        <w:rPr>
          <w:rFonts w:hint="eastAsia" w:ascii="宋体" w:hAnsi="宋体"/>
          <w:b/>
          <w:color w:val="auto"/>
          <w:sz w:val="28"/>
          <w:highlight w:val="none"/>
          <w:lang w:val="en-US" w:eastAsia="zh-CN"/>
        </w:rPr>
        <w:t>5</w:t>
      </w:r>
      <w:r>
        <w:rPr>
          <w:rFonts w:hint="eastAsia" w:ascii="宋体" w:hAnsi="宋体"/>
          <w:b/>
          <w:color w:val="auto"/>
          <w:sz w:val="28"/>
          <w:highlight w:val="none"/>
        </w:rPr>
        <w:t>.</w:t>
      </w:r>
      <w:r>
        <w:rPr>
          <w:rFonts w:hint="eastAsia" w:ascii="宋体" w:hAnsi="宋体"/>
          <w:b/>
          <w:color w:val="auto"/>
          <w:sz w:val="28"/>
          <w:highlight w:val="none"/>
          <w:lang w:eastAsia="zh-CN"/>
        </w:rPr>
        <w:t>评标</w:t>
      </w:r>
      <w:r>
        <w:rPr>
          <w:rFonts w:hint="eastAsia" w:ascii="宋体" w:hAnsi="宋体"/>
          <w:b/>
          <w:color w:val="auto"/>
          <w:sz w:val="28"/>
          <w:highlight w:val="none"/>
        </w:rPr>
        <w:t>结果</w:t>
      </w:r>
    </w:p>
    <w:bookmarkEnd w:id="67"/>
    <w:bookmarkEnd w:id="68"/>
    <w:bookmarkEnd w:id="69"/>
    <w:bookmarkEnd w:id="70"/>
    <w:p w14:paraId="25396393">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lang w:eastAsia="zh-CN"/>
        </w:rPr>
        <w:t>评标</w:t>
      </w:r>
      <w:r>
        <w:rPr>
          <w:rFonts w:hint="eastAsia" w:ascii="宋体" w:hAnsi="宋体"/>
          <w:color w:val="auto"/>
          <w:sz w:val="24"/>
          <w:highlight w:val="none"/>
        </w:rPr>
        <w:t>结束后，</w:t>
      </w:r>
      <w:r>
        <w:rPr>
          <w:rFonts w:hint="eastAsia" w:ascii="宋体" w:hAnsi="宋体"/>
          <w:color w:val="auto"/>
          <w:sz w:val="24"/>
          <w:highlight w:val="none"/>
          <w:lang w:eastAsia="zh-CN"/>
        </w:rPr>
        <w:t>评标委员会</w:t>
      </w:r>
      <w:r>
        <w:rPr>
          <w:rFonts w:hint="eastAsia" w:ascii="宋体" w:hAnsi="宋体"/>
          <w:color w:val="auto"/>
          <w:sz w:val="24"/>
          <w:highlight w:val="none"/>
        </w:rPr>
        <w:t>编写评审报告，根据综合评分情况，按照评审得分由高到低的顺序向采购人推荐</w:t>
      </w:r>
      <w:r>
        <w:rPr>
          <w:rFonts w:hint="eastAsia" w:ascii="宋体" w:hAnsi="宋体"/>
          <w:color w:val="auto"/>
          <w:sz w:val="24"/>
          <w:highlight w:val="none"/>
          <w:lang w:val="en-US" w:eastAsia="zh-CN"/>
        </w:rPr>
        <w:t>中标</w:t>
      </w:r>
      <w:r>
        <w:rPr>
          <w:rFonts w:hint="eastAsia" w:ascii="宋体" w:hAnsi="宋体"/>
          <w:color w:val="auto"/>
          <w:sz w:val="24"/>
          <w:highlight w:val="none"/>
        </w:rPr>
        <w:t>候选</w:t>
      </w:r>
      <w:r>
        <w:rPr>
          <w:rFonts w:hint="eastAsia" w:ascii="宋体" w:hAnsi="宋体"/>
          <w:color w:val="auto"/>
          <w:sz w:val="24"/>
          <w:highlight w:val="none"/>
          <w:lang w:eastAsia="zh-CN"/>
        </w:rPr>
        <w:t>人</w:t>
      </w:r>
      <w:r>
        <w:rPr>
          <w:rFonts w:hint="eastAsia" w:ascii="宋体" w:hAnsi="宋体"/>
          <w:color w:val="auto"/>
          <w:sz w:val="24"/>
          <w:highlight w:val="none"/>
        </w:rPr>
        <w:t>。</w:t>
      </w:r>
    </w:p>
    <w:p w14:paraId="7DE61194">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评审报告应当由</w:t>
      </w:r>
      <w:r>
        <w:rPr>
          <w:rFonts w:hint="eastAsia" w:ascii="宋体" w:hAnsi="宋体"/>
          <w:color w:val="auto"/>
          <w:sz w:val="24"/>
          <w:highlight w:val="none"/>
          <w:lang w:eastAsia="zh-CN"/>
        </w:rPr>
        <w:t>评标委员会</w:t>
      </w:r>
      <w:r>
        <w:rPr>
          <w:rFonts w:hint="eastAsia" w:ascii="宋体" w:hAnsi="宋体"/>
          <w:color w:val="auto"/>
          <w:sz w:val="24"/>
          <w:highlight w:val="none"/>
        </w:rPr>
        <w:t>全体人员签字认可。</w:t>
      </w:r>
      <w:r>
        <w:rPr>
          <w:rFonts w:hint="eastAsia" w:ascii="宋体" w:hAnsi="宋体"/>
          <w:color w:val="auto"/>
          <w:sz w:val="24"/>
          <w:highlight w:val="none"/>
          <w:lang w:eastAsia="zh-CN"/>
        </w:rPr>
        <w:t>评标委员会</w:t>
      </w:r>
      <w:r>
        <w:rPr>
          <w:rFonts w:hint="eastAsia" w:ascii="宋体" w:hAnsi="宋体"/>
          <w:color w:val="auto"/>
          <w:sz w:val="24"/>
          <w:highlight w:val="none"/>
        </w:rPr>
        <w:t>成员对评审报告有异议的，</w:t>
      </w:r>
      <w:r>
        <w:rPr>
          <w:rFonts w:hint="eastAsia" w:ascii="宋体" w:hAnsi="宋体"/>
          <w:color w:val="auto"/>
          <w:sz w:val="24"/>
          <w:highlight w:val="none"/>
          <w:lang w:eastAsia="zh-CN"/>
        </w:rPr>
        <w:t>评标委员会</w:t>
      </w:r>
      <w:r>
        <w:rPr>
          <w:rFonts w:hint="eastAsia" w:ascii="宋体" w:hAnsi="宋体"/>
          <w:color w:val="auto"/>
          <w:sz w:val="24"/>
          <w:highlight w:val="none"/>
        </w:rPr>
        <w:t>按照少数服从多数的原则推荐</w:t>
      </w:r>
      <w:r>
        <w:rPr>
          <w:rFonts w:hint="eastAsia" w:ascii="宋体" w:hAnsi="宋体"/>
          <w:color w:val="auto"/>
          <w:sz w:val="24"/>
          <w:highlight w:val="none"/>
          <w:lang w:val="en-US" w:eastAsia="zh-CN"/>
        </w:rPr>
        <w:t>中标</w:t>
      </w:r>
      <w:r>
        <w:rPr>
          <w:rFonts w:hint="eastAsia" w:ascii="宋体" w:hAnsi="宋体"/>
          <w:color w:val="auto"/>
          <w:sz w:val="24"/>
          <w:highlight w:val="none"/>
        </w:rPr>
        <w:t>候选</w:t>
      </w:r>
      <w:r>
        <w:rPr>
          <w:rFonts w:hint="eastAsia" w:ascii="宋体" w:hAnsi="宋体"/>
          <w:color w:val="auto"/>
          <w:sz w:val="24"/>
          <w:highlight w:val="none"/>
          <w:lang w:eastAsia="zh-CN"/>
        </w:rPr>
        <w:t>供应商</w:t>
      </w:r>
      <w:r>
        <w:rPr>
          <w:rFonts w:hint="eastAsia" w:ascii="宋体" w:hAnsi="宋体"/>
          <w:color w:val="auto"/>
          <w:sz w:val="24"/>
          <w:highlight w:val="none"/>
        </w:rPr>
        <w:t>，采购程序继续进行。对评审报告有异议的</w:t>
      </w:r>
      <w:r>
        <w:rPr>
          <w:rFonts w:hint="eastAsia" w:ascii="宋体" w:hAnsi="宋体"/>
          <w:color w:val="auto"/>
          <w:sz w:val="24"/>
          <w:highlight w:val="none"/>
          <w:lang w:eastAsia="zh-CN"/>
        </w:rPr>
        <w:t>评标委员会</w:t>
      </w:r>
      <w:r>
        <w:rPr>
          <w:rFonts w:hint="eastAsia" w:ascii="宋体" w:hAnsi="宋体"/>
          <w:color w:val="auto"/>
          <w:sz w:val="24"/>
          <w:highlight w:val="none"/>
        </w:rPr>
        <w:t>成员，应当在报告上签署不同意见并说明理由，由</w:t>
      </w:r>
      <w:r>
        <w:rPr>
          <w:rFonts w:hint="eastAsia" w:ascii="宋体" w:hAnsi="宋体"/>
          <w:color w:val="auto"/>
          <w:sz w:val="24"/>
          <w:highlight w:val="none"/>
          <w:lang w:eastAsia="zh-CN"/>
        </w:rPr>
        <w:t>评标委员会</w:t>
      </w:r>
      <w:r>
        <w:rPr>
          <w:rFonts w:hint="eastAsia" w:ascii="宋体" w:hAnsi="宋体"/>
          <w:color w:val="auto"/>
          <w:sz w:val="24"/>
          <w:highlight w:val="none"/>
        </w:rPr>
        <w:t>记录相关情况。</w:t>
      </w:r>
      <w:r>
        <w:rPr>
          <w:rFonts w:hint="eastAsia" w:ascii="宋体" w:hAnsi="宋体"/>
          <w:color w:val="auto"/>
          <w:sz w:val="24"/>
          <w:highlight w:val="none"/>
          <w:lang w:eastAsia="zh-CN"/>
        </w:rPr>
        <w:t>评标委员会</w:t>
      </w:r>
      <w:r>
        <w:rPr>
          <w:rFonts w:hint="eastAsia" w:ascii="宋体" w:hAnsi="宋体"/>
          <w:color w:val="auto"/>
          <w:sz w:val="24"/>
          <w:highlight w:val="none"/>
        </w:rPr>
        <w:t>成员拒绝在报告上签字又不说明其不同意见和理由的，视为同意评审报告。</w:t>
      </w:r>
    </w:p>
    <w:p w14:paraId="757ED18B">
      <w:pPr>
        <w:spacing w:line="360" w:lineRule="auto"/>
        <w:ind w:right="164" w:firstLine="480" w:firstLineChars="200"/>
        <w:rPr>
          <w:rFonts w:hint="eastAsia" w:ascii="宋体" w:hAnsi="宋体" w:cs="宋体"/>
          <w:sz w:val="24"/>
          <w:highlight w:val="none"/>
        </w:rPr>
      </w:pPr>
    </w:p>
    <w:p w14:paraId="6580E624">
      <w:pPr>
        <w:spacing w:line="360" w:lineRule="auto"/>
        <w:ind w:right="164" w:firstLine="480" w:firstLineChars="200"/>
        <w:rPr>
          <w:rFonts w:hint="eastAsia" w:ascii="宋体" w:hAnsi="宋体" w:cs="宋体"/>
          <w:sz w:val="24"/>
          <w:highlight w:val="none"/>
        </w:rPr>
      </w:pPr>
      <w:r>
        <w:rPr>
          <w:rFonts w:hint="eastAsia" w:ascii="宋体" w:hAnsi="宋体" w:cs="宋体"/>
          <w:sz w:val="24"/>
          <w:highlight w:val="none"/>
        </w:rPr>
        <w:br w:type="page"/>
      </w:r>
    </w:p>
    <w:bookmarkEnd w:id="43"/>
    <w:bookmarkEnd w:id="44"/>
    <w:bookmarkEnd w:id="45"/>
    <w:bookmarkEnd w:id="46"/>
    <w:bookmarkEnd w:id="47"/>
    <w:bookmarkEnd w:id="48"/>
    <w:p w14:paraId="4939CC29">
      <w:pPr>
        <w:pStyle w:val="4"/>
        <w:numPr>
          <w:ilvl w:val="0"/>
          <w:numId w:val="22"/>
        </w:numPr>
        <w:ind w:left="0" w:firstLine="0"/>
        <w:outlineLvl w:val="0"/>
        <w:rPr>
          <w:rFonts w:hint="eastAsia" w:ascii="宋体" w:hAnsi="宋体" w:eastAsia="宋体" w:cs="宋体"/>
          <w:szCs w:val="32"/>
          <w:highlight w:val="none"/>
        </w:rPr>
      </w:pPr>
      <w:bookmarkStart w:id="71" w:name="_Toc18085"/>
      <w:bookmarkStart w:id="72" w:name="_Toc20304"/>
      <w:r>
        <w:rPr>
          <w:rFonts w:hint="eastAsia" w:ascii="宋体" w:hAnsi="宋体" w:eastAsia="宋体" w:cs="宋体"/>
          <w:szCs w:val="32"/>
          <w:highlight w:val="none"/>
        </w:rPr>
        <w:t>合同条款及格式</w:t>
      </w:r>
      <w:bookmarkEnd w:id="71"/>
      <w:bookmarkEnd w:id="72"/>
    </w:p>
    <w:p w14:paraId="49CC0822">
      <w:pPr>
        <w:pStyle w:val="5"/>
        <w:numPr>
          <w:ilvl w:val="0"/>
          <w:numId w:val="24"/>
        </w:numPr>
        <w:ind w:firstLine="0"/>
        <w:jc w:val="both"/>
        <w:outlineLvl w:val="1"/>
        <w:rPr>
          <w:rFonts w:hint="eastAsia" w:ascii="宋体" w:hAnsi="宋体" w:eastAsia="宋体" w:cs="宋体"/>
          <w:sz w:val="32"/>
          <w:szCs w:val="32"/>
          <w:highlight w:val="none"/>
        </w:rPr>
      </w:pPr>
      <w:bookmarkStart w:id="73" w:name="_Toc30116"/>
      <w:bookmarkStart w:id="74" w:name="_Toc10732"/>
      <w:bookmarkStart w:id="75" w:name="_Toc28495"/>
      <w:r>
        <w:rPr>
          <w:rFonts w:hint="eastAsia" w:ascii="宋体" w:hAnsi="宋体" w:eastAsia="宋体" w:cs="宋体"/>
          <w:sz w:val="32"/>
          <w:szCs w:val="32"/>
          <w:highlight w:val="none"/>
        </w:rPr>
        <w:t>合同资料表</w:t>
      </w:r>
      <w:bookmarkEnd w:id="73"/>
      <w:bookmarkEnd w:id="74"/>
      <w:bookmarkEnd w:id="75"/>
    </w:p>
    <w:tbl>
      <w:tblPr>
        <w:tblStyle w:val="8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13"/>
      </w:tblGrid>
      <w:tr w14:paraId="7F65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59" w:type="dxa"/>
            <w:noWrap w:val="0"/>
            <w:vAlign w:val="center"/>
          </w:tcPr>
          <w:p w14:paraId="0408BCFE">
            <w:pPr>
              <w:jc w:val="center"/>
              <w:rPr>
                <w:rFonts w:hint="eastAsia" w:ascii="宋体" w:hAnsi="宋体" w:eastAsia="宋体" w:cs="宋体"/>
                <w:sz w:val="24"/>
                <w:szCs w:val="24"/>
                <w:highlight w:val="none"/>
              </w:rPr>
            </w:pPr>
            <w:bookmarkStart w:id="76" w:name="_Toc26322"/>
            <w:bookmarkStart w:id="77" w:name="_Toc12746"/>
            <w:r>
              <w:rPr>
                <w:rFonts w:hint="eastAsia" w:ascii="宋体" w:hAnsi="宋体" w:eastAsia="宋体" w:cs="宋体"/>
                <w:sz w:val="24"/>
                <w:szCs w:val="24"/>
                <w:highlight w:val="none"/>
              </w:rPr>
              <w:t>序号</w:t>
            </w:r>
          </w:p>
        </w:tc>
        <w:tc>
          <w:tcPr>
            <w:tcW w:w="7513" w:type="dxa"/>
            <w:noWrap w:val="0"/>
            <w:vAlign w:val="center"/>
          </w:tcPr>
          <w:p w14:paraId="357AB77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内   容</w:t>
            </w:r>
          </w:p>
        </w:tc>
      </w:tr>
      <w:tr w14:paraId="0142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noWrap w:val="0"/>
            <w:vAlign w:val="center"/>
          </w:tcPr>
          <w:p w14:paraId="130C967D">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1</w:t>
            </w:r>
          </w:p>
        </w:tc>
        <w:tc>
          <w:tcPr>
            <w:tcW w:w="7513" w:type="dxa"/>
            <w:noWrap w:val="0"/>
            <w:vAlign w:val="center"/>
          </w:tcPr>
          <w:p w14:paraId="6207FEFA">
            <w:pPr>
              <w:spacing w:line="3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新乡医学院第一附属医院</w:t>
            </w:r>
          </w:p>
          <w:p w14:paraId="6FD3C8BD">
            <w:pPr>
              <w:spacing w:line="3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河南省卫辉市健康路88号</w:t>
            </w:r>
          </w:p>
          <w:p w14:paraId="40F2289B">
            <w:pPr>
              <w:spacing w:line="3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供应商）：</w:t>
            </w:r>
          </w:p>
          <w:p w14:paraId="3A131C33">
            <w:pPr>
              <w:spacing w:line="380" w:lineRule="exac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p>
        </w:tc>
      </w:tr>
      <w:tr w14:paraId="54CE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59" w:type="dxa"/>
            <w:noWrap w:val="0"/>
            <w:vAlign w:val="center"/>
          </w:tcPr>
          <w:p w14:paraId="139957B0">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2</w:t>
            </w:r>
          </w:p>
        </w:tc>
        <w:tc>
          <w:tcPr>
            <w:tcW w:w="7513" w:type="dxa"/>
            <w:noWrap w:val="0"/>
            <w:vAlign w:val="center"/>
          </w:tcPr>
          <w:p w14:paraId="13B69D69">
            <w:pPr>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eastAsia="zh-CN"/>
              </w:rPr>
              <w:t>新乡医学院第一附属医院</w:t>
            </w:r>
          </w:p>
        </w:tc>
      </w:tr>
      <w:tr w14:paraId="6A8C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59" w:type="dxa"/>
            <w:noWrap w:val="0"/>
            <w:vAlign w:val="center"/>
          </w:tcPr>
          <w:p w14:paraId="59D3527D">
            <w:p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3</w:t>
            </w:r>
          </w:p>
        </w:tc>
        <w:tc>
          <w:tcPr>
            <w:tcW w:w="7513" w:type="dxa"/>
            <w:noWrap w:val="0"/>
            <w:vAlign w:val="center"/>
          </w:tcPr>
          <w:p w14:paraId="00CF49B4">
            <w:pPr>
              <w:spacing w:line="3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交货期：合同签订后60日历天。</w:t>
            </w:r>
          </w:p>
        </w:tc>
      </w:tr>
      <w:tr w14:paraId="56AA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959" w:type="dxa"/>
            <w:noWrap w:val="0"/>
            <w:vAlign w:val="center"/>
          </w:tcPr>
          <w:p w14:paraId="7BE80204">
            <w:p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4</w:t>
            </w:r>
          </w:p>
        </w:tc>
        <w:tc>
          <w:tcPr>
            <w:tcW w:w="7513" w:type="dxa"/>
            <w:noWrap w:val="0"/>
            <w:vAlign w:val="center"/>
          </w:tcPr>
          <w:p w14:paraId="406137A1">
            <w:pPr>
              <w:spacing w:line="43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付款方式：</w:t>
            </w:r>
            <w:r>
              <w:rPr>
                <w:rFonts w:hint="eastAsia" w:ascii="宋体" w:hAnsi="宋体" w:eastAsia="宋体" w:cs="宋体"/>
                <w:color w:val="auto"/>
                <w:sz w:val="24"/>
                <w:szCs w:val="24"/>
                <w:highlight w:val="none"/>
                <w:lang w:val="en-US" w:eastAsia="zh-CN"/>
              </w:rPr>
              <w:t xml:space="preserve">合同签订生效后预付款金额：合同金额30%（注：中小企业预付款金额为合同金额的50%，）验收合格后付至合同金额的100%  </w:t>
            </w:r>
          </w:p>
        </w:tc>
      </w:tr>
      <w:tr w14:paraId="5FC8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59" w:type="dxa"/>
            <w:noWrap w:val="0"/>
            <w:vAlign w:val="center"/>
          </w:tcPr>
          <w:p w14:paraId="5510CDA0">
            <w:p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5</w:t>
            </w:r>
          </w:p>
        </w:tc>
        <w:tc>
          <w:tcPr>
            <w:tcW w:w="7513" w:type="dxa"/>
            <w:noWrap w:val="0"/>
            <w:vAlign w:val="center"/>
          </w:tcPr>
          <w:p w14:paraId="6EEBFE6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合同价和分项报价：按投标文件承诺</w:t>
            </w:r>
          </w:p>
        </w:tc>
      </w:tr>
      <w:tr w14:paraId="4BE8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59" w:type="dxa"/>
            <w:noWrap w:val="0"/>
            <w:vAlign w:val="center"/>
          </w:tcPr>
          <w:p w14:paraId="1C86B2DA">
            <w:p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6</w:t>
            </w:r>
          </w:p>
        </w:tc>
        <w:tc>
          <w:tcPr>
            <w:tcW w:w="7513" w:type="dxa"/>
            <w:noWrap w:val="0"/>
            <w:vAlign w:val="center"/>
          </w:tcPr>
          <w:p w14:paraId="469AF741">
            <w:pPr>
              <w:spacing w:line="3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履约保证金金额：中标金额的10%</w:t>
            </w:r>
            <w:r>
              <w:rPr>
                <w:rFonts w:hint="eastAsia" w:ascii="宋体" w:hAnsi="宋体" w:eastAsia="宋体" w:cs="宋体"/>
                <w:color w:val="auto"/>
                <w:sz w:val="24"/>
                <w:szCs w:val="24"/>
                <w:highlight w:val="none"/>
                <w:lang w:val="en-US" w:eastAsia="zh-CN"/>
              </w:rPr>
              <w:t>。</w:t>
            </w:r>
          </w:p>
          <w:p w14:paraId="7DEA69CF">
            <w:pPr>
              <w:spacing w:line="38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递交形式：中标后向采购人提供对应金额的</w:t>
            </w:r>
            <w:r>
              <w:rPr>
                <w:rFonts w:hint="eastAsia" w:ascii="宋体" w:hAnsi="宋体" w:eastAsia="宋体" w:cs="宋体"/>
                <w:color w:val="auto"/>
                <w:sz w:val="24"/>
                <w:szCs w:val="24"/>
                <w:highlight w:val="none"/>
                <w:lang w:eastAsia="zh-CN"/>
              </w:rPr>
              <w:t>履约保证金，供应商应当以支票、汇票、本票或者金融机构、担保机构出具的保函等非现金形式提交</w:t>
            </w:r>
            <w:r>
              <w:rPr>
                <w:rFonts w:hint="eastAsia" w:ascii="宋体" w:hAnsi="宋体" w:eastAsia="宋体" w:cs="宋体"/>
                <w:color w:val="auto"/>
                <w:sz w:val="24"/>
                <w:szCs w:val="24"/>
                <w:highlight w:val="none"/>
                <w:lang w:val="en-US" w:eastAsia="zh-CN"/>
              </w:rPr>
              <w:t>。</w:t>
            </w:r>
          </w:p>
        </w:tc>
      </w:tr>
    </w:tbl>
    <w:p w14:paraId="38F29C2B">
      <w:pPr>
        <w:pStyle w:val="5"/>
        <w:numPr>
          <w:ilvl w:val="0"/>
          <w:numId w:val="24"/>
        </w:numPr>
        <w:ind w:firstLine="0"/>
        <w:jc w:val="both"/>
        <w:outlineLvl w:val="1"/>
        <w:rPr>
          <w:rFonts w:hint="eastAsia" w:ascii="宋体" w:hAnsi="宋体" w:eastAsia="宋体" w:cs="宋体"/>
          <w:color w:val="FF0000"/>
          <w:sz w:val="32"/>
          <w:szCs w:val="32"/>
          <w:highlight w:val="none"/>
        </w:rPr>
      </w:pPr>
      <w:r>
        <w:rPr>
          <w:rFonts w:hint="eastAsia" w:ascii="宋体" w:hAnsi="宋体" w:eastAsia="宋体" w:cs="宋体"/>
          <w:highlight w:val="none"/>
        </w:rPr>
        <w:br w:type="page"/>
      </w:r>
      <w:bookmarkStart w:id="78" w:name="_Toc5939"/>
      <w:r>
        <w:rPr>
          <w:rFonts w:hint="eastAsia" w:ascii="宋体" w:hAnsi="宋体" w:eastAsia="宋体" w:cs="宋体"/>
          <w:color w:val="000000" w:themeColor="text1"/>
          <w:highlight w:val="none"/>
          <w14:textFill>
            <w14:solidFill>
              <w14:schemeClr w14:val="tx1"/>
            </w14:solidFill>
          </w14:textFill>
        </w:rPr>
        <w:t>合同</w:t>
      </w:r>
      <w:bookmarkEnd w:id="76"/>
      <w:bookmarkEnd w:id="77"/>
      <w:r>
        <w:rPr>
          <w:rFonts w:hint="eastAsia" w:ascii="宋体" w:hAnsi="宋体" w:eastAsia="宋体" w:cs="宋体"/>
          <w:color w:val="000000" w:themeColor="text1"/>
          <w:highlight w:val="none"/>
          <w:lang w:val="en-US" w:eastAsia="zh-CN"/>
          <w14:textFill>
            <w14:solidFill>
              <w14:schemeClr w14:val="tx1"/>
            </w14:solidFill>
          </w14:textFill>
        </w:rPr>
        <w:t>格式</w:t>
      </w:r>
      <w:bookmarkEnd w:id="78"/>
    </w:p>
    <w:p w14:paraId="306A3DA0">
      <w:pPr>
        <w:pStyle w:val="33"/>
        <w:spacing w:after="0"/>
        <w:jc w:val="center"/>
        <w:rPr>
          <w:rFonts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政府采购货物买卖合同</w:t>
      </w:r>
    </w:p>
    <w:p w14:paraId="52A87F4A">
      <w:pPr>
        <w:rPr>
          <w:rFonts w:ascii="宋体" w:hAnsi="宋体" w:cs="宋体"/>
          <w:b/>
          <w:bCs/>
          <w:spacing w:val="-20"/>
          <w:kern w:val="44"/>
          <w:sz w:val="40"/>
          <w:szCs w:val="40"/>
          <w:highlight w:val="none"/>
        </w:rPr>
      </w:pPr>
    </w:p>
    <w:p w14:paraId="0297CAA3">
      <w:pPr>
        <w:pStyle w:val="141"/>
        <w:rPr>
          <w:highlight w:val="none"/>
        </w:rPr>
      </w:pPr>
    </w:p>
    <w:p w14:paraId="5C478424">
      <w:pPr>
        <w:rPr>
          <w:rFonts w:ascii="宋体" w:hAnsi="宋体" w:cs="宋体"/>
          <w:b/>
          <w:bCs/>
          <w:spacing w:val="-20"/>
          <w:kern w:val="44"/>
          <w:sz w:val="40"/>
          <w:szCs w:val="40"/>
          <w:highlight w:val="none"/>
        </w:rPr>
      </w:pPr>
    </w:p>
    <w:p w14:paraId="62306A14">
      <w:pPr>
        <w:rPr>
          <w:rFonts w:ascii="宋体" w:hAnsi="宋体" w:cs="宋体"/>
          <w:b/>
          <w:bCs/>
          <w:spacing w:val="-20"/>
          <w:kern w:val="44"/>
          <w:sz w:val="40"/>
          <w:szCs w:val="40"/>
          <w:highlight w:val="none"/>
        </w:rPr>
      </w:pPr>
    </w:p>
    <w:p w14:paraId="1A476079">
      <w:pPr>
        <w:pStyle w:val="141"/>
        <w:rPr>
          <w:rFonts w:ascii="宋体" w:hAnsi="宋体" w:cs="宋体"/>
          <w:b/>
          <w:bCs/>
          <w:spacing w:val="-20"/>
          <w:kern w:val="44"/>
          <w:sz w:val="40"/>
          <w:szCs w:val="40"/>
          <w:highlight w:val="none"/>
        </w:rPr>
      </w:pPr>
    </w:p>
    <w:p w14:paraId="10B03D19">
      <w:pPr>
        <w:pStyle w:val="141"/>
        <w:rPr>
          <w:rFonts w:ascii="宋体" w:hAnsi="宋体" w:cs="宋体"/>
          <w:b/>
          <w:bCs/>
          <w:spacing w:val="-20"/>
          <w:kern w:val="44"/>
          <w:sz w:val="40"/>
          <w:szCs w:val="40"/>
          <w:highlight w:val="none"/>
        </w:rPr>
      </w:pPr>
    </w:p>
    <w:p w14:paraId="6B9E1301">
      <w:pPr>
        <w:pStyle w:val="141"/>
        <w:rPr>
          <w:rFonts w:ascii="宋体" w:hAnsi="宋体" w:cs="宋体"/>
          <w:b/>
          <w:bCs/>
          <w:spacing w:val="-20"/>
          <w:kern w:val="44"/>
          <w:sz w:val="40"/>
          <w:szCs w:val="40"/>
          <w:highlight w:val="none"/>
        </w:rPr>
      </w:pPr>
    </w:p>
    <w:p w14:paraId="420269FD">
      <w:pPr>
        <w:pStyle w:val="141"/>
        <w:rPr>
          <w:rFonts w:ascii="宋体" w:hAnsi="宋体" w:cs="宋体"/>
          <w:b/>
          <w:bCs/>
          <w:spacing w:val="-20"/>
          <w:kern w:val="44"/>
          <w:sz w:val="40"/>
          <w:szCs w:val="40"/>
          <w:highlight w:val="none"/>
        </w:rPr>
      </w:pPr>
    </w:p>
    <w:p w14:paraId="5F4FD44E">
      <w:pPr>
        <w:spacing w:line="360" w:lineRule="auto"/>
        <w:ind w:left="420" w:leftChars="200"/>
        <w:rPr>
          <w:sz w:val="32"/>
          <w:szCs w:val="32"/>
          <w:highlight w:val="none"/>
        </w:rPr>
      </w:pPr>
      <w:r>
        <w:rPr>
          <w:rFonts w:hint="eastAsia" w:ascii="宋体" w:hAnsi="宋体" w:cs="宋体"/>
          <w:kern w:val="0"/>
          <w:sz w:val="32"/>
          <w:szCs w:val="32"/>
          <w:highlight w:val="none"/>
        </w:rPr>
        <w:t>项目名称：</w:t>
      </w:r>
      <w:r>
        <w:rPr>
          <w:rFonts w:hint="eastAsia"/>
          <w:sz w:val="32"/>
          <w:szCs w:val="32"/>
          <w:highlight w:val="none"/>
          <w:u w:val="single"/>
        </w:rPr>
        <w:t xml:space="preserve">                             </w:t>
      </w:r>
    </w:p>
    <w:p w14:paraId="1388DDE4">
      <w:pPr>
        <w:spacing w:line="360" w:lineRule="auto"/>
        <w:ind w:left="420" w:leftChars="200"/>
        <w:rPr>
          <w:sz w:val="32"/>
          <w:szCs w:val="32"/>
          <w:highlight w:val="none"/>
          <w:u w:val="single"/>
        </w:rPr>
      </w:pPr>
      <w:r>
        <w:rPr>
          <w:rFonts w:hint="eastAsia"/>
          <w:sz w:val="32"/>
          <w:szCs w:val="32"/>
          <w:highlight w:val="none"/>
        </w:rPr>
        <w:t>合同编号：</w:t>
      </w:r>
      <w:r>
        <w:rPr>
          <w:rFonts w:hint="eastAsia"/>
          <w:sz w:val="32"/>
          <w:szCs w:val="32"/>
          <w:highlight w:val="none"/>
          <w:u w:val="single"/>
        </w:rPr>
        <w:t xml:space="preserve">                             </w:t>
      </w:r>
    </w:p>
    <w:p w14:paraId="5AC468C7">
      <w:pPr>
        <w:spacing w:line="360" w:lineRule="auto"/>
        <w:ind w:left="420" w:leftChars="200"/>
        <w:rPr>
          <w:sz w:val="32"/>
          <w:szCs w:val="32"/>
          <w:highlight w:val="none"/>
        </w:rPr>
      </w:pPr>
      <w:r>
        <w:rPr>
          <w:rFonts w:hint="eastAsia"/>
          <w:sz w:val="32"/>
          <w:szCs w:val="32"/>
          <w:highlight w:val="none"/>
        </w:rPr>
        <w:t>甲    方：</w:t>
      </w:r>
      <w:r>
        <w:rPr>
          <w:rFonts w:hint="eastAsia"/>
          <w:sz w:val="32"/>
          <w:szCs w:val="32"/>
          <w:highlight w:val="none"/>
          <w:u w:val="single"/>
        </w:rPr>
        <w:t xml:space="preserve">                             </w:t>
      </w:r>
    </w:p>
    <w:p w14:paraId="0C077F46">
      <w:pPr>
        <w:spacing w:line="360" w:lineRule="auto"/>
        <w:ind w:left="420" w:leftChars="200"/>
        <w:rPr>
          <w:sz w:val="32"/>
          <w:szCs w:val="32"/>
          <w:highlight w:val="none"/>
          <w:u w:val="single"/>
        </w:rPr>
      </w:pPr>
      <w:r>
        <w:rPr>
          <w:rFonts w:hint="eastAsia"/>
          <w:sz w:val="32"/>
          <w:szCs w:val="32"/>
          <w:highlight w:val="none"/>
        </w:rPr>
        <w:t>乙    方：</w:t>
      </w:r>
      <w:r>
        <w:rPr>
          <w:rFonts w:hint="eastAsia"/>
          <w:sz w:val="32"/>
          <w:szCs w:val="32"/>
          <w:highlight w:val="none"/>
          <w:u w:val="single"/>
        </w:rPr>
        <w:t xml:space="preserve">                             </w:t>
      </w:r>
    </w:p>
    <w:p w14:paraId="5264919C">
      <w:pPr>
        <w:spacing w:line="360" w:lineRule="auto"/>
        <w:ind w:left="420" w:leftChars="200"/>
        <w:rPr>
          <w:sz w:val="32"/>
          <w:szCs w:val="32"/>
          <w:highlight w:val="none"/>
        </w:rPr>
      </w:pPr>
      <w:r>
        <w:rPr>
          <w:rFonts w:hint="eastAsia"/>
          <w:sz w:val="32"/>
          <w:szCs w:val="32"/>
          <w:highlight w:val="none"/>
        </w:rPr>
        <w:t>签订时间：</w:t>
      </w:r>
      <w:r>
        <w:rPr>
          <w:rFonts w:hint="eastAsia"/>
          <w:sz w:val="32"/>
          <w:szCs w:val="32"/>
          <w:highlight w:val="none"/>
          <w:u w:val="single"/>
        </w:rPr>
        <w:t xml:space="preserve">      </w:t>
      </w:r>
      <w:r>
        <w:rPr>
          <w:sz w:val="32"/>
          <w:szCs w:val="32"/>
          <w:highlight w:val="none"/>
          <w:u w:val="single"/>
        </w:rPr>
        <w:t xml:space="preserve">           </w:t>
      </w:r>
      <w:r>
        <w:rPr>
          <w:rFonts w:hint="eastAsia"/>
          <w:sz w:val="32"/>
          <w:szCs w:val="32"/>
          <w:highlight w:val="none"/>
          <w:u w:val="single"/>
        </w:rPr>
        <w:t xml:space="preserve">            </w:t>
      </w:r>
    </w:p>
    <w:p w14:paraId="082FEA89">
      <w:pPr>
        <w:rPr>
          <w:highlight w:val="none"/>
        </w:rPr>
      </w:pPr>
    </w:p>
    <w:p w14:paraId="61D23A7D">
      <w:pPr>
        <w:rPr>
          <w:rFonts w:ascii="黑体" w:hAnsi="黑体" w:eastAsia="黑体"/>
          <w:sz w:val="28"/>
          <w:szCs w:val="28"/>
          <w:highlight w:val="none"/>
        </w:rPr>
      </w:pPr>
      <w:bookmarkStart w:id="79" w:name="_Toc22209"/>
    </w:p>
    <w:p w14:paraId="796F39AD">
      <w:pPr>
        <w:pStyle w:val="4"/>
        <w:numPr>
          <w:ilvl w:val="0"/>
          <w:numId w:val="0"/>
        </w:numPr>
        <w:adjustRightInd w:val="0"/>
        <w:snapToGrid w:val="0"/>
        <w:spacing w:line="400" w:lineRule="exact"/>
        <w:ind w:left="420" w:leftChars="0"/>
        <w:jc w:val="center"/>
        <w:rPr>
          <w:rFonts w:ascii="黑体" w:hAnsi="华文中宋" w:eastAsia="黑体"/>
          <w:b w:val="0"/>
          <w:bCs w:val="0"/>
          <w:sz w:val="28"/>
          <w:szCs w:val="28"/>
          <w:highlight w:val="none"/>
        </w:rPr>
      </w:pPr>
      <w:r>
        <w:rPr>
          <w:rFonts w:hint="eastAsia" w:ascii="黑体" w:hAnsi="黑体" w:eastAsia="黑体"/>
          <w:b w:val="0"/>
          <w:bCs w:val="0"/>
          <w:sz w:val="28"/>
          <w:szCs w:val="28"/>
          <w:highlight w:val="none"/>
        </w:rPr>
        <w:br w:type="page"/>
      </w:r>
      <w:r>
        <w:rPr>
          <w:rFonts w:hint="eastAsia" w:ascii="黑体" w:hAnsi="黑体" w:eastAsia="黑体"/>
          <w:b w:val="0"/>
          <w:bCs w:val="0"/>
          <w:sz w:val="28"/>
          <w:szCs w:val="28"/>
          <w:highlight w:val="none"/>
        </w:rPr>
        <w:t xml:space="preserve">第一节 </w:t>
      </w:r>
      <w:r>
        <w:rPr>
          <w:rFonts w:hint="eastAsia" w:ascii="黑体" w:hAnsi="华文中宋" w:eastAsia="黑体"/>
          <w:b w:val="0"/>
          <w:bCs w:val="0"/>
          <w:sz w:val="28"/>
          <w:szCs w:val="28"/>
          <w:highlight w:val="none"/>
        </w:rPr>
        <w:t>政府采购合同协议书</w:t>
      </w:r>
      <w:bookmarkEnd w:id="79"/>
    </w:p>
    <w:p w14:paraId="6C9E5F92">
      <w:pPr>
        <w:adjustRightInd w:val="0"/>
        <w:snapToGrid w:val="0"/>
        <w:spacing w:line="400" w:lineRule="exact"/>
        <w:rPr>
          <w:rFonts w:ascii="宋体" w:hAnsi="宋体"/>
          <w:sz w:val="24"/>
          <w:szCs w:val="24"/>
          <w:highlight w:val="none"/>
        </w:rPr>
      </w:pPr>
      <w:r>
        <w:rPr>
          <w:rFonts w:hint="eastAsia" w:ascii="宋体" w:hAnsi="宋体"/>
          <w:sz w:val="24"/>
          <w:szCs w:val="24"/>
          <w:highlight w:val="none"/>
        </w:rPr>
        <w:t>甲方（全称）：</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新乡医学院第一附属医院</w:t>
      </w:r>
    </w:p>
    <w:p w14:paraId="79A8D80D">
      <w:pPr>
        <w:adjustRightInd w:val="0"/>
        <w:snapToGrid w:val="0"/>
        <w:spacing w:line="400" w:lineRule="exact"/>
        <w:rPr>
          <w:rFonts w:ascii="宋体" w:hAnsi="宋体"/>
          <w:sz w:val="24"/>
          <w:szCs w:val="24"/>
          <w:highlight w:val="none"/>
        </w:rPr>
      </w:pPr>
      <w:r>
        <w:rPr>
          <w:rFonts w:hint="eastAsia" w:ascii="宋体" w:hAnsi="宋体"/>
          <w:sz w:val="24"/>
          <w:szCs w:val="24"/>
          <w:highlight w:val="none"/>
        </w:rPr>
        <w:t>乙方（全称）：</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rPr>
        <w:t>（供应商）</w:t>
      </w:r>
    </w:p>
    <w:p w14:paraId="53B0D411">
      <w:pPr>
        <w:spacing w:line="400" w:lineRule="exact"/>
        <w:rPr>
          <w:sz w:val="24"/>
          <w:szCs w:val="24"/>
          <w:highlight w:val="none"/>
        </w:rPr>
      </w:pPr>
    </w:p>
    <w:p w14:paraId="4C72BBC5">
      <w:pPr>
        <w:pStyle w:val="34"/>
        <w:adjustRightInd w:val="0"/>
        <w:snapToGrid w:val="0"/>
        <w:spacing w:after="0" w:line="400" w:lineRule="exact"/>
        <w:ind w:left="0" w:leftChars="0" w:firstLine="480" w:firstLineChars="200"/>
        <w:rPr>
          <w:rFonts w:ascii="宋体" w:hAnsi="宋体"/>
          <w:sz w:val="24"/>
          <w:szCs w:val="24"/>
          <w:highlight w:val="none"/>
        </w:rPr>
      </w:pPr>
      <w:r>
        <w:rPr>
          <w:rFonts w:hint="eastAsia" w:ascii="宋体" w:hAnsi="宋体"/>
          <w:sz w:val="24"/>
          <w:szCs w:val="24"/>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755503B">
      <w:pPr>
        <w:numPr>
          <w:ilvl w:val="0"/>
          <w:numId w:val="25"/>
        </w:numPr>
        <w:adjustRightInd w:val="0"/>
        <w:snapToGrid w:val="0"/>
        <w:spacing w:line="400" w:lineRule="exact"/>
        <w:ind w:firstLine="482" w:firstLineChars="200"/>
        <w:rPr>
          <w:rFonts w:ascii="宋体" w:hAnsi="宋体"/>
          <w:b/>
          <w:sz w:val="24"/>
          <w:szCs w:val="24"/>
          <w:highlight w:val="none"/>
        </w:rPr>
      </w:pPr>
      <w:r>
        <w:rPr>
          <w:rFonts w:hint="eastAsia" w:ascii="宋体" w:hAnsi="宋体"/>
          <w:b/>
          <w:sz w:val="24"/>
          <w:szCs w:val="24"/>
          <w:highlight w:val="none"/>
        </w:rPr>
        <w:t>项目信息</w:t>
      </w:r>
    </w:p>
    <w:p w14:paraId="41F97EC8">
      <w:pPr>
        <w:pStyle w:val="34"/>
        <w:numPr>
          <w:ilvl w:val="0"/>
          <w:numId w:val="26"/>
        </w:numPr>
        <w:adjustRightInd w:val="0"/>
        <w:snapToGrid w:val="0"/>
        <w:spacing w:after="0" w:line="400" w:lineRule="exact"/>
        <w:ind w:left="0" w:leftChars="0" w:firstLine="480" w:firstLineChars="200"/>
        <w:rPr>
          <w:rFonts w:ascii="宋体" w:hAnsi="宋体"/>
          <w:sz w:val="24"/>
          <w:szCs w:val="24"/>
          <w:highlight w:val="none"/>
          <w:u w:val="single"/>
        </w:rPr>
      </w:pPr>
      <w:r>
        <w:rPr>
          <w:rFonts w:hint="eastAsia" w:ascii="宋体" w:hAnsi="宋体"/>
          <w:sz w:val="24"/>
          <w:szCs w:val="24"/>
          <w:highlight w:val="none"/>
        </w:rPr>
        <w:t>采购项目名称：</w:t>
      </w:r>
      <w:r>
        <w:rPr>
          <w:rFonts w:ascii="宋体" w:hAnsi="宋体"/>
          <w:sz w:val="24"/>
          <w:szCs w:val="24"/>
          <w:highlight w:val="none"/>
          <w:u w:val="single"/>
        </w:rPr>
        <w:t xml:space="preserve">  </w:t>
      </w:r>
      <w:r>
        <w:rPr>
          <w:rFonts w:hint="eastAsia" w:ascii="宋体" w:hAnsi="宋体"/>
          <w:sz w:val="24"/>
          <w:szCs w:val="24"/>
          <w:highlight w:val="none"/>
          <w:u w:val="single"/>
          <w:lang w:eastAsia="zh-CN"/>
        </w:rPr>
        <w:t>新乡医学院第一附属医院支气管镜系统、便携式支气管镜购置项目</w:t>
      </w:r>
      <w:r>
        <w:rPr>
          <w:rFonts w:ascii="宋体" w:hAnsi="宋体"/>
          <w:sz w:val="24"/>
          <w:szCs w:val="24"/>
          <w:highlight w:val="none"/>
          <w:u w:val="single"/>
        </w:rPr>
        <w:t xml:space="preserve"> </w:t>
      </w:r>
    </w:p>
    <w:p w14:paraId="5A25B830">
      <w:pPr>
        <w:pStyle w:val="34"/>
        <w:numPr>
          <w:ilvl w:val="0"/>
          <w:numId w:val="0"/>
        </w:numPr>
        <w:tabs>
          <w:tab w:val="left" w:pos="999"/>
        </w:tabs>
        <w:adjustRightInd w:val="0"/>
        <w:snapToGrid w:val="0"/>
        <w:spacing w:after="0" w:line="400" w:lineRule="exact"/>
        <w:rPr>
          <w:rFonts w:ascii="宋体" w:hAnsi="宋体"/>
          <w:sz w:val="24"/>
          <w:szCs w:val="24"/>
          <w:highlight w:val="none"/>
        </w:rPr>
      </w:pPr>
      <w:r>
        <w:rPr>
          <w:rFonts w:hint="eastAsia" w:ascii="宋体" w:hAnsi="宋体"/>
          <w:sz w:val="24"/>
          <w:szCs w:val="24"/>
          <w:highlight w:val="none"/>
        </w:rPr>
        <w:t xml:space="preserve">         采购项目编号：</w:t>
      </w:r>
      <w:r>
        <w:rPr>
          <w:rFonts w:ascii="宋体" w:hAnsi="宋体"/>
          <w:sz w:val="24"/>
          <w:szCs w:val="24"/>
          <w:highlight w:val="none"/>
          <w:u w:val="single"/>
        </w:rPr>
        <w:t xml:space="preserve">  </w:t>
      </w:r>
      <w:r>
        <w:rPr>
          <w:rFonts w:hint="eastAsia" w:ascii="宋体" w:hAnsi="宋体"/>
          <w:sz w:val="24"/>
          <w:szCs w:val="24"/>
          <w:highlight w:val="none"/>
          <w:u w:val="single"/>
          <w:lang w:eastAsia="zh-CN"/>
        </w:rPr>
        <w:t>豫财招标采购-2025-502</w:t>
      </w:r>
      <w:r>
        <w:rPr>
          <w:rFonts w:ascii="宋体" w:hAnsi="宋体"/>
          <w:sz w:val="24"/>
          <w:szCs w:val="24"/>
          <w:highlight w:val="none"/>
          <w:u w:val="single"/>
        </w:rPr>
        <w:t xml:space="preserve">                </w:t>
      </w:r>
    </w:p>
    <w:p w14:paraId="452E876B">
      <w:pPr>
        <w:pStyle w:val="34"/>
        <w:adjustRightInd w:val="0"/>
        <w:snapToGrid w:val="0"/>
        <w:spacing w:after="0" w:line="400" w:lineRule="exact"/>
        <w:ind w:left="0" w:leftChars="0" w:firstLine="480" w:firstLineChars="200"/>
        <w:rPr>
          <w:rFonts w:ascii="宋体" w:hAnsi="宋体"/>
          <w:sz w:val="24"/>
          <w:szCs w:val="24"/>
          <w:highlight w:val="none"/>
        </w:rPr>
      </w:pPr>
      <w:r>
        <w:rPr>
          <w:rFonts w:hint="eastAsia" w:ascii="宋体" w:hAnsi="宋体"/>
          <w:sz w:val="24"/>
          <w:szCs w:val="24"/>
          <w:highlight w:val="none"/>
        </w:rPr>
        <w:t>（2）采购计划编号：</w:t>
      </w:r>
      <w:r>
        <w:rPr>
          <w:rFonts w:ascii="宋体" w:hAnsi="宋体"/>
          <w:sz w:val="24"/>
          <w:szCs w:val="24"/>
          <w:highlight w:val="none"/>
          <w:u w:val="single"/>
        </w:rPr>
        <w:t xml:space="preserve">                     </w:t>
      </w:r>
      <w:r>
        <w:rPr>
          <w:rFonts w:hint="eastAsia" w:ascii="宋体" w:hAnsi="宋体"/>
          <w:sz w:val="24"/>
          <w:szCs w:val="24"/>
          <w:highlight w:val="none"/>
          <w:u w:val="single"/>
        </w:rPr>
        <w:t xml:space="preserve">                </w:t>
      </w:r>
      <w:r>
        <w:rPr>
          <w:rFonts w:ascii="宋体" w:hAnsi="宋体"/>
          <w:sz w:val="24"/>
          <w:szCs w:val="24"/>
          <w:highlight w:val="none"/>
          <w:u w:val="single"/>
        </w:rPr>
        <w:t xml:space="preserve">  </w:t>
      </w:r>
      <w:r>
        <w:rPr>
          <w:rFonts w:ascii="宋体" w:hAnsi="宋体"/>
          <w:sz w:val="24"/>
          <w:szCs w:val="24"/>
          <w:highlight w:val="none"/>
        </w:rPr>
        <w:t xml:space="preserve"> </w:t>
      </w:r>
    </w:p>
    <w:p w14:paraId="04B8292E">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（3）项目内容：</w:t>
      </w:r>
    </w:p>
    <w:p w14:paraId="0CD04CAE">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 xml:space="preserve">     采购标的及数量（台/套</w:t>
      </w:r>
      <w:r>
        <w:rPr>
          <w:rFonts w:ascii="宋体" w:hAnsi="宋体"/>
          <w:sz w:val="24"/>
          <w:szCs w:val="24"/>
          <w:highlight w:val="none"/>
          <w:lang w:val="en"/>
        </w:rPr>
        <w:t>/</w:t>
      </w:r>
      <w:r>
        <w:rPr>
          <w:rFonts w:hint="eastAsia" w:ascii="宋体" w:hAnsi="宋体"/>
          <w:sz w:val="24"/>
          <w:szCs w:val="24"/>
          <w:highlight w:val="none"/>
          <w:lang w:val="en"/>
        </w:rPr>
        <w:t>个</w:t>
      </w:r>
      <w:r>
        <w:rPr>
          <w:rFonts w:ascii="宋体" w:hAnsi="宋体"/>
          <w:sz w:val="24"/>
          <w:szCs w:val="24"/>
          <w:highlight w:val="none"/>
          <w:lang w:val="en"/>
        </w:rPr>
        <w:t>/</w:t>
      </w:r>
      <w:r>
        <w:rPr>
          <w:rFonts w:hint="eastAsia" w:ascii="宋体" w:hAnsi="宋体"/>
          <w:sz w:val="24"/>
          <w:szCs w:val="24"/>
          <w:highlight w:val="none"/>
          <w:lang w:val="en"/>
        </w:rPr>
        <w:t>架</w:t>
      </w:r>
      <w:r>
        <w:rPr>
          <w:rFonts w:ascii="宋体" w:hAnsi="宋体"/>
          <w:sz w:val="24"/>
          <w:szCs w:val="24"/>
          <w:highlight w:val="none"/>
          <w:lang w:val="en"/>
        </w:rPr>
        <w:t>/</w:t>
      </w:r>
      <w:r>
        <w:rPr>
          <w:rFonts w:hint="eastAsia" w:ascii="宋体" w:hAnsi="宋体"/>
          <w:sz w:val="24"/>
          <w:szCs w:val="24"/>
          <w:highlight w:val="none"/>
          <w:lang w:val="en"/>
        </w:rPr>
        <w:t>组等</w:t>
      </w:r>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rPr>
        <w:t xml:space="preserve">            </w:t>
      </w:r>
      <w:r>
        <w:rPr>
          <w:rFonts w:hint="eastAsia" w:ascii="宋体" w:hAnsi="宋体"/>
          <w:sz w:val="24"/>
          <w:szCs w:val="24"/>
          <w:highlight w:val="none"/>
          <w:u w:val="single"/>
        </w:rPr>
        <w:t xml:space="preserve">                  </w:t>
      </w:r>
      <w:r>
        <w:rPr>
          <w:rFonts w:hint="eastAsia" w:ascii="宋体" w:hAnsi="宋体"/>
          <w:sz w:val="24"/>
          <w:szCs w:val="24"/>
          <w:highlight w:val="none"/>
        </w:rPr>
        <w:t xml:space="preserve"> </w:t>
      </w:r>
    </w:p>
    <w:p w14:paraId="7143F571">
      <w:pPr>
        <w:numPr>
          <w:ilvl w:val="0"/>
          <w:numId w:val="0"/>
        </w:numPr>
        <w:adjustRightInd w:val="0"/>
        <w:snapToGrid w:val="0"/>
        <w:spacing w:line="400" w:lineRule="exact"/>
        <w:ind w:firstLine="480" w:firstLineChars="200"/>
        <w:rPr>
          <w:rFonts w:ascii="宋体" w:hAnsi="宋体" w:cs="宋体"/>
          <w:sz w:val="24"/>
          <w:szCs w:val="24"/>
          <w:highlight w:val="none"/>
          <w:lang w:val="en"/>
        </w:rPr>
      </w:pPr>
      <w:r>
        <w:rPr>
          <w:rFonts w:hint="eastAsia" w:ascii="宋体" w:hAnsi="宋体"/>
          <w:sz w:val="24"/>
          <w:szCs w:val="24"/>
          <w:highlight w:val="none"/>
        </w:rPr>
        <w:t xml:space="preserve">     </w:t>
      </w:r>
      <w:r>
        <w:rPr>
          <w:rFonts w:hint="eastAsia" w:ascii="宋体" w:hAnsi="宋体" w:cs="宋体"/>
          <w:sz w:val="24"/>
          <w:szCs w:val="24"/>
          <w:highlight w:val="none"/>
        </w:rPr>
        <w:t>品牌：</w:t>
      </w:r>
      <w:r>
        <w:rPr>
          <w:rFonts w:hint="eastAsia" w:ascii="宋体" w:hAnsi="宋体" w:cs="宋体"/>
          <w:sz w:val="24"/>
          <w:szCs w:val="24"/>
          <w:highlight w:val="none"/>
          <w:u w:val="single"/>
        </w:rPr>
        <w:t xml:space="preserve">      </w:t>
      </w:r>
      <w:r>
        <w:rPr>
          <w:rFonts w:ascii="宋体" w:hAnsi="宋体" w:cs="宋体"/>
          <w:sz w:val="24"/>
          <w:szCs w:val="24"/>
          <w:highlight w:val="none"/>
          <w:u w:val="single"/>
          <w:lang w:val="en"/>
        </w:rPr>
        <w:t xml:space="preserve">   </w:t>
      </w:r>
      <w:r>
        <w:rPr>
          <w:rFonts w:hint="eastAsia" w:ascii="宋体" w:hAnsi="宋体" w:cs="宋体"/>
          <w:sz w:val="24"/>
          <w:szCs w:val="24"/>
          <w:highlight w:val="none"/>
          <w:u w:val="single"/>
        </w:rPr>
        <w:t xml:space="preserve">    </w:t>
      </w:r>
      <w:r>
        <w:rPr>
          <w:rFonts w:ascii="宋体" w:hAnsi="宋体" w:cs="宋体"/>
          <w:sz w:val="24"/>
          <w:szCs w:val="24"/>
          <w:highlight w:val="none"/>
          <w:u w:val="single"/>
          <w:lang w:val="en"/>
        </w:rPr>
        <w:t xml:space="preserve"> </w:t>
      </w:r>
      <w:r>
        <w:rPr>
          <w:rFonts w:hint="eastAsia" w:ascii="宋体" w:hAnsi="宋体" w:cs="宋体"/>
          <w:sz w:val="24"/>
          <w:szCs w:val="24"/>
          <w:highlight w:val="none"/>
          <w:u w:val="single"/>
        </w:rPr>
        <w:t xml:space="preserve"> </w:t>
      </w:r>
      <w:r>
        <w:rPr>
          <w:rFonts w:ascii="宋体" w:hAnsi="宋体" w:cs="宋体"/>
          <w:sz w:val="24"/>
          <w:szCs w:val="24"/>
          <w:highlight w:val="none"/>
          <w:lang w:val="en"/>
        </w:rPr>
        <w:t xml:space="preserve">     </w:t>
      </w:r>
      <w:r>
        <w:rPr>
          <w:rFonts w:hint="eastAsia" w:ascii="宋体" w:hAnsi="宋体" w:cs="宋体"/>
          <w:sz w:val="24"/>
          <w:szCs w:val="24"/>
          <w:highlight w:val="none"/>
        </w:rPr>
        <w:t>规格型号：</w:t>
      </w:r>
      <w:r>
        <w:rPr>
          <w:rFonts w:hint="eastAsia" w:ascii="宋体" w:hAnsi="宋体" w:cs="宋体"/>
          <w:sz w:val="24"/>
          <w:szCs w:val="24"/>
          <w:highlight w:val="none"/>
          <w:u w:val="single"/>
        </w:rPr>
        <w:t xml:space="preserve">   </w:t>
      </w:r>
      <w:r>
        <w:rPr>
          <w:rFonts w:ascii="宋体" w:hAnsi="宋体" w:cs="宋体"/>
          <w:sz w:val="24"/>
          <w:szCs w:val="24"/>
          <w:highlight w:val="none"/>
          <w:u w:val="single"/>
          <w:lang w:val="en"/>
        </w:rPr>
        <w:t xml:space="preserve">  </w:t>
      </w:r>
      <w:r>
        <w:rPr>
          <w:rFonts w:hint="eastAsia" w:ascii="宋体" w:hAnsi="宋体" w:cs="宋体"/>
          <w:sz w:val="24"/>
          <w:szCs w:val="24"/>
          <w:highlight w:val="none"/>
          <w:u w:val="single"/>
        </w:rPr>
        <w:t xml:space="preserve">       </w:t>
      </w:r>
      <w:r>
        <w:rPr>
          <w:rFonts w:ascii="宋体" w:hAnsi="宋体" w:cs="宋体"/>
          <w:sz w:val="24"/>
          <w:szCs w:val="24"/>
          <w:highlight w:val="none"/>
          <w:u w:val="single"/>
          <w:lang w:val="en"/>
        </w:rPr>
        <w:t xml:space="preserve">   </w:t>
      </w:r>
    </w:p>
    <w:p w14:paraId="7F8458A2">
      <w:pPr>
        <w:adjustRightInd w:val="0"/>
        <w:snapToGrid w:val="0"/>
        <w:spacing w:line="400" w:lineRule="exact"/>
        <w:ind w:firstLine="1080" w:firstLineChars="450"/>
        <w:rPr>
          <w:rFonts w:ascii="宋体" w:hAnsi="宋体"/>
          <w:sz w:val="24"/>
          <w:szCs w:val="24"/>
          <w:highlight w:val="none"/>
          <w:u w:val="single"/>
        </w:rPr>
      </w:pPr>
      <w:r>
        <w:rPr>
          <w:rFonts w:hint="eastAsia" w:ascii="宋体" w:hAnsi="宋体"/>
          <w:sz w:val="24"/>
          <w:szCs w:val="24"/>
          <w:highlight w:val="none"/>
        </w:rPr>
        <w:t>采购标的的技术要求、商务要求具体见附件。</w:t>
      </w:r>
    </w:p>
    <w:p w14:paraId="2E9CEAE2">
      <w:pPr>
        <w:numPr>
          <w:ilvl w:val="0"/>
          <w:numId w:val="0"/>
        </w:numPr>
        <w:adjustRightInd w:val="0"/>
        <w:snapToGrid w:val="0"/>
        <w:spacing w:line="400" w:lineRule="exact"/>
        <w:ind w:firstLine="1080" w:firstLineChars="450"/>
        <w:rPr>
          <w:rFonts w:ascii="宋体" w:hAnsi="宋体" w:cs="宋体"/>
          <w:sz w:val="24"/>
          <w:szCs w:val="24"/>
          <w:highlight w:val="none"/>
        </w:rPr>
      </w:pPr>
      <w:r>
        <w:rPr>
          <w:rFonts w:hint="eastAsia" w:ascii="宋体" w:hAnsi="宋体" w:cs="宋体"/>
          <w:sz w:val="24"/>
          <w:szCs w:val="24"/>
          <w:highlight w:val="none"/>
        </w:rPr>
        <w:t>涉及信息类产品，请填写该产品关键部件的品牌、型号：</w:t>
      </w:r>
    </w:p>
    <w:p w14:paraId="2CF8F52E">
      <w:pPr>
        <w:numPr>
          <w:ilvl w:val="0"/>
          <w:numId w:val="0"/>
        </w:numPr>
        <w:adjustRightInd w:val="0"/>
        <w:snapToGrid w:val="0"/>
        <w:spacing w:line="400" w:lineRule="exact"/>
        <w:ind w:firstLine="480" w:firstLineChars="200"/>
        <w:rPr>
          <w:rFonts w:ascii="宋体" w:hAnsi="宋体" w:cs="宋体"/>
          <w:kern w:val="0"/>
          <w:sz w:val="24"/>
          <w:szCs w:val="24"/>
          <w:highlight w:val="none"/>
          <w:u w:val="single"/>
        </w:rPr>
      </w:pPr>
      <w:r>
        <w:rPr>
          <w:rFonts w:hint="eastAsia" w:ascii="宋体" w:hAnsi="宋体" w:cs="宋体"/>
          <w:sz w:val="24"/>
          <w:szCs w:val="24"/>
          <w:highlight w:val="none"/>
        </w:rPr>
        <w:t xml:space="preserve">     标的名称：</w:t>
      </w:r>
      <w:r>
        <w:rPr>
          <w:rFonts w:hint="eastAsia" w:ascii="宋体" w:hAnsi="宋体" w:cs="宋体"/>
          <w:kern w:val="0"/>
          <w:sz w:val="24"/>
          <w:szCs w:val="24"/>
          <w:highlight w:val="none"/>
          <w:u w:val="single"/>
        </w:rPr>
        <w:t xml:space="preserve">      </w:t>
      </w:r>
      <w:r>
        <w:rPr>
          <w:rFonts w:ascii="宋体" w:hAnsi="宋体" w:cs="宋体"/>
          <w:kern w:val="0"/>
          <w:sz w:val="24"/>
          <w:szCs w:val="24"/>
          <w:highlight w:val="none"/>
          <w:u w:val="single"/>
          <w:lang w:val="en"/>
        </w:rPr>
        <w:t xml:space="preserve">               </w:t>
      </w:r>
      <w:r>
        <w:rPr>
          <w:rFonts w:hint="eastAsia" w:ascii="宋体" w:hAnsi="宋体" w:cs="宋体"/>
          <w:kern w:val="0"/>
          <w:sz w:val="24"/>
          <w:szCs w:val="24"/>
          <w:highlight w:val="none"/>
          <w:u w:val="single"/>
        </w:rPr>
        <w:t xml:space="preserve">    </w:t>
      </w:r>
    </w:p>
    <w:p w14:paraId="5B9168C6">
      <w:pPr>
        <w:numPr>
          <w:ilvl w:val="0"/>
          <w:numId w:val="0"/>
        </w:numPr>
        <w:adjustRightInd w:val="0"/>
        <w:snapToGrid w:val="0"/>
        <w:spacing w:line="400" w:lineRule="exact"/>
        <w:ind w:firstLine="480" w:firstLineChars="200"/>
        <w:rPr>
          <w:rFonts w:ascii="宋体" w:hAnsi="宋体" w:eastAsia="宋体" w:cs="宋体"/>
          <w:sz w:val="24"/>
          <w:szCs w:val="24"/>
          <w:highlight w:val="none"/>
        </w:rPr>
      </w:pPr>
      <w:r>
        <w:rPr>
          <w:rFonts w:hint="eastAsia" w:ascii="宋体" w:hAnsi="宋体" w:cs="宋体"/>
          <w:sz w:val="24"/>
          <w:szCs w:val="24"/>
          <w:highlight w:val="none"/>
        </w:rPr>
        <w:t xml:space="preserve">     关键部件：</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w:t>
      </w:r>
      <w:r>
        <w:rPr>
          <w:rFonts w:hint="eastAsia" w:ascii="宋体" w:hAnsi="宋体" w:cs="宋体"/>
          <w:sz w:val="24"/>
          <w:szCs w:val="24"/>
          <w:highlight w:val="none"/>
        </w:rPr>
        <w:t>品牌：</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型号：</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14:paraId="40875FBD">
      <w:pPr>
        <w:pStyle w:val="141"/>
        <w:numPr>
          <w:ilvl w:val="0"/>
          <w:numId w:val="0"/>
        </w:numPr>
        <w:snapToGrid w:val="0"/>
        <w:rPr>
          <w:rFonts w:ascii="宋体" w:hAnsi="宋体" w:eastAsia="宋体" w:cs="宋体"/>
          <w:sz w:val="24"/>
          <w:szCs w:val="24"/>
          <w:highlight w:val="none"/>
        </w:rPr>
      </w:pPr>
      <w:r>
        <w:rPr>
          <w:rFonts w:hint="eastAsia" w:ascii="宋体" w:hAnsi="宋体" w:eastAsia="宋体" w:cs="宋体"/>
          <w:sz w:val="24"/>
          <w:szCs w:val="24"/>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066C53AB">
      <w:pPr>
        <w:pStyle w:val="141"/>
        <w:numPr>
          <w:ilvl w:val="0"/>
          <w:numId w:val="0"/>
        </w:numPr>
        <w:snapToGrid w:val="0"/>
        <w:rPr>
          <w:rFonts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ascii="宋体" w:hAnsi="宋体" w:eastAsia="宋体" w:cs="宋体"/>
          <w:sz w:val="24"/>
          <w:szCs w:val="24"/>
          <w:highlight w:val="none"/>
          <w:lang w:val="en"/>
        </w:rPr>
        <w:t>4</w:t>
      </w:r>
      <w:r>
        <w:rPr>
          <w:rFonts w:hint="eastAsia" w:ascii="宋体" w:hAnsi="宋体" w:eastAsia="宋体" w:cs="宋体"/>
          <w:sz w:val="24"/>
          <w:szCs w:val="24"/>
          <w:highlight w:val="none"/>
        </w:rPr>
        <w:t>）政府采购组织形式：</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 xml:space="preserve">政府集中采购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 xml:space="preserve">部门集中采购  </w:t>
      </w: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rPr>
        <w:t>分散采购</w:t>
      </w:r>
    </w:p>
    <w:p w14:paraId="4A780F30">
      <w:pPr>
        <w:pStyle w:val="141"/>
        <w:numPr>
          <w:ilvl w:val="0"/>
          <w:numId w:val="0"/>
        </w:numPr>
        <w:snapToGrid w:val="0"/>
        <w:ind w:firstLine="420"/>
        <w:rPr>
          <w:rFonts w:ascii="宋体" w:hAnsi="宋体" w:eastAsia="宋体" w:cs="宋体"/>
          <w:sz w:val="24"/>
          <w:szCs w:val="24"/>
          <w:highlight w:val="none"/>
        </w:rPr>
      </w:pPr>
      <w:r>
        <w:rPr>
          <w:rFonts w:hint="eastAsia" w:ascii="宋体" w:hAnsi="宋体" w:eastAsia="宋体" w:cs="宋体"/>
          <w:sz w:val="24"/>
          <w:szCs w:val="24"/>
          <w:highlight w:val="none"/>
        </w:rPr>
        <w:t>（</w:t>
      </w:r>
      <w:r>
        <w:rPr>
          <w:rFonts w:ascii="宋体" w:hAnsi="宋体" w:eastAsia="宋体" w:cs="宋体"/>
          <w:sz w:val="24"/>
          <w:szCs w:val="24"/>
          <w:highlight w:val="none"/>
          <w:lang w:val="en"/>
        </w:rPr>
        <w:t>5</w:t>
      </w:r>
      <w:r>
        <w:rPr>
          <w:rFonts w:hint="eastAsia" w:ascii="宋体" w:hAnsi="宋体" w:eastAsia="宋体" w:cs="宋体"/>
          <w:sz w:val="24"/>
          <w:szCs w:val="24"/>
          <w:highlight w:val="none"/>
        </w:rPr>
        <w:t>）政府采购方式：</w:t>
      </w: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rPr>
        <w:t xml:space="preserve">公开招标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 xml:space="preserve">邀请招标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 xml:space="preserve">竞争性谈判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竞争性磋商</w:t>
      </w:r>
    </w:p>
    <w:p w14:paraId="6F6306FA">
      <w:pPr>
        <w:pStyle w:val="141"/>
        <w:numPr>
          <w:ilvl w:val="0"/>
          <w:numId w:val="0"/>
        </w:numPr>
        <w:snapToGrid w:val="0"/>
        <w:ind w:firstLine="420"/>
        <w:rPr>
          <w:rFonts w:ascii="宋体" w:hAnsi="宋体" w:eastAsia="宋体" w:cs="宋体"/>
          <w:sz w:val="24"/>
          <w:szCs w:val="24"/>
          <w:highlight w:val="none"/>
          <w:u w:val="single"/>
        </w:rPr>
      </w:pPr>
      <w:r>
        <w:rPr>
          <w:rFonts w:hint="eastAsia" w:ascii="宋体" w:hAnsi="宋体" w:cs="宋体"/>
          <w:sz w:val="24"/>
          <w:szCs w:val="24"/>
          <w:highlight w:val="none"/>
        </w:rPr>
        <w:t xml:space="preserve">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 xml:space="preserve">询价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 xml:space="preserve">单一来源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 xml:space="preserve">框架协议 </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其他：</w:t>
      </w:r>
      <w:r>
        <w:rPr>
          <w:rFonts w:hint="eastAsia" w:ascii="宋体" w:hAnsi="宋体" w:eastAsia="宋体" w:cs="宋体"/>
          <w:sz w:val="24"/>
          <w:szCs w:val="24"/>
          <w:highlight w:val="none"/>
          <w:u w:val="single"/>
        </w:rPr>
        <w:t xml:space="preserve">          </w:t>
      </w:r>
    </w:p>
    <w:p w14:paraId="4B1F8FEB">
      <w:pPr>
        <w:pStyle w:val="141"/>
        <w:numPr>
          <w:ilvl w:val="0"/>
          <w:numId w:val="0"/>
        </w:numPr>
        <w:snapToGrid w:val="0"/>
        <w:ind w:firstLine="420"/>
        <w:rPr>
          <w:rFonts w:ascii="宋体" w:hAnsi="宋体" w:eastAsia="宋体" w:cs="宋体"/>
          <w:sz w:val="24"/>
          <w:szCs w:val="24"/>
          <w:highlight w:val="none"/>
        </w:rPr>
      </w:pPr>
      <w:r>
        <w:rPr>
          <w:rFonts w:hint="eastAsia" w:ascii="宋体" w:hAnsi="宋体" w:eastAsia="宋体" w:cs="宋体"/>
          <w:sz w:val="24"/>
          <w:szCs w:val="24"/>
          <w:highlight w:val="none"/>
        </w:rPr>
        <w:t>（注：在框架协议采购的第二阶段，可选择使用该合同文本）</w:t>
      </w:r>
    </w:p>
    <w:p w14:paraId="7115B455">
      <w:pPr>
        <w:pStyle w:val="141"/>
        <w:numPr>
          <w:ilvl w:val="0"/>
          <w:numId w:val="0"/>
        </w:numPr>
        <w:snapToGrid w:val="0"/>
        <w:ind w:firstLine="240" w:firstLineChars="100"/>
        <w:rPr>
          <w:rFonts w:ascii="宋体" w:hAnsi="宋体" w:eastAsia="宋体" w:cs="Times New Roman"/>
          <w:kern w:val="2"/>
          <w:sz w:val="24"/>
          <w:szCs w:val="24"/>
          <w:highlight w:val="none"/>
        </w:rPr>
      </w:pPr>
      <w:r>
        <w:rPr>
          <w:rFonts w:hint="eastAsia" w:ascii="宋体" w:hAnsi="宋体"/>
          <w:sz w:val="24"/>
          <w:szCs w:val="24"/>
          <w:highlight w:val="none"/>
        </w:rPr>
        <w:t xml:space="preserve"> （</w:t>
      </w:r>
      <w:r>
        <w:rPr>
          <w:rFonts w:ascii="宋体" w:hAnsi="宋体"/>
          <w:sz w:val="24"/>
          <w:szCs w:val="24"/>
          <w:highlight w:val="none"/>
          <w:lang w:val="en"/>
        </w:rPr>
        <w:t>6</w:t>
      </w:r>
      <w:r>
        <w:rPr>
          <w:rFonts w:hint="eastAsia" w:ascii="宋体" w:hAnsi="宋体"/>
          <w:sz w:val="24"/>
          <w:szCs w:val="24"/>
          <w:highlight w:val="none"/>
        </w:rPr>
        <w:t>）</w:t>
      </w:r>
      <w:r>
        <w:rPr>
          <w:rFonts w:hint="eastAsia" w:ascii="宋体" w:hAnsi="宋体" w:eastAsia="宋体" w:cs="Times New Roman"/>
          <w:kern w:val="2"/>
          <w:sz w:val="24"/>
          <w:szCs w:val="24"/>
          <w:highlight w:val="none"/>
        </w:rPr>
        <w:t>中标（成交）采购标的制造商是否为中小企业：</w:t>
      </w:r>
      <w:r>
        <w:rPr>
          <w:rFonts w:hint="eastAsia" w:ascii="宋体" w:hAnsi="宋体" w:eastAsia="宋体" w:cs="Times New Roman"/>
          <w:kern w:val="2"/>
          <w:sz w:val="24"/>
          <w:szCs w:val="24"/>
          <w:highlight w:val="none"/>
        </w:rPr>
        <w:sym w:font="Wingdings" w:char="00A8"/>
      </w:r>
      <w:r>
        <w:rPr>
          <w:rFonts w:hint="eastAsia" w:ascii="宋体" w:hAnsi="宋体" w:eastAsia="宋体" w:cs="Times New Roman"/>
          <w:kern w:val="2"/>
          <w:sz w:val="24"/>
          <w:szCs w:val="24"/>
          <w:highlight w:val="none"/>
        </w:rPr>
        <w:t xml:space="preserve">是      </w:t>
      </w:r>
      <w:r>
        <w:rPr>
          <w:rFonts w:hint="eastAsia" w:ascii="宋体" w:hAnsi="宋体" w:eastAsia="宋体" w:cs="Times New Roman"/>
          <w:kern w:val="2"/>
          <w:sz w:val="24"/>
          <w:szCs w:val="24"/>
          <w:highlight w:val="none"/>
        </w:rPr>
        <w:sym w:font="Wingdings" w:char="00A8"/>
      </w:r>
      <w:r>
        <w:rPr>
          <w:rFonts w:hint="eastAsia" w:ascii="宋体" w:hAnsi="宋体" w:eastAsia="宋体" w:cs="Times New Roman"/>
          <w:kern w:val="2"/>
          <w:sz w:val="24"/>
          <w:szCs w:val="24"/>
          <w:highlight w:val="none"/>
        </w:rPr>
        <w:t>否</w:t>
      </w:r>
    </w:p>
    <w:p w14:paraId="2837B2AE">
      <w:pPr>
        <w:numPr>
          <w:ilvl w:val="0"/>
          <w:numId w:val="0"/>
        </w:numPr>
        <w:adjustRightInd w:val="0"/>
        <w:snapToGrid w:val="0"/>
        <w:spacing w:line="400" w:lineRule="exact"/>
        <w:rPr>
          <w:rFonts w:ascii="宋体" w:hAnsi="宋体"/>
          <w:iCs/>
          <w:sz w:val="24"/>
          <w:szCs w:val="24"/>
          <w:highlight w:val="none"/>
        </w:rPr>
      </w:pPr>
      <w:r>
        <w:rPr>
          <w:rFonts w:hint="eastAsia" w:ascii="宋体" w:hAnsi="宋体"/>
          <w:sz w:val="24"/>
          <w:szCs w:val="24"/>
          <w:highlight w:val="none"/>
        </w:rPr>
        <w:t xml:space="preserve">    本合同是否为专门面向中小企业的采购合同（中小企业预留合同）：</w:t>
      </w:r>
      <w:r>
        <w:rPr>
          <w:rFonts w:hint="eastAsia" w:ascii="宋体" w:hAnsi="宋体"/>
          <w:iCs/>
          <w:sz w:val="24"/>
          <w:szCs w:val="24"/>
          <w:highlight w:val="none"/>
        </w:rPr>
        <w:sym w:font="Wingdings" w:char="00A8"/>
      </w:r>
      <w:r>
        <w:rPr>
          <w:rFonts w:hint="eastAsia" w:ascii="宋体" w:hAnsi="宋体"/>
          <w:iCs/>
          <w:sz w:val="24"/>
          <w:szCs w:val="24"/>
          <w:highlight w:val="none"/>
        </w:rPr>
        <w:t xml:space="preserve">是    </w:t>
      </w:r>
      <w:r>
        <w:rPr>
          <w:rFonts w:hint="eastAsia" w:ascii="宋体" w:hAnsi="宋体"/>
          <w:iCs/>
          <w:sz w:val="24"/>
          <w:szCs w:val="24"/>
          <w:highlight w:val="none"/>
        </w:rPr>
        <w:sym w:font="Wingdings" w:char="00FE"/>
      </w:r>
      <w:r>
        <w:rPr>
          <w:rFonts w:hint="eastAsia" w:ascii="宋体" w:hAnsi="宋体"/>
          <w:iCs/>
          <w:sz w:val="24"/>
          <w:szCs w:val="24"/>
          <w:highlight w:val="none"/>
        </w:rPr>
        <w:t>否</w:t>
      </w:r>
    </w:p>
    <w:p w14:paraId="40706421">
      <w:pPr>
        <w:numPr>
          <w:ilvl w:val="0"/>
          <w:numId w:val="0"/>
        </w:numPr>
        <w:adjustRightInd w:val="0"/>
        <w:snapToGrid w:val="0"/>
        <w:spacing w:line="400" w:lineRule="exact"/>
        <w:rPr>
          <w:rFonts w:ascii="宋体" w:hAnsi="宋体"/>
          <w:iCs/>
          <w:sz w:val="24"/>
          <w:szCs w:val="24"/>
          <w:highlight w:val="none"/>
        </w:rPr>
      </w:pPr>
      <w:r>
        <w:rPr>
          <w:rFonts w:hint="eastAsia"/>
          <w:sz w:val="24"/>
          <w:szCs w:val="24"/>
          <w:highlight w:val="none"/>
        </w:rPr>
        <w:t xml:space="preserve">    若本项目不专门面向中小企业采购，是否给予小微企业评审优惠：</w:t>
      </w:r>
      <w:r>
        <w:rPr>
          <w:rFonts w:hint="eastAsia" w:ascii="宋体" w:hAnsi="宋体"/>
          <w:iCs/>
          <w:sz w:val="24"/>
          <w:szCs w:val="24"/>
          <w:highlight w:val="none"/>
        </w:rPr>
        <w:sym w:font="Wingdings" w:char="00A8"/>
      </w:r>
      <w:r>
        <w:rPr>
          <w:rFonts w:hint="eastAsia" w:ascii="宋体" w:hAnsi="宋体"/>
          <w:iCs/>
          <w:sz w:val="24"/>
          <w:szCs w:val="24"/>
          <w:highlight w:val="none"/>
        </w:rPr>
        <w:t xml:space="preserve">是   </w:t>
      </w:r>
      <w:r>
        <w:rPr>
          <w:rFonts w:hint="eastAsia" w:ascii="宋体" w:hAnsi="宋体"/>
          <w:iCs/>
          <w:sz w:val="24"/>
          <w:szCs w:val="24"/>
          <w:highlight w:val="none"/>
        </w:rPr>
        <w:sym w:font="Wingdings" w:char="00A8"/>
      </w:r>
      <w:r>
        <w:rPr>
          <w:rFonts w:hint="eastAsia" w:ascii="宋体" w:hAnsi="宋体"/>
          <w:iCs/>
          <w:sz w:val="24"/>
          <w:szCs w:val="24"/>
          <w:highlight w:val="none"/>
        </w:rPr>
        <w:t>否</w:t>
      </w:r>
    </w:p>
    <w:p w14:paraId="3BDA0C44">
      <w:pPr>
        <w:numPr>
          <w:ilvl w:val="0"/>
          <w:numId w:val="0"/>
        </w:numPr>
        <w:adjustRightInd w:val="0"/>
        <w:snapToGrid w:val="0"/>
        <w:spacing w:line="400" w:lineRule="exact"/>
        <w:rPr>
          <w:rFonts w:ascii="宋体" w:hAnsi="宋体"/>
          <w:iCs/>
          <w:sz w:val="24"/>
          <w:szCs w:val="24"/>
          <w:highlight w:val="none"/>
        </w:rPr>
      </w:pPr>
      <w:r>
        <w:rPr>
          <w:rFonts w:hint="eastAsia"/>
          <w:sz w:val="24"/>
          <w:szCs w:val="24"/>
          <w:highlight w:val="none"/>
        </w:rPr>
        <w:t xml:space="preserve">    中标（成交）采购标的制造商是否为残疾人福利性单位：</w:t>
      </w:r>
      <w:r>
        <w:rPr>
          <w:rFonts w:hint="eastAsia" w:ascii="宋体" w:hAnsi="宋体"/>
          <w:iCs/>
          <w:sz w:val="24"/>
          <w:szCs w:val="24"/>
          <w:highlight w:val="none"/>
        </w:rPr>
        <w:sym w:font="Wingdings" w:char="00A8"/>
      </w:r>
      <w:r>
        <w:rPr>
          <w:rFonts w:hint="eastAsia" w:ascii="宋体" w:hAnsi="宋体"/>
          <w:iCs/>
          <w:sz w:val="24"/>
          <w:szCs w:val="24"/>
          <w:highlight w:val="none"/>
        </w:rPr>
        <w:t xml:space="preserve">是   </w:t>
      </w:r>
      <w:r>
        <w:rPr>
          <w:rFonts w:hint="eastAsia" w:ascii="宋体" w:hAnsi="宋体"/>
          <w:iCs/>
          <w:sz w:val="24"/>
          <w:szCs w:val="24"/>
          <w:highlight w:val="none"/>
        </w:rPr>
        <w:sym w:font="Wingdings" w:char="00A8"/>
      </w:r>
      <w:r>
        <w:rPr>
          <w:rFonts w:hint="eastAsia" w:ascii="宋体" w:hAnsi="宋体"/>
          <w:iCs/>
          <w:sz w:val="24"/>
          <w:szCs w:val="24"/>
          <w:highlight w:val="none"/>
        </w:rPr>
        <w:t>否</w:t>
      </w:r>
    </w:p>
    <w:p w14:paraId="6624515C">
      <w:pPr>
        <w:snapToGrid w:val="0"/>
        <w:spacing w:line="400" w:lineRule="exact"/>
        <w:rPr>
          <w:sz w:val="24"/>
          <w:szCs w:val="24"/>
          <w:highlight w:val="none"/>
        </w:rPr>
      </w:pPr>
      <w:r>
        <w:rPr>
          <w:rFonts w:hint="eastAsia"/>
          <w:sz w:val="24"/>
          <w:szCs w:val="24"/>
          <w:highlight w:val="none"/>
        </w:rPr>
        <w:t xml:space="preserve">    中标（成交）采购标的制造商是否为监狱企业：</w:t>
      </w:r>
      <w:r>
        <w:rPr>
          <w:rFonts w:hint="eastAsia" w:ascii="宋体" w:hAnsi="宋体"/>
          <w:iCs/>
          <w:sz w:val="24"/>
          <w:szCs w:val="24"/>
          <w:highlight w:val="none"/>
        </w:rPr>
        <w:sym w:font="Wingdings" w:char="00A8"/>
      </w:r>
      <w:r>
        <w:rPr>
          <w:rFonts w:hint="eastAsia" w:ascii="宋体" w:hAnsi="宋体"/>
          <w:iCs/>
          <w:sz w:val="24"/>
          <w:szCs w:val="24"/>
          <w:highlight w:val="none"/>
        </w:rPr>
        <w:t xml:space="preserve">是       </w:t>
      </w:r>
      <w:r>
        <w:rPr>
          <w:rFonts w:hint="eastAsia" w:ascii="宋体" w:hAnsi="宋体"/>
          <w:iCs/>
          <w:sz w:val="24"/>
          <w:szCs w:val="24"/>
          <w:highlight w:val="none"/>
        </w:rPr>
        <w:sym w:font="Wingdings" w:char="00A8"/>
      </w:r>
      <w:r>
        <w:rPr>
          <w:rFonts w:hint="eastAsia" w:ascii="宋体" w:hAnsi="宋体"/>
          <w:iCs/>
          <w:sz w:val="24"/>
          <w:szCs w:val="24"/>
          <w:highlight w:val="none"/>
        </w:rPr>
        <w:t>否</w:t>
      </w:r>
    </w:p>
    <w:p w14:paraId="0F733264">
      <w:pPr>
        <w:adjustRightInd w:val="0"/>
        <w:snapToGrid w:val="0"/>
        <w:spacing w:line="400" w:lineRule="exact"/>
        <w:ind w:firstLine="480" w:firstLineChars="200"/>
        <w:rPr>
          <w:rFonts w:eastAsia="华文楷体"/>
          <w:sz w:val="24"/>
          <w:szCs w:val="24"/>
          <w:highlight w:val="none"/>
        </w:rPr>
      </w:pPr>
      <w:r>
        <w:rPr>
          <w:rFonts w:hint="eastAsia" w:ascii="宋体" w:hAnsi="宋体"/>
          <w:sz w:val="24"/>
          <w:szCs w:val="24"/>
          <w:highlight w:val="none"/>
        </w:rPr>
        <w:t>（</w:t>
      </w:r>
      <w:r>
        <w:rPr>
          <w:rFonts w:ascii="宋体" w:hAnsi="宋体"/>
          <w:sz w:val="24"/>
          <w:szCs w:val="24"/>
          <w:highlight w:val="none"/>
          <w:lang w:val="en"/>
        </w:rPr>
        <w:t>7</w:t>
      </w:r>
      <w:r>
        <w:rPr>
          <w:rFonts w:hint="eastAsia" w:ascii="宋体" w:hAnsi="宋体"/>
          <w:sz w:val="24"/>
          <w:szCs w:val="24"/>
          <w:highlight w:val="none"/>
        </w:rPr>
        <w:t>）合同是否分包：</w:t>
      </w:r>
      <w:r>
        <w:rPr>
          <w:rFonts w:hint="eastAsia" w:ascii="宋体" w:hAnsi="宋体"/>
          <w:iCs/>
          <w:sz w:val="24"/>
          <w:szCs w:val="24"/>
          <w:highlight w:val="none"/>
        </w:rPr>
        <w:sym w:font="Wingdings" w:char="00A8"/>
      </w:r>
      <w:r>
        <w:rPr>
          <w:rFonts w:hint="eastAsia" w:ascii="宋体" w:hAnsi="宋体"/>
          <w:iCs/>
          <w:sz w:val="24"/>
          <w:szCs w:val="24"/>
          <w:highlight w:val="none"/>
        </w:rPr>
        <w:t xml:space="preserve">是       </w:t>
      </w:r>
      <w:r>
        <w:rPr>
          <w:rFonts w:hint="eastAsia" w:ascii="宋体" w:hAnsi="宋体"/>
          <w:iCs/>
          <w:sz w:val="24"/>
          <w:szCs w:val="24"/>
          <w:highlight w:val="none"/>
        </w:rPr>
        <w:sym w:font="Wingdings" w:char="00FE"/>
      </w:r>
      <w:r>
        <w:rPr>
          <w:rFonts w:hint="eastAsia" w:ascii="宋体" w:hAnsi="宋体"/>
          <w:iCs/>
          <w:sz w:val="24"/>
          <w:szCs w:val="24"/>
          <w:highlight w:val="none"/>
        </w:rPr>
        <w:t>否</w:t>
      </w:r>
    </w:p>
    <w:p w14:paraId="7F51DAA8">
      <w:pPr>
        <w:numPr>
          <w:ilvl w:val="0"/>
          <w:numId w:val="0"/>
        </w:numPr>
        <w:adjustRightInd w:val="0"/>
        <w:snapToGrid w:val="0"/>
        <w:spacing w:line="400" w:lineRule="exact"/>
        <w:rPr>
          <w:rFonts w:ascii="宋体" w:hAnsi="宋体" w:cs="宋体"/>
          <w:iCs/>
          <w:sz w:val="24"/>
          <w:szCs w:val="24"/>
          <w:highlight w:val="none"/>
        </w:rPr>
      </w:pPr>
      <w:r>
        <w:rPr>
          <w:rFonts w:hint="eastAsia" w:ascii="宋体" w:hAnsi="宋体"/>
          <w:sz w:val="24"/>
          <w:szCs w:val="24"/>
          <w:highlight w:val="none"/>
        </w:rPr>
        <w:t xml:space="preserve">    </w:t>
      </w:r>
      <w:r>
        <w:rPr>
          <w:rFonts w:hint="eastAsia" w:ascii="宋体" w:hAnsi="宋体" w:cs="宋体"/>
          <w:sz w:val="24"/>
          <w:szCs w:val="24"/>
          <w:highlight w:val="none"/>
        </w:rPr>
        <w:t>（</w:t>
      </w:r>
      <w:r>
        <w:rPr>
          <w:rFonts w:ascii="宋体" w:hAnsi="宋体" w:cs="宋体"/>
          <w:sz w:val="24"/>
          <w:szCs w:val="24"/>
          <w:highlight w:val="none"/>
          <w:lang w:val="en"/>
        </w:rPr>
        <w:t>8</w:t>
      </w:r>
      <w:r>
        <w:rPr>
          <w:rFonts w:hint="eastAsia" w:ascii="宋体" w:hAnsi="宋体" w:cs="宋体"/>
          <w:sz w:val="24"/>
          <w:szCs w:val="24"/>
          <w:highlight w:val="none"/>
        </w:rPr>
        <w:t>）中标（成交）供应商是否为外商投资企业：</w:t>
      </w:r>
      <w:r>
        <w:rPr>
          <w:rFonts w:hint="eastAsia" w:ascii="宋体" w:hAnsi="宋体" w:cs="宋体"/>
          <w:iCs/>
          <w:sz w:val="24"/>
          <w:szCs w:val="24"/>
          <w:highlight w:val="none"/>
        </w:rPr>
        <w:sym w:font="Wingdings" w:char="00A8"/>
      </w:r>
      <w:r>
        <w:rPr>
          <w:rFonts w:hint="eastAsia" w:ascii="宋体" w:hAnsi="宋体" w:cs="宋体"/>
          <w:iCs/>
          <w:sz w:val="24"/>
          <w:szCs w:val="24"/>
          <w:highlight w:val="none"/>
        </w:rPr>
        <w:t xml:space="preserve">是       </w:t>
      </w:r>
      <w:r>
        <w:rPr>
          <w:rFonts w:hint="eastAsia" w:ascii="宋体" w:hAnsi="宋体" w:cs="宋体"/>
          <w:iCs/>
          <w:sz w:val="24"/>
          <w:szCs w:val="24"/>
          <w:highlight w:val="none"/>
        </w:rPr>
        <w:sym w:font="Wingdings" w:char="00A8"/>
      </w:r>
      <w:r>
        <w:rPr>
          <w:rFonts w:hint="eastAsia" w:ascii="宋体" w:hAnsi="宋体" w:cs="宋体"/>
          <w:iCs/>
          <w:sz w:val="24"/>
          <w:szCs w:val="24"/>
          <w:highlight w:val="none"/>
        </w:rPr>
        <w:t>否</w:t>
      </w:r>
    </w:p>
    <w:p w14:paraId="7045D94F">
      <w:pPr>
        <w:pStyle w:val="141"/>
        <w:tabs>
          <w:tab w:val="left" w:pos="1340"/>
        </w:tabs>
        <w:ind w:firstLine="420"/>
        <w:rPr>
          <w:rFonts w:ascii="宋体" w:hAnsi="宋体" w:eastAsia="宋体" w:cs="宋体"/>
          <w:sz w:val="24"/>
          <w:szCs w:val="24"/>
          <w:highlight w:val="none"/>
          <w:u w:val="single"/>
        </w:rPr>
      </w:pPr>
      <w:r>
        <w:rPr>
          <w:rFonts w:hint="eastAsia" w:ascii="宋体" w:hAnsi="宋体" w:eastAsia="宋体" w:cs="宋体"/>
          <w:sz w:val="24"/>
          <w:szCs w:val="24"/>
          <w:highlight w:val="none"/>
        </w:rPr>
        <w:t xml:space="preserve">     外商投资企业类型：</w:t>
      </w:r>
      <w:r>
        <w:rPr>
          <w:rFonts w:hint="eastAsia" w:ascii="宋体" w:hAnsi="宋体" w:eastAsia="宋体" w:cs="宋体"/>
          <w:iCs/>
          <w:sz w:val="24"/>
          <w:szCs w:val="24"/>
          <w:highlight w:val="none"/>
        </w:rPr>
        <w:sym w:font="Wingdings" w:char="00A8"/>
      </w:r>
      <w:r>
        <w:rPr>
          <w:rFonts w:hint="eastAsia" w:ascii="宋体" w:hAnsi="宋体" w:eastAsia="宋体" w:cs="宋体"/>
          <w:sz w:val="24"/>
          <w:szCs w:val="24"/>
          <w:highlight w:val="none"/>
        </w:rPr>
        <w:t xml:space="preserve">全部由外国投资者投资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部分由外国投资者投资</w:t>
      </w:r>
    </w:p>
    <w:p w14:paraId="770F1391">
      <w:pPr>
        <w:numPr>
          <w:ilvl w:val="0"/>
          <w:numId w:val="0"/>
        </w:numPr>
        <w:adjustRightInd w:val="0"/>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lang w:val="en"/>
        </w:rPr>
        <w:t>9</w:t>
      </w:r>
      <w:r>
        <w:rPr>
          <w:rFonts w:hint="eastAsia" w:ascii="宋体" w:hAnsi="宋体" w:cs="宋体"/>
          <w:sz w:val="24"/>
          <w:szCs w:val="24"/>
          <w:highlight w:val="none"/>
        </w:rPr>
        <w:t>）是否涉及进口产品：</w:t>
      </w:r>
    </w:p>
    <w:p w14:paraId="1A00B2D3">
      <w:pPr>
        <w:numPr>
          <w:ilvl w:val="0"/>
          <w:numId w:val="0"/>
        </w:numPr>
        <w:adjustRightInd w:val="0"/>
        <w:snapToGrid w:val="0"/>
        <w:spacing w:line="400" w:lineRule="exact"/>
        <w:ind w:firstLine="960" w:firstLineChars="400"/>
        <w:rPr>
          <w:rFonts w:ascii="宋体" w:hAnsi="宋体" w:cs="宋体"/>
          <w:sz w:val="24"/>
          <w:szCs w:val="24"/>
          <w:highlight w:val="none"/>
          <w:u w:val="single"/>
        </w:rPr>
      </w:pPr>
      <w:r>
        <w:rPr>
          <w:rFonts w:hint="eastAsia" w:ascii="宋体" w:hAnsi="宋体" w:cs="宋体"/>
          <w:sz w:val="24"/>
          <w:szCs w:val="24"/>
          <w:highlight w:val="none"/>
        </w:rPr>
        <w:t xml:space="preserve"> </w:t>
      </w:r>
      <w:r>
        <w:rPr>
          <w:rFonts w:hint="eastAsia" w:ascii="宋体" w:hAnsi="宋体" w:cs="宋体"/>
          <w:sz w:val="24"/>
          <w:szCs w:val="24"/>
          <w:highlight w:val="none"/>
        </w:rPr>
        <w:sym w:font="Wingdings" w:char="00A8"/>
      </w:r>
      <w:r>
        <w:rPr>
          <w:rFonts w:hint="eastAsia" w:ascii="宋体" w:hAnsi="宋体" w:cs="宋体"/>
          <w:sz w:val="24"/>
          <w:szCs w:val="24"/>
          <w:highlight w:val="none"/>
        </w:rPr>
        <w:t>是，《政府采购品目分类目录》底级品目名称：</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金额：</w:t>
      </w:r>
      <w:r>
        <w:rPr>
          <w:rFonts w:hint="eastAsia" w:ascii="宋体" w:hAnsi="宋体" w:cs="宋体"/>
          <w:sz w:val="24"/>
          <w:szCs w:val="24"/>
          <w:highlight w:val="none"/>
          <w:u w:val="single"/>
        </w:rPr>
        <w:t xml:space="preserve">        </w:t>
      </w:r>
    </w:p>
    <w:p w14:paraId="5A2A6B45">
      <w:pPr>
        <w:numPr>
          <w:ilvl w:val="0"/>
          <w:numId w:val="0"/>
        </w:numPr>
        <w:adjustRightInd w:val="0"/>
        <w:snapToGrid w:val="0"/>
        <w:spacing w:line="400" w:lineRule="exact"/>
        <w:ind w:firstLine="960" w:firstLineChars="400"/>
        <w:rPr>
          <w:rFonts w:ascii="宋体" w:hAnsi="宋体"/>
          <w:sz w:val="24"/>
          <w:szCs w:val="24"/>
          <w:highlight w:val="none"/>
        </w:rPr>
      </w:pPr>
      <w:r>
        <w:rPr>
          <w:rFonts w:hint="eastAsia" w:ascii="宋体" w:hAnsi="宋体" w:cs="宋体"/>
          <w:sz w:val="24"/>
          <w:szCs w:val="24"/>
          <w:highlight w:val="none"/>
        </w:rPr>
        <w:t xml:space="preserve">        国别：</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品牌：</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规格型号：</w:t>
      </w:r>
      <w:r>
        <w:rPr>
          <w:rFonts w:hint="eastAsia" w:ascii="宋体" w:hAnsi="宋体" w:cs="宋体"/>
          <w:sz w:val="24"/>
          <w:szCs w:val="24"/>
          <w:highlight w:val="none"/>
          <w:u w:val="single"/>
        </w:rPr>
        <w:t xml:space="preserve">        </w:t>
      </w:r>
      <w:r>
        <w:rPr>
          <w:rFonts w:hint="eastAsia" w:ascii="宋体" w:hAnsi="宋体"/>
          <w:sz w:val="24"/>
          <w:szCs w:val="24"/>
          <w:highlight w:val="none"/>
        </w:rPr>
        <w:t xml:space="preserve">      </w:t>
      </w:r>
    </w:p>
    <w:p w14:paraId="35BFF264">
      <w:pPr>
        <w:adjustRightInd w:val="0"/>
        <w:snapToGrid w:val="0"/>
        <w:spacing w:line="400" w:lineRule="exact"/>
        <w:ind w:firstLine="960" w:firstLineChars="400"/>
        <w:rPr>
          <w:rFonts w:ascii="宋体" w:hAnsi="宋体"/>
          <w:sz w:val="24"/>
          <w:szCs w:val="24"/>
          <w:highlight w:val="none"/>
        </w:rPr>
      </w:pPr>
      <w:r>
        <w:rPr>
          <w:rFonts w:hint="eastAsia" w:ascii="宋体" w:hAnsi="宋体"/>
          <w:sz w:val="24"/>
          <w:szCs w:val="24"/>
          <w:highlight w:val="none"/>
        </w:rPr>
        <w:t xml:space="preserve"> </w:t>
      </w:r>
      <w:r>
        <w:rPr>
          <w:rFonts w:hint="eastAsia" w:ascii="宋体" w:hAnsi="宋体"/>
          <w:sz w:val="24"/>
          <w:szCs w:val="24"/>
          <w:highlight w:val="none"/>
        </w:rPr>
        <w:sym w:font="Wingdings" w:char="00A8"/>
      </w:r>
      <w:r>
        <w:rPr>
          <w:rFonts w:hint="eastAsia" w:ascii="宋体" w:hAnsi="宋体"/>
          <w:sz w:val="24"/>
          <w:szCs w:val="24"/>
          <w:highlight w:val="none"/>
        </w:rPr>
        <w:t>否</w:t>
      </w:r>
    </w:p>
    <w:p w14:paraId="64191C10">
      <w:pPr>
        <w:numPr>
          <w:ilvl w:val="0"/>
          <w:numId w:val="0"/>
        </w:numPr>
        <w:tabs>
          <w:tab w:val="left" w:pos="740"/>
        </w:tabs>
        <w:adjustRightInd w:val="0"/>
        <w:snapToGrid w:val="0"/>
        <w:spacing w:line="400" w:lineRule="exact"/>
        <w:rPr>
          <w:rFonts w:ascii="宋体" w:hAnsi="宋体"/>
          <w:sz w:val="24"/>
          <w:szCs w:val="24"/>
          <w:highlight w:val="none"/>
        </w:rPr>
      </w:pPr>
      <w:r>
        <w:rPr>
          <w:rFonts w:hint="eastAsia" w:ascii="宋体" w:hAnsi="宋体"/>
          <w:sz w:val="24"/>
          <w:szCs w:val="24"/>
          <w:highlight w:val="none"/>
        </w:rPr>
        <w:t xml:space="preserve">    （1</w:t>
      </w:r>
      <w:r>
        <w:rPr>
          <w:rFonts w:ascii="宋体" w:hAnsi="宋体"/>
          <w:sz w:val="24"/>
          <w:szCs w:val="24"/>
          <w:highlight w:val="none"/>
          <w:lang w:val="en"/>
        </w:rPr>
        <w:t>0</w:t>
      </w:r>
      <w:r>
        <w:rPr>
          <w:rFonts w:hint="eastAsia" w:ascii="宋体" w:hAnsi="宋体"/>
          <w:sz w:val="24"/>
          <w:szCs w:val="24"/>
          <w:highlight w:val="none"/>
        </w:rPr>
        <w:t>）是否涉及节能产品：</w:t>
      </w:r>
    </w:p>
    <w:p w14:paraId="31A1B971">
      <w:pPr>
        <w:numPr>
          <w:ilvl w:val="0"/>
          <w:numId w:val="0"/>
        </w:numPr>
        <w:tabs>
          <w:tab w:val="left" w:pos="740"/>
        </w:tabs>
        <w:adjustRightInd w:val="0"/>
        <w:snapToGrid w:val="0"/>
        <w:spacing w:line="400" w:lineRule="exact"/>
        <w:rPr>
          <w:rFonts w:ascii="宋体" w:hAnsi="宋体"/>
          <w:iCs/>
          <w:sz w:val="24"/>
          <w:szCs w:val="24"/>
          <w:highlight w:val="none"/>
        </w:rPr>
      </w:pPr>
      <w:r>
        <w:rPr>
          <w:rFonts w:hint="eastAsia" w:ascii="宋体" w:hAnsi="宋体"/>
          <w:sz w:val="24"/>
          <w:szCs w:val="24"/>
          <w:highlight w:val="none"/>
        </w:rPr>
        <w:t xml:space="preserve">         </w:t>
      </w:r>
      <w:r>
        <w:rPr>
          <w:rFonts w:hint="eastAsia" w:ascii="宋体" w:hAnsi="宋体"/>
          <w:sz w:val="24"/>
          <w:szCs w:val="24"/>
          <w:highlight w:val="none"/>
        </w:rPr>
        <w:sym w:font="Wingdings" w:char="00A8"/>
      </w:r>
      <w:r>
        <w:rPr>
          <w:rFonts w:hint="eastAsia" w:ascii="宋体" w:hAnsi="宋体"/>
          <w:sz w:val="24"/>
          <w:szCs w:val="24"/>
          <w:highlight w:val="none"/>
        </w:rPr>
        <w:t>是，《节能产品政府采购品目清单》的底级品目名称：</w:t>
      </w:r>
      <w:r>
        <w:rPr>
          <w:rFonts w:hint="eastAsia" w:ascii="宋体" w:hAnsi="宋体"/>
          <w:sz w:val="24"/>
          <w:szCs w:val="24"/>
          <w:highlight w:val="none"/>
          <w:u w:val="single"/>
        </w:rPr>
        <w:t xml:space="preserve">         </w:t>
      </w:r>
      <w:r>
        <w:rPr>
          <w:rFonts w:hint="eastAsia" w:ascii="宋体" w:hAnsi="宋体"/>
          <w:iCs/>
          <w:sz w:val="24"/>
          <w:szCs w:val="24"/>
          <w:highlight w:val="none"/>
        </w:rPr>
        <w:t xml:space="preserve">     </w:t>
      </w:r>
    </w:p>
    <w:p w14:paraId="5835646A">
      <w:pPr>
        <w:numPr>
          <w:ilvl w:val="0"/>
          <w:numId w:val="0"/>
        </w:numPr>
        <w:tabs>
          <w:tab w:val="left" w:pos="740"/>
        </w:tabs>
        <w:adjustRightInd w:val="0"/>
        <w:snapToGrid w:val="0"/>
        <w:spacing w:line="400" w:lineRule="exact"/>
        <w:rPr>
          <w:rFonts w:ascii="宋体" w:hAnsi="宋体"/>
          <w:iCs/>
          <w:sz w:val="24"/>
          <w:szCs w:val="24"/>
          <w:highlight w:val="none"/>
        </w:rPr>
      </w:pPr>
      <w:r>
        <w:rPr>
          <w:rFonts w:hint="eastAsia" w:ascii="宋体" w:hAnsi="宋体"/>
          <w:iCs/>
          <w:sz w:val="24"/>
          <w:szCs w:val="24"/>
          <w:highlight w:val="none"/>
        </w:rPr>
        <w:t xml:space="preserve">                </w:t>
      </w:r>
      <w:r>
        <w:rPr>
          <w:rFonts w:hint="eastAsia" w:ascii="宋体" w:hAnsi="宋体"/>
          <w:iCs/>
          <w:sz w:val="24"/>
          <w:szCs w:val="24"/>
          <w:highlight w:val="none"/>
        </w:rPr>
        <w:sym w:font="Wingdings" w:char="00A8"/>
      </w:r>
      <w:r>
        <w:rPr>
          <w:rFonts w:hint="eastAsia" w:ascii="宋体" w:hAnsi="宋体"/>
          <w:iCs/>
          <w:sz w:val="24"/>
          <w:szCs w:val="24"/>
          <w:highlight w:val="none"/>
        </w:rPr>
        <w:t xml:space="preserve">强制采购       </w:t>
      </w:r>
      <w:r>
        <w:rPr>
          <w:rFonts w:hint="eastAsia" w:ascii="宋体" w:hAnsi="宋体"/>
          <w:iCs/>
          <w:sz w:val="24"/>
          <w:szCs w:val="24"/>
          <w:highlight w:val="none"/>
        </w:rPr>
        <w:sym w:font="Wingdings" w:char="00A8"/>
      </w:r>
      <w:r>
        <w:rPr>
          <w:rFonts w:hint="eastAsia" w:ascii="宋体" w:hAnsi="宋体"/>
          <w:iCs/>
          <w:sz w:val="24"/>
          <w:szCs w:val="24"/>
          <w:highlight w:val="none"/>
        </w:rPr>
        <w:t xml:space="preserve">优先采购    </w:t>
      </w:r>
    </w:p>
    <w:p w14:paraId="7E1FE610">
      <w:pPr>
        <w:numPr>
          <w:ilvl w:val="0"/>
          <w:numId w:val="0"/>
        </w:numPr>
        <w:tabs>
          <w:tab w:val="left" w:pos="740"/>
        </w:tabs>
        <w:adjustRightInd w:val="0"/>
        <w:snapToGrid w:val="0"/>
        <w:spacing w:line="400" w:lineRule="exact"/>
        <w:rPr>
          <w:rFonts w:ascii="宋体" w:hAnsi="宋体"/>
          <w:sz w:val="24"/>
          <w:szCs w:val="24"/>
          <w:highlight w:val="none"/>
        </w:rPr>
      </w:pPr>
      <w:r>
        <w:rPr>
          <w:rFonts w:hint="eastAsia" w:ascii="宋体" w:hAnsi="宋体"/>
          <w:iCs/>
          <w:sz w:val="24"/>
          <w:szCs w:val="24"/>
          <w:highlight w:val="none"/>
        </w:rPr>
        <w:t xml:space="preserve">         </w:t>
      </w:r>
      <w:r>
        <w:rPr>
          <w:rFonts w:hint="eastAsia" w:ascii="宋体" w:hAnsi="宋体"/>
          <w:sz w:val="24"/>
          <w:szCs w:val="24"/>
          <w:highlight w:val="none"/>
        </w:rPr>
        <w:sym w:font="Wingdings" w:char="00A8"/>
      </w:r>
      <w:r>
        <w:rPr>
          <w:rFonts w:hint="eastAsia" w:ascii="宋体" w:hAnsi="宋体"/>
          <w:sz w:val="24"/>
          <w:szCs w:val="24"/>
          <w:highlight w:val="none"/>
        </w:rPr>
        <w:t>否</w:t>
      </w:r>
    </w:p>
    <w:p w14:paraId="1F736117">
      <w:pPr>
        <w:numPr>
          <w:ilvl w:val="0"/>
          <w:numId w:val="0"/>
        </w:numPr>
        <w:tabs>
          <w:tab w:val="left" w:pos="740"/>
        </w:tabs>
        <w:adjustRightInd w:val="0"/>
        <w:snapToGrid w:val="0"/>
        <w:spacing w:line="400" w:lineRule="exact"/>
        <w:rPr>
          <w:rFonts w:ascii="宋体" w:hAnsi="宋体"/>
          <w:sz w:val="24"/>
          <w:szCs w:val="24"/>
          <w:highlight w:val="none"/>
        </w:rPr>
      </w:pPr>
      <w:r>
        <w:rPr>
          <w:rFonts w:hint="eastAsia" w:ascii="宋体" w:hAnsi="宋体"/>
          <w:sz w:val="24"/>
          <w:szCs w:val="24"/>
          <w:highlight w:val="none"/>
        </w:rPr>
        <w:t xml:space="preserve">          是否涉及环境标志产品：</w:t>
      </w:r>
    </w:p>
    <w:p w14:paraId="75EEDFAC">
      <w:pPr>
        <w:numPr>
          <w:ilvl w:val="0"/>
          <w:numId w:val="0"/>
        </w:numPr>
        <w:tabs>
          <w:tab w:val="left" w:pos="740"/>
        </w:tabs>
        <w:adjustRightInd w:val="0"/>
        <w:snapToGrid w:val="0"/>
        <w:spacing w:line="400" w:lineRule="exact"/>
        <w:rPr>
          <w:rFonts w:ascii="宋体" w:hAnsi="宋体"/>
          <w:sz w:val="24"/>
          <w:szCs w:val="24"/>
          <w:highlight w:val="none"/>
        </w:rPr>
      </w:pPr>
      <w:r>
        <w:rPr>
          <w:rFonts w:hint="eastAsia" w:ascii="宋体" w:hAnsi="宋体"/>
          <w:sz w:val="24"/>
          <w:szCs w:val="24"/>
          <w:highlight w:val="none"/>
        </w:rPr>
        <w:t xml:space="preserve">         </w:t>
      </w:r>
      <w:r>
        <w:rPr>
          <w:rFonts w:hint="eastAsia" w:ascii="宋体" w:hAnsi="宋体"/>
          <w:sz w:val="24"/>
          <w:szCs w:val="24"/>
          <w:highlight w:val="none"/>
        </w:rPr>
        <w:sym w:font="Wingdings" w:char="00A8"/>
      </w:r>
      <w:r>
        <w:rPr>
          <w:rFonts w:hint="eastAsia" w:ascii="宋体" w:hAnsi="宋体"/>
          <w:sz w:val="24"/>
          <w:szCs w:val="24"/>
          <w:highlight w:val="none"/>
        </w:rPr>
        <w:t>是，《环境标志产品政府采购品目清单》的底级品目名称：</w:t>
      </w:r>
      <w:r>
        <w:rPr>
          <w:rFonts w:hint="eastAsia" w:ascii="宋体" w:hAnsi="宋体"/>
          <w:sz w:val="24"/>
          <w:szCs w:val="24"/>
          <w:highlight w:val="none"/>
          <w:u w:val="single"/>
        </w:rPr>
        <w:t xml:space="preserve">         </w:t>
      </w:r>
      <w:r>
        <w:rPr>
          <w:rFonts w:hint="eastAsia" w:ascii="宋体" w:hAnsi="宋体"/>
          <w:iCs/>
          <w:sz w:val="24"/>
          <w:szCs w:val="24"/>
          <w:highlight w:val="none"/>
        </w:rPr>
        <w:t xml:space="preserve"> </w:t>
      </w:r>
    </w:p>
    <w:p w14:paraId="1FB9A92A">
      <w:pPr>
        <w:numPr>
          <w:ilvl w:val="0"/>
          <w:numId w:val="0"/>
        </w:numPr>
        <w:tabs>
          <w:tab w:val="left" w:pos="740"/>
        </w:tabs>
        <w:adjustRightInd w:val="0"/>
        <w:snapToGrid w:val="0"/>
        <w:spacing w:line="400" w:lineRule="exact"/>
        <w:rPr>
          <w:rFonts w:ascii="宋体" w:hAnsi="宋体"/>
          <w:iCs/>
          <w:sz w:val="24"/>
          <w:szCs w:val="24"/>
          <w:highlight w:val="none"/>
        </w:rPr>
      </w:pPr>
      <w:r>
        <w:rPr>
          <w:rFonts w:hint="eastAsia" w:ascii="宋体" w:hAnsi="宋体"/>
          <w:iCs/>
          <w:sz w:val="24"/>
          <w:szCs w:val="24"/>
          <w:highlight w:val="none"/>
        </w:rPr>
        <w:t xml:space="preserve">                </w:t>
      </w:r>
      <w:r>
        <w:rPr>
          <w:rFonts w:hint="eastAsia" w:ascii="宋体" w:hAnsi="宋体"/>
          <w:iCs/>
          <w:sz w:val="24"/>
          <w:szCs w:val="24"/>
          <w:highlight w:val="none"/>
        </w:rPr>
        <w:sym w:font="Wingdings" w:char="00A8"/>
      </w:r>
      <w:r>
        <w:rPr>
          <w:rFonts w:hint="eastAsia" w:ascii="宋体" w:hAnsi="宋体"/>
          <w:iCs/>
          <w:sz w:val="24"/>
          <w:szCs w:val="24"/>
          <w:highlight w:val="none"/>
        </w:rPr>
        <w:t xml:space="preserve">强制采购       </w:t>
      </w:r>
      <w:r>
        <w:rPr>
          <w:rFonts w:hint="eastAsia" w:ascii="宋体" w:hAnsi="宋体"/>
          <w:iCs/>
          <w:sz w:val="24"/>
          <w:szCs w:val="24"/>
          <w:highlight w:val="none"/>
        </w:rPr>
        <w:sym w:font="Wingdings" w:char="00A8"/>
      </w:r>
      <w:r>
        <w:rPr>
          <w:rFonts w:hint="eastAsia" w:ascii="宋体" w:hAnsi="宋体"/>
          <w:iCs/>
          <w:sz w:val="24"/>
          <w:szCs w:val="24"/>
          <w:highlight w:val="none"/>
        </w:rPr>
        <w:t xml:space="preserve">优先采购    </w:t>
      </w:r>
    </w:p>
    <w:p w14:paraId="71B740C9">
      <w:pPr>
        <w:numPr>
          <w:ilvl w:val="0"/>
          <w:numId w:val="0"/>
        </w:numPr>
        <w:tabs>
          <w:tab w:val="left" w:pos="740"/>
        </w:tabs>
        <w:adjustRightInd w:val="0"/>
        <w:snapToGrid w:val="0"/>
        <w:spacing w:line="400" w:lineRule="exact"/>
        <w:rPr>
          <w:rFonts w:ascii="宋体" w:hAnsi="宋体"/>
          <w:sz w:val="24"/>
          <w:szCs w:val="24"/>
          <w:highlight w:val="none"/>
        </w:rPr>
      </w:pPr>
      <w:r>
        <w:rPr>
          <w:rFonts w:hint="eastAsia" w:ascii="宋体" w:hAnsi="宋体"/>
          <w:iCs/>
          <w:sz w:val="24"/>
          <w:szCs w:val="24"/>
          <w:highlight w:val="none"/>
        </w:rPr>
        <w:t xml:space="preserve">         </w:t>
      </w:r>
      <w:r>
        <w:rPr>
          <w:rFonts w:hint="eastAsia" w:ascii="宋体" w:hAnsi="宋体"/>
          <w:sz w:val="24"/>
          <w:szCs w:val="24"/>
          <w:highlight w:val="none"/>
        </w:rPr>
        <w:sym w:font="Wingdings" w:char="00A8"/>
      </w:r>
      <w:r>
        <w:rPr>
          <w:rFonts w:hint="eastAsia" w:ascii="宋体" w:hAnsi="宋体"/>
          <w:sz w:val="24"/>
          <w:szCs w:val="24"/>
          <w:highlight w:val="none"/>
        </w:rPr>
        <w:t>否</w:t>
      </w:r>
    </w:p>
    <w:p w14:paraId="34CADE28">
      <w:pPr>
        <w:pStyle w:val="141"/>
        <w:numPr>
          <w:ilvl w:val="0"/>
          <w:numId w:val="0"/>
        </w:numPr>
        <w:snapToGrid w:val="0"/>
        <w:rPr>
          <w:rFonts w:ascii="宋体" w:hAnsi="宋体" w:eastAsia="宋体" w:cs="Times New Roman"/>
          <w:kern w:val="2"/>
          <w:sz w:val="24"/>
          <w:szCs w:val="24"/>
          <w:highlight w:val="none"/>
        </w:rPr>
      </w:pPr>
      <w:r>
        <w:rPr>
          <w:rFonts w:hint="eastAsia" w:ascii="宋体" w:hAnsi="宋体"/>
          <w:sz w:val="24"/>
          <w:szCs w:val="24"/>
          <w:highlight w:val="none"/>
        </w:rPr>
        <w:t xml:space="preserve">          </w:t>
      </w:r>
      <w:r>
        <w:rPr>
          <w:rFonts w:hint="eastAsia" w:ascii="宋体" w:hAnsi="宋体" w:eastAsia="宋体" w:cs="Times New Roman"/>
          <w:kern w:val="2"/>
          <w:sz w:val="24"/>
          <w:szCs w:val="24"/>
          <w:highlight w:val="none"/>
        </w:rPr>
        <w:t xml:space="preserve">是否涉及绿色产品： </w:t>
      </w:r>
    </w:p>
    <w:p w14:paraId="216DD44E">
      <w:pPr>
        <w:pStyle w:val="141"/>
        <w:ind w:firstLine="420" w:firstLineChars="0"/>
        <w:rPr>
          <w:rFonts w:ascii="宋体" w:hAnsi="宋体" w:eastAsia="宋体"/>
          <w:sz w:val="24"/>
          <w:szCs w:val="24"/>
          <w:highlight w:val="none"/>
          <w:u w:val="single"/>
        </w:rPr>
      </w:pPr>
      <w:r>
        <w:rPr>
          <w:rFonts w:hint="eastAsia" w:ascii="宋体" w:hAnsi="宋体" w:eastAsia="宋体" w:cs="Times New Roman"/>
          <w:kern w:val="2"/>
          <w:sz w:val="24"/>
          <w:szCs w:val="24"/>
          <w:highlight w:val="none"/>
        </w:rPr>
        <w:t xml:space="preserve">     </w:t>
      </w:r>
      <w:r>
        <w:rPr>
          <w:rFonts w:hint="eastAsia" w:ascii="宋体" w:hAnsi="宋体" w:eastAsia="宋体" w:cs="Times New Roman"/>
          <w:kern w:val="2"/>
          <w:sz w:val="24"/>
          <w:szCs w:val="24"/>
          <w:highlight w:val="none"/>
        </w:rPr>
        <w:sym w:font="Wingdings" w:char="00A8"/>
      </w:r>
      <w:r>
        <w:rPr>
          <w:rFonts w:hint="eastAsia" w:ascii="宋体" w:hAnsi="宋体" w:eastAsia="宋体" w:cs="Times New Roman"/>
          <w:kern w:val="2"/>
          <w:sz w:val="24"/>
          <w:szCs w:val="24"/>
          <w:highlight w:val="none"/>
        </w:rPr>
        <w:t>是，绿色产品政府采购相关政策确定的底级品目名称：</w:t>
      </w:r>
      <w:r>
        <w:rPr>
          <w:rFonts w:hint="eastAsia" w:ascii="宋体" w:hAnsi="宋体" w:eastAsia="宋体"/>
          <w:sz w:val="24"/>
          <w:szCs w:val="24"/>
          <w:highlight w:val="none"/>
          <w:u w:val="single"/>
        </w:rPr>
        <w:t xml:space="preserve">         </w:t>
      </w:r>
    </w:p>
    <w:p w14:paraId="5EC6669C">
      <w:pPr>
        <w:numPr>
          <w:ilvl w:val="0"/>
          <w:numId w:val="0"/>
        </w:numPr>
        <w:tabs>
          <w:tab w:val="left" w:pos="740"/>
        </w:tabs>
        <w:adjustRightInd w:val="0"/>
        <w:snapToGrid w:val="0"/>
        <w:spacing w:line="400" w:lineRule="exact"/>
        <w:rPr>
          <w:rFonts w:ascii="宋体" w:hAnsi="宋体"/>
          <w:iCs/>
          <w:sz w:val="24"/>
          <w:szCs w:val="24"/>
          <w:highlight w:val="none"/>
        </w:rPr>
      </w:pPr>
      <w:r>
        <w:rPr>
          <w:rFonts w:hint="eastAsia" w:ascii="宋体" w:hAnsi="宋体"/>
          <w:iCs/>
          <w:sz w:val="24"/>
          <w:szCs w:val="24"/>
          <w:highlight w:val="none"/>
        </w:rPr>
        <w:t xml:space="preserve">                </w:t>
      </w:r>
      <w:r>
        <w:rPr>
          <w:rFonts w:hint="eastAsia" w:ascii="宋体" w:hAnsi="宋体"/>
          <w:iCs/>
          <w:sz w:val="24"/>
          <w:szCs w:val="24"/>
          <w:highlight w:val="none"/>
        </w:rPr>
        <w:sym w:font="Wingdings" w:char="00A8"/>
      </w:r>
      <w:r>
        <w:rPr>
          <w:rFonts w:hint="eastAsia" w:ascii="宋体" w:hAnsi="宋体"/>
          <w:iCs/>
          <w:sz w:val="24"/>
          <w:szCs w:val="24"/>
          <w:highlight w:val="none"/>
        </w:rPr>
        <w:t xml:space="preserve">强制采购       </w:t>
      </w:r>
      <w:r>
        <w:rPr>
          <w:rFonts w:hint="eastAsia" w:ascii="宋体" w:hAnsi="宋体"/>
          <w:iCs/>
          <w:sz w:val="24"/>
          <w:szCs w:val="24"/>
          <w:highlight w:val="none"/>
        </w:rPr>
        <w:sym w:font="Wingdings" w:char="00A8"/>
      </w:r>
      <w:r>
        <w:rPr>
          <w:rFonts w:hint="eastAsia" w:ascii="宋体" w:hAnsi="宋体"/>
          <w:iCs/>
          <w:sz w:val="24"/>
          <w:szCs w:val="24"/>
          <w:highlight w:val="none"/>
        </w:rPr>
        <w:t xml:space="preserve">优先采购    </w:t>
      </w:r>
    </w:p>
    <w:p w14:paraId="61FF2FCE">
      <w:pPr>
        <w:pStyle w:val="141"/>
        <w:ind w:firstLine="420" w:firstLineChars="0"/>
        <w:rPr>
          <w:rFonts w:ascii="宋体" w:hAnsi="宋体"/>
          <w:sz w:val="24"/>
          <w:szCs w:val="24"/>
          <w:highlight w:val="none"/>
        </w:rPr>
      </w:pPr>
      <w:r>
        <w:rPr>
          <w:rFonts w:hint="eastAsia" w:ascii="宋体" w:hAnsi="宋体" w:eastAsia="宋体" w:cs="Times New Roman"/>
          <w:kern w:val="2"/>
          <w:sz w:val="24"/>
          <w:szCs w:val="24"/>
          <w:highlight w:val="none"/>
        </w:rPr>
        <w:t xml:space="preserve">     </w:t>
      </w:r>
      <w:r>
        <w:rPr>
          <w:rFonts w:hint="eastAsia" w:ascii="宋体" w:hAnsi="宋体" w:eastAsia="宋体" w:cs="Times New Roman"/>
          <w:kern w:val="2"/>
          <w:sz w:val="24"/>
          <w:szCs w:val="24"/>
          <w:highlight w:val="none"/>
        </w:rPr>
        <w:sym w:font="Wingdings" w:char="00A8"/>
      </w:r>
      <w:r>
        <w:rPr>
          <w:rFonts w:hint="eastAsia" w:ascii="宋体" w:hAnsi="宋体" w:eastAsia="宋体" w:cs="Times New Roman"/>
          <w:kern w:val="2"/>
          <w:sz w:val="24"/>
          <w:szCs w:val="24"/>
          <w:highlight w:val="none"/>
        </w:rPr>
        <w:t>否</w:t>
      </w:r>
    </w:p>
    <w:p w14:paraId="493AFDD6">
      <w:pPr>
        <w:numPr>
          <w:ilvl w:val="0"/>
          <w:numId w:val="0"/>
        </w:numPr>
        <w:adjustRightInd w:val="0"/>
        <w:snapToGrid w:val="0"/>
        <w:spacing w:line="400" w:lineRule="exact"/>
        <w:rPr>
          <w:rFonts w:ascii="宋体" w:hAnsi="宋体"/>
          <w:sz w:val="24"/>
          <w:szCs w:val="24"/>
          <w:highlight w:val="none"/>
        </w:rPr>
      </w:pPr>
      <w:r>
        <w:rPr>
          <w:rFonts w:hint="eastAsia" w:ascii="宋体" w:hAnsi="宋体"/>
          <w:sz w:val="24"/>
          <w:szCs w:val="24"/>
          <w:highlight w:val="none"/>
        </w:rPr>
        <w:t xml:space="preserve">    （1</w:t>
      </w:r>
      <w:r>
        <w:rPr>
          <w:rFonts w:ascii="宋体" w:hAnsi="宋体"/>
          <w:sz w:val="24"/>
          <w:szCs w:val="24"/>
          <w:highlight w:val="none"/>
          <w:lang w:val="en"/>
        </w:rPr>
        <w:t>1</w:t>
      </w:r>
      <w:r>
        <w:rPr>
          <w:rFonts w:hint="eastAsia" w:ascii="宋体" w:hAnsi="宋体"/>
          <w:sz w:val="24"/>
          <w:szCs w:val="24"/>
          <w:highlight w:val="none"/>
        </w:rPr>
        <w:t>）涉及商品包装和快递包装的，是否参考《商品包装政府采购需求标准（试行）》、《快递包装政府采购需求标准（试行）》明确产品及相关快递服务的具体包装要求：</w:t>
      </w:r>
    </w:p>
    <w:p w14:paraId="74894681">
      <w:pPr>
        <w:numPr>
          <w:ilvl w:val="0"/>
          <w:numId w:val="0"/>
        </w:numPr>
        <w:adjustRightInd w:val="0"/>
        <w:snapToGrid w:val="0"/>
        <w:spacing w:line="400" w:lineRule="exact"/>
        <w:ind w:firstLine="960" w:firstLineChars="400"/>
        <w:rPr>
          <w:rFonts w:ascii="宋体" w:hAnsi="宋体"/>
          <w:sz w:val="24"/>
          <w:szCs w:val="24"/>
          <w:highlight w:val="none"/>
        </w:rPr>
      </w:pPr>
      <w:r>
        <w:rPr>
          <w:rFonts w:hint="eastAsia" w:ascii="宋体" w:hAnsi="宋体"/>
          <w:sz w:val="24"/>
          <w:szCs w:val="24"/>
          <w:highlight w:val="none"/>
        </w:rPr>
        <w:sym w:font="Wingdings" w:char="00A8"/>
      </w:r>
      <w:r>
        <w:rPr>
          <w:rFonts w:hint="eastAsia" w:ascii="宋体" w:hAnsi="宋体"/>
          <w:sz w:val="24"/>
          <w:szCs w:val="24"/>
          <w:highlight w:val="none"/>
        </w:rPr>
        <w:t xml:space="preserve">是       </w:t>
      </w:r>
      <w:r>
        <w:rPr>
          <w:rFonts w:hint="eastAsia" w:ascii="宋体" w:hAnsi="宋体"/>
          <w:sz w:val="24"/>
          <w:szCs w:val="24"/>
          <w:highlight w:val="none"/>
        </w:rPr>
        <w:sym w:font="Wingdings" w:char="00A8"/>
      </w:r>
      <w:r>
        <w:rPr>
          <w:rFonts w:hint="eastAsia" w:ascii="宋体" w:hAnsi="宋体"/>
          <w:sz w:val="24"/>
          <w:szCs w:val="24"/>
          <w:highlight w:val="none"/>
        </w:rPr>
        <w:t xml:space="preserve">否      </w:t>
      </w:r>
      <w:r>
        <w:rPr>
          <w:rFonts w:hint="eastAsia" w:ascii="宋体" w:hAnsi="宋体"/>
          <w:sz w:val="24"/>
          <w:szCs w:val="24"/>
          <w:highlight w:val="none"/>
        </w:rPr>
        <w:sym w:font="Wingdings" w:char="00A8"/>
      </w:r>
      <w:r>
        <w:rPr>
          <w:rFonts w:hint="eastAsia" w:ascii="宋体" w:hAnsi="宋体"/>
          <w:sz w:val="24"/>
          <w:szCs w:val="24"/>
          <w:highlight w:val="none"/>
        </w:rPr>
        <w:t>不涉及</w:t>
      </w:r>
    </w:p>
    <w:p w14:paraId="74E1AC04">
      <w:pPr>
        <w:numPr>
          <w:ilvl w:val="0"/>
          <w:numId w:val="25"/>
        </w:numPr>
        <w:adjustRightInd w:val="0"/>
        <w:snapToGrid w:val="0"/>
        <w:spacing w:line="400" w:lineRule="exact"/>
        <w:ind w:firstLine="482" w:firstLineChars="200"/>
        <w:rPr>
          <w:rFonts w:ascii="宋体" w:hAnsi="宋体"/>
          <w:b/>
          <w:sz w:val="24"/>
          <w:szCs w:val="24"/>
          <w:highlight w:val="none"/>
        </w:rPr>
      </w:pPr>
      <w:r>
        <w:rPr>
          <w:rFonts w:hint="eastAsia" w:ascii="宋体" w:hAnsi="宋体"/>
          <w:b/>
          <w:sz w:val="24"/>
          <w:szCs w:val="24"/>
          <w:highlight w:val="none"/>
        </w:rPr>
        <w:t>合同金额</w:t>
      </w:r>
    </w:p>
    <w:p w14:paraId="562BFD3D">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（1）合同金额小写：</w:t>
      </w:r>
      <w:r>
        <w:rPr>
          <w:rFonts w:hint="eastAsia" w:ascii="宋体" w:hAnsi="宋体"/>
          <w:sz w:val="24"/>
          <w:szCs w:val="24"/>
          <w:highlight w:val="none"/>
          <w:u w:val="single"/>
        </w:rPr>
        <w:t xml:space="preserve">                           </w:t>
      </w:r>
    </w:p>
    <w:p w14:paraId="1E493E04">
      <w:pPr>
        <w:adjustRightInd w:val="0"/>
        <w:snapToGrid w:val="0"/>
        <w:spacing w:line="400" w:lineRule="exact"/>
        <w:rPr>
          <w:rFonts w:ascii="宋体" w:hAnsi="宋体"/>
          <w:sz w:val="24"/>
          <w:szCs w:val="24"/>
          <w:highlight w:val="none"/>
          <w:u w:val="single"/>
        </w:rPr>
      </w:pPr>
      <w:r>
        <w:rPr>
          <w:rFonts w:hint="eastAsia" w:ascii="宋体" w:hAnsi="宋体"/>
          <w:sz w:val="24"/>
          <w:szCs w:val="24"/>
          <w:highlight w:val="none"/>
        </w:rPr>
        <w:t xml:space="preserve">                 大写：</w:t>
      </w:r>
      <w:r>
        <w:rPr>
          <w:rFonts w:hint="eastAsia" w:ascii="宋体" w:hAnsi="宋体"/>
          <w:sz w:val="24"/>
          <w:szCs w:val="24"/>
          <w:highlight w:val="none"/>
          <w:u w:val="single"/>
        </w:rPr>
        <w:t xml:space="preserve">                           </w:t>
      </w:r>
    </w:p>
    <w:p w14:paraId="19E36CC8">
      <w:pPr>
        <w:adjustRightInd w:val="0"/>
        <w:snapToGrid w:val="0"/>
        <w:spacing w:line="400" w:lineRule="exact"/>
        <w:rPr>
          <w:rFonts w:ascii="宋体" w:hAnsi="宋体"/>
          <w:sz w:val="24"/>
          <w:szCs w:val="24"/>
          <w:highlight w:val="none"/>
        </w:rPr>
      </w:pPr>
      <w:r>
        <w:rPr>
          <w:rFonts w:hint="eastAsia" w:ascii="宋体" w:hAnsi="宋体"/>
          <w:sz w:val="24"/>
          <w:szCs w:val="24"/>
          <w:highlight w:val="none"/>
        </w:rPr>
        <w:t xml:space="preserve">    （注：固定单价合同应填写单价和最高限价）</w:t>
      </w:r>
    </w:p>
    <w:p w14:paraId="49A897A6">
      <w:pPr>
        <w:numPr>
          <w:ilvl w:val="0"/>
          <w:numId w:val="0"/>
        </w:numPr>
        <w:adjustRightInd w:val="0"/>
        <w:snapToGrid w:val="0"/>
        <w:spacing w:line="400" w:lineRule="exact"/>
        <w:rPr>
          <w:rFonts w:ascii="宋体" w:hAnsi="宋体"/>
          <w:sz w:val="24"/>
          <w:szCs w:val="24"/>
          <w:highlight w:val="none"/>
        </w:rPr>
      </w:pPr>
      <w:r>
        <w:rPr>
          <w:rFonts w:hint="eastAsia" w:ascii="宋体" w:hAnsi="宋体"/>
          <w:sz w:val="24"/>
          <w:szCs w:val="24"/>
          <w:highlight w:val="none"/>
        </w:rPr>
        <w:t xml:space="preserve">    （2）合同定价方式（采用组合定价方式的，可以勾选多项）：</w:t>
      </w:r>
    </w:p>
    <w:p w14:paraId="0689D7ED">
      <w:pPr>
        <w:adjustRightInd w:val="0"/>
        <w:snapToGrid w:val="0"/>
        <w:spacing w:line="400" w:lineRule="exact"/>
        <w:ind w:firstLine="480" w:firstLineChars="200"/>
        <w:rPr>
          <w:rFonts w:ascii="宋体" w:hAnsi="宋体"/>
          <w:sz w:val="24"/>
          <w:szCs w:val="24"/>
          <w:highlight w:val="none"/>
        </w:rPr>
      </w:pPr>
      <w:r>
        <w:rPr>
          <w:rFonts w:hint="eastAsia" w:ascii="宋体" w:hAnsi="宋体"/>
          <w:iCs/>
          <w:sz w:val="24"/>
          <w:szCs w:val="24"/>
          <w:highlight w:val="none"/>
        </w:rPr>
        <w:t xml:space="preserve">  </w:t>
      </w:r>
      <w:r>
        <w:rPr>
          <w:rFonts w:hint="eastAsia" w:ascii="宋体" w:hAnsi="宋体"/>
          <w:iCs/>
          <w:sz w:val="24"/>
          <w:szCs w:val="24"/>
          <w:highlight w:val="none"/>
        </w:rPr>
        <w:sym w:font="Wingdings" w:char="00FE"/>
      </w:r>
      <w:r>
        <w:rPr>
          <w:rFonts w:hint="eastAsia" w:ascii="宋体" w:hAnsi="宋体"/>
          <w:iCs/>
          <w:sz w:val="24"/>
          <w:szCs w:val="24"/>
          <w:highlight w:val="none"/>
        </w:rPr>
        <w:t xml:space="preserve">固定总价 </w:t>
      </w:r>
      <w:r>
        <w:rPr>
          <w:rFonts w:hint="eastAsia" w:ascii="宋体" w:hAnsi="宋体"/>
          <w:iCs/>
          <w:sz w:val="24"/>
          <w:szCs w:val="24"/>
          <w:highlight w:val="none"/>
        </w:rPr>
        <w:sym w:font="Wingdings" w:char="00A8"/>
      </w:r>
      <w:r>
        <w:rPr>
          <w:rFonts w:hint="eastAsia" w:ascii="宋体" w:hAnsi="宋体"/>
          <w:iCs/>
          <w:sz w:val="24"/>
          <w:szCs w:val="24"/>
          <w:highlight w:val="none"/>
        </w:rPr>
        <w:t xml:space="preserve">固定单价 </w:t>
      </w:r>
      <w:r>
        <w:rPr>
          <w:rFonts w:hint="eastAsia" w:ascii="宋体" w:hAnsi="宋体"/>
          <w:iCs/>
          <w:sz w:val="24"/>
          <w:szCs w:val="24"/>
          <w:highlight w:val="none"/>
        </w:rPr>
        <w:sym w:font="Wingdings" w:char="00A8"/>
      </w:r>
      <w:r>
        <w:rPr>
          <w:rFonts w:hint="eastAsia" w:ascii="宋体" w:hAnsi="宋体"/>
          <w:iCs/>
          <w:sz w:val="24"/>
          <w:szCs w:val="24"/>
          <w:highlight w:val="none"/>
        </w:rPr>
        <w:t xml:space="preserve">固定费率 </w:t>
      </w:r>
      <w:r>
        <w:rPr>
          <w:rFonts w:hint="eastAsia" w:ascii="宋体" w:hAnsi="宋体"/>
          <w:iCs/>
          <w:sz w:val="24"/>
          <w:szCs w:val="24"/>
          <w:highlight w:val="none"/>
        </w:rPr>
        <w:sym w:font="Wingdings" w:char="00A8"/>
      </w:r>
      <w:r>
        <w:rPr>
          <w:rFonts w:hint="eastAsia" w:ascii="宋体" w:hAnsi="宋体"/>
          <w:iCs/>
          <w:sz w:val="24"/>
          <w:szCs w:val="24"/>
          <w:highlight w:val="none"/>
        </w:rPr>
        <w:t xml:space="preserve">成本补偿 </w:t>
      </w:r>
      <w:r>
        <w:rPr>
          <w:rFonts w:hint="eastAsia" w:ascii="宋体" w:hAnsi="宋体"/>
          <w:iCs/>
          <w:sz w:val="24"/>
          <w:szCs w:val="24"/>
          <w:highlight w:val="none"/>
        </w:rPr>
        <w:sym w:font="Wingdings" w:char="00A8"/>
      </w:r>
      <w:r>
        <w:rPr>
          <w:rFonts w:hint="eastAsia" w:ascii="宋体" w:hAnsi="宋体"/>
          <w:iCs/>
          <w:sz w:val="24"/>
          <w:szCs w:val="24"/>
          <w:highlight w:val="none"/>
        </w:rPr>
        <w:t xml:space="preserve">绩效激励 </w:t>
      </w:r>
      <w:r>
        <w:rPr>
          <w:rFonts w:hint="eastAsia" w:ascii="宋体" w:hAnsi="宋体"/>
          <w:iCs/>
          <w:sz w:val="24"/>
          <w:szCs w:val="24"/>
          <w:highlight w:val="none"/>
        </w:rPr>
        <w:sym w:font="Wingdings" w:char="00A8"/>
      </w:r>
      <w:r>
        <w:rPr>
          <w:rFonts w:hint="eastAsia" w:ascii="宋体" w:hAnsi="宋体"/>
          <w:iCs/>
          <w:sz w:val="24"/>
          <w:szCs w:val="24"/>
          <w:highlight w:val="none"/>
        </w:rPr>
        <w:t>其他</w:t>
      </w:r>
      <w:r>
        <w:rPr>
          <w:rFonts w:hint="eastAsia" w:ascii="宋体" w:hAnsi="宋体"/>
          <w:sz w:val="24"/>
          <w:szCs w:val="24"/>
          <w:highlight w:val="none"/>
          <w:u w:val="single"/>
        </w:rPr>
        <w:t xml:space="preserve">       </w:t>
      </w:r>
    </w:p>
    <w:p w14:paraId="462864D7">
      <w:pPr>
        <w:pStyle w:val="310"/>
        <w:spacing w:line="400" w:lineRule="exact"/>
        <w:rPr>
          <w:sz w:val="24"/>
          <w:szCs w:val="24"/>
          <w:highlight w:val="none"/>
        </w:rPr>
      </w:pPr>
      <w:r>
        <w:rPr>
          <w:rFonts w:hint="eastAsia" w:ascii="宋体" w:hAnsi="宋体"/>
          <w:sz w:val="24"/>
          <w:szCs w:val="24"/>
          <w:highlight w:val="none"/>
        </w:rPr>
        <w:t>（3）付款方式（按项目实际勾选填写）：</w:t>
      </w:r>
    </w:p>
    <w:p w14:paraId="75DE7A52">
      <w:pPr>
        <w:adjustRightInd w:val="0"/>
        <w:snapToGrid w:val="0"/>
        <w:spacing w:line="400" w:lineRule="exact"/>
        <w:ind w:firstLine="720" w:firstLineChars="300"/>
        <w:rPr>
          <w:rFonts w:hint="eastAsia" w:ascii="宋体" w:hAnsi="宋体"/>
          <w:sz w:val="24"/>
          <w:szCs w:val="24"/>
          <w:highlight w:val="none"/>
          <w:u w:val="single"/>
        </w:rPr>
      </w:pPr>
      <w:r>
        <w:rPr>
          <w:rFonts w:hint="eastAsia" w:ascii="宋体" w:hAnsi="宋体"/>
          <w:sz w:val="24"/>
          <w:szCs w:val="24"/>
          <w:highlight w:val="none"/>
        </w:rPr>
        <w:sym w:font="Wingdings" w:char="00A8"/>
      </w:r>
      <w:r>
        <w:rPr>
          <w:rFonts w:hint="eastAsia" w:ascii="宋体" w:hAnsi="宋体"/>
          <w:sz w:val="24"/>
          <w:szCs w:val="24"/>
          <w:highlight w:val="none"/>
        </w:rPr>
        <w:t>全额付款：</w:t>
      </w:r>
      <w:r>
        <w:rPr>
          <w:rFonts w:hint="eastAsia" w:ascii="宋体" w:hAnsi="宋体"/>
          <w:sz w:val="24"/>
          <w:szCs w:val="24"/>
          <w:highlight w:val="none"/>
          <w:u w:val="single"/>
        </w:rPr>
        <w:t xml:space="preserve">   </w:t>
      </w:r>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sz w:val="24"/>
          <w:szCs w:val="24"/>
          <w:highlight w:val="none"/>
          <w:u w:val="single"/>
        </w:rPr>
        <w:t xml:space="preserve">  </w:t>
      </w:r>
    </w:p>
    <w:p w14:paraId="1AAC9C87">
      <w:pPr>
        <w:pStyle w:val="141"/>
        <w:ind w:firstLine="720" w:firstLineChars="300"/>
        <w:rPr>
          <w:rFonts w:hint="default"/>
          <w:sz w:val="24"/>
          <w:szCs w:val="24"/>
          <w:highlight w:val="none"/>
          <w:u w:val="single"/>
          <w:lang w:val="en-US"/>
        </w:rPr>
      </w:pPr>
      <w:r>
        <w:rPr>
          <w:rFonts w:hint="eastAsia" w:ascii="宋体" w:hAnsi="宋体" w:eastAsia="宋体" w:cs="Times New Roman"/>
          <w:kern w:val="2"/>
          <w:sz w:val="24"/>
          <w:szCs w:val="24"/>
          <w:highlight w:val="none"/>
          <w:lang w:val="en-US" w:eastAsia="zh-CN" w:bidi="ar-SA"/>
        </w:rPr>
        <w:sym w:font="Wingdings" w:char="00FE"/>
      </w:r>
      <w:r>
        <w:rPr>
          <w:rFonts w:hint="eastAsia" w:ascii="宋体" w:hAnsi="宋体" w:eastAsia="宋体" w:cs="Times New Roman"/>
          <w:kern w:val="2"/>
          <w:sz w:val="24"/>
          <w:szCs w:val="24"/>
          <w:highlight w:val="none"/>
          <w:lang w:val="en-US" w:eastAsia="zh-CN" w:bidi="ar-SA"/>
        </w:rPr>
        <w:t>分期付款：</w:t>
      </w:r>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宋体"/>
          <w:kern w:val="2"/>
          <w:sz w:val="24"/>
          <w:szCs w:val="24"/>
          <w:highlight w:val="none"/>
          <w:u w:val="single"/>
          <w:lang w:val="en-US" w:eastAsia="zh-CN" w:bidi="ar-SA"/>
        </w:rPr>
        <w:t xml:space="preserve">合同签订生效后预付款金额：合同金额30%（注：中小企业预付款金额为合同金额的50%，）验收合格后付至合同金额的100%  </w:t>
      </w:r>
      <w:r>
        <w:rPr>
          <w:rFonts w:hint="eastAsia" w:ascii="宋体" w:hAnsi="宋体" w:eastAsia="宋体" w:cs="Times New Roman"/>
          <w:kern w:val="2"/>
          <w:sz w:val="24"/>
          <w:szCs w:val="24"/>
          <w:highlight w:val="none"/>
          <w:u w:val="single"/>
          <w:lang w:val="en-US" w:eastAsia="zh-CN" w:bidi="ar-SA"/>
        </w:rPr>
        <w:t xml:space="preserve">     </w:t>
      </w:r>
    </w:p>
    <w:p w14:paraId="6983E2D0">
      <w:pPr>
        <w:numPr>
          <w:ilvl w:val="0"/>
          <w:numId w:val="25"/>
        </w:numPr>
        <w:adjustRightInd w:val="0"/>
        <w:snapToGrid w:val="0"/>
        <w:spacing w:line="400" w:lineRule="exact"/>
        <w:ind w:firstLine="482" w:firstLineChars="200"/>
        <w:rPr>
          <w:rFonts w:ascii="宋体" w:hAnsi="宋体"/>
          <w:b/>
          <w:sz w:val="24"/>
          <w:szCs w:val="24"/>
          <w:highlight w:val="none"/>
          <w:u w:val="single"/>
        </w:rPr>
      </w:pPr>
      <w:r>
        <w:rPr>
          <w:rFonts w:hint="eastAsia" w:ascii="宋体" w:hAnsi="宋体"/>
          <w:b/>
          <w:sz w:val="24"/>
          <w:szCs w:val="24"/>
          <w:highlight w:val="none"/>
        </w:rPr>
        <w:t>合同履行</w:t>
      </w:r>
    </w:p>
    <w:p w14:paraId="3CFA31DF">
      <w:pPr>
        <w:adjustRightInd w:val="0"/>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（1）起始日期：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日，完成日期：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6790736E">
      <w:pPr>
        <w:adjustRightInd w:val="0"/>
        <w:snapToGrid w:val="0"/>
        <w:spacing w:line="400" w:lineRule="exact"/>
        <w:ind w:firstLine="480" w:firstLineChars="200"/>
        <w:rPr>
          <w:rFonts w:ascii="宋体" w:hAnsi="宋体" w:cs="宋体"/>
          <w:sz w:val="24"/>
          <w:szCs w:val="24"/>
          <w:highlight w:val="none"/>
          <w:u w:val="single"/>
        </w:rPr>
      </w:pPr>
      <w:r>
        <w:rPr>
          <w:rFonts w:hint="eastAsia" w:ascii="宋体" w:hAnsi="宋体" w:cs="宋体"/>
          <w:sz w:val="24"/>
          <w:szCs w:val="24"/>
          <w:highlight w:val="none"/>
        </w:rPr>
        <w:t>（2）履约地点</w:t>
      </w:r>
      <w:r>
        <w:rPr>
          <w:rFonts w:hint="eastAsia" w:ascii="宋体" w:hAnsi="宋体" w:cs="宋体"/>
          <w:bCs/>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新乡医学院第一附属医院指定地点</w:t>
      </w:r>
      <w:r>
        <w:rPr>
          <w:rFonts w:hint="eastAsia" w:ascii="宋体" w:hAnsi="宋体" w:cs="宋体"/>
          <w:sz w:val="24"/>
          <w:szCs w:val="24"/>
          <w:highlight w:val="none"/>
          <w:u w:val="single"/>
        </w:rPr>
        <w:t xml:space="preserve"> </w:t>
      </w:r>
    </w:p>
    <w:p w14:paraId="60F47D53">
      <w:pPr>
        <w:adjustRightInd w:val="0"/>
        <w:snapToGrid w:val="0"/>
        <w:spacing w:line="400" w:lineRule="exact"/>
        <w:ind w:firstLine="480" w:firstLineChars="200"/>
        <w:rPr>
          <w:rFonts w:ascii="宋体" w:hAnsi="宋体" w:cs="宋体"/>
          <w:sz w:val="24"/>
          <w:szCs w:val="24"/>
          <w:highlight w:val="none"/>
        </w:rPr>
      </w:pPr>
      <w:r>
        <w:rPr>
          <w:rFonts w:hint="eastAsia" w:ascii="宋体" w:hAnsi="宋体" w:cs="宋体"/>
          <w:bCs/>
          <w:sz w:val="24"/>
          <w:szCs w:val="24"/>
          <w:highlight w:val="none"/>
        </w:rPr>
        <w:t>（3）履约担保：</w:t>
      </w:r>
      <w:r>
        <w:rPr>
          <w:rFonts w:hint="eastAsia" w:ascii="宋体" w:hAnsi="宋体" w:cs="宋体"/>
          <w:sz w:val="24"/>
          <w:szCs w:val="24"/>
          <w:highlight w:val="none"/>
        </w:rPr>
        <w:t>是否收取履约保证金：</w:t>
      </w:r>
      <w:r>
        <w:rPr>
          <w:rFonts w:hint="eastAsia" w:ascii="宋体" w:hAnsi="宋体" w:cs="宋体"/>
          <w:sz w:val="24"/>
          <w:szCs w:val="24"/>
          <w:highlight w:val="none"/>
        </w:rPr>
        <w:sym w:font="Wingdings" w:char="00FE"/>
      </w:r>
      <w:r>
        <w:rPr>
          <w:rFonts w:hint="eastAsia" w:ascii="宋体" w:hAnsi="宋体" w:cs="宋体"/>
          <w:sz w:val="24"/>
          <w:szCs w:val="24"/>
          <w:highlight w:val="none"/>
        </w:rPr>
        <w:t xml:space="preserve">是    </w:t>
      </w:r>
      <w:r>
        <w:rPr>
          <w:rFonts w:hint="eastAsia" w:ascii="宋体" w:hAnsi="宋体" w:cs="宋体"/>
          <w:sz w:val="24"/>
          <w:szCs w:val="24"/>
          <w:highlight w:val="none"/>
        </w:rPr>
        <w:sym w:font="Wingdings" w:char="00A8"/>
      </w:r>
      <w:r>
        <w:rPr>
          <w:rFonts w:hint="eastAsia" w:ascii="宋体" w:hAnsi="宋体" w:cs="宋体"/>
          <w:sz w:val="24"/>
          <w:szCs w:val="24"/>
          <w:highlight w:val="none"/>
        </w:rPr>
        <w:t>否</w:t>
      </w:r>
    </w:p>
    <w:p w14:paraId="2B4AAF89">
      <w:pPr>
        <w:pStyle w:val="141"/>
        <w:ind w:firstLine="462"/>
        <w:rPr>
          <w:rFonts w:ascii="宋体" w:hAnsi="宋体" w:eastAsia="宋体" w:cs="宋体"/>
          <w:sz w:val="24"/>
          <w:szCs w:val="24"/>
          <w:highlight w:val="none"/>
        </w:rPr>
      </w:pPr>
      <w:r>
        <w:rPr>
          <w:rFonts w:hint="eastAsia" w:ascii="宋体" w:hAnsi="宋体" w:cs="宋体"/>
          <w:bCs/>
          <w:sz w:val="24"/>
          <w:szCs w:val="24"/>
          <w:highlight w:val="none"/>
        </w:rPr>
        <w:t xml:space="preserve">  </w:t>
      </w:r>
      <w:r>
        <w:rPr>
          <w:rFonts w:hint="eastAsia" w:ascii="宋体" w:hAnsi="宋体" w:eastAsia="宋体" w:cs="宋体"/>
          <w:sz w:val="24"/>
          <w:szCs w:val="24"/>
          <w:highlight w:val="none"/>
        </w:rPr>
        <w:t xml:space="preserve">  收取履约保证金形式：</w:t>
      </w:r>
      <w:r>
        <w:rPr>
          <w:rFonts w:hint="eastAsia" w:ascii="宋体" w:hAnsi="宋体" w:eastAsia="宋体" w:cs="宋体"/>
          <w:bCs/>
          <w:sz w:val="24"/>
          <w:szCs w:val="24"/>
          <w:highlight w:val="none"/>
          <w:u w:val="single"/>
        </w:rPr>
        <w:t xml:space="preserve">以支票、汇票、本票或者金融机构、担保机构出具的保函等非现金形式提交。  </w:t>
      </w:r>
    </w:p>
    <w:p w14:paraId="3079CD41">
      <w:pPr>
        <w:pStyle w:val="141"/>
        <w:ind w:firstLine="420"/>
        <w:rPr>
          <w:rFonts w:ascii="宋体" w:hAnsi="宋体" w:eastAsia="宋体" w:cs="宋体"/>
          <w:sz w:val="24"/>
          <w:szCs w:val="24"/>
          <w:highlight w:val="none"/>
        </w:rPr>
      </w:pPr>
      <w:r>
        <w:rPr>
          <w:rFonts w:hint="eastAsia" w:ascii="宋体" w:hAnsi="宋体" w:eastAsia="宋体" w:cs="宋体"/>
          <w:sz w:val="24"/>
          <w:szCs w:val="24"/>
          <w:highlight w:val="none"/>
        </w:rPr>
        <w:t xml:space="preserve">    收取履约保证金金额：</w:t>
      </w:r>
      <w:r>
        <w:rPr>
          <w:rFonts w:hint="eastAsia" w:ascii="宋体" w:hAnsi="宋体" w:eastAsia="宋体" w:cs="宋体"/>
          <w:bCs/>
          <w:sz w:val="24"/>
          <w:szCs w:val="24"/>
          <w:highlight w:val="none"/>
          <w:u w:val="single"/>
        </w:rPr>
        <w:t xml:space="preserve">中标金额的10%  </w:t>
      </w:r>
    </w:p>
    <w:p w14:paraId="429E1414">
      <w:pPr>
        <w:snapToGrid w:val="0"/>
        <w:spacing w:line="400" w:lineRule="exact"/>
        <w:ind w:firstLine="480" w:firstLineChars="200"/>
        <w:rPr>
          <w:rFonts w:ascii="宋体" w:hAnsi="宋体" w:cs="宋体"/>
          <w:sz w:val="24"/>
          <w:szCs w:val="24"/>
          <w:highlight w:val="none"/>
        </w:rPr>
      </w:pPr>
      <w:r>
        <w:rPr>
          <w:rFonts w:hint="eastAsia" w:ascii="宋体" w:hAnsi="宋体" w:cs="宋体"/>
          <w:bCs/>
          <w:sz w:val="24"/>
          <w:szCs w:val="24"/>
          <w:highlight w:val="none"/>
        </w:rPr>
        <w:t xml:space="preserve">    履约担保期限：</w:t>
      </w:r>
      <w:r>
        <w:rPr>
          <w:rFonts w:hint="eastAsia" w:ascii="宋体" w:hAnsi="宋体" w:cs="宋体"/>
          <w:bCs/>
          <w:sz w:val="24"/>
          <w:szCs w:val="24"/>
          <w:highlight w:val="none"/>
          <w:u w:val="single"/>
        </w:rPr>
        <w:t xml:space="preserve"> 采购人（甲方）于合同期满30日后，无息退还中标方（乙方）履约保证金</w:t>
      </w:r>
      <w:r>
        <w:rPr>
          <w:rFonts w:hint="eastAsia" w:ascii="宋体" w:hAnsi="宋体" w:cs="宋体"/>
          <w:bCs/>
          <w:sz w:val="24"/>
          <w:szCs w:val="24"/>
          <w:highlight w:val="none"/>
          <w:u w:val="single"/>
          <w:lang w:eastAsia="zh-CN"/>
        </w:rPr>
        <w:t>。</w:t>
      </w:r>
      <w:r>
        <w:rPr>
          <w:rFonts w:hint="eastAsia" w:ascii="宋体" w:hAnsi="宋体" w:cs="宋体"/>
          <w:bCs/>
          <w:sz w:val="24"/>
          <w:szCs w:val="24"/>
          <w:highlight w:val="none"/>
          <w:u w:val="single"/>
        </w:rPr>
        <w:t xml:space="preserve">   </w:t>
      </w:r>
    </w:p>
    <w:p w14:paraId="2EB0E206">
      <w:pPr>
        <w:numPr>
          <w:ilvl w:val="0"/>
          <w:numId w:val="25"/>
        </w:numPr>
        <w:adjustRightInd w:val="0"/>
        <w:snapToGrid w:val="0"/>
        <w:spacing w:line="400" w:lineRule="exact"/>
        <w:ind w:firstLine="482" w:firstLineChars="200"/>
        <w:rPr>
          <w:rFonts w:ascii="宋体" w:hAnsi="宋体"/>
          <w:b/>
          <w:sz w:val="24"/>
          <w:szCs w:val="24"/>
          <w:highlight w:val="none"/>
        </w:rPr>
      </w:pPr>
      <w:r>
        <w:rPr>
          <w:rFonts w:hint="eastAsia" w:ascii="宋体" w:hAnsi="宋体"/>
          <w:b/>
          <w:sz w:val="24"/>
          <w:szCs w:val="24"/>
          <w:highlight w:val="none"/>
        </w:rPr>
        <w:t>合同验收</w:t>
      </w:r>
    </w:p>
    <w:p w14:paraId="41B75202">
      <w:pPr>
        <w:numPr>
          <w:ilvl w:val="0"/>
          <w:numId w:val="27"/>
        </w:numPr>
        <w:adjustRightInd w:val="0"/>
        <w:snapToGrid w:val="0"/>
        <w:spacing w:line="400" w:lineRule="exact"/>
        <w:ind w:firstLine="480" w:firstLineChars="200"/>
        <w:rPr>
          <w:rFonts w:ascii="宋体" w:hAnsi="宋体"/>
          <w:bCs/>
          <w:sz w:val="24"/>
          <w:szCs w:val="24"/>
          <w:highlight w:val="none"/>
        </w:rPr>
      </w:pPr>
      <w:r>
        <w:rPr>
          <w:rFonts w:hint="eastAsia" w:ascii="宋体" w:hAnsi="宋体"/>
          <w:bCs/>
          <w:sz w:val="24"/>
          <w:szCs w:val="24"/>
          <w:highlight w:val="none"/>
        </w:rPr>
        <w:t>验收组织方式：</w:t>
      </w:r>
      <w:r>
        <w:rPr>
          <w:rFonts w:hint="eastAsia" w:ascii="宋体" w:hAnsi="宋体" w:cs="宋体"/>
          <w:sz w:val="24"/>
          <w:szCs w:val="24"/>
          <w:highlight w:val="none"/>
        </w:rPr>
        <w:sym w:font="Wingdings" w:char="00FE"/>
      </w:r>
      <w:r>
        <w:rPr>
          <w:rFonts w:hint="eastAsia" w:ascii="宋体" w:hAnsi="宋体"/>
          <w:bCs/>
          <w:sz w:val="24"/>
          <w:szCs w:val="24"/>
          <w:highlight w:val="none"/>
        </w:rPr>
        <w:t xml:space="preserve">自行组织 </w:t>
      </w:r>
      <w:r>
        <w:rPr>
          <w:rFonts w:hint="eastAsia" w:ascii="宋体" w:hAnsi="宋体" w:cs="宋体"/>
          <w:sz w:val="24"/>
          <w:szCs w:val="24"/>
          <w:highlight w:val="none"/>
        </w:rPr>
        <w:sym w:font="Wingdings" w:char="00A8"/>
      </w:r>
      <w:r>
        <w:rPr>
          <w:rFonts w:hint="eastAsia" w:ascii="宋体" w:hAnsi="宋体"/>
          <w:bCs/>
          <w:sz w:val="24"/>
          <w:szCs w:val="24"/>
          <w:highlight w:val="none"/>
        </w:rPr>
        <w:t>委托第三方组织</w:t>
      </w:r>
    </w:p>
    <w:p w14:paraId="0B1D0F73">
      <w:pPr>
        <w:adjustRightInd w:val="0"/>
        <w:snapToGrid w:val="0"/>
        <w:spacing w:line="400" w:lineRule="exact"/>
        <w:rPr>
          <w:rFonts w:ascii="宋体" w:hAnsi="宋体"/>
          <w:bCs/>
          <w:sz w:val="24"/>
          <w:szCs w:val="24"/>
          <w:highlight w:val="none"/>
        </w:rPr>
      </w:pPr>
      <w:r>
        <w:rPr>
          <w:rFonts w:hint="eastAsia" w:ascii="宋体" w:hAnsi="宋体"/>
          <w:bCs/>
          <w:sz w:val="24"/>
          <w:szCs w:val="24"/>
          <w:highlight w:val="none"/>
        </w:rPr>
        <w:t xml:space="preserve">         验收主体：</w:t>
      </w:r>
      <w:r>
        <w:rPr>
          <w:rFonts w:hint="eastAsia" w:ascii="宋体" w:hAnsi="宋体"/>
          <w:bCs/>
          <w:sz w:val="24"/>
          <w:szCs w:val="24"/>
          <w:highlight w:val="none"/>
          <w:u w:val="single"/>
        </w:rPr>
        <w:t xml:space="preserve"> 新乡医学院第一附属医院 </w:t>
      </w:r>
    </w:p>
    <w:p w14:paraId="05FA0FB8">
      <w:pPr>
        <w:adjustRightInd w:val="0"/>
        <w:snapToGrid w:val="0"/>
        <w:spacing w:line="400" w:lineRule="exact"/>
        <w:rPr>
          <w:rFonts w:ascii="宋体" w:hAnsi="宋体"/>
          <w:bCs/>
          <w:sz w:val="24"/>
          <w:szCs w:val="24"/>
          <w:highlight w:val="none"/>
        </w:rPr>
      </w:pPr>
      <w:r>
        <w:rPr>
          <w:rFonts w:hint="eastAsia" w:ascii="宋体" w:hAnsi="宋体"/>
          <w:bCs/>
          <w:sz w:val="24"/>
          <w:szCs w:val="24"/>
          <w:highlight w:val="none"/>
        </w:rPr>
        <w:t xml:space="preserve">        是否邀请本项目的其他供应商参加验收：</w:t>
      </w:r>
      <w:r>
        <w:rPr>
          <w:rFonts w:hint="eastAsia" w:ascii="宋体" w:hAnsi="宋体" w:cs="宋体"/>
          <w:sz w:val="24"/>
          <w:szCs w:val="24"/>
          <w:highlight w:val="none"/>
        </w:rPr>
        <w:sym w:font="Wingdings" w:char="00A8"/>
      </w:r>
      <w:r>
        <w:rPr>
          <w:rFonts w:hint="eastAsia" w:ascii="宋体" w:hAnsi="宋体"/>
          <w:bCs/>
          <w:sz w:val="24"/>
          <w:szCs w:val="24"/>
          <w:highlight w:val="none"/>
        </w:rPr>
        <w:t xml:space="preserve">是  </w:t>
      </w:r>
      <w:r>
        <w:rPr>
          <w:rFonts w:hint="eastAsia" w:ascii="宋体" w:hAnsi="宋体" w:cs="宋体"/>
          <w:sz w:val="24"/>
          <w:szCs w:val="24"/>
          <w:highlight w:val="none"/>
        </w:rPr>
        <w:sym w:font="Wingdings" w:char="00FE"/>
      </w:r>
      <w:r>
        <w:rPr>
          <w:rFonts w:hint="eastAsia" w:ascii="宋体" w:hAnsi="宋体"/>
          <w:bCs/>
          <w:sz w:val="24"/>
          <w:szCs w:val="24"/>
          <w:highlight w:val="none"/>
        </w:rPr>
        <w:t>否</w:t>
      </w:r>
    </w:p>
    <w:p w14:paraId="12BE306D">
      <w:pPr>
        <w:adjustRightInd w:val="0"/>
        <w:snapToGrid w:val="0"/>
        <w:spacing w:line="400" w:lineRule="exact"/>
        <w:ind w:firstLine="960" w:firstLineChars="400"/>
        <w:rPr>
          <w:rFonts w:ascii="宋体" w:hAnsi="宋体"/>
          <w:bCs/>
          <w:sz w:val="24"/>
          <w:szCs w:val="24"/>
          <w:highlight w:val="none"/>
        </w:rPr>
      </w:pPr>
      <w:r>
        <w:rPr>
          <w:rFonts w:hint="eastAsia" w:ascii="宋体" w:hAnsi="宋体"/>
          <w:bCs/>
          <w:sz w:val="24"/>
          <w:szCs w:val="24"/>
          <w:highlight w:val="none"/>
        </w:rPr>
        <w:t>是否邀请专家参加验收：</w:t>
      </w:r>
      <w:r>
        <w:rPr>
          <w:rFonts w:hint="eastAsia" w:ascii="宋体" w:hAnsi="宋体" w:cs="宋体"/>
          <w:sz w:val="24"/>
          <w:szCs w:val="24"/>
          <w:highlight w:val="none"/>
        </w:rPr>
        <w:sym w:font="Wingdings" w:char="00FE"/>
      </w:r>
      <w:r>
        <w:rPr>
          <w:rFonts w:hint="eastAsia" w:ascii="宋体" w:hAnsi="宋体"/>
          <w:bCs/>
          <w:sz w:val="24"/>
          <w:szCs w:val="24"/>
          <w:highlight w:val="none"/>
        </w:rPr>
        <w:t xml:space="preserve">是  </w:t>
      </w:r>
      <w:r>
        <w:rPr>
          <w:rFonts w:hint="eastAsia" w:ascii="宋体" w:hAnsi="宋体" w:cs="宋体"/>
          <w:sz w:val="24"/>
          <w:szCs w:val="24"/>
          <w:highlight w:val="none"/>
        </w:rPr>
        <w:sym w:font="Wingdings" w:char="00A8"/>
      </w:r>
      <w:r>
        <w:rPr>
          <w:rFonts w:hint="eastAsia" w:ascii="宋体" w:hAnsi="宋体"/>
          <w:bCs/>
          <w:sz w:val="24"/>
          <w:szCs w:val="24"/>
          <w:highlight w:val="none"/>
        </w:rPr>
        <w:t>否</w:t>
      </w:r>
    </w:p>
    <w:p w14:paraId="269A9DDC">
      <w:pPr>
        <w:adjustRightInd w:val="0"/>
        <w:snapToGrid w:val="0"/>
        <w:spacing w:line="400" w:lineRule="exact"/>
        <w:ind w:firstLine="960" w:firstLineChars="400"/>
        <w:rPr>
          <w:rFonts w:ascii="宋体" w:hAnsi="宋体"/>
          <w:bCs/>
          <w:sz w:val="24"/>
          <w:szCs w:val="24"/>
          <w:highlight w:val="none"/>
        </w:rPr>
      </w:pPr>
      <w:r>
        <w:rPr>
          <w:rFonts w:hint="eastAsia" w:ascii="宋体" w:hAnsi="宋体"/>
          <w:bCs/>
          <w:sz w:val="24"/>
          <w:szCs w:val="24"/>
          <w:highlight w:val="none"/>
        </w:rPr>
        <w:t>是否邀请服务对象参加验收：</w:t>
      </w:r>
      <w:r>
        <w:rPr>
          <w:rFonts w:hint="eastAsia" w:ascii="宋体" w:hAnsi="宋体" w:cs="宋体"/>
          <w:sz w:val="24"/>
          <w:szCs w:val="24"/>
          <w:highlight w:val="none"/>
        </w:rPr>
        <w:sym w:font="Wingdings" w:char="00A8"/>
      </w:r>
      <w:r>
        <w:rPr>
          <w:rFonts w:hint="eastAsia" w:ascii="宋体" w:hAnsi="宋体"/>
          <w:bCs/>
          <w:sz w:val="24"/>
          <w:szCs w:val="24"/>
          <w:highlight w:val="none"/>
        </w:rPr>
        <w:t xml:space="preserve">是  </w:t>
      </w:r>
      <w:r>
        <w:rPr>
          <w:rFonts w:hint="eastAsia" w:ascii="宋体" w:hAnsi="宋体" w:cs="宋体"/>
          <w:sz w:val="24"/>
          <w:szCs w:val="24"/>
          <w:highlight w:val="none"/>
        </w:rPr>
        <w:sym w:font="Wingdings" w:char="00FE"/>
      </w:r>
      <w:r>
        <w:rPr>
          <w:rFonts w:hint="eastAsia" w:ascii="宋体" w:hAnsi="宋体"/>
          <w:bCs/>
          <w:sz w:val="24"/>
          <w:szCs w:val="24"/>
          <w:highlight w:val="none"/>
        </w:rPr>
        <w:t>否</w:t>
      </w:r>
    </w:p>
    <w:p w14:paraId="5B5D2440">
      <w:pPr>
        <w:adjustRightInd w:val="0"/>
        <w:snapToGrid w:val="0"/>
        <w:spacing w:line="400" w:lineRule="exact"/>
        <w:ind w:firstLine="960" w:firstLineChars="400"/>
        <w:rPr>
          <w:rFonts w:ascii="宋体" w:hAnsi="宋体"/>
          <w:bCs/>
          <w:sz w:val="24"/>
          <w:szCs w:val="24"/>
          <w:highlight w:val="none"/>
        </w:rPr>
      </w:pPr>
      <w:r>
        <w:rPr>
          <w:rFonts w:hint="eastAsia" w:ascii="宋体" w:hAnsi="宋体"/>
          <w:bCs/>
          <w:sz w:val="24"/>
          <w:szCs w:val="24"/>
          <w:highlight w:val="none"/>
        </w:rPr>
        <w:t>是否邀请第三方检测机构参加验收：</w:t>
      </w:r>
      <w:r>
        <w:rPr>
          <w:rFonts w:hint="eastAsia" w:ascii="宋体" w:hAnsi="宋体" w:cs="宋体"/>
          <w:sz w:val="24"/>
          <w:szCs w:val="24"/>
          <w:highlight w:val="none"/>
        </w:rPr>
        <w:sym w:font="Wingdings" w:char="00A8"/>
      </w:r>
      <w:r>
        <w:rPr>
          <w:rFonts w:hint="eastAsia" w:ascii="宋体" w:hAnsi="宋体"/>
          <w:bCs/>
          <w:sz w:val="24"/>
          <w:szCs w:val="24"/>
          <w:highlight w:val="none"/>
        </w:rPr>
        <w:t xml:space="preserve">是  </w:t>
      </w:r>
      <w:r>
        <w:rPr>
          <w:rFonts w:hint="eastAsia" w:ascii="宋体" w:hAnsi="宋体" w:cs="宋体"/>
          <w:sz w:val="24"/>
          <w:szCs w:val="24"/>
          <w:highlight w:val="none"/>
        </w:rPr>
        <w:sym w:font="Wingdings" w:char="00FE"/>
      </w:r>
      <w:r>
        <w:rPr>
          <w:rFonts w:hint="eastAsia" w:ascii="宋体" w:hAnsi="宋体"/>
          <w:bCs/>
          <w:sz w:val="24"/>
          <w:szCs w:val="24"/>
          <w:highlight w:val="none"/>
        </w:rPr>
        <w:t>否</w:t>
      </w:r>
    </w:p>
    <w:p w14:paraId="70247A36">
      <w:pPr>
        <w:adjustRightInd w:val="0"/>
        <w:snapToGrid w:val="0"/>
        <w:spacing w:line="400" w:lineRule="exact"/>
        <w:ind w:firstLine="960" w:firstLineChars="400"/>
        <w:rPr>
          <w:rFonts w:ascii="宋体" w:hAnsi="宋体"/>
          <w:bCs/>
          <w:sz w:val="24"/>
          <w:szCs w:val="24"/>
          <w:highlight w:val="none"/>
        </w:rPr>
      </w:pPr>
      <w:r>
        <w:rPr>
          <w:rFonts w:hint="eastAsia" w:ascii="宋体" w:hAnsi="宋体"/>
          <w:bCs/>
          <w:sz w:val="24"/>
          <w:szCs w:val="24"/>
          <w:highlight w:val="none"/>
        </w:rPr>
        <w:t>是否进行抽查检测：</w:t>
      </w:r>
      <w:r>
        <w:rPr>
          <w:rFonts w:hint="eastAsia" w:ascii="宋体" w:hAnsi="宋体" w:cs="宋体"/>
          <w:sz w:val="24"/>
          <w:szCs w:val="24"/>
          <w:highlight w:val="none"/>
        </w:rPr>
        <w:sym w:font="Wingdings" w:char="00A8"/>
      </w:r>
      <w:r>
        <w:rPr>
          <w:rFonts w:hint="eastAsia" w:ascii="宋体" w:hAnsi="宋体"/>
          <w:bCs/>
          <w:sz w:val="24"/>
          <w:szCs w:val="24"/>
          <w:highlight w:val="none"/>
        </w:rPr>
        <w:t>是，抽查比例：</w:t>
      </w:r>
      <w:r>
        <w:rPr>
          <w:rFonts w:hint="eastAsia" w:ascii="宋体" w:hAnsi="宋体"/>
          <w:bCs/>
          <w:sz w:val="24"/>
          <w:szCs w:val="24"/>
          <w:highlight w:val="none"/>
          <w:u w:val="single"/>
        </w:rPr>
        <w:t xml:space="preserve">        </w:t>
      </w:r>
      <w:r>
        <w:rPr>
          <w:rFonts w:hint="eastAsia" w:ascii="宋体" w:hAnsi="宋体"/>
          <w:bCs/>
          <w:sz w:val="24"/>
          <w:szCs w:val="24"/>
          <w:highlight w:val="none"/>
        </w:rPr>
        <w:t xml:space="preserve"> </w:t>
      </w:r>
      <w:r>
        <w:rPr>
          <w:rFonts w:hint="eastAsia" w:ascii="宋体" w:hAnsi="宋体" w:cs="宋体"/>
          <w:sz w:val="24"/>
          <w:szCs w:val="24"/>
          <w:highlight w:val="none"/>
        </w:rPr>
        <w:sym w:font="Wingdings" w:char="00FE"/>
      </w:r>
      <w:r>
        <w:rPr>
          <w:rFonts w:hint="eastAsia" w:ascii="宋体" w:hAnsi="宋体"/>
          <w:bCs/>
          <w:sz w:val="24"/>
          <w:szCs w:val="24"/>
          <w:highlight w:val="none"/>
        </w:rPr>
        <w:t>否</w:t>
      </w:r>
    </w:p>
    <w:p w14:paraId="1BA2E92B">
      <w:pPr>
        <w:adjustRightInd w:val="0"/>
        <w:snapToGrid w:val="0"/>
        <w:spacing w:line="400" w:lineRule="exact"/>
        <w:ind w:firstLine="960" w:firstLineChars="400"/>
        <w:rPr>
          <w:rFonts w:ascii="宋体" w:hAnsi="宋体"/>
          <w:bCs/>
          <w:sz w:val="24"/>
          <w:szCs w:val="24"/>
          <w:highlight w:val="none"/>
          <w:u w:val="single"/>
        </w:rPr>
      </w:pPr>
      <w:r>
        <w:rPr>
          <w:rFonts w:hint="eastAsia" w:ascii="宋体" w:hAnsi="宋体"/>
          <w:bCs/>
          <w:sz w:val="24"/>
          <w:szCs w:val="24"/>
          <w:highlight w:val="none"/>
        </w:rPr>
        <w:t>是否存在破坏性检测：</w:t>
      </w:r>
      <w:r>
        <w:rPr>
          <w:rFonts w:hint="eastAsia" w:ascii="宋体" w:hAnsi="宋体" w:cs="宋体"/>
          <w:sz w:val="24"/>
          <w:szCs w:val="24"/>
          <w:highlight w:val="none"/>
        </w:rPr>
        <w:sym w:font="Wingdings" w:char="00A8"/>
      </w:r>
      <w:r>
        <w:rPr>
          <w:rFonts w:hint="eastAsia" w:ascii="宋体" w:hAnsi="宋体"/>
          <w:bCs/>
          <w:sz w:val="24"/>
          <w:szCs w:val="24"/>
          <w:highlight w:val="none"/>
        </w:rPr>
        <w:t>是，</w:t>
      </w:r>
      <w:r>
        <w:rPr>
          <w:rFonts w:hint="eastAsia" w:ascii="宋体" w:hAnsi="宋体"/>
          <w:bCs/>
          <w:sz w:val="24"/>
          <w:szCs w:val="24"/>
          <w:highlight w:val="none"/>
          <w:u w:val="single"/>
        </w:rPr>
        <w:t>（应明确对被破坏的检测产品的处理方式）</w:t>
      </w:r>
    </w:p>
    <w:p w14:paraId="38F29486">
      <w:pPr>
        <w:adjustRightInd w:val="0"/>
        <w:snapToGrid w:val="0"/>
        <w:spacing w:line="400" w:lineRule="exact"/>
        <w:ind w:firstLine="960" w:firstLineChars="400"/>
        <w:rPr>
          <w:rFonts w:ascii="宋体" w:hAnsi="宋体"/>
          <w:bCs/>
          <w:sz w:val="24"/>
          <w:szCs w:val="24"/>
          <w:highlight w:val="none"/>
        </w:rPr>
      </w:pPr>
      <w:r>
        <w:rPr>
          <w:rFonts w:hint="eastAsia" w:ascii="宋体" w:hAnsi="宋体"/>
          <w:bCs/>
          <w:sz w:val="24"/>
          <w:szCs w:val="24"/>
          <w:highlight w:val="none"/>
        </w:rPr>
        <w:t xml:space="preserve">                    </w:t>
      </w:r>
      <w:r>
        <w:rPr>
          <w:rFonts w:hint="eastAsia" w:ascii="宋体" w:hAnsi="宋体" w:cs="宋体"/>
          <w:sz w:val="24"/>
          <w:szCs w:val="24"/>
          <w:highlight w:val="none"/>
        </w:rPr>
        <w:sym w:font="Wingdings" w:char="00FE"/>
      </w:r>
      <w:r>
        <w:rPr>
          <w:rFonts w:hint="eastAsia" w:ascii="宋体" w:hAnsi="宋体"/>
          <w:bCs/>
          <w:sz w:val="24"/>
          <w:szCs w:val="24"/>
          <w:highlight w:val="none"/>
        </w:rPr>
        <w:t>否</w:t>
      </w:r>
    </w:p>
    <w:p w14:paraId="48B08595">
      <w:pPr>
        <w:adjustRightInd w:val="0"/>
        <w:snapToGrid w:val="0"/>
        <w:spacing w:line="400" w:lineRule="exact"/>
        <w:ind w:firstLine="960" w:firstLineChars="400"/>
        <w:rPr>
          <w:rFonts w:ascii="宋体" w:hAnsi="宋体"/>
          <w:bCs/>
          <w:sz w:val="24"/>
          <w:szCs w:val="24"/>
          <w:highlight w:val="none"/>
          <w:u w:val="single"/>
        </w:rPr>
      </w:pPr>
      <w:r>
        <w:rPr>
          <w:rFonts w:hint="eastAsia" w:ascii="宋体" w:hAnsi="宋体"/>
          <w:bCs/>
          <w:sz w:val="24"/>
          <w:szCs w:val="24"/>
          <w:highlight w:val="none"/>
        </w:rPr>
        <w:t>验收组织的其他事项：</w:t>
      </w:r>
      <w:r>
        <w:rPr>
          <w:rFonts w:hint="eastAsia" w:ascii="宋体" w:hAnsi="宋体"/>
          <w:bCs/>
          <w:sz w:val="24"/>
          <w:szCs w:val="24"/>
          <w:highlight w:val="none"/>
          <w:u w:val="single"/>
        </w:rPr>
        <w:t xml:space="preserve">                </w:t>
      </w:r>
    </w:p>
    <w:p w14:paraId="13C0E94A">
      <w:pPr>
        <w:adjustRightInd w:val="0"/>
        <w:snapToGrid w:val="0"/>
        <w:spacing w:line="400" w:lineRule="exact"/>
        <w:ind w:firstLine="480" w:firstLineChars="200"/>
        <w:rPr>
          <w:rFonts w:ascii="宋体" w:hAnsi="宋体"/>
          <w:bCs/>
          <w:sz w:val="24"/>
          <w:szCs w:val="24"/>
          <w:highlight w:val="none"/>
          <w:u w:val="single"/>
        </w:rPr>
      </w:pPr>
      <w:r>
        <w:rPr>
          <w:rFonts w:hint="eastAsia" w:ascii="宋体" w:hAnsi="宋体"/>
          <w:bCs/>
          <w:sz w:val="24"/>
          <w:szCs w:val="24"/>
          <w:highlight w:val="none"/>
        </w:rPr>
        <w:t>（2）履约验收时间：</w:t>
      </w:r>
      <w:r>
        <w:rPr>
          <w:rFonts w:hint="eastAsia" w:ascii="宋体" w:hAnsi="宋体"/>
          <w:bCs/>
          <w:sz w:val="24"/>
          <w:szCs w:val="24"/>
          <w:highlight w:val="none"/>
          <w:u w:val="single"/>
          <w:lang w:val="en-US" w:eastAsia="zh-CN"/>
        </w:rPr>
        <w:t>乙方</w:t>
      </w:r>
      <w:r>
        <w:rPr>
          <w:rFonts w:hint="eastAsia" w:ascii="宋体" w:hAnsi="宋体"/>
          <w:bCs/>
          <w:sz w:val="24"/>
          <w:szCs w:val="24"/>
          <w:highlight w:val="none"/>
          <w:u w:val="single"/>
        </w:rPr>
        <w:t xml:space="preserve">提出验收申请之日起 7个工作日内组织验收 </w:t>
      </w:r>
    </w:p>
    <w:p w14:paraId="205B3BD1">
      <w:pPr>
        <w:adjustRightInd w:val="0"/>
        <w:snapToGrid w:val="0"/>
        <w:spacing w:line="400" w:lineRule="exact"/>
        <w:ind w:firstLine="480" w:firstLineChars="200"/>
        <w:rPr>
          <w:rFonts w:ascii="宋体" w:hAnsi="宋体"/>
          <w:bCs/>
          <w:sz w:val="24"/>
          <w:szCs w:val="24"/>
          <w:highlight w:val="none"/>
        </w:rPr>
      </w:pPr>
      <w:r>
        <w:rPr>
          <w:rFonts w:hint="eastAsia" w:ascii="宋体" w:hAnsi="宋体"/>
          <w:bCs/>
          <w:sz w:val="24"/>
          <w:szCs w:val="24"/>
          <w:highlight w:val="none"/>
        </w:rPr>
        <w:t>（3）履约验收方式：</w:t>
      </w:r>
      <w:r>
        <w:rPr>
          <w:rFonts w:hint="eastAsia" w:ascii="宋体" w:hAnsi="宋体" w:cs="宋体"/>
          <w:sz w:val="24"/>
          <w:szCs w:val="24"/>
          <w:highlight w:val="none"/>
        </w:rPr>
        <w:sym w:font="Wingdings" w:char="00A8"/>
      </w:r>
      <w:r>
        <w:rPr>
          <w:rFonts w:hint="eastAsia" w:ascii="宋体" w:hAnsi="宋体"/>
          <w:bCs/>
          <w:sz w:val="24"/>
          <w:szCs w:val="24"/>
          <w:highlight w:val="none"/>
        </w:rPr>
        <w:t xml:space="preserve">一次性验收         </w:t>
      </w:r>
    </w:p>
    <w:p w14:paraId="68057C26">
      <w:pPr>
        <w:adjustRightInd w:val="0"/>
        <w:snapToGrid w:val="0"/>
        <w:spacing w:line="400" w:lineRule="exact"/>
        <w:rPr>
          <w:rFonts w:ascii="宋体" w:hAnsi="宋体"/>
          <w:bCs/>
          <w:sz w:val="24"/>
          <w:szCs w:val="24"/>
          <w:highlight w:val="none"/>
        </w:rPr>
      </w:pPr>
      <w:r>
        <w:rPr>
          <w:rFonts w:hint="eastAsia" w:ascii="宋体" w:hAnsi="宋体"/>
          <w:bCs/>
          <w:sz w:val="24"/>
          <w:szCs w:val="24"/>
          <w:highlight w:val="none"/>
        </w:rPr>
        <w:t xml:space="preserve">                       </w:t>
      </w:r>
      <w:r>
        <w:rPr>
          <w:rFonts w:hint="eastAsia" w:ascii="宋体" w:hAnsi="宋体" w:cs="宋体"/>
          <w:sz w:val="24"/>
          <w:szCs w:val="24"/>
          <w:highlight w:val="none"/>
        </w:rPr>
        <w:sym w:font="Wingdings" w:char="00FE"/>
      </w:r>
      <w:r>
        <w:rPr>
          <w:rFonts w:hint="eastAsia" w:ascii="宋体" w:hAnsi="宋体"/>
          <w:bCs/>
          <w:sz w:val="24"/>
          <w:szCs w:val="24"/>
          <w:highlight w:val="none"/>
        </w:rPr>
        <w:t>分期/分项验收：</w:t>
      </w:r>
      <w:r>
        <w:rPr>
          <w:rFonts w:hint="eastAsia" w:ascii="宋体" w:hAnsi="宋体"/>
          <w:bCs/>
          <w:sz w:val="24"/>
          <w:szCs w:val="24"/>
          <w:highlight w:val="none"/>
          <w:u w:val="single"/>
        </w:rPr>
        <w:t xml:space="preserve"> 分两阶段进行验收：到货验收、项目终验  </w:t>
      </w:r>
    </w:p>
    <w:p w14:paraId="48EE2721">
      <w:pPr>
        <w:adjustRightInd w:val="0"/>
        <w:snapToGrid w:val="0"/>
        <w:spacing w:line="400" w:lineRule="exact"/>
        <w:ind w:firstLine="480" w:firstLineChars="200"/>
        <w:rPr>
          <w:rFonts w:ascii="宋体" w:hAnsi="宋体"/>
          <w:bCs/>
          <w:sz w:val="24"/>
          <w:szCs w:val="24"/>
          <w:highlight w:val="none"/>
        </w:rPr>
      </w:pPr>
      <w:r>
        <w:rPr>
          <w:rFonts w:hint="eastAsia" w:ascii="宋体" w:hAnsi="宋体"/>
          <w:bCs/>
          <w:sz w:val="24"/>
          <w:szCs w:val="24"/>
          <w:highlight w:val="none"/>
        </w:rPr>
        <w:t>（4）履约验收程序：</w:t>
      </w:r>
      <w:r>
        <w:rPr>
          <w:rFonts w:hint="eastAsia" w:ascii="宋体" w:hAnsi="宋体"/>
          <w:bCs/>
          <w:sz w:val="24"/>
          <w:szCs w:val="24"/>
          <w:highlight w:val="none"/>
          <w:u w:val="single"/>
        </w:rPr>
        <w:t xml:space="preserve"> 分两阶段进行验收，货物到场并开箱采购人验收，组织专家进行项目终验。  </w:t>
      </w:r>
    </w:p>
    <w:p w14:paraId="37E7E36D">
      <w:pPr>
        <w:adjustRightInd w:val="0"/>
        <w:snapToGrid w:val="0"/>
        <w:spacing w:line="400" w:lineRule="exact"/>
        <w:ind w:firstLine="480" w:firstLineChars="200"/>
        <w:rPr>
          <w:rFonts w:ascii="宋体" w:hAnsi="宋体"/>
          <w:bCs/>
          <w:sz w:val="24"/>
          <w:szCs w:val="24"/>
          <w:highlight w:val="none"/>
          <w:u w:val="single"/>
        </w:rPr>
      </w:pPr>
      <w:r>
        <w:rPr>
          <w:rFonts w:hint="eastAsia" w:ascii="宋体" w:hAnsi="宋体"/>
          <w:bCs/>
          <w:sz w:val="24"/>
          <w:szCs w:val="24"/>
          <w:highlight w:val="none"/>
        </w:rPr>
        <w:t>（5）履约验收的内容：</w:t>
      </w:r>
      <w:r>
        <w:rPr>
          <w:rFonts w:hint="eastAsia" w:ascii="宋体" w:hAnsi="宋体"/>
          <w:bCs/>
          <w:sz w:val="24"/>
          <w:szCs w:val="24"/>
          <w:highlight w:val="none"/>
          <w:u w:val="single"/>
        </w:rPr>
        <w:t xml:space="preserve"> （应当包括每一项技术和商务要求的履约情况，特别是落实政府采购扶持中小企业，支持绿色发展和乡村振兴等政策情况）                                      </w:t>
      </w:r>
    </w:p>
    <w:p w14:paraId="151DB3F6">
      <w:pPr>
        <w:adjustRightInd w:val="0"/>
        <w:snapToGrid w:val="0"/>
        <w:spacing w:line="400" w:lineRule="exact"/>
        <w:ind w:firstLine="480" w:firstLineChars="200"/>
        <w:rPr>
          <w:rFonts w:ascii="宋体" w:hAnsi="宋体"/>
          <w:bCs/>
          <w:sz w:val="24"/>
          <w:szCs w:val="24"/>
          <w:highlight w:val="none"/>
          <w:u w:val="single"/>
        </w:rPr>
      </w:pPr>
      <w:r>
        <w:rPr>
          <w:rFonts w:hint="eastAsia" w:ascii="宋体" w:hAnsi="宋体"/>
          <w:bCs/>
          <w:sz w:val="24"/>
          <w:szCs w:val="24"/>
          <w:highlight w:val="none"/>
        </w:rPr>
        <w:t>（6）履约验收标准：</w:t>
      </w:r>
      <w:r>
        <w:rPr>
          <w:rFonts w:hint="eastAsia" w:ascii="宋体" w:hAnsi="宋体"/>
          <w:bCs/>
          <w:sz w:val="24"/>
          <w:szCs w:val="24"/>
          <w:highlight w:val="none"/>
          <w:u w:val="single"/>
        </w:rPr>
        <w:t xml:space="preserve">   符合国家相关行业合格标准且满足采购人需求。    </w:t>
      </w:r>
    </w:p>
    <w:p w14:paraId="6CAFB794">
      <w:pPr>
        <w:pStyle w:val="141"/>
        <w:ind w:firstLine="420"/>
        <w:rPr>
          <w:rFonts w:ascii="宋体" w:hAnsi="宋体" w:eastAsia="宋体" w:cs="宋体"/>
          <w:sz w:val="24"/>
          <w:szCs w:val="24"/>
          <w:highlight w:val="none"/>
        </w:rPr>
      </w:pPr>
      <w:r>
        <w:rPr>
          <w:rFonts w:hint="eastAsia" w:ascii="宋体" w:hAnsi="宋体" w:eastAsia="宋体" w:cs="宋体"/>
          <w:bCs/>
          <w:sz w:val="24"/>
          <w:szCs w:val="24"/>
          <w:highlight w:val="none"/>
        </w:rPr>
        <w:t>（7）是否以采购活动中供应商提供的样品作为参考：</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 xml:space="preserve">是  </w:t>
      </w:r>
      <w:r>
        <w:rPr>
          <w:rFonts w:hint="eastAsia" w:ascii="宋体" w:hAnsi="宋体" w:eastAsia="宋体" w:cs="宋体"/>
          <w:sz w:val="24"/>
          <w:szCs w:val="24"/>
          <w:highlight w:val="none"/>
        </w:rPr>
        <w:sym w:font="Wingdings" w:char="00FE"/>
      </w:r>
      <w:r>
        <w:rPr>
          <w:rFonts w:hint="eastAsia" w:ascii="宋体" w:hAnsi="宋体" w:eastAsia="宋体" w:cs="宋体"/>
          <w:bCs/>
          <w:sz w:val="24"/>
          <w:szCs w:val="24"/>
          <w:highlight w:val="none"/>
        </w:rPr>
        <w:t>否</w:t>
      </w:r>
    </w:p>
    <w:p w14:paraId="08232383">
      <w:pPr>
        <w:adjustRightInd w:val="0"/>
        <w:snapToGrid w:val="0"/>
        <w:spacing w:line="400" w:lineRule="exact"/>
        <w:ind w:firstLine="480" w:firstLineChars="200"/>
        <w:rPr>
          <w:rFonts w:ascii="宋体" w:hAnsi="宋体" w:cs="宋体"/>
          <w:bCs/>
          <w:sz w:val="24"/>
          <w:szCs w:val="24"/>
          <w:highlight w:val="none"/>
          <w:u w:val="single"/>
        </w:rPr>
      </w:pPr>
      <w:r>
        <w:rPr>
          <w:rFonts w:hint="eastAsia" w:ascii="宋体" w:hAnsi="宋体" w:cs="宋体"/>
          <w:bCs/>
          <w:sz w:val="24"/>
          <w:szCs w:val="24"/>
          <w:highlight w:val="none"/>
        </w:rPr>
        <w:t>（8）履约验收其他事项：</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u w:val="single"/>
          <w:lang w:val="en-US" w:eastAsia="zh-CN"/>
        </w:rPr>
        <w:t>无</w:t>
      </w:r>
      <w:r>
        <w:rPr>
          <w:rFonts w:hint="eastAsia" w:ascii="宋体" w:hAnsi="宋体" w:cs="宋体"/>
          <w:bCs/>
          <w:sz w:val="24"/>
          <w:szCs w:val="24"/>
          <w:highlight w:val="none"/>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bCs/>
          <w:sz w:val="24"/>
          <w:szCs w:val="24"/>
          <w:highlight w:val="none"/>
          <w:u w:val="single"/>
        </w:rPr>
        <w:t xml:space="preserve">          </w:t>
      </w:r>
    </w:p>
    <w:p w14:paraId="2E98CC43">
      <w:pPr>
        <w:numPr>
          <w:ilvl w:val="0"/>
          <w:numId w:val="25"/>
        </w:numPr>
        <w:adjustRightInd w:val="0"/>
        <w:snapToGrid w:val="0"/>
        <w:spacing w:line="400" w:lineRule="exact"/>
        <w:ind w:firstLine="482" w:firstLineChars="200"/>
        <w:rPr>
          <w:rFonts w:ascii="宋体" w:hAnsi="宋体"/>
          <w:b/>
          <w:sz w:val="24"/>
          <w:szCs w:val="24"/>
          <w:highlight w:val="none"/>
        </w:rPr>
      </w:pPr>
      <w:r>
        <w:rPr>
          <w:rFonts w:hint="eastAsia" w:ascii="宋体" w:hAnsi="宋体"/>
          <w:b/>
          <w:sz w:val="24"/>
          <w:szCs w:val="24"/>
          <w:highlight w:val="none"/>
        </w:rPr>
        <w:t>组成合同的文件</w:t>
      </w:r>
    </w:p>
    <w:p w14:paraId="734AA5EB">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本协议书与下列文件一起构成合同文件，如下述文件之间有任何抵触、矛盾或歧义，应按以下顺序解释：</w:t>
      </w:r>
    </w:p>
    <w:p w14:paraId="54576A7B">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（1）政府采购合同协议书及其变更、补充协议</w:t>
      </w:r>
    </w:p>
    <w:p w14:paraId="4189BABD">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（2）政府采购合同专用条款</w:t>
      </w:r>
    </w:p>
    <w:p w14:paraId="7CCE2AA7">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（3）政府采购合同通用条款</w:t>
      </w:r>
    </w:p>
    <w:p w14:paraId="2C4A7AE6">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（4）中标（成交）通知书</w:t>
      </w:r>
    </w:p>
    <w:p w14:paraId="503B16B1">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（5）投标（响应）文件</w:t>
      </w:r>
    </w:p>
    <w:p w14:paraId="047B1E44">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（6）采购文件</w:t>
      </w:r>
    </w:p>
    <w:p w14:paraId="485D1149">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（7）有关技术文件，图纸</w:t>
      </w:r>
    </w:p>
    <w:p w14:paraId="7A7E89A2">
      <w:pPr>
        <w:pStyle w:val="141"/>
        <w:ind w:firstLine="420"/>
        <w:rPr>
          <w:rFonts w:ascii="宋体" w:hAnsi="宋体" w:eastAsia="宋体" w:cs="宋体"/>
          <w:kern w:val="2"/>
          <w:sz w:val="24"/>
          <w:szCs w:val="24"/>
          <w:highlight w:val="none"/>
        </w:rPr>
      </w:pPr>
      <w:r>
        <w:rPr>
          <w:rFonts w:hint="eastAsia" w:ascii="宋体" w:hAnsi="宋体" w:eastAsia="宋体" w:cs="宋体"/>
          <w:sz w:val="24"/>
          <w:szCs w:val="24"/>
          <w:highlight w:val="none"/>
        </w:rPr>
        <w:t>（8）</w:t>
      </w:r>
      <w:r>
        <w:rPr>
          <w:rFonts w:hint="eastAsia" w:ascii="宋体" w:hAnsi="宋体" w:eastAsia="宋体" w:cs="宋体"/>
          <w:color w:val="000000"/>
          <w:kern w:val="2"/>
          <w:sz w:val="24"/>
          <w:szCs w:val="24"/>
          <w:highlight w:val="none"/>
        </w:rPr>
        <w:t>国家法律、行政法规和规章制度规定或合同约定的作为合同组成部分的其他文件</w:t>
      </w:r>
    </w:p>
    <w:p w14:paraId="73CEB645">
      <w:pPr>
        <w:numPr>
          <w:ilvl w:val="0"/>
          <w:numId w:val="25"/>
        </w:numPr>
        <w:adjustRightInd w:val="0"/>
        <w:snapToGrid w:val="0"/>
        <w:spacing w:line="400" w:lineRule="exact"/>
        <w:ind w:firstLine="482" w:firstLineChars="200"/>
        <w:rPr>
          <w:rFonts w:ascii="宋体" w:hAnsi="宋体"/>
          <w:b/>
          <w:sz w:val="24"/>
          <w:szCs w:val="24"/>
          <w:highlight w:val="none"/>
        </w:rPr>
      </w:pPr>
      <w:r>
        <w:rPr>
          <w:rFonts w:hint="eastAsia" w:ascii="宋体" w:hAnsi="宋体"/>
          <w:b/>
          <w:sz w:val="24"/>
          <w:szCs w:val="24"/>
          <w:highlight w:val="none"/>
        </w:rPr>
        <w:t>合同生效</w:t>
      </w:r>
    </w:p>
    <w:p w14:paraId="361104BE">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本合同自</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签订之日起</w:t>
      </w:r>
      <w:r>
        <w:rPr>
          <w:rFonts w:hint="eastAsia" w:ascii="宋体" w:hAnsi="宋体"/>
          <w:sz w:val="24"/>
          <w:szCs w:val="24"/>
          <w:highlight w:val="none"/>
          <w:u w:val="single"/>
        </w:rPr>
        <w:t xml:space="preserve"> </w:t>
      </w:r>
      <w:r>
        <w:rPr>
          <w:rFonts w:hint="eastAsia" w:ascii="宋体" w:hAnsi="宋体"/>
          <w:sz w:val="24"/>
          <w:szCs w:val="24"/>
          <w:highlight w:val="none"/>
        </w:rPr>
        <w:t>生效。</w:t>
      </w:r>
    </w:p>
    <w:p w14:paraId="5EE90507">
      <w:pPr>
        <w:numPr>
          <w:ilvl w:val="0"/>
          <w:numId w:val="25"/>
        </w:numPr>
        <w:adjustRightInd w:val="0"/>
        <w:snapToGrid w:val="0"/>
        <w:spacing w:line="400" w:lineRule="exact"/>
        <w:ind w:firstLine="482" w:firstLineChars="200"/>
        <w:rPr>
          <w:rFonts w:ascii="宋体" w:hAnsi="宋体"/>
          <w:b/>
          <w:sz w:val="24"/>
          <w:szCs w:val="24"/>
          <w:highlight w:val="none"/>
        </w:rPr>
      </w:pPr>
      <w:r>
        <w:rPr>
          <w:rFonts w:hint="eastAsia" w:ascii="宋体" w:hAnsi="宋体"/>
          <w:b/>
          <w:sz w:val="24"/>
          <w:szCs w:val="24"/>
          <w:highlight w:val="none"/>
        </w:rPr>
        <w:t>合同份数</w:t>
      </w:r>
    </w:p>
    <w:p w14:paraId="6003AFFC">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本合同一式</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伍</w:t>
      </w:r>
      <w:r>
        <w:rPr>
          <w:rFonts w:hint="eastAsia" w:ascii="宋体" w:hAnsi="宋体"/>
          <w:sz w:val="24"/>
          <w:szCs w:val="24"/>
          <w:highlight w:val="none"/>
          <w:u w:val="single"/>
        </w:rPr>
        <w:t xml:space="preserve">  </w:t>
      </w:r>
      <w:r>
        <w:rPr>
          <w:rFonts w:hint="eastAsia" w:ascii="宋体" w:hAnsi="宋体"/>
          <w:sz w:val="24"/>
          <w:szCs w:val="24"/>
          <w:highlight w:val="none"/>
        </w:rPr>
        <w:t>份，甲方执</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肆</w:t>
      </w:r>
      <w:r>
        <w:rPr>
          <w:rFonts w:hint="eastAsia" w:ascii="宋体" w:hAnsi="宋体"/>
          <w:sz w:val="24"/>
          <w:szCs w:val="24"/>
          <w:highlight w:val="none"/>
          <w:u w:val="single"/>
        </w:rPr>
        <w:t xml:space="preserve">  </w:t>
      </w:r>
      <w:r>
        <w:rPr>
          <w:rFonts w:hint="eastAsia" w:ascii="宋体" w:hAnsi="宋体"/>
          <w:sz w:val="24"/>
          <w:szCs w:val="24"/>
          <w:highlight w:val="none"/>
        </w:rPr>
        <w:t>份，乙方执</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壹</w:t>
      </w:r>
      <w:r>
        <w:rPr>
          <w:rFonts w:hint="eastAsia" w:ascii="宋体" w:hAnsi="宋体"/>
          <w:sz w:val="24"/>
          <w:szCs w:val="24"/>
          <w:highlight w:val="none"/>
          <w:u w:val="single"/>
        </w:rPr>
        <w:t xml:space="preserve">  </w:t>
      </w:r>
      <w:r>
        <w:rPr>
          <w:rFonts w:hint="eastAsia" w:ascii="宋体" w:hAnsi="宋体"/>
          <w:sz w:val="24"/>
          <w:szCs w:val="24"/>
          <w:highlight w:val="none"/>
        </w:rPr>
        <w:t>份，均具有同等法律效力。</w:t>
      </w:r>
    </w:p>
    <w:p w14:paraId="5D24AECD">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合同订立时间：</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月</w:t>
      </w:r>
      <w:r>
        <w:rPr>
          <w:rFonts w:hint="eastAsia" w:ascii="宋体" w:hAnsi="宋体"/>
          <w:sz w:val="24"/>
          <w:szCs w:val="24"/>
          <w:highlight w:val="none"/>
          <w:u w:val="single"/>
        </w:rPr>
        <w:t xml:space="preserve">      </w:t>
      </w:r>
      <w:r>
        <w:rPr>
          <w:rFonts w:hint="eastAsia" w:ascii="宋体" w:hAnsi="宋体"/>
          <w:sz w:val="24"/>
          <w:szCs w:val="24"/>
          <w:highlight w:val="none"/>
        </w:rPr>
        <w:t>日</w:t>
      </w:r>
    </w:p>
    <w:p w14:paraId="2A375F57">
      <w:pPr>
        <w:adjustRightInd w:val="0"/>
        <w:snapToGrid w:val="0"/>
        <w:spacing w:line="400" w:lineRule="exact"/>
        <w:ind w:firstLine="480" w:firstLineChars="200"/>
        <w:rPr>
          <w:rFonts w:ascii="宋体" w:hAnsi="宋体"/>
          <w:sz w:val="24"/>
          <w:szCs w:val="24"/>
          <w:highlight w:val="none"/>
        </w:rPr>
      </w:pPr>
      <w:r>
        <w:rPr>
          <w:rFonts w:hint="eastAsia" w:ascii="宋体" w:hAnsi="宋体"/>
          <w:sz w:val="24"/>
          <w:szCs w:val="24"/>
          <w:highlight w:val="none"/>
        </w:rPr>
        <w:t>合同订立地点：</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新乡医学院第一附属医院</w:t>
      </w:r>
      <w:r>
        <w:rPr>
          <w:rFonts w:hint="eastAsia" w:ascii="宋体" w:hAnsi="宋体"/>
          <w:sz w:val="24"/>
          <w:szCs w:val="24"/>
          <w:highlight w:val="none"/>
          <w:u w:val="single"/>
        </w:rPr>
        <w:t xml:space="preserve">  </w:t>
      </w:r>
    </w:p>
    <w:p w14:paraId="6595AC30">
      <w:pPr>
        <w:adjustRightInd w:val="0"/>
        <w:snapToGrid w:val="0"/>
        <w:spacing w:line="400" w:lineRule="exact"/>
        <w:ind w:firstLine="480" w:firstLineChars="200"/>
        <w:rPr>
          <w:sz w:val="24"/>
          <w:szCs w:val="24"/>
          <w:highlight w:val="none"/>
        </w:rPr>
      </w:pPr>
      <w:r>
        <w:rPr>
          <w:rFonts w:hint="eastAsia" w:ascii="宋体" w:hAnsi="宋体"/>
          <w:sz w:val="24"/>
          <w:szCs w:val="24"/>
          <w:highlight w:val="none"/>
        </w:rPr>
        <w:t>附件：具体标的及其技术要求和商务要求、联合协议、分包意向协议等。</w:t>
      </w:r>
    </w:p>
    <w:p w14:paraId="37A96DFB">
      <w:pPr>
        <w:pStyle w:val="310"/>
        <w:spacing w:line="400" w:lineRule="exact"/>
        <w:rPr>
          <w:sz w:val="24"/>
          <w:szCs w:val="24"/>
          <w:highlight w:val="none"/>
        </w:rPr>
      </w:pPr>
    </w:p>
    <w:p w14:paraId="4E67C0D0">
      <w:pPr>
        <w:rPr>
          <w:sz w:val="24"/>
          <w:szCs w:val="24"/>
          <w:highlight w:val="none"/>
        </w:rPr>
      </w:pPr>
      <w:r>
        <w:rPr>
          <w:rFonts w:hint="eastAsia"/>
          <w:sz w:val="24"/>
          <w:szCs w:val="24"/>
          <w:highlight w:val="none"/>
        </w:rPr>
        <w:br w:type="page"/>
      </w:r>
    </w:p>
    <w:p w14:paraId="2CF7B3E1">
      <w:pPr>
        <w:pStyle w:val="310"/>
        <w:rPr>
          <w:sz w:val="24"/>
          <w:szCs w:val="24"/>
          <w:highlight w:val="none"/>
        </w:rPr>
      </w:pPr>
    </w:p>
    <w:tbl>
      <w:tblPr>
        <w:tblStyle w:val="82"/>
        <w:tblW w:w="4796"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12"/>
        <w:gridCol w:w="2617"/>
        <w:gridCol w:w="2002"/>
        <w:gridCol w:w="2148"/>
      </w:tblGrid>
      <w:tr w14:paraId="13321A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028549F4">
            <w:pPr>
              <w:adjustRightInd w:val="0"/>
              <w:snapToGrid w:val="0"/>
              <w:spacing w:line="300" w:lineRule="exact"/>
              <w:jc w:val="center"/>
              <w:rPr>
                <w:sz w:val="24"/>
                <w:szCs w:val="24"/>
                <w:highlight w:val="none"/>
              </w:rPr>
            </w:pPr>
            <w:r>
              <w:rPr>
                <w:sz w:val="24"/>
                <w:szCs w:val="24"/>
                <w:highlight w:val="none"/>
              </w:rPr>
              <w:t>甲方</w:t>
            </w:r>
            <w:r>
              <w:rPr>
                <w:rFonts w:hint="eastAsia"/>
                <w:sz w:val="24"/>
                <w:szCs w:val="24"/>
                <w:highlight w:val="none"/>
              </w:rPr>
              <w:t>（新乡医学院第一附属医院）</w:t>
            </w:r>
          </w:p>
        </w:tc>
        <w:tc>
          <w:tcPr>
            <w:tcW w:w="2437" w:type="pct"/>
            <w:gridSpan w:val="2"/>
            <w:tcBorders>
              <w:left w:val="single" w:color="auto" w:sz="2" w:space="0"/>
              <w:bottom w:val="single" w:color="auto" w:sz="2" w:space="0"/>
            </w:tcBorders>
            <w:noWrap w:val="0"/>
            <w:vAlign w:val="center"/>
          </w:tcPr>
          <w:p w14:paraId="5D604A69">
            <w:pPr>
              <w:adjustRightInd w:val="0"/>
              <w:snapToGrid w:val="0"/>
              <w:spacing w:line="300" w:lineRule="exact"/>
              <w:jc w:val="center"/>
              <w:rPr>
                <w:sz w:val="24"/>
                <w:szCs w:val="24"/>
                <w:highlight w:val="none"/>
              </w:rPr>
            </w:pPr>
            <w:r>
              <w:rPr>
                <w:sz w:val="24"/>
                <w:szCs w:val="24"/>
                <w:highlight w:val="none"/>
              </w:rPr>
              <w:t>乙方</w:t>
            </w:r>
            <w:r>
              <w:rPr>
                <w:rFonts w:hint="eastAsia"/>
                <w:sz w:val="24"/>
                <w:szCs w:val="24"/>
                <w:highlight w:val="none"/>
              </w:rPr>
              <w:t>（供应商）</w:t>
            </w:r>
          </w:p>
        </w:tc>
      </w:tr>
      <w:tr w14:paraId="7B4BE0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5" w:type="pct"/>
            <w:tcBorders>
              <w:top w:val="single" w:color="auto" w:sz="2" w:space="0"/>
              <w:bottom w:val="single" w:color="auto" w:sz="2" w:space="0"/>
              <w:right w:val="single" w:color="auto" w:sz="2" w:space="0"/>
            </w:tcBorders>
            <w:noWrap w:val="0"/>
            <w:vAlign w:val="center"/>
          </w:tcPr>
          <w:p w14:paraId="146D86A7">
            <w:pPr>
              <w:adjustRightInd w:val="0"/>
              <w:snapToGrid w:val="0"/>
              <w:spacing w:line="300" w:lineRule="exact"/>
              <w:jc w:val="center"/>
              <w:rPr>
                <w:sz w:val="24"/>
                <w:szCs w:val="24"/>
                <w:highlight w:val="none"/>
              </w:rPr>
            </w:pPr>
            <w:r>
              <w:rPr>
                <w:sz w:val="24"/>
                <w:szCs w:val="24"/>
                <w:highlight w:val="none"/>
              </w:rPr>
              <w:t>单位名称</w:t>
            </w:r>
            <w:r>
              <w:rPr>
                <w:rFonts w:hint="eastAsia"/>
                <w:sz w:val="24"/>
                <w:szCs w:val="24"/>
                <w:highlight w:val="none"/>
              </w:rPr>
              <w:t>（公章或合同章）</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C76E05A">
            <w:pPr>
              <w:adjustRightInd w:val="0"/>
              <w:snapToGrid w:val="0"/>
              <w:spacing w:line="300" w:lineRule="exact"/>
              <w:jc w:val="center"/>
              <w:rPr>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2DF2D8D">
            <w:pPr>
              <w:adjustRightInd w:val="0"/>
              <w:snapToGrid w:val="0"/>
              <w:spacing w:line="300" w:lineRule="exact"/>
              <w:jc w:val="center"/>
              <w:rPr>
                <w:sz w:val="24"/>
                <w:szCs w:val="24"/>
                <w:highlight w:val="none"/>
              </w:rPr>
            </w:pPr>
            <w:r>
              <w:rPr>
                <w:sz w:val="24"/>
                <w:szCs w:val="24"/>
                <w:highlight w:val="none"/>
              </w:rPr>
              <w:t>单位名称</w:t>
            </w:r>
            <w:r>
              <w:rPr>
                <w:rFonts w:hint="eastAsia"/>
                <w:sz w:val="24"/>
                <w:szCs w:val="24"/>
                <w:highlight w:val="none"/>
              </w:rPr>
              <w:t>（公章或合同章）</w:t>
            </w:r>
          </w:p>
        </w:tc>
        <w:tc>
          <w:tcPr>
            <w:tcW w:w="1259" w:type="pct"/>
            <w:tcBorders>
              <w:top w:val="single" w:color="auto" w:sz="2" w:space="0"/>
              <w:left w:val="single" w:color="auto" w:sz="2" w:space="0"/>
              <w:bottom w:val="single" w:color="auto" w:sz="2" w:space="0"/>
            </w:tcBorders>
            <w:noWrap w:val="0"/>
            <w:vAlign w:val="center"/>
          </w:tcPr>
          <w:p w14:paraId="37556B30">
            <w:pPr>
              <w:adjustRightInd w:val="0"/>
              <w:snapToGrid w:val="0"/>
              <w:spacing w:line="300" w:lineRule="exact"/>
              <w:jc w:val="center"/>
              <w:rPr>
                <w:spacing w:val="20"/>
                <w:sz w:val="24"/>
                <w:szCs w:val="24"/>
                <w:highlight w:val="none"/>
              </w:rPr>
            </w:pPr>
          </w:p>
        </w:tc>
      </w:tr>
      <w:tr w14:paraId="104A11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5" w:type="pct"/>
            <w:vMerge w:val="restart"/>
            <w:tcBorders>
              <w:top w:val="single" w:color="auto" w:sz="2" w:space="0"/>
              <w:right w:val="single" w:color="auto" w:sz="2" w:space="0"/>
            </w:tcBorders>
            <w:noWrap w:val="0"/>
            <w:vAlign w:val="center"/>
          </w:tcPr>
          <w:p w14:paraId="708B20F0">
            <w:pPr>
              <w:adjustRightInd w:val="0"/>
              <w:snapToGrid w:val="0"/>
              <w:spacing w:line="300" w:lineRule="exact"/>
              <w:jc w:val="center"/>
              <w:rPr>
                <w:sz w:val="24"/>
                <w:szCs w:val="24"/>
                <w:highlight w:val="none"/>
              </w:rPr>
            </w:pPr>
            <w:r>
              <w:rPr>
                <w:sz w:val="24"/>
                <w:szCs w:val="24"/>
                <w:highlight w:val="none"/>
              </w:rPr>
              <w:t>法定代表人</w:t>
            </w:r>
          </w:p>
          <w:p w14:paraId="565377AC">
            <w:pPr>
              <w:adjustRightInd w:val="0"/>
              <w:snapToGrid w:val="0"/>
              <w:spacing w:line="300" w:lineRule="exact"/>
              <w:ind w:firstLine="115" w:firstLineChars="48"/>
              <w:jc w:val="center"/>
              <w:rPr>
                <w:sz w:val="24"/>
                <w:szCs w:val="24"/>
                <w:highlight w:val="none"/>
              </w:rPr>
            </w:pPr>
            <w:r>
              <w:rPr>
                <w:rFonts w:hint="eastAsia"/>
                <w:sz w:val="24"/>
                <w:szCs w:val="24"/>
                <w:highlight w:val="none"/>
              </w:rPr>
              <w:t>或其</w:t>
            </w:r>
            <w:r>
              <w:rPr>
                <w:sz w:val="24"/>
                <w:szCs w:val="24"/>
                <w:highlight w:val="none"/>
              </w:rPr>
              <w:t>委托代理人</w:t>
            </w:r>
            <w:r>
              <w:rPr>
                <w:rFonts w:hint="eastAsia"/>
                <w:sz w:val="24"/>
                <w:szCs w:val="24"/>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5A12B845">
            <w:pPr>
              <w:adjustRightInd w:val="0"/>
              <w:snapToGrid w:val="0"/>
              <w:spacing w:line="300" w:lineRule="exact"/>
              <w:jc w:val="center"/>
              <w:rPr>
                <w:sz w:val="24"/>
                <w:szCs w:val="24"/>
                <w:highlight w:val="none"/>
              </w:rPr>
            </w:pPr>
          </w:p>
        </w:tc>
        <w:tc>
          <w:tcPr>
            <w:tcW w:w="1177" w:type="pct"/>
            <w:tcBorders>
              <w:top w:val="single" w:color="auto" w:sz="2" w:space="0"/>
              <w:left w:val="single" w:color="auto" w:sz="2" w:space="0"/>
              <w:right w:val="single" w:color="auto" w:sz="2" w:space="0"/>
            </w:tcBorders>
            <w:noWrap w:val="0"/>
            <w:vAlign w:val="center"/>
          </w:tcPr>
          <w:p w14:paraId="7BD9B7C2">
            <w:pPr>
              <w:adjustRightInd w:val="0"/>
              <w:snapToGrid w:val="0"/>
              <w:spacing w:line="300" w:lineRule="exact"/>
              <w:jc w:val="center"/>
              <w:rPr>
                <w:sz w:val="24"/>
                <w:szCs w:val="24"/>
                <w:highlight w:val="none"/>
              </w:rPr>
            </w:pPr>
            <w:r>
              <w:rPr>
                <w:sz w:val="24"/>
                <w:szCs w:val="24"/>
                <w:highlight w:val="none"/>
              </w:rPr>
              <w:t>法定代表人</w:t>
            </w:r>
          </w:p>
          <w:p w14:paraId="75A1AE83">
            <w:pPr>
              <w:adjustRightInd w:val="0"/>
              <w:snapToGrid w:val="0"/>
              <w:spacing w:line="300" w:lineRule="exact"/>
              <w:jc w:val="center"/>
              <w:rPr>
                <w:sz w:val="24"/>
                <w:szCs w:val="24"/>
                <w:highlight w:val="none"/>
              </w:rPr>
            </w:pPr>
            <w:r>
              <w:rPr>
                <w:rFonts w:hint="eastAsia"/>
                <w:sz w:val="24"/>
                <w:szCs w:val="24"/>
                <w:highlight w:val="none"/>
              </w:rPr>
              <w:t>或其</w:t>
            </w:r>
            <w:r>
              <w:rPr>
                <w:sz w:val="24"/>
                <w:szCs w:val="24"/>
                <w:highlight w:val="none"/>
              </w:rPr>
              <w:t>委托代理人</w:t>
            </w:r>
            <w:r>
              <w:rPr>
                <w:rFonts w:hint="eastAsia"/>
                <w:sz w:val="24"/>
                <w:szCs w:val="24"/>
                <w:highlight w:val="none"/>
              </w:rPr>
              <w:t>（签章）</w:t>
            </w:r>
          </w:p>
        </w:tc>
        <w:tc>
          <w:tcPr>
            <w:tcW w:w="1259" w:type="pct"/>
            <w:tcBorders>
              <w:top w:val="single" w:color="auto" w:sz="2" w:space="0"/>
              <w:left w:val="single" w:color="auto" w:sz="2" w:space="0"/>
              <w:bottom w:val="single" w:color="auto" w:sz="2" w:space="0"/>
            </w:tcBorders>
            <w:noWrap w:val="0"/>
            <w:vAlign w:val="center"/>
          </w:tcPr>
          <w:p w14:paraId="6D7C02D6">
            <w:pPr>
              <w:adjustRightInd w:val="0"/>
              <w:snapToGrid w:val="0"/>
              <w:spacing w:line="300" w:lineRule="exact"/>
              <w:jc w:val="center"/>
              <w:rPr>
                <w:sz w:val="24"/>
                <w:szCs w:val="24"/>
                <w:highlight w:val="none"/>
              </w:rPr>
            </w:pPr>
          </w:p>
        </w:tc>
      </w:tr>
      <w:tr w14:paraId="7811DF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vMerge w:val="continue"/>
            <w:tcBorders>
              <w:bottom w:val="single" w:color="auto" w:sz="2" w:space="0"/>
              <w:right w:val="single" w:color="auto" w:sz="2" w:space="0"/>
            </w:tcBorders>
            <w:noWrap w:val="0"/>
            <w:vAlign w:val="center"/>
          </w:tcPr>
          <w:p w14:paraId="505BCF0A">
            <w:pPr>
              <w:adjustRightInd w:val="0"/>
              <w:snapToGrid w:val="0"/>
              <w:spacing w:line="300" w:lineRule="exact"/>
              <w:jc w:val="center"/>
              <w:rPr>
                <w:sz w:val="24"/>
                <w:szCs w:val="24"/>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56B1DC0C">
            <w:pPr>
              <w:adjustRightInd w:val="0"/>
              <w:snapToGrid w:val="0"/>
              <w:spacing w:line="300" w:lineRule="exact"/>
              <w:jc w:val="center"/>
              <w:rPr>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3116B67">
            <w:pPr>
              <w:adjustRightInd w:val="0"/>
              <w:snapToGrid w:val="0"/>
              <w:spacing w:line="300" w:lineRule="exact"/>
              <w:jc w:val="center"/>
              <w:rPr>
                <w:sz w:val="24"/>
                <w:szCs w:val="24"/>
                <w:highlight w:val="none"/>
              </w:rPr>
            </w:pPr>
            <w:r>
              <w:rPr>
                <w:rFonts w:hint="eastAsia"/>
                <w:sz w:val="24"/>
                <w:szCs w:val="24"/>
                <w:highlight w:val="none"/>
              </w:rPr>
              <w:t>拥有者性别</w:t>
            </w:r>
          </w:p>
        </w:tc>
        <w:tc>
          <w:tcPr>
            <w:tcW w:w="1259" w:type="pct"/>
            <w:tcBorders>
              <w:top w:val="single" w:color="auto" w:sz="2" w:space="0"/>
              <w:left w:val="single" w:color="auto" w:sz="2" w:space="0"/>
              <w:bottom w:val="single" w:color="auto" w:sz="2" w:space="0"/>
            </w:tcBorders>
            <w:noWrap w:val="0"/>
            <w:vAlign w:val="center"/>
          </w:tcPr>
          <w:p w14:paraId="01B1E637">
            <w:pPr>
              <w:adjustRightInd w:val="0"/>
              <w:snapToGrid w:val="0"/>
              <w:spacing w:line="300" w:lineRule="exact"/>
              <w:jc w:val="center"/>
              <w:rPr>
                <w:spacing w:val="20"/>
                <w:sz w:val="24"/>
                <w:szCs w:val="24"/>
                <w:highlight w:val="none"/>
              </w:rPr>
            </w:pPr>
          </w:p>
        </w:tc>
      </w:tr>
      <w:tr w14:paraId="6BF76B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50E4DACF">
            <w:pPr>
              <w:adjustRightInd w:val="0"/>
              <w:snapToGrid w:val="0"/>
              <w:spacing w:line="300" w:lineRule="exact"/>
              <w:jc w:val="center"/>
              <w:rPr>
                <w:sz w:val="24"/>
                <w:szCs w:val="24"/>
                <w:highlight w:val="none"/>
              </w:rPr>
            </w:pPr>
            <w:r>
              <w:rPr>
                <w:rFonts w:hint="eastAsia"/>
                <w:sz w:val="24"/>
                <w:szCs w:val="24"/>
                <w:highlight w:val="none"/>
              </w:rPr>
              <w:t>住  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F8CB435">
            <w:pPr>
              <w:adjustRightInd w:val="0"/>
              <w:snapToGrid w:val="0"/>
              <w:spacing w:line="300" w:lineRule="exact"/>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河南省新乡卫辉市健康路88号</w:t>
            </w: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9E9881B">
            <w:pPr>
              <w:adjustRightInd w:val="0"/>
              <w:snapToGrid w:val="0"/>
              <w:spacing w:line="300" w:lineRule="exact"/>
              <w:jc w:val="center"/>
              <w:rPr>
                <w:sz w:val="24"/>
                <w:szCs w:val="24"/>
                <w:highlight w:val="none"/>
              </w:rPr>
            </w:pPr>
            <w:r>
              <w:rPr>
                <w:rFonts w:hint="eastAsia"/>
                <w:sz w:val="24"/>
                <w:szCs w:val="24"/>
                <w:highlight w:val="none"/>
              </w:rPr>
              <w:t>住  所</w:t>
            </w:r>
          </w:p>
        </w:tc>
        <w:tc>
          <w:tcPr>
            <w:tcW w:w="1259" w:type="pct"/>
            <w:tcBorders>
              <w:top w:val="single" w:color="auto" w:sz="2" w:space="0"/>
              <w:left w:val="single" w:color="auto" w:sz="2" w:space="0"/>
              <w:bottom w:val="single" w:color="auto" w:sz="2" w:space="0"/>
            </w:tcBorders>
            <w:noWrap w:val="0"/>
            <w:vAlign w:val="center"/>
          </w:tcPr>
          <w:p w14:paraId="061D631D">
            <w:pPr>
              <w:adjustRightInd w:val="0"/>
              <w:snapToGrid w:val="0"/>
              <w:spacing w:line="300" w:lineRule="exact"/>
              <w:jc w:val="center"/>
              <w:rPr>
                <w:spacing w:val="20"/>
                <w:sz w:val="24"/>
                <w:szCs w:val="24"/>
                <w:highlight w:val="none"/>
              </w:rPr>
            </w:pPr>
          </w:p>
        </w:tc>
      </w:tr>
      <w:tr w14:paraId="470C0B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1C4A3CF9">
            <w:pPr>
              <w:adjustRightInd w:val="0"/>
              <w:snapToGrid w:val="0"/>
              <w:spacing w:line="300" w:lineRule="exact"/>
              <w:jc w:val="center"/>
              <w:rPr>
                <w:sz w:val="24"/>
                <w:szCs w:val="24"/>
                <w:highlight w:val="none"/>
              </w:rPr>
            </w:pPr>
            <w:r>
              <w:rPr>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2CBC1C6">
            <w:pPr>
              <w:adjustRightInd w:val="0"/>
              <w:snapToGrid w:val="0"/>
              <w:spacing w:line="300" w:lineRule="exact"/>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孙斌</w:t>
            </w: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1C40A4B">
            <w:pPr>
              <w:adjustRightInd w:val="0"/>
              <w:snapToGrid w:val="0"/>
              <w:spacing w:line="300" w:lineRule="exact"/>
              <w:jc w:val="center"/>
              <w:rPr>
                <w:sz w:val="24"/>
                <w:szCs w:val="24"/>
                <w:highlight w:val="none"/>
              </w:rPr>
            </w:pPr>
            <w:r>
              <w:rPr>
                <w:sz w:val="24"/>
                <w:szCs w:val="24"/>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5952AF7D">
            <w:pPr>
              <w:adjustRightInd w:val="0"/>
              <w:snapToGrid w:val="0"/>
              <w:spacing w:line="300" w:lineRule="exact"/>
              <w:jc w:val="center"/>
              <w:rPr>
                <w:spacing w:val="20"/>
                <w:sz w:val="24"/>
                <w:szCs w:val="24"/>
                <w:highlight w:val="none"/>
              </w:rPr>
            </w:pPr>
          </w:p>
        </w:tc>
      </w:tr>
      <w:tr w14:paraId="5BAD65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039FA14D">
            <w:pPr>
              <w:adjustRightInd w:val="0"/>
              <w:snapToGrid w:val="0"/>
              <w:spacing w:line="300" w:lineRule="exact"/>
              <w:jc w:val="center"/>
              <w:rPr>
                <w:sz w:val="24"/>
                <w:szCs w:val="24"/>
                <w:highlight w:val="none"/>
              </w:rPr>
            </w:pPr>
            <w:r>
              <w:rPr>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B1FA98">
            <w:pPr>
              <w:adjustRightInd w:val="0"/>
              <w:snapToGrid w:val="0"/>
              <w:spacing w:line="300" w:lineRule="exact"/>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0373-4402905</w:t>
            </w: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EA53ADA">
            <w:pPr>
              <w:adjustRightInd w:val="0"/>
              <w:snapToGrid w:val="0"/>
              <w:spacing w:line="300" w:lineRule="exact"/>
              <w:jc w:val="center"/>
              <w:rPr>
                <w:sz w:val="24"/>
                <w:szCs w:val="24"/>
                <w:highlight w:val="none"/>
              </w:rPr>
            </w:pPr>
            <w:r>
              <w:rPr>
                <w:sz w:val="24"/>
                <w:szCs w:val="24"/>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6C671624">
            <w:pPr>
              <w:adjustRightInd w:val="0"/>
              <w:snapToGrid w:val="0"/>
              <w:spacing w:line="300" w:lineRule="exact"/>
              <w:jc w:val="center"/>
              <w:rPr>
                <w:spacing w:val="20"/>
                <w:sz w:val="24"/>
                <w:szCs w:val="24"/>
                <w:highlight w:val="none"/>
              </w:rPr>
            </w:pPr>
          </w:p>
        </w:tc>
      </w:tr>
      <w:tr w14:paraId="372542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06864C88">
            <w:pPr>
              <w:adjustRightInd w:val="0"/>
              <w:snapToGrid w:val="0"/>
              <w:spacing w:line="300" w:lineRule="exact"/>
              <w:jc w:val="center"/>
              <w:rPr>
                <w:sz w:val="24"/>
                <w:szCs w:val="24"/>
                <w:highlight w:val="none"/>
              </w:rPr>
            </w:pPr>
            <w:r>
              <w:rPr>
                <w:rFonts w:hint="eastAsia"/>
                <w:sz w:val="24"/>
                <w:szCs w:val="24"/>
                <w:highlight w:val="none"/>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0022AD1">
            <w:pPr>
              <w:adjustRightInd w:val="0"/>
              <w:snapToGrid w:val="0"/>
              <w:spacing w:line="300" w:lineRule="exact"/>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河南省新乡卫辉市健康路88号</w:t>
            </w: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9CF7944">
            <w:pPr>
              <w:adjustRightInd w:val="0"/>
              <w:snapToGrid w:val="0"/>
              <w:spacing w:line="300" w:lineRule="exact"/>
              <w:jc w:val="center"/>
              <w:rPr>
                <w:sz w:val="24"/>
                <w:szCs w:val="24"/>
                <w:highlight w:val="none"/>
              </w:rPr>
            </w:pPr>
            <w:r>
              <w:rPr>
                <w:rFonts w:hint="eastAsia"/>
                <w:sz w:val="24"/>
                <w:szCs w:val="24"/>
                <w:highlight w:val="none"/>
              </w:rPr>
              <w:t>通信地址</w:t>
            </w:r>
          </w:p>
        </w:tc>
        <w:tc>
          <w:tcPr>
            <w:tcW w:w="1259" w:type="pct"/>
            <w:tcBorders>
              <w:top w:val="single" w:color="auto" w:sz="2" w:space="0"/>
              <w:left w:val="single" w:color="auto" w:sz="2" w:space="0"/>
              <w:bottom w:val="single" w:color="auto" w:sz="2" w:space="0"/>
            </w:tcBorders>
            <w:noWrap w:val="0"/>
            <w:vAlign w:val="center"/>
          </w:tcPr>
          <w:p w14:paraId="00C36B38">
            <w:pPr>
              <w:adjustRightInd w:val="0"/>
              <w:snapToGrid w:val="0"/>
              <w:spacing w:line="300" w:lineRule="exact"/>
              <w:jc w:val="center"/>
              <w:rPr>
                <w:spacing w:val="20"/>
                <w:sz w:val="24"/>
                <w:szCs w:val="24"/>
                <w:highlight w:val="none"/>
              </w:rPr>
            </w:pPr>
          </w:p>
        </w:tc>
      </w:tr>
      <w:tr w14:paraId="2373E4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34C9CAE8">
            <w:pPr>
              <w:adjustRightInd w:val="0"/>
              <w:snapToGrid w:val="0"/>
              <w:spacing w:line="300" w:lineRule="exact"/>
              <w:jc w:val="center"/>
              <w:rPr>
                <w:sz w:val="24"/>
                <w:szCs w:val="24"/>
                <w:highlight w:val="none"/>
              </w:rPr>
            </w:pPr>
            <w:r>
              <w:rPr>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576566">
            <w:pPr>
              <w:adjustRightInd w:val="0"/>
              <w:snapToGrid w:val="0"/>
              <w:spacing w:line="300" w:lineRule="exact"/>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453100</w:t>
            </w: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7C4AF10">
            <w:pPr>
              <w:adjustRightInd w:val="0"/>
              <w:snapToGrid w:val="0"/>
              <w:spacing w:line="300" w:lineRule="exact"/>
              <w:jc w:val="center"/>
              <w:rPr>
                <w:sz w:val="24"/>
                <w:szCs w:val="24"/>
                <w:highlight w:val="none"/>
              </w:rPr>
            </w:pPr>
            <w:r>
              <w:rPr>
                <w:sz w:val="24"/>
                <w:szCs w:val="24"/>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0D2587AF">
            <w:pPr>
              <w:adjustRightInd w:val="0"/>
              <w:snapToGrid w:val="0"/>
              <w:spacing w:line="300" w:lineRule="exact"/>
              <w:jc w:val="center"/>
              <w:rPr>
                <w:spacing w:val="20"/>
                <w:sz w:val="24"/>
                <w:szCs w:val="24"/>
                <w:highlight w:val="none"/>
              </w:rPr>
            </w:pPr>
          </w:p>
        </w:tc>
      </w:tr>
      <w:tr w14:paraId="514F0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2F2AA4D8">
            <w:pPr>
              <w:adjustRightInd w:val="0"/>
              <w:snapToGrid w:val="0"/>
              <w:spacing w:line="300" w:lineRule="exact"/>
              <w:jc w:val="center"/>
              <w:rPr>
                <w:sz w:val="24"/>
                <w:szCs w:val="24"/>
                <w:highlight w:val="none"/>
              </w:rPr>
            </w:pPr>
            <w:r>
              <w:rPr>
                <w:rFonts w:hint="eastAsia"/>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D02ED5">
            <w:pPr>
              <w:adjustRightInd w:val="0"/>
              <w:snapToGrid w:val="0"/>
              <w:spacing w:line="300" w:lineRule="exact"/>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xinyiyifuyuan@163.com</w:t>
            </w: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A977293">
            <w:pPr>
              <w:adjustRightInd w:val="0"/>
              <w:snapToGrid w:val="0"/>
              <w:spacing w:line="300" w:lineRule="exact"/>
              <w:jc w:val="center"/>
              <w:rPr>
                <w:sz w:val="24"/>
                <w:szCs w:val="24"/>
                <w:highlight w:val="none"/>
              </w:rPr>
            </w:pPr>
            <w:r>
              <w:rPr>
                <w:rFonts w:hint="eastAsia"/>
                <w:sz w:val="24"/>
                <w:szCs w:val="24"/>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3A755EA3">
            <w:pPr>
              <w:adjustRightInd w:val="0"/>
              <w:snapToGrid w:val="0"/>
              <w:spacing w:line="300" w:lineRule="exact"/>
              <w:jc w:val="center"/>
              <w:rPr>
                <w:spacing w:val="20"/>
                <w:sz w:val="24"/>
                <w:szCs w:val="24"/>
                <w:highlight w:val="none"/>
              </w:rPr>
            </w:pPr>
          </w:p>
        </w:tc>
      </w:tr>
      <w:tr w14:paraId="78E246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77F83318">
            <w:pPr>
              <w:adjustRightInd w:val="0"/>
              <w:snapToGrid w:val="0"/>
              <w:spacing w:line="300" w:lineRule="exact"/>
              <w:jc w:val="center"/>
              <w:rPr>
                <w:sz w:val="24"/>
                <w:szCs w:val="24"/>
                <w:highlight w:val="none"/>
              </w:rPr>
            </w:pPr>
            <w:r>
              <w:rPr>
                <w:rFonts w:hint="eastAsia"/>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8E670A5">
            <w:pPr>
              <w:adjustRightInd w:val="0"/>
              <w:snapToGrid w:val="0"/>
              <w:spacing w:line="300" w:lineRule="exact"/>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124100004170878265</w:t>
            </w: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76634ED">
            <w:pPr>
              <w:adjustRightInd w:val="0"/>
              <w:snapToGrid w:val="0"/>
              <w:spacing w:line="300" w:lineRule="exact"/>
              <w:jc w:val="center"/>
              <w:rPr>
                <w:sz w:val="24"/>
                <w:szCs w:val="24"/>
                <w:highlight w:val="none"/>
              </w:rPr>
            </w:pPr>
            <w:r>
              <w:rPr>
                <w:rFonts w:hint="eastAsia"/>
                <w:sz w:val="24"/>
                <w:szCs w:val="24"/>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71E2A92">
            <w:pPr>
              <w:adjustRightInd w:val="0"/>
              <w:snapToGrid w:val="0"/>
              <w:spacing w:line="300" w:lineRule="exact"/>
              <w:jc w:val="center"/>
              <w:rPr>
                <w:spacing w:val="20"/>
                <w:sz w:val="24"/>
                <w:szCs w:val="24"/>
                <w:highlight w:val="none"/>
              </w:rPr>
            </w:pPr>
          </w:p>
        </w:tc>
      </w:tr>
      <w:tr w14:paraId="2D26F0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393F310E">
            <w:pPr>
              <w:adjustRightInd w:val="0"/>
              <w:snapToGrid w:val="0"/>
              <w:spacing w:line="300" w:lineRule="exact"/>
              <w:jc w:val="center"/>
              <w:rPr>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BB7FE5E">
            <w:pPr>
              <w:adjustRightInd w:val="0"/>
              <w:snapToGrid w:val="0"/>
              <w:spacing w:line="300" w:lineRule="exact"/>
              <w:jc w:val="center"/>
              <w:rPr>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065746A">
            <w:pPr>
              <w:adjustRightInd w:val="0"/>
              <w:snapToGrid w:val="0"/>
              <w:spacing w:line="300" w:lineRule="exact"/>
              <w:jc w:val="center"/>
              <w:rPr>
                <w:sz w:val="24"/>
                <w:szCs w:val="24"/>
                <w:highlight w:val="none"/>
              </w:rPr>
            </w:pPr>
            <w:r>
              <w:rPr>
                <w:sz w:val="24"/>
                <w:szCs w:val="24"/>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75A5A420">
            <w:pPr>
              <w:adjustRightInd w:val="0"/>
              <w:snapToGrid w:val="0"/>
              <w:spacing w:line="300" w:lineRule="exact"/>
              <w:jc w:val="center"/>
              <w:rPr>
                <w:spacing w:val="20"/>
                <w:sz w:val="24"/>
                <w:szCs w:val="24"/>
                <w:highlight w:val="none"/>
              </w:rPr>
            </w:pPr>
          </w:p>
        </w:tc>
      </w:tr>
      <w:tr w14:paraId="484282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458E4D90">
            <w:pPr>
              <w:adjustRightInd w:val="0"/>
              <w:snapToGrid w:val="0"/>
              <w:spacing w:line="300" w:lineRule="exact"/>
              <w:jc w:val="center"/>
              <w:rPr>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65458C">
            <w:pPr>
              <w:adjustRightInd w:val="0"/>
              <w:snapToGrid w:val="0"/>
              <w:spacing w:line="300" w:lineRule="exact"/>
              <w:jc w:val="center"/>
              <w:rPr>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BD65328">
            <w:pPr>
              <w:adjustRightInd w:val="0"/>
              <w:snapToGrid w:val="0"/>
              <w:spacing w:line="300" w:lineRule="exact"/>
              <w:jc w:val="center"/>
              <w:rPr>
                <w:sz w:val="24"/>
                <w:szCs w:val="24"/>
                <w:highlight w:val="none"/>
              </w:rPr>
            </w:pPr>
            <w:r>
              <w:rPr>
                <w:sz w:val="24"/>
                <w:szCs w:val="24"/>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62A10CE4">
            <w:pPr>
              <w:adjustRightInd w:val="0"/>
              <w:snapToGrid w:val="0"/>
              <w:spacing w:line="300" w:lineRule="exact"/>
              <w:jc w:val="center"/>
              <w:rPr>
                <w:spacing w:val="20"/>
                <w:sz w:val="24"/>
                <w:szCs w:val="24"/>
                <w:highlight w:val="none"/>
              </w:rPr>
            </w:pPr>
          </w:p>
        </w:tc>
      </w:tr>
      <w:tr w14:paraId="6B9223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0D831FA7">
            <w:pPr>
              <w:adjustRightInd w:val="0"/>
              <w:snapToGrid w:val="0"/>
              <w:spacing w:line="300" w:lineRule="exact"/>
              <w:jc w:val="center"/>
              <w:rPr>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A25093">
            <w:pPr>
              <w:adjustRightInd w:val="0"/>
              <w:snapToGrid w:val="0"/>
              <w:spacing w:line="300" w:lineRule="exact"/>
              <w:jc w:val="center"/>
              <w:rPr>
                <w:sz w:val="24"/>
                <w:szCs w:val="24"/>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0CD8F76">
            <w:pPr>
              <w:adjustRightInd w:val="0"/>
              <w:snapToGrid w:val="0"/>
              <w:spacing w:line="300" w:lineRule="exact"/>
              <w:jc w:val="center"/>
              <w:rPr>
                <w:sz w:val="24"/>
                <w:szCs w:val="24"/>
                <w:highlight w:val="none"/>
              </w:rPr>
            </w:pPr>
            <w:r>
              <w:rPr>
                <w:sz w:val="24"/>
                <w:szCs w:val="24"/>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6EBB8EA6">
            <w:pPr>
              <w:adjustRightInd w:val="0"/>
              <w:snapToGrid w:val="0"/>
              <w:spacing w:line="300" w:lineRule="exact"/>
              <w:jc w:val="center"/>
              <w:rPr>
                <w:spacing w:val="20"/>
                <w:sz w:val="24"/>
                <w:szCs w:val="24"/>
                <w:highlight w:val="none"/>
              </w:rPr>
            </w:pPr>
          </w:p>
        </w:tc>
      </w:tr>
      <w:tr w14:paraId="41A83A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0BB15538">
            <w:pPr>
              <w:pStyle w:val="34"/>
              <w:adjustRightInd w:val="0"/>
              <w:snapToGrid w:val="0"/>
              <w:spacing w:before="156" w:beforeLines="50" w:after="0" w:line="360" w:lineRule="auto"/>
              <w:ind w:left="0" w:leftChars="0"/>
              <w:jc w:val="left"/>
              <w:rPr>
                <w:spacing w:val="20"/>
                <w:sz w:val="24"/>
                <w:szCs w:val="24"/>
                <w:highlight w:val="none"/>
              </w:rPr>
            </w:pPr>
            <w:r>
              <w:rPr>
                <w:rFonts w:hint="eastAsia" w:ascii="宋体" w:hAnsi="宋体"/>
                <w:sz w:val="24"/>
                <w:szCs w:val="24"/>
                <w:highlight w:val="none"/>
              </w:rPr>
              <w:t>注：涉及联合体或其他合同主体的信息应按上表格式加列。</w:t>
            </w:r>
          </w:p>
        </w:tc>
      </w:tr>
    </w:tbl>
    <w:p w14:paraId="042C0A57">
      <w:pPr>
        <w:pStyle w:val="4"/>
        <w:numPr>
          <w:ilvl w:val="0"/>
          <w:numId w:val="0"/>
        </w:numPr>
        <w:adjustRightInd w:val="0"/>
        <w:snapToGrid w:val="0"/>
        <w:spacing w:before="156" w:beforeLines="50"/>
        <w:ind w:left="420" w:leftChars="0"/>
        <w:jc w:val="center"/>
        <w:rPr>
          <w:rFonts w:ascii="黑体" w:hAnsi="黑体" w:eastAsia="黑体"/>
          <w:sz w:val="28"/>
          <w:szCs w:val="28"/>
          <w:highlight w:val="none"/>
        </w:rPr>
      </w:pPr>
      <w:r>
        <w:rPr>
          <w:rFonts w:ascii="宋体" w:hAnsi="宋体"/>
          <w:sz w:val="21"/>
          <w:szCs w:val="21"/>
          <w:highlight w:val="none"/>
          <w:u w:val="single"/>
        </w:rPr>
        <w:br w:type="page"/>
      </w:r>
      <w:bookmarkStart w:id="80" w:name="_Toc27624"/>
      <w:r>
        <w:rPr>
          <w:rFonts w:hint="eastAsia" w:ascii="黑体" w:hAnsi="黑体" w:eastAsia="黑体"/>
          <w:b w:val="0"/>
          <w:bCs w:val="0"/>
          <w:sz w:val="28"/>
          <w:szCs w:val="28"/>
          <w:highlight w:val="none"/>
        </w:rPr>
        <w:t>第二节 政府采购合同通用条款</w:t>
      </w:r>
      <w:bookmarkEnd w:id="80"/>
    </w:p>
    <w:p w14:paraId="533E88DE">
      <w:pPr>
        <w:tabs>
          <w:tab w:val="left" w:pos="8820"/>
          <w:tab w:val="left" w:pos="9345"/>
          <w:tab w:val="left" w:pos="9765"/>
        </w:tabs>
        <w:adjustRightInd w:val="0"/>
        <w:snapToGrid w:val="0"/>
        <w:spacing w:line="400" w:lineRule="exact"/>
        <w:jc w:val="left"/>
        <w:rPr>
          <w:rFonts w:ascii="宋体" w:hAnsi="宋体"/>
          <w:b/>
          <w:bCs/>
          <w:sz w:val="24"/>
          <w:szCs w:val="24"/>
          <w:highlight w:val="none"/>
        </w:rPr>
      </w:pPr>
      <w:r>
        <w:rPr>
          <w:rFonts w:hint="eastAsia" w:ascii="宋体" w:hAnsi="宋体"/>
          <w:b/>
          <w:sz w:val="24"/>
          <w:szCs w:val="24"/>
          <w:highlight w:val="none"/>
        </w:rPr>
        <w:t xml:space="preserve">1. </w:t>
      </w:r>
      <w:r>
        <w:rPr>
          <w:rFonts w:hint="eastAsia" w:ascii="宋体" w:hAnsi="宋体"/>
          <w:b/>
          <w:bCs/>
          <w:sz w:val="24"/>
          <w:szCs w:val="24"/>
          <w:highlight w:val="none"/>
        </w:rPr>
        <w:t>定义</w:t>
      </w:r>
    </w:p>
    <w:p w14:paraId="1607BFB9">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1.1合同当事人</w:t>
      </w:r>
    </w:p>
    <w:p w14:paraId="7BF0C328">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（1）采购人（以下称甲方）是指使用财政性资金，通过政府采购方式向供应商购买货物及其相关服务的国家机关、事业单位、团体组织。</w:t>
      </w:r>
    </w:p>
    <w:p w14:paraId="0E66FE27">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（2）供应商（以下称乙方）是指参加政府采购活动并且中标（成交），向采购人提供合同约定的货物及其相关服务的法人、非法人组织或者自然人。</w:t>
      </w:r>
    </w:p>
    <w:p w14:paraId="614F76A7">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（3）其他合同主体是指除采购人和供应商以外，</w:t>
      </w:r>
      <w:r>
        <w:rPr>
          <w:rFonts w:hint="eastAsia" w:ascii="宋体" w:hAnsi="宋体" w:cs="宋体"/>
          <w:bCs/>
          <w:color w:val="000000"/>
          <w:sz w:val="24"/>
          <w:szCs w:val="24"/>
          <w:highlight w:val="none"/>
        </w:rPr>
        <w:t>依法参与合同缔结或履行，享有权利、承担义务的合同当事人</w:t>
      </w:r>
      <w:r>
        <w:rPr>
          <w:rFonts w:hint="eastAsia" w:ascii="宋体" w:hAnsi="宋体"/>
          <w:sz w:val="24"/>
          <w:szCs w:val="24"/>
          <w:highlight w:val="none"/>
        </w:rPr>
        <w:t>。</w:t>
      </w:r>
    </w:p>
    <w:p w14:paraId="7D3B285D">
      <w:pPr>
        <w:tabs>
          <w:tab w:val="left" w:pos="570"/>
          <w:tab w:val="left" w:pos="9240"/>
          <w:tab w:val="left" w:pos="9555"/>
        </w:tabs>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1.2本合同下列术语应解释为：</w:t>
      </w:r>
    </w:p>
    <w:p w14:paraId="5799F6B8">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（1）“合同”系指</w:t>
      </w:r>
      <w:r>
        <w:rPr>
          <w:rFonts w:hint="eastAsia" w:ascii="宋体" w:hAnsi="宋体" w:cs="宋体"/>
          <w:bCs/>
          <w:color w:val="000000"/>
          <w:sz w:val="24"/>
          <w:szCs w:val="24"/>
          <w:highlight w:val="none"/>
        </w:rPr>
        <w:t>合同当事人意思表示达成一致的任何协议，包括签署的</w:t>
      </w:r>
      <w:r>
        <w:rPr>
          <w:rFonts w:hint="eastAsia" w:ascii="宋体" w:hAnsi="宋体"/>
          <w:sz w:val="24"/>
          <w:szCs w:val="24"/>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 w:val="24"/>
          <w:szCs w:val="24"/>
          <w:highlight w:val="none"/>
        </w:rPr>
        <w:t>国家法律、行政法规和规章制度规定或合同约定的作为合同组成部分的其他文件</w:t>
      </w:r>
      <w:r>
        <w:rPr>
          <w:rFonts w:hint="eastAsia" w:ascii="宋体" w:hAnsi="宋体"/>
          <w:sz w:val="24"/>
          <w:szCs w:val="24"/>
          <w:highlight w:val="none"/>
        </w:rPr>
        <w:t>。</w:t>
      </w:r>
    </w:p>
    <w:p w14:paraId="157E1632">
      <w:pPr>
        <w:tabs>
          <w:tab w:val="left" w:pos="570"/>
          <w:tab w:val="left" w:pos="9240"/>
          <w:tab w:val="left" w:pos="9555"/>
        </w:tabs>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（2）“合同价款”系指根据本合同规定乙方在全面履行合同义务后甲方应支付给乙方的价款。</w:t>
      </w:r>
    </w:p>
    <w:p w14:paraId="371E9585">
      <w:pPr>
        <w:tabs>
          <w:tab w:val="left" w:pos="570"/>
          <w:tab w:val="left" w:pos="9240"/>
          <w:tab w:val="left" w:pos="9555"/>
        </w:tabs>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sz w:val="24"/>
          <w:szCs w:val="24"/>
          <w:highlight w:val="none"/>
        </w:rPr>
        <w:t>（3）“货物”系指乙方根据本合同规定须向甲方提供的各种形态和种类的物品，包括原材料、设备、产品（</w:t>
      </w:r>
      <w:r>
        <w:rPr>
          <w:rFonts w:hint="eastAsia" w:ascii="宋体" w:hAnsi="宋体"/>
          <w:color w:val="000000"/>
          <w:sz w:val="24"/>
          <w:szCs w:val="24"/>
          <w:highlight w:val="none"/>
        </w:rPr>
        <w:t>包括软件）及相关的其备品备件、工具、手册及</w:t>
      </w:r>
      <w:r>
        <w:rPr>
          <w:rFonts w:ascii="宋体" w:hAnsi="宋体"/>
          <w:color w:val="000000"/>
          <w:sz w:val="24"/>
          <w:szCs w:val="24"/>
          <w:highlight w:val="none"/>
          <w:lang w:val="en"/>
        </w:rPr>
        <w:t>其他</w:t>
      </w:r>
      <w:r>
        <w:rPr>
          <w:rFonts w:hint="eastAsia" w:ascii="宋体" w:hAnsi="宋体"/>
          <w:color w:val="000000"/>
          <w:sz w:val="24"/>
          <w:szCs w:val="24"/>
          <w:highlight w:val="none"/>
        </w:rPr>
        <w:t>技术资料和材料等。</w:t>
      </w:r>
    </w:p>
    <w:p w14:paraId="39E145FD">
      <w:pPr>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（4）“</w:t>
      </w:r>
      <w:r>
        <w:rPr>
          <w:rFonts w:hint="eastAsia" w:ascii="宋体" w:hAnsi="宋体"/>
          <w:sz w:val="24"/>
          <w:szCs w:val="24"/>
          <w:highlight w:val="none"/>
        </w:rPr>
        <w:t>相关</w:t>
      </w:r>
      <w:r>
        <w:rPr>
          <w:rFonts w:hint="eastAsia" w:ascii="宋体" w:hAnsi="宋体"/>
          <w:color w:val="000000"/>
          <w:sz w:val="24"/>
          <w:szCs w:val="24"/>
          <w:highlight w:val="none"/>
        </w:rPr>
        <w:t>服务”系指根据合同规定，乙方应提供的与货物有关的技术、管理和</w:t>
      </w:r>
      <w:r>
        <w:rPr>
          <w:rFonts w:ascii="宋体" w:hAnsi="宋体"/>
          <w:color w:val="000000"/>
          <w:sz w:val="24"/>
          <w:szCs w:val="24"/>
          <w:highlight w:val="none"/>
          <w:lang w:val="en"/>
        </w:rPr>
        <w:t>其他</w:t>
      </w:r>
      <w:r>
        <w:rPr>
          <w:rFonts w:hint="eastAsia" w:ascii="宋体" w:hAnsi="宋体"/>
          <w:color w:val="000000"/>
          <w:sz w:val="24"/>
          <w:szCs w:val="24"/>
          <w:highlight w:val="none"/>
        </w:rPr>
        <w:t>服务，包括但不限于：管理和质量保证、运输、保险、检验、现场准备、安装、集成、调试、培训、维修、废弃处置、技术支持等以及合同中规定乙方应承担的</w:t>
      </w:r>
      <w:r>
        <w:rPr>
          <w:rFonts w:ascii="宋体" w:hAnsi="宋体"/>
          <w:color w:val="000000"/>
          <w:sz w:val="24"/>
          <w:szCs w:val="24"/>
          <w:highlight w:val="none"/>
          <w:lang w:val="en"/>
        </w:rPr>
        <w:t>其他</w:t>
      </w:r>
      <w:r>
        <w:rPr>
          <w:rFonts w:hint="eastAsia" w:ascii="宋体" w:hAnsi="宋体"/>
          <w:color w:val="000000"/>
          <w:sz w:val="24"/>
          <w:szCs w:val="24"/>
          <w:highlight w:val="none"/>
        </w:rPr>
        <w:t>义务。</w:t>
      </w:r>
    </w:p>
    <w:p w14:paraId="72994E7A">
      <w:pPr>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（5）“分包”系指中标（成交）供应商按采购文件、投标（响应）文件的规定，根据分包意向协议，将中标（成交）项目中的部分履约内容，分给具有相应资质条件的供应商履行合同的行为。</w:t>
      </w:r>
    </w:p>
    <w:p w14:paraId="42A7EF3C">
      <w:pPr>
        <w:tabs>
          <w:tab w:val="left" w:pos="570"/>
          <w:tab w:val="left" w:pos="9240"/>
          <w:tab w:val="left" w:pos="9555"/>
        </w:tabs>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（6）</w:t>
      </w:r>
      <w:r>
        <w:rPr>
          <w:rFonts w:hint="eastAsia" w:ascii="宋体" w:hAnsi="宋体"/>
          <w:sz w:val="24"/>
          <w:szCs w:val="24"/>
          <w:highlight w:val="none"/>
        </w:rPr>
        <w:t>“联合体”系指由两个以上的自然人、法人或者非法人组织组成，以一个供应商的身份共同参加政府采购的主体</w:t>
      </w:r>
      <w:r>
        <w:rPr>
          <w:rFonts w:hint="eastAsia" w:ascii="宋体" w:hAnsi="宋体"/>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 w:val="24"/>
          <w:szCs w:val="24"/>
          <w:highlight w:val="none"/>
        </w:rPr>
        <w:t>政府采购合同专用条款</w:t>
      </w:r>
      <w:r>
        <w:rPr>
          <w:rFonts w:hint="eastAsia" w:ascii="宋体" w:hAnsi="宋体"/>
          <w:color w:val="000000"/>
          <w:sz w:val="24"/>
          <w:szCs w:val="24"/>
          <w:highlight w:val="none"/>
        </w:rPr>
        <w:t>】。</w:t>
      </w:r>
    </w:p>
    <w:p w14:paraId="5A431A23">
      <w:pPr>
        <w:tabs>
          <w:tab w:val="left" w:pos="570"/>
          <w:tab w:val="left" w:pos="9240"/>
          <w:tab w:val="left" w:pos="9555"/>
        </w:tabs>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（7）其他术语解释，见【</w:t>
      </w:r>
      <w:r>
        <w:rPr>
          <w:rFonts w:hint="eastAsia" w:ascii="宋体" w:hAnsi="宋体"/>
          <w:b/>
          <w:bCs/>
          <w:color w:val="000000"/>
          <w:sz w:val="24"/>
          <w:szCs w:val="24"/>
          <w:highlight w:val="none"/>
        </w:rPr>
        <w:t>政府采购合同专用条款</w:t>
      </w:r>
      <w:r>
        <w:rPr>
          <w:rFonts w:hint="eastAsia" w:ascii="宋体" w:hAnsi="宋体"/>
          <w:color w:val="000000"/>
          <w:sz w:val="24"/>
          <w:szCs w:val="24"/>
          <w:highlight w:val="none"/>
        </w:rPr>
        <w:t>】。</w:t>
      </w:r>
    </w:p>
    <w:p w14:paraId="453BC009">
      <w:pPr>
        <w:numPr>
          <w:ilvl w:val="0"/>
          <w:numId w:val="28"/>
        </w:numPr>
        <w:autoSpaceDE w:val="0"/>
        <w:autoSpaceDN w:val="0"/>
        <w:adjustRightInd w:val="0"/>
        <w:snapToGrid w:val="0"/>
        <w:spacing w:line="400" w:lineRule="exact"/>
        <w:jc w:val="left"/>
        <w:rPr>
          <w:rFonts w:ascii="宋体" w:hAnsi="宋体"/>
          <w:b/>
          <w:bCs/>
          <w:color w:val="000000"/>
          <w:sz w:val="24"/>
          <w:szCs w:val="24"/>
          <w:highlight w:val="none"/>
        </w:rPr>
      </w:pPr>
      <w:r>
        <w:rPr>
          <w:rFonts w:hint="eastAsia" w:ascii="宋体" w:hAnsi="宋体"/>
          <w:b/>
          <w:color w:val="000000"/>
          <w:sz w:val="24"/>
          <w:szCs w:val="24"/>
          <w:highlight w:val="none"/>
        </w:rPr>
        <w:t>合同标的及金额</w:t>
      </w:r>
    </w:p>
    <w:p w14:paraId="711AC09B">
      <w:pPr>
        <w:autoSpaceDE w:val="0"/>
        <w:autoSpaceDN w:val="0"/>
        <w:adjustRightInd w:val="0"/>
        <w:snapToGrid w:val="0"/>
        <w:spacing w:line="400" w:lineRule="exact"/>
        <w:ind w:firstLine="480" w:firstLineChars="200"/>
        <w:jc w:val="left"/>
        <w:rPr>
          <w:rFonts w:ascii="宋体" w:hAnsi="宋体"/>
          <w:b/>
          <w:bCs/>
          <w:i/>
          <w:iCs/>
          <w:color w:val="000000"/>
          <w:sz w:val="24"/>
          <w:szCs w:val="24"/>
          <w:highlight w:val="none"/>
        </w:rPr>
      </w:pPr>
      <w:r>
        <w:rPr>
          <w:rFonts w:hint="eastAsia" w:ascii="宋体" w:hAnsi="宋体"/>
          <w:color w:val="000000"/>
          <w:sz w:val="24"/>
          <w:szCs w:val="24"/>
          <w:highlight w:val="none"/>
        </w:rPr>
        <w:t>2.1 合同标的及金额应与中标（成交）结果一致。乙方为履行本合同而发生的所有费用均应包含在合同价款中，甲方不再另行支付</w:t>
      </w:r>
      <w:r>
        <w:rPr>
          <w:rFonts w:ascii="宋体" w:hAnsi="宋体"/>
          <w:color w:val="000000"/>
          <w:sz w:val="24"/>
          <w:szCs w:val="24"/>
          <w:highlight w:val="none"/>
          <w:lang w:val="en"/>
        </w:rPr>
        <w:t>其他</w:t>
      </w:r>
      <w:r>
        <w:rPr>
          <w:rFonts w:hint="eastAsia" w:ascii="宋体" w:hAnsi="宋体"/>
          <w:color w:val="000000"/>
          <w:sz w:val="24"/>
          <w:szCs w:val="24"/>
          <w:highlight w:val="none"/>
        </w:rPr>
        <w:t>任何费用。</w:t>
      </w:r>
    </w:p>
    <w:p w14:paraId="7629502D">
      <w:pPr>
        <w:adjustRightInd w:val="0"/>
        <w:snapToGrid w:val="0"/>
        <w:spacing w:line="400" w:lineRule="exact"/>
        <w:jc w:val="left"/>
        <w:rPr>
          <w:rFonts w:ascii="宋体" w:hAnsi="宋体"/>
          <w:b/>
          <w:color w:val="000000"/>
          <w:sz w:val="24"/>
          <w:szCs w:val="24"/>
          <w:highlight w:val="none"/>
        </w:rPr>
      </w:pPr>
      <w:r>
        <w:rPr>
          <w:rFonts w:hint="eastAsia" w:ascii="宋体" w:hAnsi="宋体"/>
          <w:b/>
          <w:color w:val="000000"/>
          <w:sz w:val="24"/>
          <w:szCs w:val="24"/>
          <w:highlight w:val="none"/>
        </w:rPr>
        <w:t>3. 履行合同的时间、地点和方式</w:t>
      </w:r>
    </w:p>
    <w:p w14:paraId="3680A21A">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 xml:space="preserve">3.1 </w:t>
      </w:r>
      <w:r>
        <w:rPr>
          <w:rFonts w:hint="eastAsia" w:ascii="宋体" w:hAnsi="宋体" w:cs="宋体"/>
          <w:sz w:val="24"/>
          <w:szCs w:val="24"/>
          <w:highlight w:val="none"/>
        </w:rPr>
        <w:t>乙方应当在约定的时间、地点，按照约定方式履行合同。</w:t>
      </w:r>
    </w:p>
    <w:p w14:paraId="0026961D">
      <w:pPr>
        <w:autoSpaceDE w:val="0"/>
        <w:autoSpaceDN w:val="0"/>
        <w:adjustRightInd w:val="0"/>
        <w:snapToGrid w:val="0"/>
        <w:spacing w:line="400" w:lineRule="exact"/>
        <w:jc w:val="left"/>
        <w:rPr>
          <w:rFonts w:ascii="宋体" w:hAnsi="宋体"/>
          <w:b/>
          <w:bCs/>
          <w:color w:val="000000"/>
          <w:sz w:val="24"/>
          <w:szCs w:val="24"/>
          <w:highlight w:val="none"/>
        </w:rPr>
      </w:pPr>
      <w:r>
        <w:rPr>
          <w:rFonts w:hint="eastAsia" w:ascii="宋体" w:hAnsi="宋体"/>
          <w:b/>
          <w:bCs/>
          <w:color w:val="000000"/>
          <w:sz w:val="24"/>
          <w:szCs w:val="24"/>
          <w:highlight w:val="none"/>
        </w:rPr>
        <w:t>4. 甲方的权利和义务</w:t>
      </w:r>
    </w:p>
    <w:p w14:paraId="479FDC58">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4.1</w:t>
      </w:r>
      <w:r>
        <w:rPr>
          <w:rFonts w:ascii="宋体" w:hAnsi="宋体"/>
          <w:color w:val="000000"/>
          <w:sz w:val="24"/>
          <w:szCs w:val="24"/>
          <w:highlight w:val="none"/>
        </w:rPr>
        <w:t xml:space="preserve"> 签署合同后，甲方</w:t>
      </w:r>
      <w:r>
        <w:rPr>
          <w:rFonts w:hint="eastAsia" w:ascii="宋体" w:hAnsi="宋体"/>
          <w:color w:val="000000"/>
          <w:sz w:val="24"/>
          <w:szCs w:val="24"/>
          <w:highlight w:val="none"/>
        </w:rPr>
        <w:t>应</w:t>
      </w:r>
      <w:r>
        <w:rPr>
          <w:rFonts w:ascii="宋体" w:hAnsi="宋体"/>
          <w:color w:val="000000"/>
          <w:sz w:val="24"/>
          <w:szCs w:val="24"/>
          <w:highlight w:val="none"/>
        </w:rPr>
        <w:t>确定</w:t>
      </w:r>
      <w:r>
        <w:rPr>
          <w:rFonts w:hint="eastAsia" w:ascii="宋体" w:hAnsi="宋体"/>
          <w:color w:val="000000"/>
          <w:sz w:val="24"/>
          <w:szCs w:val="24"/>
          <w:highlight w:val="none"/>
        </w:rPr>
        <w:t>项目负责人（或项目联系人）</w:t>
      </w:r>
      <w:r>
        <w:rPr>
          <w:rFonts w:ascii="宋体" w:hAnsi="宋体"/>
          <w:color w:val="000000"/>
          <w:sz w:val="24"/>
          <w:szCs w:val="24"/>
          <w:highlight w:val="none"/>
        </w:rPr>
        <w:t>，负责与本合同有关的事务。</w:t>
      </w:r>
      <w:r>
        <w:rPr>
          <w:rFonts w:hint="eastAsia" w:ascii="宋体" w:hAnsi="宋体"/>
          <w:color w:val="000000"/>
          <w:sz w:val="24"/>
          <w:szCs w:val="24"/>
          <w:highlight w:val="none"/>
        </w:rPr>
        <w:t>甲方有权对乙方的履约行为进行检查，并</w:t>
      </w:r>
      <w:r>
        <w:rPr>
          <w:rFonts w:ascii="宋体" w:hAnsi="宋体"/>
          <w:color w:val="000000"/>
          <w:sz w:val="24"/>
          <w:szCs w:val="24"/>
          <w:highlight w:val="none"/>
        </w:rPr>
        <w:t>及时确认乙方提交的事项</w:t>
      </w:r>
      <w:r>
        <w:rPr>
          <w:rFonts w:hint="eastAsia" w:ascii="宋体" w:hAnsi="宋体"/>
          <w:color w:val="000000"/>
          <w:sz w:val="24"/>
          <w:szCs w:val="24"/>
          <w:highlight w:val="none"/>
        </w:rPr>
        <w:t>。甲方应当</w:t>
      </w:r>
      <w:r>
        <w:rPr>
          <w:rFonts w:ascii="宋体" w:hAnsi="宋体"/>
          <w:color w:val="000000"/>
          <w:sz w:val="24"/>
          <w:szCs w:val="24"/>
          <w:highlight w:val="none"/>
        </w:rPr>
        <w:t>配合乙方完成</w:t>
      </w:r>
      <w:r>
        <w:rPr>
          <w:rFonts w:hint="eastAsia" w:ascii="宋体" w:hAnsi="宋体"/>
          <w:color w:val="000000"/>
          <w:sz w:val="24"/>
          <w:szCs w:val="24"/>
          <w:highlight w:val="none"/>
        </w:rPr>
        <w:t>相关项目</w:t>
      </w:r>
      <w:r>
        <w:rPr>
          <w:rFonts w:ascii="宋体" w:hAnsi="宋体"/>
          <w:color w:val="000000"/>
          <w:sz w:val="24"/>
          <w:szCs w:val="24"/>
          <w:highlight w:val="none"/>
        </w:rPr>
        <w:t>实施工作。</w:t>
      </w:r>
    </w:p>
    <w:p w14:paraId="6706F5F9">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 xml:space="preserve">4.2 </w:t>
      </w:r>
      <w:r>
        <w:rPr>
          <w:rFonts w:ascii="宋体" w:hAnsi="宋体"/>
          <w:color w:val="000000"/>
          <w:sz w:val="24"/>
          <w:szCs w:val="24"/>
          <w:highlight w:val="none"/>
        </w:rPr>
        <w:t>甲方有权要求乙方按时提交各阶段有关</w:t>
      </w:r>
      <w:r>
        <w:rPr>
          <w:rFonts w:hint="eastAsia" w:ascii="宋体" w:hAnsi="宋体"/>
          <w:color w:val="000000"/>
          <w:sz w:val="24"/>
          <w:szCs w:val="24"/>
          <w:highlight w:val="none"/>
        </w:rPr>
        <w:t>安排计划</w:t>
      </w:r>
      <w:r>
        <w:rPr>
          <w:rFonts w:ascii="宋体" w:hAnsi="宋体"/>
          <w:color w:val="000000"/>
          <w:sz w:val="24"/>
          <w:szCs w:val="24"/>
          <w:highlight w:val="none"/>
        </w:rPr>
        <w:t>，并有权</w:t>
      </w:r>
      <w:r>
        <w:rPr>
          <w:rFonts w:hint="eastAsia" w:ascii="宋体" w:hAnsi="宋体"/>
          <w:color w:val="000000"/>
          <w:sz w:val="24"/>
          <w:szCs w:val="24"/>
          <w:highlight w:val="none"/>
        </w:rPr>
        <w:t>定期核对乙方提供货物数量、规格、质量等内容。甲方</w:t>
      </w:r>
      <w:r>
        <w:rPr>
          <w:rFonts w:ascii="宋体" w:hAnsi="宋体"/>
          <w:color w:val="000000"/>
          <w:sz w:val="24"/>
          <w:szCs w:val="24"/>
          <w:highlight w:val="none"/>
        </w:rPr>
        <w:t>有权督促乙方工作并要求乙方</w:t>
      </w:r>
      <w:r>
        <w:rPr>
          <w:rFonts w:hint="eastAsia" w:ascii="宋体" w:hAnsi="宋体"/>
          <w:color w:val="000000"/>
          <w:sz w:val="24"/>
          <w:szCs w:val="24"/>
          <w:highlight w:val="none"/>
        </w:rPr>
        <w:t>更</w:t>
      </w:r>
      <w:r>
        <w:rPr>
          <w:rFonts w:ascii="宋体" w:hAnsi="宋体"/>
          <w:color w:val="000000"/>
          <w:sz w:val="24"/>
          <w:szCs w:val="24"/>
          <w:highlight w:val="none"/>
        </w:rPr>
        <w:t>换不符合要求的</w:t>
      </w:r>
      <w:r>
        <w:rPr>
          <w:rFonts w:hint="eastAsia" w:ascii="宋体" w:hAnsi="宋体"/>
          <w:color w:val="000000"/>
          <w:sz w:val="24"/>
          <w:szCs w:val="24"/>
          <w:highlight w:val="none"/>
        </w:rPr>
        <w:t>货物</w:t>
      </w:r>
      <w:r>
        <w:rPr>
          <w:rFonts w:ascii="宋体" w:hAnsi="宋体"/>
          <w:color w:val="000000"/>
          <w:sz w:val="24"/>
          <w:szCs w:val="24"/>
          <w:highlight w:val="none"/>
        </w:rPr>
        <w:t>。</w:t>
      </w:r>
    </w:p>
    <w:p w14:paraId="66047FB0">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4.</w:t>
      </w:r>
      <w:r>
        <w:rPr>
          <w:rFonts w:ascii="宋体" w:hAnsi="宋体"/>
          <w:color w:val="000000"/>
          <w:sz w:val="24"/>
          <w:szCs w:val="24"/>
          <w:highlight w:val="none"/>
        </w:rPr>
        <w:t>3</w:t>
      </w:r>
      <w:r>
        <w:rPr>
          <w:rFonts w:hint="eastAsia" w:ascii="宋体" w:hAnsi="宋体"/>
          <w:color w:val="000000"/>
          <w:sz w:val="24"/>
          <w:szCs w:val="24"/>
          <w:highlight w:val="none"/>
        </w:rPr>
        <w:t xml:space="preserve"> </w:t>
      </w:r>
      <w:r>
        <w:rPr>
          <w:rFonts w:ascii="宋体" w:hAnsi="宋体"/>
          <w:color w:val="000000"/>
          <w:sz w:val="24"/>
          <w:szCs w:val="24"/>
          <w:highlight w:val="none"/>
        </w:rPr>
        <w:t>甲方</w:t>
      </w:r>
      <w:r>
        <w:rPr>
          <w:rFonts w:hint="eastAsia" w:ascii="宋体" w:hAnsi="宋体"/>
          <w:color w:val="000000"/>
          <w:sz w:val="24"/>
          <w:szCs w:val="24"/>
          <w:highlight w:val="none"/>
        </w:rPr>
        <w:t>有权要求乙方对缺陷部分予以修复，并按合同约定享有货物保修及其他合同约定的权利。</w:t>
      </w:r>
    </w:p>
    <w:p w14:paraId="47E74CDE">
      <w:pPr>
        <w:snapToGrid w:val="0"/>
        <w:spacing w:line="400" w:lineRule="exact"/>
        <w:ind w:firstLine="480" w:firstLineChars="200"/>
        <w:rPr>
          <w:rFonts w:eastAsia="华文楷体"/>
          <w:sz w:val="24"/>
          <w:szCs w:val="24"/>
          <w:highlight w:val="none"/>
        </w:rPr>
      </w:pPr>
      <w:r>
        <w:rPr>
          <w:rFonts w:ascii="宋体" w:hAnsi="宋体"/>
          <w:color w:val="000000"/>
          <w:sz w:val="24"/>
          <w:szCs w:val="24"/>
          <w:highlight w:val="none"/>
        </w:rPr>
        <w:t>4.4 甲方应当按照合同约定及时对交付的货物进行验收</w:t>
      </w:r>
      <w:r>
        <w:rPr>
          <w:rFonts w:hint="eastAsia" w:ascii="宋体" w:hAnsi="宋体"/>
          <w:color w:val="000000"/>
          <w:sz w:val="24"/>
          <w:szCs w:val="24"/>
          <w:highlight w:val="none"/>
        </w:rPr>
        <w:t>，</w:t>
      </w:r>
      <w:r>
        <w:rPr>
          <w:rFonts w:hint="eastAsia" w:ascii="宋体" w:hAnsi="宋体" w:cs="宋体"/>
          <w:sz w:val="24"/>
          <w:szCs w:val="24"/>
          <w:highlight w:val="none"/>
        </w:rPr>
        <w:t>未</w:t>
      </w:r>
      <w:r>
        <w:rPr>
          <w:rFonts w:hint="eastAsia" w:ascii="宋体" w:hAnsi="宋体"/>
          <w:color w:val="000000"/>
          <w:sz w:val="24"/>
          <w:szCs w:val="24"/>
          <w:highlight w:val="none"/>
        </w:rPr>
        <w:t>在</w:t>
      </w:r>
      <w:r>
        <w:rPr>
          <w:rFonts w:hint="eastAsia" w:ascii="宋体" w:hAnsi="宋体" w:cs="宋体"/>
          <w:b/>
          <w:bCs/>
          <w:sz w:val="24"/>
          <w:szCs w:val="24"/>
          <w:highlight w:val="none"/>
        </w:rPr>
        <w:t>【政府采购合同专用条款】</w:t>
      </w:r>
      <w:r>
        <w:rPr>
          <w:rFonts w:hint="eastAsia" w:ascii="宋体" w:hAnsi="宋体" w:cs="宋体"/>
          <w:sz w:val="24"/>
          <w:szCs w:val="24"/>
          <w:highlight w:val="none"/>
        </w:rPr>
        <w:t>约定的期限内对乙方履约提出任何异议或者向乙方作出任何说明的，</w:t>
      </w:r>
      <w:r>
        <w:rPr>
          <w:rFonts w:hint="eastAsia" w:ascii="宋体" w:hAnsi="宋体"/>
          <w:color w:val="000000"/>
          <w:sz w:val="24"/>
          <w:szCs w:val="24"/>
          <w:highlight w:val="none"/>
        </w:rPr>
        <w:t>视为验收通过。</w:t>
      </w:r>
    </w:p>
    <w:p w14:paraId="005CEBDA">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ascii="宋体" w:hAnsi="宋体"/>
          <w:color w:val="000000"/>
          <w:sz w:val="24"/>
          <w:szCs w:val="24"/>
          <w:highlight w:val="none"/>
        </w:rPr>
        <w:t>4</w:t>
      </w:r>
      <w:r>
        <w:rPr>
          <w:rFonts w:hint="eastAsia" w:ascii="宋体" w:hAnsi="宋体"/>
          <w:color w:val="000000"/>
          <w:sz w:val="24"/>
          <w:szCs w:val="24"/>
          <w:highlight w:val="none"/>
        </w:rPr>
        <w:t>.</w:t>
      </w:r>
      <w:r>
        <w:rPr>
          <w:rFonts w:ascii="宋体" w:hAnsi="宋体"/>
          <w:color w:val="000000"/>
          <w:sz w:val="24"/>
          <w:szCs w:val="24"/>
          <w:highlight w:val="none"/>
        </w:rPr>
        <w:t xml:space="preserve">5 </w:t>
      </w:r>
      <w:r>
        <w:rPr>
          <w:rFonts w:hint="eastAsia" w:ascii="宋体" w:hAnsi="宋体"/>
          <w:color w:val="000000"/>
          <w:sz w:val="24"/>
          <w:szCs w:val="24"/>
          <w:highlight w:val="none"/>
        </w:rPr>
        <w:t>甲方应当根据合同约定及时向乙方支付合同价款</w:t>
      </w:r>
      <w:r>
        <w:rPr>
          <w:rFonts w:ascii="宋体" w:hAnsi="宋体"/>
          <w:color w:val="000000"/>
          <w:sz w:val="24"/>
          <w:szCs w:val="24"/>
          <w:highlight w:val="none"/>
        </w:rPr>
        <w:t>，不得以内部人员变更、履行内部付款流程等为由，拒绝或迟延支付。</w:t>
      </w:r>
    </w:p>
    <w:p w14:paraId="5036DE26">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4.6</w:t>
      </w:r>
      <w:r>
        <w:rPr>
          <w:rFonts w:ascii="宋体" w:hAnsi="宋体"/>
          <w:color w:val="000000"/>
          <w:sz w:val="24"/>
          <w:szCs w:val="24"/>
          <w:highlight w:val="none"/>
        </w:rPr>
        <w:t xml:space="preserve"> </w:t>
      </w:r>
      <w:r>
        <w:rPr>
          <w:rFonts w:hint="eastAsia" w:ascii="宋体" w:hAnsi="宋体"/>
          <w:color w:val="000000"/>
          <w:sz w:val="24"/>
          <w:szCs w:val="24"/>
          <w:highlight w:val="none"/>
        </w:rPr>
        <w:t>国家法律法规规定及</w:t>
      </w:r>
      <w:r>
        <w:rPr>
          <w:rFonts w:hint="eastAsia" w:ascii="宋体" w:hAnsi="宋体" w:cs="宋体"/>
          <w:b/>
          <w:bCs/>
          <w:sz w:val="24"/>
          <w:szCs w:val="24"/>
          <w:highlight w:val="none"/>
        </w:rPr>
        <w:t>【政府采购合同专用条款】</w:t>
      </w:r>
      <w:r>
        <w:rPr>
          <w:rFonts w:hint="eastAsia" w:ascii="宋体" w:hAnsi="宋体"/>
          <w:color w:val="000000"/>
          <w:sz w:val="24"/>
          <w:szCs w:val="24"/>
          <w:highlight w:val="none"/>
        </w:rPr>
        <w:t>约定应由甲方承担的其他义务和责任。</w:t>
      </w:r>
    </w:p>
    <w:p w14:paraId="6C50A49D">
      <w:pPr>
        <w:autoSpaceDE w:val="0"/>
        <w:autoSpaceDN w:val="0"/>
        <w:adjustRightInd w:val="0"/>
        <w:snapToGrid w:val="0"/>
        <w:spacing w:line="400" w:lineRule="exact"/>
        <w:jc w:val="left"/>
        <w:rPr>
          <w:rFonts w:ascii="宋体" w:hAnsi="宋体"/>
          <w:b/>
          <w:bCs/>
          <w:color w:val="000000"/>
          <w:sz w:val="24"/>
          <w:szCs w:val="24"/>
          <w:highlight w:val="none"/>
        </w:rPr>
      </w:pPr>
      <w:r>
        <w:rPr>
          <w:rFonts w:hint="eastAsia" w:ascii="宋体" w:hAnsi="宋体"/>
          <w:b/>
          <w:bCs/>
          <w:color w:val="000000"/>
          <w:sz w:val="24"/>
          <w:szCs w:val="24"/>
          <w:highlight w:val="none"/>
        </w:rPr>
        <w:t>5. 乙方的权利和义务</w:t>
      </w:r>
    </w:p>
    <w:p w14:paraId="3B69566F">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 xml:space="preserve">5.1 </w:t>
      </w:r>
      <w:r>
        <w:rPr>
          <w:rFonts w:ascii="宋体" w:hAnsi="宋体"/>
          <w:color w:val="000000"/>
          <w:sz w:val="24"/>
          <w:szCs w:val="24"/>
          <w:highlight w:val="none"/>
        </w:rPr>
        <w:t>签署合同后，乙方</w:t>
      </w:r>
      <w:r>
        <w:rPr>
          <w:rFonts w:hint="eastAsia" w:ascii="宋体" w:hAnsi="宋体"/>
          <w:color w:val="000000"/>
          <w:sz w:val="24"/>
          <w:szCs w:val="24"/>
          <w:highlight w:val="none"/>
        </w:rPr>
        <w:t>应</w:t>
      </w:r>
      <w:r>
        <w:rPr>
          <w:rFonts w:ascii="宋体" w:hAnsi="宋体"/>
          <w:color w:val="000000"/>
          <w:sz w:val="24"/>
          <w:szCs w:val="24"/>
          <w:highlight w:val="none"/>
        </w:rPr>
        <w:t>确定</w:t>
      </w:r>
      <w:r>
        <w:rPr>
          <w:rFonts w:hint="eastAsia" w:ascii="宋体" w:hAnsi="宋体"/>
          <w:color w:val="000000"/>
          <w:sz w:val="24"/>
          <w:szCs w:val="24"/>
          <w:highlight w:val="none"/>
        </w:rPr>
        <w:t>项目负责人（或项目联系人）</w:t>
      </w:r>
      <w:r>
        <w:rPr>
          <w:rFonts w:ascii="宋体" w:hAnsi="宋体"/>
          <w:color w:val="000000"/>
          <w:sz w:val="24"/>
          <w:szCs w:val="24"/>
          <w:highlight w:val="none"/>
        </w:rPr>
        <w:t>，负责与本合同有关的事务。</w:t>
      </w:r>
    </w:p>
    <w:p w14:paraId="4CCB8E3F">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5.</w:t>
      </w:r>
      <w:r>
        <w:rPr>
          <w:rFonts w:ascii="宋体" w:hAnsi="宋体"/>
          <w:color w:val="000000"/>
          <w:sz w:val="24"/>
          <w:szCs w:val="24"/>
          <w:highlight w:val="none"/>
        </w:rPr>
        <w:t>2 乙方应按照合同要求</w:t>
      </w:r>
      <w:r>
        <w:rPr>
          <w:rFonts w:hint="eastAsia" w:ascii="宋体" w:hAnsi="宋体"/>
          <w:color w:val="000000"/>
          <w:sz w:val="24"/>
          <w:szCs w:val="24"/>
          <w:highlight w:val="none"/>
        </w:rPr>
        <w:t>履约</w:t>
      </w:r>
      <w:r>
        <w:rPr>
          <w:rFonts w:ascii="宋体" w:hAnsi="宋体"/>
          <w:color w:val="000000"/>
          <w:sz w:val="24"/>
          <w:szCs w:val="24"/>
          <w:highlight w:val="none"/>
        </w:rPr>
        <w:t>，充分合理安排，确保</w:t>
      </w:r>
      <w:r>
        <w:rPr>
          <w:rFonts w:hint="eastAsia" w:ascii="宋体" w:hAnsi="宋体"/>
          <w:color w:val="000000"/>
          <w:sz w:val="24"/>
          <w:szCs w:val="24"/>
          <w:highlight w:val="none"/>
        </w:rPr>
        <w:t>提供的货物及相关服务符合合同有关</w:t>
      </w:r>
      <w:r>
        <w:rPr>
          <w:rFonts w:ascii="宋体" w:hAnsi="宋体"/>
          <w:color w:val="000000"/>
          <w:sz w:val="24"/>
          <w:szCs w:val="24"/>
          <w:highlight w:val="none"/>
        </w:rPr>
        <w:t>要求</w:t>
      </w:r>
      <w:r>
        <w:rPr>
          <w:rFonts w:hint="eastAsia" w:ascii="宋体" w:hAnsi="宋体"/>
          <w:color w:val="000000"/>
          <w:sz w:val="24"/>
          <w:szCs w:val="24"/>
          <w:highlight w:val="none"/>
        </w:rPr>
        <w:t>。接受项目行业管理部门及政府有关部门的指导，配合甲方的履约检查及验收，并</w:t>
      </w:r>
      <w:r>
        <w:rPr>
          <w:rFonts w:ascii="宋体" w:hAnsi="宋体"/>
          <w:color w:val="000000"/>
          <w:sz w:val="24"/>
          <w:szCs w:val="24"/>
          <w:highlight w:val="none"/>
        </w:rPr>
        <w:t>负责项目实施过程中的所有协调工作。</w:t>
      </w:r>
    </w:p>
    <w:p w14:paraId="11CEA75B">
      <w:pPr>
        <w:autoSpaceDE w:val="0"/>
        <w:autoSpaceDN w:val="0"/>
        <w:adjustRightInd w:val="0"/>
        <w:snapToGrid w:val="0"/>
        <w:spacing w:line="400" w:lineRule="exact"/>
        <w:ind w:firstLine="480" w:firstLineChars="200"/>
        <w:jc w:val="left"/>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5.3乙方有权根据合同约定向甲方收取合同价款。</w:t>
      </w:r>
    </w:p>
    <w:p w14:paraId="710A3752">
      <w:pPr>
        <w:autoSpaceDE w:val="0"/>
        <w:autoSpaceDN w:val="0"/>
        <w:adjustRightInd w:val="0"/>
        <w:snapToGrid w:val="0"/>
        <w:spacing w:line="400" w:lineRule="exact"/>
        <w:ind w:firstLine="480" w:firstLineChars="200"/>
        <w:jc w:val="left"/>
        <w:rPr>
          <w:rFonts w:ascii="宋体" w:hAnsi="宋体" w:cs="宋体"/>
          <w:color w:val="000000"/>
          <w:sz w:val="24"/>
          <w:szCs w:val="24"/>
          <w:highlight w:val="none"/>
        </w:rPr>
      </w:pPr>
      <w:r>
        <w:rPr>
          <w:rFonts w:hint="eastAsia" w:ascii="宋体" w:hAnsi="宋体" w:eastAsia="宋体" w:cs="Times New Roman"/>
          <w:color w:val="000000"/>
          <w:sz w:val="24"/>
          <w:szCs w:val="24"/>
          <w:highlight w:val="none"/>
        </w:rPr>
        <w:t>5.4国家法律法规规定及【政府采购合同专用条款】约定应由乙方承担的其他义务和责任。</w:t>
      </w:r>
    </w:p>
    <w:p w14:paraId="192EDA17">
      <w:pPr>
        <w:numPr>
          <w:ilvl w:val="0"/>
          <w:numId w:val="29"/>
        </w:numPr>
        <w:autoSpaceDE w:val="0"/>
        <w:autoSpaceDN w:val="0"/>
        <w:adjustRightInd w:val="0"/>
        <w:snapToGrid w:val="0"/>
        <w:spacing w:line="400" w:lineRule="exact"/>
        <w:jc w:val="left"/>
        <w:rPr>
          <w:rFonts w:ascii="宋体" w:hAnsi="宋体"/>
          <w:b/>
          <w:bCs/>
          <w:color w:val="000000"/>
          <w:sz w:val="24"/>
          <w:szCs w:val="24"/>
          <w:highlight w:val="none"/>
        </w:rPr>
      </w:pPr>
      <w:r>
        <w:rPr>
          <w:rFonts w:hint="eastAsia" w:ascii="宋体" w:hAnsi="宋体"/>
          <w:b/>
          <w:bCs/>
          <w:color w:val="000000"/>
          <w:sz w:val="24"/>
          <w:szCs w:val="24"/>
          <w:highlight w:val="none"/>
        </w:rPr>
        <w:t>合同履行</w:t>
      </w:r>
    </w:p>
    <w:p w14:paraId="22D216A3">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6.1 甲乙双方应当按照</w:t>
      </w:r>
      <w:r>
        <w:rPr>
          <w:rFonts w:hint="eastAsia" w:ascii="宋体" w:hAnsi="宋体" w:cs="宋体"/>
          <w:b/>
          <w:bCs/>
          <w:sz w:val="24"/>
          <w:szCs w:val="24"/>
          <w:highlight w:val="none"/>
        </w:rPr>
        <w:t>【政府采购合同专用条款】</w:t>
      </w:r>
      <w:r>
        <w:rPr>
          <w:rFonts w:hint="eastAsia" w:ascii="宋体" w:hAnsi="宋体"/>
          <w:color w:val="000000"/>
          <w:sz w:val="24"/>
          <w:szCs w:val="24"/>
          <w:highlight w:val="none"/>
        </w:rPr>
        <w:t>约定顺序履行合同义务；如果没有先后顺序的，应当同时履行。</w:t>
      </w:r>
    </w:p>
    <w:p w14:paraId="0452AFD8">
      <w:pPr>
        <w:autoSpaceDE w:val="0"/>
        <w:autoSpaceDN w:val="0"/>
        <w:adjustRightInd w:val="0"/>
        <w:snapToGrid w:val="0"/>
        <w:spacing w:line="400" w:lineRule="exact"/>
        <w:ind w:firstLine="480" w:firstLineChars="200"/>
        <w:jc w:val="left"/>
        <w:rPr>
          <w:sz w:val="24"/>
          <w:szCs w:val="24"/>
          <w:highlight w:val="none"/>
        </w:rPr>
      </w:pPr>
      <w:r>
        <w:rPr>
          <w:rFonts w:hint="eastAsia" w:ascii="宋体" w:hAnsi="宋体"/>
          <w:color w:val="000000"/>
          <w:sz w:val="24"/>
          <w:szCs w:val="24"/>
          <w:highlight w:val="none"/>
        </w:rPr>
        <w:t>6.2 甲乙双方按照合同约定顺序履行合同义务时，应当先履行一方未履行的，后履行一方有权拒绝其履行请求。先履行一方履行不符合约定的，后履行一方有权拒绝其相应的履行请求。</w:t>
      </w:r>
    </w:p>
    <w:p w14:paraId="42BD9F03">
      <w:pPr>
        <w:adjustRightInd w:val="0"/>
        <w:snapToGrid w:val="0"/>
        <w:spacing w:line="400" w:lineRule="exact"/>
        <w:jc w:val="left"/>
        <w:rPr>
          <w:rFonts w:ascii="宋体" w:hAnsi="宋体"/>
          <w:b/>
          <w:bCs/>
          <w:color w:val="000000"/>
          <w:sz w:val="24"/>
          <w:szCs w:val="24"/>
          <w:highlight w:val="none"/>
        </w:rPr>
      </w:pPr>
      <w:r>
        <w:rPr>
          <w:rFonts w:hint="eastAsia" w:ascii="宋体" w:hAnsi="宋体"/>
          <w:b/>
          <w:bCs/>
          <w:color w:val="000000"/>
          <w:sz w:val="24"/>
          <w:szCs w:val="24"/>
          <w:highlight w:val="none"/>
        </w:rPr>
        <w:t>7. 货物包装、运输、保险和交付要求</w:t>
      </w:r>
    </w:p>
    <w:p w14:paraId="3473CA7D">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7.1 本合同</w:t>
      </w:r>
      <w:r>
        <w:rPr>
          <w:rFonts w:hint="eastAsia" w:ascii="宋体" w:hAnsi="宋体"/>
          <w:bCs/>
          <w:color w:val="000000"/>
          <w:sz w:val="24"/>
          <w:szCs w:val="24"/>
          <w:highlight w:val="none"/>
        </w:rPr>
        <w:t>涉及商品包装、快递包装的，</w:t>
      </w:r>
      <w:r>
        <w:rPr>
          <w:rFonts w:hint="eastAsia" w:ascii="宋体" w:hAnsi="宋体"/>
          <w:color w:val="000000"/>
          <w:sz w:val="24"/>
          <w:szCs w:val="24"/>
          <w:highlight w:val="none"/>
        </w:rPr>
        <w:t>除</w:t>
      </w:r>
      <w:r>
        <w:rPr>
          <w:rFonts w:hint="eastAsia" w:ascii="宋体" w:hAnsi="宋体"/>
          <w:b/>
          <w:color w:val="000000"/>
          <w:sz w:val="24"/>
          <w:szCs w:val="24"/>
          <w:highlight w:val="none"/>
        </w:rPr>
        <w:t>【政府采购合同专用条款】</w:t>
      </w:r>
      <w:r>
        <w:rPr>
          <w:rFonts w:hint="eastAsia" w:ascii="宋体" w:hAnsi="宋体"/>
          <w:bCs/>
          <w:color w:val="000000"/>
          <w:sz w:val="24"/>
          <w:szCs w:val="24"/>
          <w:highlight w:val="none"/>
        </w:rPr>
        <w:t>另有约定外，</w:t>
      </w:r>
      <w:r>
        <w:rPr>
          <w:rFonts w:hint="eastAsia" w:ascii="宋体" w:hAnsi="宋体"/>
          <w:color w:val="000000"/>
          <w:sz w:val="24"/>
          <w:szCs w:val="24"/>
          <w:highlight w:val="none"/>
        </w:rPr>
        <w:t>包装应适应远距离运输、防潮、防震、防锈和防野蛮装卸等要求，确保货物安全无损地运抵</w:t>
      </w:r>
      <w:r>
        <w:rPr>
          <w:rFonts w:hint="eastAsia" w:ascii="宋体" w:hAnsi="宋体"/>
          <w:b/>
          <w:color w:val="000000"/>
          <w:sz w:val="24"/>
          <w:szCs w:val="24"/>
          <w:highlight w:val="none"/>
        </w:rPr>
        <w:t>【政府采购合同专用条款】</w:t>
      </w:r>
      <w:r>
        <w:rPr>
          <w:rFonts w:hint="eastAsia" w:ascii="宋体" w:hAnsi="宋体"/>
          <w:bCs/>
          <w:color w:val="000000"/>
          <w:sz w:val="24"/>
          <w:szCs w:val="24"/>
          <w:highlight w:val="none"/>
        </w:rPr>
        <w:t>约定的</w:t>
      </w:r>
      <w:r>
        <w:rPr>
          <w:rFonts w:hint="eastAsia" w:ascii="宋体" w:hAnsi="宋体"/>
          <w:color w:val="000000"/>
          <w:sz w:val="24"/>
          <w:szCs w:val="24"/>
          <w:highlight w:val="none"/>
        </w:rPr>
        <w:t>指定现场。</w:t>
      </w:r>
    </w:p>
    <w:p w14:paraId="651C8657">
      <w:pPr>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7.2 除</w:t>
      </w:r>
      <w:r>
        <w:rPr>
          <w:rFonts w:hint="eastAsia" w:ascii="宋体" w:hAnsi="宋体"/>
          <w:b/>
          <w:color w:val="000000"/>
          <w:sz w:val="24"/>
          <w:szCs w:val="24"/>
          <w:highlight w:val="none"/>
        </w:rPr>
        <w:t>【政府采购合同专用条款】</w:t>
      </w:r>
      <w:r>
        <w:rPr>
          <w:rFonts w:hint="eastAsia" w:ascii="宋体" w:hAnsi="宋体"/>
          <w:bCs/>
          <w:color w:val="000000"/>
          <w:sz w:val="24"/>
          <w:szCs w:val="24"/>
          <w:highlight w:val="none"/>
        </w:rPr>
        <w:t>另有约定外，</w:t>
      </w:r>
      <w:r>
        <w:rPr>
          <w:rFonts w:hint="eastAsia" w:ascii="宋体" w:hAnsi="宋体"/>
          <w:color w:val="000000"/>
          <w:sz w:val="24"/>
          <w:szCs w:val="24"/>
          <w:highlight w:val="none"/>
        </w:rPr>
        <w:t>乙方负责办理将货物运抵本合同规定的交货地点，并装卸、交付至甲方的一切运输事项，相关费用应包含在合同价款中。</w:t>
      </w:r>
    </w:p>
    <w:p w14:paraId="4791D0E1">
      <w:pPr>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7.3 货物保险要求按</w:t>
      </w:r>
      <w:r>
        <w:rPr>
          <w:rFonts w:hint="eastAsia" w:ascii="宋体" w:hAnsi="宋体"/>
          <w:b/>
          <w:color w:val="000000"/>
          <w:sz w:val="24"/>
          <w:szCs w:val="24"/>
          <w:highlight w:val="none"/>
        </w:rPr>
        <w:t>【政府采购合同专用条款】</w:t>
      </w:r>
      <w:r>
        <w:rPr>
          <w:rFonts w:hint="eastAsia" w:ascii="宋体" w:hAnsi="宋体"/>
          <w:bCs/>
          <w:color w:val="000000"/>
          <w:sz w:val="24"/>
          <w:szCs w:val="24"/>
          <w:highlight w:val="none"/>
        </w:rPr>
        <w:t>规定执行</w:t>
      </w:r>
      <w:r>
        <w:rPr>
          <w:rFonts w:hint="eastAsia" w:ascii="宋体" w:hAnsi="宋体"/>
          <w:color w:val="000000"/>
          <w:sz w:val="24"/>
          <w:szCs w:val="24"/>
          <w:highlight w:val="none"/>
        </w:rPr>
        <w:t>。</w:t>
      </w:r>
    </w:p>
    <w:p w14:paraId="3C9A9158">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5418247">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 xml:space="preserve">7.5 </w:t>
      </w:r>
      <w:r>
        <w:rPr>
          <w:rFonts w:hint="eastAsia" w:ascii="宋体" w:hAnsi="宋体" w:cs="宋体"/>
          <w:color w:val="000000"/>
          <w:sz w:val="24"/>
          <w:szCs w:val="24"/>
          <w:highlight w:val="none"/>
        </w:rPr>
        <w:t>乙方在运输到达之前应提前通知甲方，并提示货物运输装卸的注意事项，甲方配合乙方做好货物的接收工作。</w:t>
      </w:r>
    </w:p>
    <w:p w14:paraId="76A3E121">
      <w:pPr>
        <w:pStyle w:val="141"/>
        <w:ind w:firstLine="420"/>
        <w:rPr>
          <w:sz w:val="24"/>
          <w:szCs w:val="24"/>
          <w:highlight w:val="none"/>
        </w:rPr>
      </w:pPr>
      <w:r>
        <w:rPr>
          <w:rFonts w:hint="eastAsia" w:ascii="宋体" w:hAnsi="宋体" w:eastAsia="宋体" w:cs="Times New Roman"/>
          <w:color w:val="000000"/>
          <w:kern w:val="2"/>
          <w:sz w:val="24"/>
          <w:szCs w:val="24"/>
          <w:highlight w:val="none"/>
        </w:rPr>
        <w:t>7.6 如因包装、运输问题导致货物损毁、丢失或者品质下降，甲方有权要求降价、换货、拒收部分或整批货物，由此产生的费用和损失，均由乙方承担。</w:t>
      </w:r>
    </w:p>
    <w:p w14:paraId="27450E68">
      <w:pPr>
        <w:adjustRightInd w:val="0"/>
        <w:snapToGrid w:val="0"/>
        <w:spacing w:line="400" w:lineRule="exact"/>
        <w:jc w:val="left"/>
        <w:rPr>
          <w:rFonts w:ascii="宋体" w:hAnsi="宋体"/>
          <w:b/>
          <w:sz w:val="24"/>
          <w:szCs w:val="24"/>
          <w:highlight w:val="none"/>
        </w:rPr>
      </w:pPr>
      <w:r>
        <w:rPr>
          <w:rFonts w:hint="eastAsia" w:ascii="宋体" w:hAnsi="宋体"/>
          <w:b/>
          <w:color w:val="000000"/>
          <w:sz w:val="24"/>
          <w:szCs w:val="24"/>
          <w:highlight w:val="none"/>
        </w:rPr>
        <w:t xml:space="preserve">8. </w:t>
      </w:r>
      <w:r>
        <w:rPr>
          <w:rFonts w:hint="eastAsia" w:ascii="宋体" w:hAnsi="宋体"/>
          <w:b/>
          <w:sz w:val="24"/>
          <w:szCs w:val="24"/>
          <w:highlight w:val="none"/>
        </w:rPr>
        <w:t>质量标准和保证</w:t>
      </w:r>
    </w:p>
    <w:p w14:paraId="26C45323">
      <w:pPr>
        <w:pStyle w:val="43"/>
        <w:adjustRightInd w:val="0"/>
        <w:snapToGrid w:val="0"/>
        <w:spacing w:line="400" w:lineRule="exact"/>
        <w:ind w:firstLine="480" w:firstLineChars="200"/>
        <w:jc w:val="left"/>
        <w:rPr>
          <w:rFonts w:hAnsi="宋体"/>
          <w:b/>
          <w:sz w:val="24"/>
          <w:szCs w:val="24"/>
          <w:highlight w:val="none"/>
        </w:rPr>
      </w:pPr>
      <w:r>
        <w:rPr>
          <w:rFonts w:hint="eastAsia" w:hAnsi="宋体"/>
          <w:sz w:val="24"/>
          <w:szCs w:val="24"/>
          <w:highlight w:val="none"/>
        </w:rPr>
        <w:t>8.1 质量标准</w:t>
      </w:r>
    </w:p>
    <w:p w14:paraId="04317A79">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（1）本合同下提供的货物应符合合同</w:t>
      </w:r>
      <w:r>
        <w:rPr>
          <w:rFonts w:hint="eastAsia" w:ascii="宋体" w:hAnsi="宋体" w:cs="宋体"/>
          <w:color w:val="000000"/>
          <w:sz w:val="24"/>
          <w:szCs w:val="24"/>
          <w:highlight w:val="none"/>
        </w:rPr>
        <w:t>约定的</w:t>
      </w:r>
      <w:r>
        <w:rPr>
          <w:rFonts w:hint="eastAsia" w:ascii="宋体" w:hAnsi="宋体" w:cs="宋体"/>
          <w:sz w:val="24"/>
          <w:szCs w:val="24"/>
          <w:highlight w:val="none"/>
        </w:rPr>
        <w:t>品牌、规格型号、技术性能、配置、质量、数量等要求。</w:t>
      </w:r>
      <w:r>
        <w:rPr>
          <w:rFonts w:hint="eastAsia" w:ascii="宋体" w:hAnsi="宋体"/>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0739847">
      <w:pPr>
        <w:pStyle w:val="43"/>
        <w:adjustRightInd w:val="0"/>
        <w:snapToGrid w:val="0"/>
        <w:spacing w:line="400" w:lineRule="exact"/>
        <w:ind w:firstLine="480" w:firstLineChars="200"/>
        <w:jc w:val="left"/>
        <w:rPr>
          <w:rFonts w:hAnsi="宋体"/>
          <w:sz w:val="24"/>
          <w:szCs w:val="24"/>
          <w:highlight w:val="none"/>
        </w:rPr>
      </w:pPr>
      <w:r>
        <w:rPr>
          <w:rFonts w:hint="eastAsia" w:hAnsi="宋体"/>
          <w:sz w:val="24"/>
          <w:szCs w:val="24"/>
          <w:highlight w:val="none"/>
        </w:rPr>
        <w:t>（2）采用中华人民共和国法定计量单位。</w:t>
      </w:r>
    </w:p>
    <w:p w14:paraId="327D2E7C">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（3）乙方所提供的货物应符合国家有关安全、环保、卫生的规定。</w:t>
      </w:r>
    </w:p>
    <w:p w14:paraId="66ABE38F">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（4）乙方应向甲方提交所提供货物的技术文件，包括相应的中文技术文件，如：产品目录、图纸、操作手册、使用说明、维护手册或服务指南等。上述文件应包装好随货物一同发运。</w:t>
      </w:r>
    </w:p>
    <w:p w14:paraId="2165C312">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8.2 保证</w:t>
      </w:r>
    </w:p>
    <w:p w14:paraId="787E91C5">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（1）乙方应保证提供的货物完全符合合同规定的质量、规格和性能要求。乙方应保证货物在正确安装、正常使用和保养条件下，</w:t>
      </w:r>
      <w:r>
        <w:rPr>
          <w:rFonts w:hint="eastAsia" w:ascii="宋体" w:hAnsi="宋体" w:cs="宋体"/>
          <w:sz w:val="24"/>
          <w:szCs w:val="24"/>
          <w:highlight w:val="none"/>
        </w:rPr>
        <w:t>在其使用寿命期内具备合同约定的性能</w:t>
      </w:r>
      <w:r>
        <w:rPr>
          <w:rFonts w:hint="eastAsia" w:ascii="宋体" w:hAnsi="宋体"/>
          <w:sz w:val="24"/>
          <w:szCs w:val="24"/>
          <w:highlight w:val="none"/>
        </w:rPr>
        <w:t>。存在质量保证期的，货物最终交付验收合格后在</w:t>
      </w:r>
      <w:r>
        <w:rPr>
          <w:rFonts w:hint="eastAsia" w:ascii="宋体" w:hAnsi="宋体"/>
          <w:b/>
          <w:sz w:val="24"/>
          <w:szCs w:val="24"/>
          <w:highlight w:val="none"/>
        </w:rPr>
        <w:t>【政府采购合同专用条款】</w:t>
      </w:r>
      <w:r>
        <w:rPr>
          <w:rFonts w:hint="eastAsia" w:ascii="宋体" w:hAnsi="宋体"/>
          <w:sz w:val="24"/>
          <w:szCs w:val="24"/>
          <w:highlight w:val="none"/>
        </w:rPr>
        <w:t>规定或乙方书面承诺（两者以较长的为准）的质量保证期内，本保证保持有效。</w:t>
      </w:r>
    </w:p>
    <w:p w14:paraId="1474F4C2">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（2）在质量保证期内所发现的缺陷，甲方应尽快以书面形式通知乙方。</w:t>
      </w:r>
    </w:p>
    <w:p w14:paraId="2E6C2AFD">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（3）乙方收到通知后，应在</w:t>
      </w:r>
      <w:r>
        <w:rPr>
          <w:rFonts w:hint="eastAsia" w:ascii="宋体" w:hAnsi="宋体"/>
          <w:b/>
          <w:sz w:val="24"/>
          <w:szCs w:val="24"/>
          <w:highlight w:val="none"/>
        </w:rPr>
        <w:t>【政府采购合同专用条款】</w:t>
      </w:r>
      <w:r>
        <w:rPr>
          <w:rFonts w:hint="eastAsia" w:ascii="宋体" w:hAnsi="宋体"/>
          <w:sz w:val="24"/>
          <w:szCs w:val="24"/>
          <w:highlight w:val="none"/>
        </w:rPr>
        <w:t>规定的响应时间内以合理的速度免费维修或更换有缺陷的货物或部件。</w:t>
      </w:r>
    </w:p>
    <w:p w14:paraId="522BEBB2">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 w:val="24"/>
          <w:szCs w:val="24"/>
          <w:highlight w:val="none"/>
        </w:rPr>
        <w:t>5</w:t>
      </w:r>
      <w:r>
        <w:rPr>
          <w:rFonts w:hint="eastAsia" w:ascii="宋体" w:hAnsi="宋体"/>
          <w:sz w:val="24"/>
          <w:szCs w:val="24"/>
          <w:highlight w:val="none"/>
        </w:rPr>
        <w:t>.1条规定以书面形式</w:t>
      </w:r>
      <w:r>
        <w:rPr>
          <w:rFonts w:hint="eastAsia" w:ascii="宋体" w:hAnsi="宋体"/>
          <w:color w:val="000000"/>
          <w:sz w:val="24"/>
          <w:szCs w:val="24"/>
          <w:highlight w:val="none"/>
        </w:rPr>
        <w:t>追究</w:t>
      </w:r>
      <w:r>
        <w:rPr>
          <w:rFonts w:hint="eastAsia" w:ascii="宋体" w:hAnsi="宋体"/>
          <w:sz w:val="24"/>
          <w:szCs w:val="24"/>
          <w:highlight w:val="none"/>
        </w:rPr>
        <w:t>乙方</w:t>
      </w:r>
      <w:r>
        <w:rPr>
          <w:rFonts w:hint="eastAsia" w:ascii="宋体" w:hAnsi="宋体"/>
          <w:color w:val="000000"/>
          <w:sz w:val="24"/>
          <w:szCs w:val="24"/>
          <w:highlight w:val="none"/>
        </w:rPr>
        <w:t>的违约责任</w:t>
      </w:r>
      <w:r>
        <w:rPr>
          <w:rFonts w:hint="eastAsia" w:ascii="宋体" w:hAnsi="宋体"/>
          <w:sz w:val="24"/>
          <w:szCs w:val="24"/>
          <w:highlight w:val="none"/>
        </w:rPr>
        <w:t>。</w:t>
      </w:r>
    </w:p>
    <w:p w14:paraId="6A82D74F">
      <w:pPr>
        <w:adjustRightInd w:val="0"/>
        <w:snapToGrid w:val="0"/>
        <w:spacing w:line="400" w:lineRule="exact"/>
        <w:ind w:firstLine="480" w:firstLineChars="200"/>
        <w:jc w:val="left"/>
        <w:rPr>
          <w:sz w:val="24"/>
          <w:szCs w:val="24"/>
          <w:highlight w:val="none"/>
        </w:rPr>
      </w:pPr>
      <w:r>
        <w:rPr>
          <w:rFonts w:hint="eastAsia" w:ascii="宋体" w:hAnsi="宋体"/>
          <w:sz w:val="24"/>
          <w:szCs w:val="24"/>
          <w:highlight w:val="none"/>
        </w:rPr>
        <w:t>（5）乙方在约定的时间内未能弥补缺陷，甲方可采取必要的补救措施，但其风险和费用将由乙方承担，甲方根据合同约定对乙方行使的其他权利不受影响。</w:t>
      </w:r>
    </w:p>
    <w:p w14:paraId="61574737">
      <w:pPr>
        <w:adjustRightInd w:val="0"/>
        <w:snapToGrid w:val="0"/>
        <w:spacing w:line="400" w:lineRule="exact"/>
        <w:jc w:val="left"/>
        <w:rPr>
          <w:rFonts w:ascii="宋体" w:hAnsi="宋体"/>
          <w:b/>
          <w:bCs/>
          <w:sz w:val="24"/>
          <w:szCs w:val="24"/>
          <w:highlight w:val="none"/>
        </w:rPr>
      </w:pPr>
      <w:r>
        <w:rPr>
          <w:rFonts w:hint="eastAsia" w:ascii="宋体" w:hAnsi="宋体"/>
          <w:b/>
          <w:bCs/>
          <w:color w:val="000000"/>
          <w:sz w:val="24"/>
          <w:szCs w:val="24"/>
          <w:highlight w:val="none"/>
        </w:rPr>
        <w:t>9</w:t>
      </w:r>
      <w:r>
        <w:rPr>
          <w:rFonts w:hint="eastAsia" w:ascii="宋体" w:hAnsi="宋体"/>
          <w:b/>
          <w:bCs/>
          <w:sz w:val="24"/>
          <w:szCs w:val="24"/>
          <w:highlight w:val="none"/>
        </w:rPr>
        <w:t>.</w:t>
      </w:r>
      <w:r>
        <w:rPr>
          <w:rFonts w:hint="eastAsia" w:ascii="宋体" w:hAnsi="宋体"/>
          <w:b/>
          <w:bCs/>
          <w:color w:val="000000"/>
          <w:sz w:val="24"/>
          <w:szCs w:val="24"/>
          <w:highlight w:val="none"/>
        </w:rPr>
        <w:t xml:space="preserve"> </w:t>
      </w:r>
      <w:r>
        <w:rPr>
          <w:rFonts w:hint="eastAsia" w:ascii="宋体" w:hAnsi="宋体"/>
          <w:b/>
          <w:bCs/>
          <w:sz w:val="24"/>
          <w:szCs w:val="24"/>
          <w:highlight w:val="none"/>
        </w:rPr>
        <w:t>权利瑕疵担保</w:t>
      </w:r>
    </w:p>
    <w:p w14:paraId="16CCF4A8">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9.1 乙方保证对其出售的货物享有合法的权利。</w:t>
      </w:r>
    </w:p>
    <w:p w14:paraId="291B8FCB">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 xml:space="preserve">9.2 </w:t>
      </w:r>
      <w:r>
        <w:rPr>
          <w:rFonts w:hint="eastAsia" w:ascii="宋体" w:hAnsi="宋体" w:cs="宋体"/>
          <w:sz w:val="24"/>
          <w:szCs w:val="24"/>
          <w:highlight w:val="none"/>
        </w:rPr>
        <w:t>乙方保证在交付的货物上不存在抵押权等担保物权。</w:t>
      </w:r>
    </w:p>
    <w:p w14:paraId="57EB5E79">
      <w:pPr>
        <w:autoSpaceDE w:val="0"/>
        <w:autoSpaceDN w:val="0"/>
        <w:adjustRightInd w:val="0"/>
        <w:snapToGrid w:val="0"/>
        <w:spacing w:line="400" w:lineRule="exact"/>
        <w:ind w:firstLine="480" w:firstLineChars="200"/>
        <w:jc w:val="left"/>
        <w:rPr>
          <w:rFonts w:ascii="宋体" w:hAnsi="宋体"/>
          <w:color w:val="000000"/>
          <w:sz w:val="24"/>
          <w:szCs w:val="24"/>
          <w:highlight w:val="none"/>
        </w:rPr>
      </w:pPr>
      <w:r>
        <w:rPr>
          <w:rFonts w:hint="eastAsia" w:ascii="宋体" w:hAnsi="宋体"/>
          <w:color w:val="000000"/>
          <w:sz w:val="24"/>
          <w:szCs w:val="24"/>
          <w:highlight w:val="none"/>
        </w:rPr>
        <w:t>9.3 如甲方使用上述货物构成对第三人侵权的，则由乙方承担全部责任。</w:t>
      </w:r>
    </w:p>
    <w:p w14:paraId="54D36F0B">
      <w:pPr>
        <w:autoSpaceDE w:val="0"/>
        <w:autoSpaceDN w:val="0"/>
        <w:adjustRightInd w:val="0"/>
        <w:snapToGrid w:val="0"/>
        <w:spacing w:line="400" w:lineRule="exact"/>
        <w:jc w:val="left"/>
        <w:rPr>
          <w:rFonts w:ascii="宋体" w:hAnsi="宋体"/>
          <w:b/>
          <w:bCs/>
          <w:color w:val="000000"/>
          <w:sz w:val="24"/>
          <w:szCs w:val="24"/>
          <w:highlight w:val="none"/>
        </w:rPr>
      </w:pPr>
      <w:r>
        <w:rPr>
          <w:rFonts w:hint="eastAsia" w:ascii="宋体" w:hAnsi="宋体"/>
          <w:b/>
          <w:bCs/>
          <w:color w:val="000000"/>
          <w:sz w:val="24"/>
          <w:szCs w:val="24"/>
          <w:highlight w:val="none"/>
        </w:rPr>
        <w:t>10. 知识产权保护</w:t>
      </w:r>
    </w:p>
    <w:p w14:paraId="701C4A28">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color w:val="000000"/>
          <w:sz w:val="24"/>
          <w:szCs w:val="24"/>
          <w:highlight w:val="none"/>
        </w:rPr>
        <w:t>10.1 乙方对其所销售的货物应当享有知识产权或经权利人合法授权，保证没有侵犯任</w:t>
      </w:r>
      <w:r>
        <w:rPr>
          <w:rFonts w:hint="eastAsia" w:ascii="宋体" w:hAnsi="宋体"/>
          <w:sz w:val="24"/>
          <w:szCs w:val="24"/>
          <w:highlight w:val="none"/>
        </w:rPr>
        <w:t>何第三人的知识产权等权利。</w:t>
      </w:r>
      <w:bookmarkStart w:id="81" w:name="_Hlk163047038"/>
      <w:r>
        <w:rPr>
          <w:rFonts w:hint="eastAsia" w:ascii="宋体" w:hAnsi="宋体" w:cs="宋体"/>
          <w:sz w:val="24"/>
          <w:szCs w:val="24"/>
          <w:highlight w:val="none"/>
        </w:rPr>
        <w:t>因违反前述约定对第三人构成侵权的，应当由乙方向第三人承担法律责任；甲方依法向第三人赔偿后，有权向乙方追偿。甲方有其他损失的，乙方应当赔偿</w:t>
      </w:r>
      <w:bookmarkEnd w:id="81"/>
      <w:r>
        <w:rPr>
          <w:rFonts w:hint="eastAsia" w:ascii="宋体" w:hAnsi="宋体"/>
          <w:sz w:val="24"/>
          <w:szCs w:val="24"/>
          <w:highlight w:val="none"/>
        </w:rPr>
        <w:t>。</w:t>
      </w:r>
    </w:p>
    <w:p w14:paraId="29B6D085">
      <w:pPr>
        <w:autoSpaceDE w:val="0"/>
        <w:autoSpaceDN w:val="0"/>
        <w:adjustRightInd w:val="0"/>
        <w:snapToGrid w:val="0"/>
        <w:spacing w:line="400" w:lineRule="exact"/>
        <w:jc w:val="left"/>
        <w:rPr>
          <w:rFonts w:ascii="宋体" w:hAnsi="宋体"/>
          <w:b/>
          <w:bCs/>
          <w:sz w:val="24"/>
          <w:szCs w:val="24"/>
          <w:highlight w:val="none"/>
        </w:rPr>
      </w:pPr>
      <w:r>
        <w:rPr>
          <w:rFonts w:hint="eastAsia" w:ascii="宋体" w:hAnsi="宋体"/>
          <w:b/>
          <w:bCs/>
          <w:sz w:val="24"/>
          <w:szCs w:val="24"/>
          <w:highlight w:val="none"/>
        </w:rPr>
        <w:t>11. 保密义务</w:t>
      </w:r>
    </w:p>
    <w:p w14:paraId="7BDA7039">
      <w:pPr>
        <w:autoSpaceDE w:val="0"/>
        <w:autoSpaceDN w:val="0"/>
        <w:adjustRightInd w:val="0"/>
        <w:snapToGrid w:val="0"/>
        <w:spacing w:line="40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 w:val="24"/>
          <w:szCs w:val="24"/>
          <w:highlight w:val="none"/>
        </w:rPr>
        <w:t>【政府采购合同专用条款】</w:t>
      </w:r>
      <w:r>
        <w:rPr>
          <w:rFonts w:hint="eastAsia" w:ascii="宋体" w:hAnsi="宋体" w:cs="宋体"/>
          <w:sz w:val="24"/>
          <w:szCs w:val="24"/>
          <w:highlight w:val="none"/>
        </w:rPr>
        <w:t>中约定。</w:t>
      </w:r>
    </w:p>
    <w:p w14:paraId="0DB4A3CC">
      <w:pPr>
        <w:autoSpaceDE w:val="0"/>
        <w:autoSpaceDN w:val="0"/>
        <w:adjustRightInd w:val="0"/>
        <w:snapToGrid w:val="0"/>
        <w:spacing w:line="400" w:lineRule="exact"/>
        <w:jc w:val="left"/>
        <w:rPr>
          <w:rFonts w:ascii="宋体" w:hAnsi="宋体"/>
          <w:b/>
          <w:bCs/>
          <w:sz w:val="24"/>
          <w:szCs w:val="24"/>
          <w:highlight w:val="none"/>
        </w:rPr>
      </w:pPr>
      <w:r>
        <w:rPr>
          <w:rFonts w:hint="eastAsia" w:ascii="宋体" w:hAnsi="宋体"/>
          <w:b/>
          <w:bCs/>
          <w:sz w:val="24"/>
          <w:szCs w:val="24"/>
          <w:highlight w:val="none"/>
        </w:rPr>
        <w:t>12. 合同价款支付</w:t>
      </w:r>
    </w:p>
    <w:p w14:paraId="5F5CBE7C">
      <w:pPr>
        <w:autoSpaceDE w:val="0"/>
        <w:autoSpaceDN w:val="0"/>
        <w:adjustRightInd w:val="0"/>
        <w:snapToGrid w:val="0"/>
        <w:spacing w:line="4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12.1 合同价款支付按照国库集中支付制度及财政管理相关规定执行。</w:t>
      </w:r>
    </w:p>
    <w:p w14:paraId="1758BE4D">
      <w:pPr>
        <w:autoSpaceDE w:val="0"/>
        <w:autoSpaceDN w:val="0"/>
        <w:adjustRightInd w:val="0"/>
        <w:snapToGrid w:val="0"/>
        <w:spacing w:line="4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b/>
          <w:bCs/>
          <w:sz w:val="24"/>
          <w:szCs w:val="24"/>
          <w:highlight w:val="none"/>
          <w:lang w:val="en-US" w:eastAsia="zh-CN"/>
        </w:rPr>
        <w:t>政府采购合同专用条款</w:t>
      </w:r>
      <w:r>
        <w:rPr>
          <w:rFonts w:hint="eastAsia" w:ascii="宋体" w:hAnsi="宋体" w:eastAsia="宋体" w:cs="宋体"/>
          <w:sz w:val="24"/>
          <w:szCs w:val="24"/>
          <w:highlight w:val="none"/>
          <w:lang w:val="en-US" w:eastAsia="zh-CN"/>
        </w:rPr>
        <w:t>】中约定。</w:t>
      </w:r>
    </w:p>
    <w:p w14:paraId="441B0A87">
      <w:pPr>
        <w:pStyle w:val="33"/>
        <w:spacing w:after="0" w:line="400" w:lineRule="exact"/>
        <w:rPr>
          <w:rFonts w:ascii="宋体" w:hAnsi="宋体"/>
          <w:b/>
          <w:bCs/>
          <w:sz w:val="24"/>
          <w:szCs w:val="24"/>
          <w:highlight w:val="none"/>
        </w:rPr>
      </w:pPr>
      <w:r>
        <w:rPr>
          <w:rFonts w:hint="eastAsia" w:ascii="宋体" w:hAnsi="宋体"/>
          <w:b/>
          <w:bCs/>
          <w:sz w:val="24"/>
          <w:szCs w:val="24"/>
          <w:highlight w:val="none"/>
        </w:rPr>
        <w:t>13. 履约保证金</w:t>
      </w:r>
    </w:p>
    <w:p w14:paraId="3C1AC752">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 xml:space="preserve">13.1 </w:t>
      </w:r>
      <w:r>
        <w:rPr>
          <w:rFonts w:hint="eastAsia" w:ascii="宋体" w:hAnsi="宋体" w:cs="宋体"/>
          <w:sz w:val="24"/>
          <w:szCs w:val="24"/>
          <w:highlight w:val="none"/>
        </w:rPr>
        <w:t>乙方应当以支票、汇票、本票或者金融机构、担保机构出具的保函等非现金形式提交。</w:t>
      </w:r>
    </w:p>
    <w:p w14:paraId="0D584C4D">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13.2 如果乙方出现</w:t>
      </w:r>
      <w:r>
        <w:rPr>
          <w:rFonts w:hint="eastAsia" w:ascii="宋体" w:hAnsi="宋体" w:cs="宋体"/>
          <w:b/>
          <w:bCs/>
          <w:sz w:val="24"/>
          <w:szCs w:val="24"/>
          <w:highlight w:val="none"/>
        </w:rPr>
        <w:t>【政府采购合同专用条款】</w:t>
      </w:r>
      <w:r>
        <w:rPr>
          <w:rFonts w:hint="eastAsia" w:ascii="宋体" w:hAnsi="宋体" w:cs="宋体"/>
          <w:sz w:val="24"/>
          <w:szCs w:val="24"/>
          <w:highlight w:val="none"/>
        </w:rPr>
        <w:t>约定情形的</w:t>
      </w:r>
      <w:r>
        <w:rPr>
          <w:rFonts w:hint="eastAsia" w:ascii="宋体" w:hAnsi="宋体"/>
          <w:sz w:val="24"/>
          <w:szCs w:val="24"/>
          <w:highlight w:val="none"/>
        </w:rPr>
        <w:t>，履约保证金不予退还；如果乙方未能按合同约定全面履行义务，甲方有权从履约保证金中取得补偿或赔偿，且不影响甲方要求乙方承担合同约定的超过履约保证金的违约责任的权利。</w:t>
      </w:r>
    </w:p>
    <w:p w14:paraId="1C157D89">
      <w:pPr>
        <w:spacing w:line="400" w:lineRule="exact"/>
        <w:ind w:firstLine="420"/>
        <w:rPr>
          <w:sz w:val="24"/>
          <w:szCs w:val="24"/>
          <w:highlight w:val="none"/>
        </w:rPr>
      </w:pPr>
      <w:r>
        <w:rPr>
          <w:rFonts w:hint="eastAsia" w:ascii="宋体" w:hAnsi="宋体"/>
          <w:sz w:val="24"/>
          <w:szCs w:val="24"/>
          <w:highlight w:val="none"/>
        </w:rPr>
        <w:t>13.3 甲方在项目通过验收后按照</w:t>
      </w:r>
      <w:r>
        <w:rPr>
          <w:rFonts w:hint="eastAsia" w:ascii="宋体" w:hAnsi="宋体"/>
          <w:b/>
          <w:sz w:val="24"/>
          <w:szCs w:val="24"/>
          <w:highlight w:val="none"/>
        </w:rPr>
        <w:t>【政府采购合同专用条款】</w:t>
      </w:r>
      <w:r>
        <w:rPr>
          <w:rFonts w:hint="eastAsia" w:ascii="宋体" w:hAnsi="宋体"/>
          <w:sz w:val="24"/>
          <w:szCs w:val="24"/>
          <w:highlight w:val="none"/>
        </w:rPr>
        <w:t>规定的时间内将履约保证金退还乙方；逾期退还的，乙方可要求甲方支付违约金，违约金按照</w:t>
      </w:r>
      <w:r>
        <w:rPr>
          <w:rFonts w:hint="eastAsia" w:ascii="宋体" w:hAnsi="宋体"/>
          <w:b/>
          <w:sz w:val="24"/>
          <w:szCs w:val="24"/>
          <w:highlight w:val="none"/>
        </w:rPr>
        <w:t>【政府采购合同专用条款】</w:t>
      </w:r>
      <w:r>
        <w:rPr>
          <w:rFonts w:hint="eastAsia" w:ascii="宋体" w:hAnsi="宋体"/>
          <w:sz w:val="24"/>
          <w:szCs w:val="24"/>
          <w:highlight w:val="none"/>
        </w:rPr>
        <w:t>规定支付。</w:t>
      </w:r>
    </w:p>
    <w:p w14:paraId="04E5DF1F">
      <w:pPr>
        <w:autoSpaceDE w:val="0"/>
        <w:autoSpaceDN w:val="0"/>
        <w:adjustRightInd w:val="0"/>
        <w:snapToGrid w:val="0"/>
        <w:spacing w:line="400" w:lineRule="exact"/>
        <w:jc w:val="left"/>
        <w:rPr>
          <w:rFonts w:ascii="宋体" w:hAnsi="宋体"/>
          <w:b/>
          <w:sz w:val="24"/>
          <w:szCs w:val="24"/>
          <w:highlight w:val="none"/>
        </w:rPr>
      </w:pPr>
      <w:r>
        <w:rPr>
          <w:rFonts w:hint="eastAsia" w:ascii="宋体" w:hAnsi="宋体"/>
          <w:b/>
          <w:bCs/>
          <w:sz w:val="24"/>
          <w:szCs w:val="24"/>
          <w:highlight w:val="none"/>
        </w:rPr>
        <w:t xml:space="preserve">14. </w:t>
      </w:r>
      <w:r>
        <w:rPr>
          <w:rFonts w:hint="eastAsia"/>
          <w:b/>
          <w:sz w:val="24"/>
          <w:szCs w:val="24"/>
          <w:highlight w:val="none"/>
        </w:rPr>
        <w:t>售后</w:t>
      </w:r>
      <w:r>
        <w:rPr>
          <w:rFonts w:hint="eastAsia" w:ascii="宋体" w:hAnsi="宋体"/>
          <w:b/>
          <w:sz w:val="24"/>
          <w:szCs w:val="24"/>
          <w:highlight w:val="none"/>
        </w:rPr>
        <w:t>服务</w:t>
      </w:r>
    </w:p>
    <w:p w14:paraId="6AE2F7D6">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14.1 除项目不涉及或采购活动中明确约定无须承担外，乙方还应提供下列服务：</w:t>
      </w:r>
    </w:p>
    <w:p w14:paraId="3C1A60C6">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（1）货物的现场移动、安装、调试、启动监督及技术支持；</w:t>
      </w:r>
    </w:p>
    <w:p w14:paraId="4FE03F7A">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（2）提供货物组装和维修所需的专用工具和辅助材料；</w:t>
      </w:r>
    </w:p>
    <w:p w14:paraId="6519F4EB">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（3）在</w:t>
      </w:r>
      <w:r>
        <w:rPr>
          <w:rFonts w:hint="eastAsia" w:ascii="宋体" w:hAnsi="宋体" w:cs="宋体"/>
          <w:b/>
          <w:bCs/>
          <w:sz w:val="24"/>
          <w:szCs w:val="24"/>
          <w:highlight w:val="none"/>
        </w:rPr>
        <w:t>【政府采购合同专用条款】</w:t>
      </w:r>
      <w:r>
        <w:rPr>
          <w:rFonts w:hint="eastAsia" w:ascii="宋体" w:hAnsi="宋体"/>
          <w:sz w:val="24"/>
          <w:szCs w:val="24"/>
          <w:highlight w:val="none"/>
        </w:rPr>
        <w:t>约定的期限内对所有的货物实施运行监督、维修，但前提条件是该服务并不能免除乙方在质量保证期内所承担的义务；</w:t>
      </w:r>
    </w:p>
    <w:p w14:paraId="7612742F">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（4）在制造商所在地或指定现场就货物的安装、启动、运营、维护、废弃处置等对甲方操作人员进行培训</w:t>
      </w:r>
      <w:r>
        <w:rPr>
          <w:rFonts w:hint="eastAsia" w:ascii="宋体" w:hAnsi="宋体" w:cs="宋体"/>
          <w:sz w:val="24"/>
          <w:szCs w:val="24"/>
          <w:highlight w:val="none"/>
        </w:rPr>
        <w:t>；</w:t>
      </w:r>
    </w:p>
    <w:p w14:paraId="48F99503">
      <w:pPr>
        <w:pStyle w:val="141"/>
        <w:ind w:firstLine="420"/>
        <w:rPr>
          <w:rFonts w:ascii="宋体" w:hAnsi="宋体" w:eastAsia="宋体" w:cs="宋体"/>
          <w:sz w:val="24"/>
          <w:szCs w:val="24"/>
          <w:highlight w:val="none"/>
        </w:rPr>
      </w:pPr>
      <w:r>
        <w:rPr>
          <w:rFonts w:hint="eastAsia" w:ascii="宋体" w:hAnsi="宋体" w:eastAsia="宋体" w:cs="宋体"/>
          <w:sz w:val="24"/>
          <w:szCs w:val="24"/>
          <w:highlight w:val="none"/>
        </w:rPr>
        <w:t>（5）依照法律、行政法规的规定或者按照</w:t>
      </w:r>
      <w:r>
        <w:rPr>
          <w:rFonts w:hint="eastAsia" w:ascii="宋体" w:hAnsi="宋体" w:eastAsia="宋体" w:cs="宋体"/>
          <w:b/>
          <w:bCs/>
          <w:sz w:val="24"/>
          <w:szCs w:val="24"/>
          <w:highlight w:val="none"/>
        </w:rPr>
        <w:t>【政府采购合同专用条款】</w:t>
      </w:r>
      <w:r>
        <w:rPr>
          <w:rFonts w:hint="eastAsia" w:ascii="宋体" w:hAnsi="宋体" w:eastAsia="宋体" w:cs="宋体"/>
          <w:sz w:val="24"/>
          <w:szCs w:val="24"/>
          <w:highlight w:val="none"/>
        </w:rPr>
        <w:t>约定，货物在有效使用年限届满后应予回收的，乙方负有自行或者委托第三人对货物予以回收的义务；</w:t>
      </w:r>
    </w:p>
    <w:p w14:paraId="11AAB792">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（6）</w:t>
      </w:r>
      <w:r>
        <w:rPr>
          <w:rFonts w:hint="eastAsia" w:ascii="宋体" w:hAnsi="宋体"/>
          <w:b/>
          <w:sz w:val="24"/>
          <w:szCs w:val="24"/>
          <w:highlight w:val="none"/>
        </w:rPr>
        <w:t>【政府采购合同专用条款】</w:t>
      </w:r>
      <w:r>
        <w:rPr>
          <w:rFonts w:hint="eastAsia" w:ascii="宋体" w:hAnsi="宋体"/>
          <w:sz w:val="24"/>
          <w:szCs w:val="24"/>
          <w:highlight w:val="none"/>
        </w:rPr>
        <w:t>规定由乙方提供的其他服务。</w:t>
      </w:r>
    </w:p>
    <w:p w14:paraId="06F1403A">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14.2 乙方提供的售后服务的费用已包含在合同价款中，甲方不再另行支付。</w:t>
      </w:r>
    </w:p>
    <w:p w14:paraId="286F02C3">
      <w:pPr>
        <w:adjustRightInd w:val="0"/>
        <w:snapToGrid w:val="0"/>
        <w:spacing w:line="400" w:lineRule="exact"/>
        <w:jc w:val="left"/>
        <w:rPr>
          <w:rFonts w:ascii="宋体" w:hAnsi="宋体"/>
          <w:b/>
          <w:bCs/>
          <w:sz w:val="24"/>
          <w:szCs w:val="24"/>
          <w:highlight w:val="none"/>
        </w:rPr>
      </w:pPr>
      <w:r>
        <w:rPr>
          <w:rFonts w:hint="eastAsia" w:ascii="宋体" w:hAnsi="宋体"/>
          <w:b/>
          <w:bCs/>
          <w:sz w:val="24"/>
          <w:szCs w:val="24"/>
          <w:highlight w:val="none"/>
        </w:rPr>
        <w:t>15. 违约责任</w:t>
      </w:r>
    </w:p>
    <w:p w14:paraId="113212E7">
      <w:pPr>
        <w:adjustRightInd w:val="0"/>
        <w:snapToGrid w:val="0"/>
        <w:spacing w:line="400" w:lineRule="exact"/>
        <w:ind w:firstLine="480" w:firstLineChars="200"/>
        <w:jc w:val="left"/>
        <w:rPr>
          <w:rFonts w:ascii="宋体" w:hAnsi="宋体"/>
          <w:bCs/>
          <w:sz w:val="24"/>
          <w:szCs w:val="24"/>
          <w:highlight w:val="none"/>
        </w:rPr>
      </w:pPr>
      <w:r>
        <w:rPr>
          <w:rFonts w:hint="eastAsia" w:ascii="宋体" w:hAnsi="宋体"/>
          <w:bCs/>
          <w:sz w:val="24"/>
          <w:szCs w:val="24"/>
          <w:highlight w:val="none"/>
        </w:rPr>
        <w:t>15.1质量瑕疵的违约责任</w:t>
      </w:r>
    </w:p>
    <w:p w14:paraId="297E41E9">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乙方提供的产品不符合合同约定的质量标准或存在产品质量缺陷，甲方有权要求乙方根据</w:t>
      </w:r>
      <w:r>
        <w:rPr>
          <w:rFonts w:hint="eastAsia" w:ascii="宋体" w:hAnsi="宋体"/>
          <w:b/>
          <w:sz w:val="24"/>
          <w:szCs w:val="24"/>
          <w:highlight w:val="none"/>
        </w:rPr>
        <w:t>【政府采购合同专用条款】</w:t>
      </w:r>
      <w:r>
        <w:rPr>
          <w:rFonts w:hint="eastAsia" w:ascii="宋体" w:hAnsi="宋体"/>
          <w:bCs/>
          <w:sz w:val="24"/>
          <w:szCs w:val="24"/>
          <w:highlight w:val="none"/>
        </w:rPr>
        <w:t>要求</w:t>
      </w:r>
      <w:r>
        <w:rPr>
          <w:rFonts w:hint="eastAsia" w:ascii="宋体" w:hAnsi="宋体"/>
          <w:sz w:val="24"/>
          <w:szCs w:val="24"/>
          <w:highlight w:val="none"/>
        </w:rPr>
        <w:t>及时修理、重作、更换，并承担由此给甲方造成的损失。</w:t>
      </w:r>
    </w:p>
    <w:p w14:paraId="4E334AEB">
      <w:pPr>
        <w:autoSpaceDE w:val="0"/>
        <w:autoSpaceDN w:val="0"/>
        <w:adjustRightInd w:val="0"/>
        <w:snapToGrid w:val="0"/>
        <w:spacing w:line="400" w:lineRule="exact"/>
        <w:ind w:firstLine="480" w:firstLineChars="200"/>
        <w:jc w:val="left"/>
        <w:rPr>
          <w:rFonts w:ascii="宋体" w:hAnsi="宋体"/>
          <w:bCs/>
          <w:sz w:val="24"/>
          <w:szCs w:val="24"/>
          <w:highlight w:val="none"/>
        </w:rPr>
      </w:pPr>
      <w:r>
        <w:rPr>
          <w:rFonts w:hint="eastAsia" w:ascii="宋体" w:hAnsi="宋体"/>
          <w:bCs/>
          <w:sz w:val="24"/>
          <w:szCs w:val="24"/>
          <w:highlight w:val="none"/>
        </w:rPr>
        <w:t>15.2 迟延交货的违约责任</w:t>
      </w:r>
    </w:p>
    <w:p w14:paraId="3014C6AA">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69A6B6E">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（2）如果乙方没有按照合同规定的时间交货和提供相关服务，甲方有权从货款中扣除误期赔偿费而不影响合同项下的其他补救方法，赔偿费按</w:t>
      </w:r>
      <w:r>
        <w:rPr>
          <w:rFonts w:hint="eastAsia" w:ascii="宋体" w:hAnsi="宋体"/>
          <w:b/>
          <w:sz w:val="24"/>
          <w:szCs w:val="24"/>
          <w:highlight w:val="none"/>
        </w:rPr>
        <w:t>【政府采购合同专用条款】</w:t>
      </w:r>
      <w:r>
        <w:rPr>
          <w:rFonts w:hint="eastAsia" w:ascii="宋体" w:hAnsi="宋体"/>
          <w:sz w:val="24"/>
          <w:szCs w:val="24"/>
          <w:highlight w:val="none"/>
        </w:rPr>
        <w:t>规定执行。如果涉及公共利益，且赔偿金额无法弥补公共利益损失，甲方可要求继续履行或者采取其他补救措施。</w:t>
      </w:r>
    </w:p>
    <w:p w14:paraId="6DFE8E1C">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15.3 迟延支付的违约责任</w:t>
      </w:r>
    </w:p>
    <w:p w14:paraId="65E027C9">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甲方存在迟延支付乙方合同款项的，应当承担</w:t>
      </w:r>
      <w:r>
        <w:rPr>
          <w:rFonts w:hint="eastAsia" w:ascii="宋体" w:hAnsi="宋体"/>
          <w:b/>
          <w:bCs/>
          <w:sz w:val="24"/>
          <w:szCs w:val="24"/>
          <w:highlight w:val="none"/>
        </w:rPr>
        <w:t>【政府采购合同专用条款】</w:t>
      </w:r>
      <w:r>
        <w:rPr>
          <w:rFonts w:hint="eastAsia" w:ascii="宋体" w:hAnsi="宋体"/>
          <w:sz w:val="24"/>
          <w:szCs w:val="24"/>
          <w:highlight w:val="none"/>
        </w:rPr>
        <w:t>规定的逾期付款利息。</w:t>
      </w:r>
    </w:p>
    <w:p w14:paraId="13923C6D">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bCs/>
          <w:sz w:val="24"/>
          <w:szCs w:val="24"/>
          <w:highlight w:val="none"/>
        </w:rPr>
        <w:t>15.4其他违约责任根据项目实际需要按</w:t>
      </w:r>
      <w:r>
        <w:rPr>
          <w:rFonts w:hint="eastAsia" w:ascii="宋体" w:hAnsi="宋体"/>
          <w:b/>
          <w:bCs/>
          <w:sz w:val="24"/>
          <w:szCs w:val="24"/>
          <w:highlight w:val="none"/>
        </w:rPr>
        <w:t>【政府采购合同专用条款】</w:t>
      </w:r>
      <w:r>
        <w:rPr>
          <w:rFonts w:hint="eastAsia" w:ascii="宋体" w:hAnsi="宋体"/>
          <w:sz w:val="24"/>
          <w:szCs w:val="24"/>
          <w:highlight w:val="none"/>
        </w:rPr>
        <w:t>规定执行。</w:t>
      </w:r>
    </w:p>
    <w:p w14:paraId="5AE44F95">
      <w:pPr>
        <w:numPr>
          <w:ilvl w:val="0"/>
          <w:numId w:val="30"/>
        </w:numPr>
        <w:autoSpaceDE w:val="0"/>
        <w:autoSpaceDN w:val="0"/>
        <w:adjustRightInd w:val="0"/>
        <w:snapToGrid w:val="0"/>
        <w:spacing w:line="400" w:lineRule="exact"/>
        <w:jc w:val="left"/>
        <w:rPr>
          <w:rFonts w:ascii="宋体" w:hAnsi="宋体"/>
          <w:b/>
          <w:sz w:val="24"/>
          <w:szCs w:val="24"/>
          <w:highlight w:val="none"/>
        </w:rPr>
      </w:pPr>
      <w:r>
        <w:rPr>
          <w:rFonts w:hint="eastAsia" w:ascii="宋体" w:hAnsi="宋体"/>
          <w:b/>
          <w:sz w:val="24"/>
          <w:szCs w:val="24"/>
          <w:highlight w:val="none"/>
        </w:rPr>
        <w:t>合同变更、中止与终止</w:t>
      </w:r>
    </w:p>
    <w:p w14:paraId="3AB79401">
      <w:pPr>
        <w:adjustRightInd w:val="0"/>
        <w:snapToGrid w:val="0"/>
        <w:spacing w:line="400" w:lineRule="exact"/>
        <w:jc w:val="left"/>
        <w:rPr>
          <w:rFonts w:ascii="宋体" w:hAnsi="宋体"/>
          <w:sz w:val="24"/>
          <w:szCs w:val="24"/>
          <w:highlight w:val="none"/>
        </w:rPr>
      </w:pPr>
      <w:r>
        <w:rPr>
          <w:rFonts w:hint="eastAsia" w:ascii="宋体" w:hAnsi="宋体"/>
          <w:sz w:val="24"/>
          <w:szCs w:val="24"/>
          <w:highlight w:val="none"/>
        </w:rPr>
        <w:t xml:space="preserve">    16.1合同的变更</w:t>
      </w:r>
    </w:p>
    <w:p w14:paraId="1D185351">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政府采购合同履行中，在不改变合同其他条款的前提下，甲方可以在合同价款10%的范围内追加与合同标的相同的货物，并就此与乙方协商一致后签订补充协议。</w:t>
      </w:r>
    </w:p>
    <w:p w14:paraId="4755947A">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16.2合同的中止</w:t>
      </w:r>
    </w:p>
    <w:p w14:paraId="753F8720">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（1）合同履行过程中因供应商就采购文件、采购过程或结果提起投诉的，甲方认为有必要的，可以中止合同的履行。</w:t>
      </w:r>
    </w:p>
    <w:p w14:paraId="3FF2E964">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BE6B605">
      <w:pPr>
        <w:pStyle w:val="141"/>
        <w:ind w:firstLine="420"/>
        <w:jc w:val="both"/>
        <w:rPr>
          <w:sz w:val="24"/>
          <w:szCs w:val="24"/>
          <w:highlight w:val="none"/>
        </w:rPr>
      </w:pPr>
      <w:r>
        <w:rPr>
          <w:rFonts w:hint="eastAsia" w:ascii="宋体" w:hAnsi="宋体" w:eastAsia="宋体" w:cs="宋体"/>
          <w:sz w:val="24"/>
          <w:szCs w:val="24"/>
          <w:highlight w:val="none"/>
        </w:rPr>
        <w:t>（3）乙方分立、合并或者变更住所的，应当及时以书面形式告知甲方。乙方没有及时告知甲方，致使合同履行发生困难的，甲方可以中止合同履行并要求乙方承担由此给甲方造成的损失。</w:t>
      </w:r>
    </w:p>
    <w:p w14:paraId="590106A3">
      <w:pPr>
        <w:snapToGrid w:val="0"/>
        <w:spacing w:line="400" w:lineRule="exact"/>
        <w:ind w:firstLine="480" w:firstLineChars="200"/>
        <w:jc w:val="left"/>
        <w:rPr>
          <w:sz w:val="24"/>
          <w:szCs w:val="24"/>
          <w:highlight w:val="none"/>
        </w:rPr>
      </w:pPr>
      <w:r>
        <w:rPr>
          <w:rFonts w:hint="eastAsia" w:ascii="宋体" w:hAnsi="宋体"/>
          <w:sz w:val="24"/>
          <w:szCs w:val="24"/>
          <w:highlight w:val="none"/>
        </w:rPr>
        <w:t>（4）甲方不得以行政区划调整、政府换届、机构或者职能调整以及相关责任人更替为由中止合同。</w:t>
      </w:r>
    </w:p>
    <w:p w14:paraId="2903E737">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16.3合同的终止</w:t>
      </w:r>
    </w:p>
    <w:p w14:paraId="61C141A5">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（1）合同因有效期限届满而终止；</w:t>
      </w:r>
    </w:p>
    <w:p w14:paraId="3FB25A16">
      <w:pPr>
        <w:snapToGrid w:val="0"/>
        <w:spacing w:line="400" w:lineRule="exact"/>
        <w:ind w:firstLine="480" w:firstLineChars="200"/>
        <w:rPr>
          <w:rFonts w:ascii="宋体" w:hAnsi="宋体" w:cs="宋体"/>
          <w:sz w:val="24"/>
          <w:szCs w:val="24"/>
          <w:highlight w:val="none"/>
        </w:rPr>
      </w:pPr>
      <w:r>
        <w:rPr>
          <w:rFonts w:hint="eastAsia" w:ascii="宋体" w:hAnsi="宋体"/>
          <w:sz w:val="24"/>
          <w:szCs w:val="24"/>
          <w:highlight w:val="none"/>
        </w:rPr>
        <w:t>（2）乙方未按合同约定履行，构成根本性违约的，甲方有权终止合同，</w:t>
      </w:r>
      <w:r>
        <w:rPr>
          <w:rFonts w:hint="eastAsia" w:ascii="宋体" w:hAnsi="宋体" w:cs="宋体"/>
          <w:sz w:val="24"/>
          <w:szCs w:val="24"/>
          <w:highlight w:val="none"/>
        </w:rPr>
        <w:t>并追究乙方的违约责任</w:t>
      </w:r>
      <w:r>
        <w:rPr>
          <w:rFonts w:hint="eastAsia" w:ascii="宋体" w:hAnsi="宋体"/>
          <w:sz w:val="24"/>
          <w:szCs w:val="24"/>
          <w:highlight w:val="none"/>
        </w:rPr>
        <w:t>。</w:t>
      </w:r>
    </w:p>
    <w:p w14:paraId="679BF94C">
      <w:pPr>
        <w:pStyle w:val="141"/>
        <w:ind w:firstLine="462"/>
        <w:rPr>
          <w:rFonts w:ascii="宋体" w:hAnsi="宋体"/>
          <w:sz w:val="24"/>
          <w:szCs w:val="24"/>
          <w:highlight w:val="none"/>
        </w:rPr>
      </w:pPr>
      <w:r>
        <w:rPr>
          <w:rFonts w:hint="eastAsia" w:ascii="宋体" w:hAnsi="宋体"/>
          <w:sz w:val="24"/>
          <w:szCs w:val="24"/>
          <w:highlight w:val="none"/>
        </w:rPr>
        <w:t xml:space="preserve">16.4 </w:t>
      </w:r>
      <w:r>
        <w:rPr>
          <w:rFonts w:hint="eastAsia" w:ascii="宋体" w:hAnsi="宋体" w:eastAsia="宋体" w:cs="Times New Roman"/>
          <w:kern w:val="2"/>
          <w:sz w:val="24"/>
          <w:szCs w:val="24"/>
          <w:highlight w:val="none"/>
        </w:rPr>
        <w:t>涉及国家利益、社会公共利益的情形</w:t>
      </w:r>
    </w:p>
    <w:p w14:paraId="5B58F071">
      <w:pPr>
        <w:pStyle w:val="141"/>
        <w:ind w:firstLine="420"/>
        <w:jc w:val="both"/>
        <w:rPr>
          <w:sz w:val="24"/>
          <w:szCs w:val="24"/>
          <w:highlight w:val="none"/>
        </w:rPr>
      </w:pPr>
      <w:r>
        <w:rPr>
          <w:rFonts w:hint="eastAsia" w:ascii="宋体" w:hAnsi="宋体" w:eastAsia="宋体" w:cs="宋体"/>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14:paraId="0A4AC3EF">
      <w:pPr>
        <w:autoSpaceDE w:val="0"/>
        <w:autoSpaceDN w:val="0"/>
        <w:adjustRightInd w:val="0"/>
        <w:snapToGrid w:val="0"/>
        <w:spacing w:line="400" w:lineRule="exact"/>
        <w:jc w:val="left"/>
        <w:rPr>
          <w:rFonts w:ascii="宋体" w:hAnsi="宋体"/>
          <w:b/>
          <w:bCs/>
          <w:sz w:val="24"/>
          <w:szCs w:val="24"/>
          <w:highlight w:val="none"/>
        </w:rPr>
      </w:pPr>
      <w:r>
        <w:rPr>
          <w:rFonts w:hint="eastAsia" w:ascii="宋体" w:hAnsi="宋体"/>
          <w:b/>
          <w:bCs/>
          <w:sz w:val="24"/>
          <w:szCs w:val="24"/>
          <w:highlight w:val="none"/>
        </w:rPr>
        <w:t>17. 合同分包</w:t>
      </w:r>
    </w:p>
    <w:p w14:paraId="720424AA">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17.1 乙方不得将合同转包给其他供应商。涉及合同分包的，乙方应根据采购文件和投标（响应）文件规定进行合同分包。</w:t>
      </w:r>
    </w:p>
    <w:p w14:paraId="5D18F0C9">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17.2 乙方执行政府采购政策向中小企业依法分包的，乙方应当按采购文件和投标（响应）文件签订分包意向协议，分包意向协议属于本合同组成部分。</w:t>
      </w:r>
    </w:p>
    <w:p w14:paraId="438C3FD3">
      <w:pPr>
        <w:autoSpaceDE w:val="0"/>
        <w:autoSpaceDN w:val="0"/>
        <w:adjustRightInd w:val="0"/>
        <w:snapToGrid w:val="0"/>
        <w:spacing w:line="400" w:lineRule="exact"/>
        <w:jc w:val="left"/>
        <w:rPr>
          <w:rFonts w:ascii="宋体" w:hAnsi="宋体"/>
          <w:b/>
          <w:bCs/>
          <w:sz w:val="24"/>
          <w:szCs w:val="24"/>
          <w:highlight w:val="none"/>
        </w:rPr>
      </w:pPr>
      <w:r>
        <w:rPr>
          <w:rFonts w:hint="eastAsia" w:ascii="宋体" w:hAnsi="宋体"/>
          <w:b/>
          <w:bCs/>
          <w:sz w:val="24"/>
          <w:szCs w:val="24"/>
          <w:highlight w:val="none"/>
        </w:rPr>
        <w:t>18. 不可抗力</w:t>
      </w:r>
    </w:p>
    <w:p w14:paraId="2F867F6A">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18.1 不可抗力是指合同双方不能预见、不能避免且不能克服的客观情况。</w:t>
      </w:r>
    </w:p>
    <w:p w14:paraId="23F819C0">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18.2 任何一方对由于不可抗力造成的部分或全部不能履行合同不承担违约责任。但迟延履行后发生不可抗力的，不能免除责任。</w:t>
      </w:r>
    </w:p>
    <w:p w14:paraId="3E50DE6C">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887AF49">
      <w:pPr>
        <w:autoSpaceDE w:val="0"/>
        <w:autoSpaceDN w:val="0"/>
        <w:adjustRightInd w:val="0"/>
        <w:snapToGrid w:val="0"/>
        <w:spacing w:line="400" w:lineRule="exact"/>
        <w:jc w:val="left"/>
        <w:rPr>
          <w:rFonts w:ascii="宋体" w:hAnsi="宋体"/>
          <w:b/>
          <w:bCs/>
          <w:sz w:val="24"/>
          <w:szCs w:val="24"/>
          <w:highlight w:val="none"/>
        </w:rPr>
      </w:pPr>
      <w:r>
        <w:rPr>
          <w:rFonts w:hint="eastAsia" w:ascii="宋体" w:hAnsi="宋体"/>
          <w:b/>
          <w:bCs/>
          <w:sz w:val="24"/>
          <w:szCs w:val="24"/>
          <w:highlight w:val="none"/>
        </w:rPr>
        <w:t>19. 解决争议的方法</w:t>
      </w:r>
    </w:p>
    <w:p w14:paraId="5D56BB9C">
      <w:pPr>
        <w:pStyle w:val="141"/>
        <w:ind w:firstLine="420"/>
        <w:jc w:val="both"/>
        <w:rPr>
          <w:rFonts w:ascii="宋体" w:hAnsi="宋体" w:eastAsia="宋体" w:cs="宋体"/>
          <w:sz w:val="24"/>
          <w:szCs w:val="24"/>
          <w:highlight w:val="none"/>
        </w:rPr>
      </w:pPr>
      <w:r>
        <w:rPr>
          <w:rFonts w:hint="eastAsia" w:ascii="宋体" w:hAnsi="宋体" w:eastAsia="宋体" w:cs="宋体"/>
          <w:sz w:val="24"/>
          <w:szCs w:val="24"/>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4B71D36D">
      <w:pPr>
        <w:pStyle w:val="141"/>
        <w:ind w:firstLine="420"/>
        <w:jc w:val="both"/>
        <w:rPr>
          <w:rFonts w:ascii="宋体" w:hAnsi="宋体" w:eastAsia="宋体" w:cs="宋体"/>
          <w:sz w:val="24"/>
          <w:szCs w:val="24"/>
          <w:highlight w:val="none"/>
        </w:rPr>
      </w:pPr>
      <w:r>
        <w:rPr>
          <w:rFonts w:hint="eastAsia" w:ascii="宋体" w:hAnsi="宋体" w:eastAsia="宋体" w:cs="宋体"/>
          <w:sz w:val="24"/>
          <w:szCs w:val="24"/>
          <w:highlight w:val="none"/>
        </w:rPr>
        <w:t>19.2 选择仲裁的，应在</w:t>
      </w:r>
      <w:r>
        <w:rPr>
          <w:rFonts w:hint="eastAsia" w:ascii="宋体" w:hAnsi="宋体" w:eastAsia="宋体" w:cs="宋体"/>
          <w:b/>
          <w:bCs/>
          <w:sz w:val="24"/>
          <w:szCs w:val="24"/>
          <w:highlight w:val="none"/>
        </w:rPr>
        <w:t>【政府采购合同专用条款】</w:t>
      </w:r>
      <w:r>
        <w:rPr>
          <w:rFonts w:hint="eastAsia" w:ascii="宋体" w:hAnsi="宋体" w:eastAsia="宋体" w:cs="宋体"/>
          <w:sz w:val="24"/>
          <w:szCs w:val="24"/>
          <w:highlight w:val="none"/>
        </w:rPr>
        <w:t>中明确仲裁机构及仲裁地；通过诉讼方式解决的，可以在</w:t>
      </w:r>
      <w:r>
        <w:rPr>
          <w:rFonts w:hint="eastAsia" w:ascii="宋体" w:hAnsi="宋体" w:eastAsia="宋体" w:cs="宋体"/>
          <w:b/>
          <w:bCs/>
          <w:sz w:val="24"/>
          <w:szCs w:val="24"/>
          <w:highlight w:val="none"/>
        </w:rPr>
        <w:t>【政府采购合同专用条款】</w:t>
      </w:r>
      <w:r>
        <w:rPr>
          <w:rFonts w:hint="eastAsia" w:ascii="宋体" w:hAnsi="宋体" w:eastAsia="宋体" w:cs="宋体"/>
          <w:sz w:val="24"/>
          <w:szCs w:val="24"/>
          <w:highlight w:val="none"/>
        </w:rPr>
        <w:t>中进一步约定选择与争议有实际联系的地点的人民法院管辖，但管辖法院的约定不得违反级别管辖和专属管辖的规定。</w:t>
      </w:r>
    </w:p>
    <w:p w14:paraId="7E5BD6F3">
      <w:pPr>
        <w:pStyle w:val="141"/>
        <w:ind w:firstLine="420"/>
        <w:jc w:val="both"/>
        <w:rPr>
          <w:rFonts w:ascii="宋体" w:hAnsi="宋体" w:eastAsia="宋体" w:cs="宋体"/>
          <w:sz w:val="24"/>
          <w:szCs w:val="24"/>
          <w:highlight w:val="none"/>
        </w:rPr>
      </w:pPr>
      <w:r>
        <w:rPr>
          <w:rFonts w:hint="eastAsia" w:ascii="宋体" w:hAnsi="宋体" w:eastAsia="宋体" w:cs="宋体"/>
          <w:sz w:val="24"/>
          <w:szCs w:val="24"/>
          <w:highlight w:val="none"/>
        </w:rPr>
        <w:t>19.3 如甲乙双方有争议的事项不影响合同其他部分的履行，在争议解决期间，合同其他部分应当继续履行。</w:t>
      </w:r>
    </w:p>
    <w:p w14:paraId="31064875">
      <w:pPr>
        <w:autoSpaceDE w:val="0"/>
        <w:autoSpaceDN w:val="0"/>
        <w:adjustRightInd w:val="0"/>
        <w:snapToGrid w:val="0"/>
        <w:spacing w:line="400" w:lineRule="exact"/>
        <w:jc w:val="left"/>
        <w:rPr>
          <w:rFonts w:ascii="宋体" w:hAnsi="宋体"/>
          <w:sz w:val="24"/>
          <w:szCs w:val="24"/>
          <w:highlight w:val="none"/>
        </w:rPr>
      </w:pPr>
      <w:r>
        <w:rPr>
          <w:rFonts w:hint="eastAsia" w:ascii="宋体" w:hAnsi="宋体"/>
          <w:b/>
          <w:sz w:val="24"/>
          <w:szCs w:val="24"/>
          <w:highlight w:val="none"/>
        </w:rPr>
        <w:t>20. 政府采购政策</w:t>
      </w:r>
    </w:p>
    <w:p w14:paraId="184E094A">
      <w:pPr>
        <w:autoSpaceDE w:val="0"/>
        <w:autoSpaceDN w:val="0"/>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 xml:space="preserve">20.1 </w:t>
      </w:r>
      <w:r>
        <w:rPr>
          <w:rFonts w:hint="eastAsia" w:ascii="宋体" w:hAnsi="宋体" w:cs="宋体"/>
          <w:sz w:val="24"/>
          <w:szCs w:val="24"/>
          <w:highlight w:val="none"/>
          <w:lang w:val="en-GB"/>
        </w:rPr>
        <w:t>本合同应当按照规定执行政府采购政策。</w:t>
      </w:r>
    </w:p>
    <w:p w14:paraId="3798E72B">
      <w:pPr>
        <w:autoSpaceDE w:val="0"/>
        <w:autoSpaceDN w:val="0"/>
        <w:adjustRightInd w:val="0"/>
        <w:snapToGrid w:val="0"/>
        <w:spacing w:line="400" w:lineRule="exact"/>
        <w:ind w:firstLine="480" w:firstLineChars="200"/>
        <w:jc w:val="left"/>
        <w:rPr>
          <w:rFonts w:ascii="宋体" w:hAnsi="宋体"/>
          <w:sz w:val="24"/>
          <w:szCs w:val="24"/>
          <w:highlight w:val="none"/>
        </w:rPr>
      </w:pPr>
      <w:r>
        <w:rPr>
          <w:rFonts w:ascii="宋体" w:hAnsi="宋体"/>
          <w:sz w:val="24"/>
          <w:szCs w:val="24"/>
          <w:highlight w:val="none"/>
        </w:rPr>
        <w:t>2</w:t>
      </w:r>
      <w:r>
        <w:rPr>
          <w:rFonts w:hint="eastAsia" w:ascii="宋体" w:hAnsi="宋体"/>
          <w:sz w:val="24"/>
          <w:szCs w:val="24"/>
          <w:highlight w:val="none"/>
        </w:rPr>
        <w:t>0.2 本合同依法执行政府采购政策的方式和内容，属于合同履约验收的范围。</w:t>
      </w:r>
      <w:r>
        <w:rPr>
          <w:rFonts w:hint="eastAsia" w:ascii="宋体" w:hAnsi="宋体" w:cs="宋体"/>
          <w:sz w:val="24"/>
          <w:szCs w:val="24"/>
          <w:highlight w:val="none"/>
        </w:rPr>
        <w:t>甲乙双方</w:t>
      </w:r>
      <w:r>
        <w:rPr>
          <w:rFonts w:hint="eastAsia" w:ascii="宋体" w:hAnsi="宋体" w:cs="宋体"/>
          <w:sz w:val="24"/>
          <w:szCs w:val="24"/>
          <w:highlight w:val="none"/>
          <w:lang w:val="en-GB"/>
        </w:rPr>
        <w:t>未按规定要求执行政府采购政策造成损失的</w:t>
      </w:r>
      <w:r>
        <w:rPr>
          <w:rFonts w:hint="eastAsia" w:ascii="宋体" w:hAnsi="宋体"/>
          <w:sz w:val="24"/>
          <w:szCs w:val="24"/>
          <w:highlight w:val="none"/>
        </w:rPr>
        <w:t>，有过错的一方应当承担赔偿责任，双方都有过错的，各自承担相应的责任。</w:t>
      </w:r>
    </w:p>
    <w:p w14:paraId="033C1036">
      <w:pPr>
        <w:pStyle w:val="33"/>
        <w:spacing w:after="0" w:line="400" w:lineRule="exact"/>
        <w:ind w:firstLine="480" w:firstLineChars="200"/>
        <w:rPr>
          <w:sz w:val="24"/>
          <w:szCs w:val="24"/>
          <w:highlight w:val="none"/>
        </w:rPr>
      </w:pPr>
      <w:r>
        <w:rPr>
          <w:rFonts w:hint="eastAsia" w:ascii="宋体" w:hAnsi="宋体" w:eastAsia="宋体" w:cs="Times New Roman"/>
          <w:kern w:val="2"/>
          <w:sz w:val="24"/>
          <w:szCs w:val="24"/>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4C92138">
      <w:pPr>
        <w:autoSpaceDE w:val="0"/>
        <w:autoSpaceDN w:val="0"/>
        <w:adjustRightInd w:val="0"/>
        <w:snapToGrid w:val="0"/>
        <w:spacing w:line="400" w:lineRule="exact"/>
        <w:jc w:val="left"/>
        <w:rPr>
          <w:rFonts w:ascii="宋体" w:hAnsi="宋体"/>
          <w:b/>
          <w:sz w:val="24"/>
          <w:szCs w:val="24"/>
          <w:highlight w:val="none"/>
        </w:rPr>
      </w:pPr>
      <w:r>
        <w:rPr>
          <w:rFonts w:hint="eastAsia" w:ascii="宋体" w:hAnsi="宋体"/>
          <w:b/>
          <w:sz w:val="24"/>
          <w:szCs w:val="24"/>
          <w:highlight w:val="none"/>
        </w:rPr>
        <w:t>21. 法律适用</w:t>
      </w:r>
    </w:p>
    <w:p w14:paraId="00D972E8">
      <w:pPr>
        <w:pStyle w:val="141"/>
        <w:ind w:firstLine="420"/>
        <w:jc w:val="both"/>
        <w:rPr>
          <w:rFonts w:ascii="宋体" w:hAnsi="宋体" w:eastAsia="宋体" w:cs="宋体"/>
          <w:sz w:val="24"/>
          <w:szCs w:val="24"/>
          <w:highlight w:val="none"/>
        </w:rPr>
      </w:pPr>
      <w:r>
        <w:rPr>
          <w:rFonts w:hint="eastAsia" w:ascii="宋体" w:hAnsi="宋体" w:eastAsia="宋体" w:cs="宋体"/>
          <w:sz w:val="24"/>
          <w:szCs w:val="24"/>
          <w:highlight w:val="none"/>
        </w:rPr>
        <w:t>21.1 本合同的订立、生效、解释、履行及与本合同有关的争议解决，均适用法律、行政法规。</w:t>
      </w:r>
    </w:p>
    <w:p w14:paraId="13951C07">
      <w:pPr>
        <w:pStyle w:val="141"/>
        <w:ind w:firstLine="420"/>
        <w:jc w:val="both"/>
        <w:rPr>
          <w:rFonts w:ascii="宋体" w:hAnsi="宋体" w:eastAsia="宋体" w:cs="宋体"/>
          <w:sz w:val="24"/>
          <w:szCs w:val="24"/>
          <w:highlight w:val="none"/>
        </w:rPr>
      </w:pPr>
      <w:r>
        <w:rPr>
          <w:rFonts w:hint="eastAsia" w:ascii="宋体" w:hAnsi="宋体" w:eastAsia="宋体" w:cs="宋体"/>
          <w:sz w:val="24"/>
          <w:szCs w:val="24"/>
          <w:highlight w:val="none"/>
        </w:rPr>
        <w:t>21.2 本合同条款与法律、行政法规的强制性规定不一致的，双方当事人应按照法律、行政法规的强制性规定修改本合同的相关条款。</w:t>
      </w:r>
    </w:p>
    <w:p w14:paraId="75558C7E">
      <w:pPr>
        <w:numPr>
          <w:ilvl w:val="0"/>
          <w:numId w:val="0"/>
        </w:numPr>
        <w:autoSpaceDE w:val="0"/>
        <w:autoSpaceDN w:val="0"/>
        <w:adjustRightInd w:val="0"/>
        <w:snapToGrid w:val="0"/>
        <w:spacing w:line="400" w:lineRule="exact"/>
        <w:jc w:val="left"/>
        <w:rPr>
          <w:rFonts w:ascii="宋体" w:hAnsi="宋体"/>
          <w:b/>
          <w:sz w:val="24"/>
          <w:szCs w:val="24"/>
          <w:highlight w:val="none"/>
        </w:rPr>
      </w:pPr>
      <w:r>
        <w:rPr>
          <w:rFonts w:hint="eastAsia" w:ascii="宋体" w:hAnsi="宋体"/>
          <w:b/>
          <w:sz w:val="24"/>
          <w:szCs w:val="24"/>
          <w:highlight w:val="none"/>
        </w:rPr>
        <w:t>22. 通知</w:t>
      </w:r>
    </w:p>
    <w:p w14:paraId="44136176">
      <w:pPr>
        <w:pStyle w:val="141"/>
        <w:ind w:firstLine="420"/>
        <w:jc w:val="both"/>
        <w:rPr>
          <w:rFonts w:ascii="宋体" w:hAnsi="宋体" w:eastAsia="宋体" w:cs="宋体"/>
          <w:sz w:val="24"/>
          <w:szCs w:val="24"/>
          <w:highlight w:val="none"/>
        </w:rPr>
      </w:pPr>
      <w:r>
        <w:rPr>
          <w:rFonts w:hint="eastAsia" w:ascii="宋体" w:hAnsi="宋体" w:eastAsia="宋体" w:cs="宋体"/>
          <w:sz w:val="24"/>
          <w:szCs w:val="24"/>
          <w:highlight w:val="none"/>
        </w:rPr>
        <w:t>22.1 本合同任何一方向对方发出的通知、信件、数据电文等，应当发送至本合同第一部分《政府采购合同协议书》所约定的通讯地址、联系人、联系电话或电子邮箱。</w:t>
      </w:r>
    </w:p>
    <w:p w14:paraId="2AFC28E0">
      <w:pPr>
        <w:pStyle w:val="141"/>
        <w:ind w:firstLine="0" w:firstLineChars="0"/>
        <w:jc w:val="both"/>
        <w:rPr>
          <w:sz w:val="24"/>
          <w:szCs w:val="24"/>
          <w:highlight w:val="none"/>
        </w:rPr>
      </w:pPr>
      <w:r>
        <w:rPr>
          <w:rFonts w:hint="eastAsia" w:ascii="宋体" w:hAnsi="宋体" w:eastAsia="宋体" w:cs="宋体"/>
          <w:sz w:val="24"/>
          <w:szCs w:val="24"/>
          <w:highlight w:val="none"/>
        </w:rPr>
        <w:t xml:space="preserve">    22.2 一方当事人变更名称、住所、联系人、联系电话或电子邮箱等信息的，应当在变更后3日内及时书面通知对方，对方实际收到变更通知前的送达仍为有效送达。</w:t>
      </w:r>
    </w:p>
    <w:p w14:paraId="68680F5D">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22.3本合同一方给另一方的通知均应采用书面形式，传真或快递送到本合同中规定的对方的地址和办理签收手续。</w:t>
      </w:r>
    </w:p>
    <w:p w14:paraId="131D803C">
      <w:pPr>
        <w:adjustRightInd w:val="0"/>
        <w:snapToGrid w:val="0"/>
        <w:spacing w:line="400" w:lineRule="exact"/>
        <w:ind w:firstLine="480" w:firstLineChars="200"/>
        <w:jc w:val="left"/>
        <w:rPr>
          <w:rFonts w:ascii="宋体" w:hAnsi="宋体"/>
          <w:sz w:val="24"/>
          <w:szCs w:val="24"/>
          <w:highlight w:val="none"/>
        </w:rPr>
      </w:pPr>
      <w:r>
        <w:rPr>
          <w:rFonts w:hint="eastAsia" w:ascii="宋体" w:hAnsi="宋体"/>
          <w:sz w:val="24"/>
          <w:szCs w:val="24"/>
          <w:highlight w:val="none"/>
        </w:rPr>
        <w:t>22.4通知以送达之日或通知书中规定的生效之日起生效，两者中以较迟之日为准。</w:t>
      </w:r>
    </w:p>
    <w:p w14:paraId="7646798B">
      <w:pPr>
        <w:numPr>
          <w:ilvl w:val="0"/>
          <w:numId w:val="31"/>
        </w:numPr>
        <w:adjustRightInd w:val="0"/>
        <w:snapToGrid w:val="0"/>
        <w:spacing w:line="400" w:lineRule="exact"/>
        <w:jc w:val="left"/>
        <w:rPr>
          <w:rFonts w:ascii="宋体" w:hAnsi="宋体"/>
          <w:b/>
          <w:bCs/>
          <w:sz w:val="24"/>
          <w:szCs w:val="24"/>
          <w:highlight w:val="none"/>
        </w:rPr>
      </w:pPr>
      <w:r>
        <w:rPr>
          <w:rFonts w:hint="eastAsia" w:ascii="宋体" w:hAnsi="宋体"/>
          <w:b/>
          <w:bCs/>
          <w:sz w:val="24"/>
          <w:szCs w:val="24"/>
          <w:highlight w:val="none"/>
        </w:rPr>
        <w:t>合同未尽事项</w:t>
      </w:r>
    </w:p>
    <w:p w14:paraId="22827ACD">
      <w:pPr>
        <w:adjustRightInd w:val="0"/>
        <w:snapToGrid w:val="0"/>
        <w:spacing w:line="400" w:lineRule="exact"/>
        <w:ind w:firstLine="480" w:firstLineChars="200"/>
        <w:jc w:val="left"/>
        <w:rPr>
          <w:rFonts w:ascii="宋体" w:hAnsi="宋体"/>
          <w:bCs/>
          <w:sz w:val="24"/>
          <w:szCs w:val="24"/>
          <w:highlight w:val="none"/>
        </w:rPr>
      </w:pPr>
      <w:r>
        <w:rPr>
          <w:rFonts w:hint="eastAsia" w:ascii="宋体" w:hAnsi="宋体"/>
          <w:bCs/>
          <w:sz w:val="24"/>
          <w:szCs w:val="24"/>
          <w:highlight w:val="none"/>
        </w:rPr>
        <w:t>23.1合同未尽事项见</w:t>
      </w:r>
      <w:r>
        <w:rPr>
          <w:rFonts w:hint="eastAsia" w:ascii="宋体" w:hAnsi="宋体"/>
          <w:b/>
          <w:sz w:val="24"/>
          <w:szCs w:val="24"/>
          <w:highlight w:val="none"/>
        </w:rPr>
        <w:t>【政府采购合同专用条款】</w:t>
      </w:r>
      <w:r>
        <w:rPr>
          <w:rFonts w:hint="eastAsia" w:ascii="宋体" w:hAnsi="宋体"/>
          <w:bCs/>
          <w:sz w:val="24"/>
          <w:szCs w:val="24"/>
          <w:highlight w:val="none"/>
        </w:rPr>
        <w:t>。</w:t>
      </w:r>
    </w:p>
    <w:p w14:paraId="16A957FD">
      <w:pPr>
        <w:adjustRightInd w:val="0"/>
        <w:snapToGrid w:val="0"/>
        <w:spacing w:line="400" w:lineRule="exact"/>
        <w:jc w:val="left"/>
        <w:rPr>
          <w:rFonts w:ascii="黑体" w:hAnsi="华文中宋" w:eastAsia="黑体"/>
          <w:sz w:val="24"/>
          <w:szCs w:val="24"/>
          <w:highlight w:val="none"/>
        </w:rPr>
      </w:pPr>
      <w:r>
        <w:rPr>
          <w:rFonts w:hint="eastAsia" w:ascii="宋体" w:hAnsi="宋体"/>
          <w:bCs/>
          <w:sz w:val="24"/>
          <w:szCs w:val="24"/>
          <w:highlight w:val="none"/>
        </w:rPr>
        <w:t xml:space="preserve">    23.2 合同附件与合同正文具有同等的法律效力。</w:t>
      </w:r>
      <w:bookmarkStart w:id="82" w:name="_Toc20313"/>
    </w:p>
    <w:p w14:paraId="57C9C790">
      <w:pPr>
        <w:adjustRightInd w:val="0"/>
        <w:snapToGrid w:val="0"/>
        <w:jc w:val="center"/>
        <w:rPr>
          <w:rFonts w:ascii="黑体" w:hAnsi="华文中宋" w:eastAsia="黑体"/>
          <w:sz w:val="28"/>
          <w:szCs w:val="28"/>
          <w:highlight w:val="none"/>
        </w:rPr>
      </w:pPr>
      <w:r>
        <w:rPr>
          <w:rFonts w:hint="eastAsia" w:ascii="黑体" w:hAnsi="华文中宋" w:eastAsia="黑体"/>
          <w:sz w:val="28"/>
          <w:szCs w:val="28"/>
          <w:highlight w:val="none"/>
        </w:rPr>
        <w:br w:type="page"/>
      </w:r>
    </w:p>
    <w:p w14:paraId="253542C9">
      <w:pPr>
        <w:pStyle w:val="4"/>
        <w:numPr>
          <w:ilvl w:val="0"/>
          <w:numId w:val="0"/>
        </w:numPr>
        <w:adjustRightInd w:val="0"/>
        <w:snapToGrid w:val="0"/>
        <w:ind w:left="420" w:leftChars="0"/>
        <w:jc w:val="center"/>
        <w:rPr>
          <w:rFonts w:ascii="黑体" w:hAnsi="华文中宋" w:eastAsia="黑体"/>
          <w:b w:val="0"/>
          <w:bCs w:val="0"/>
          <w:sz w:val="28"/>
          <w:szCs w:val="28"/>
          <w:highlight w:val="none"/>
        </w:rPr>
      </w:pPr>
      <w:r>
        <w:rPr>
          <w:rFonts w:hint="eastAsia" w:ascii="黑体" w:hAnsi="华文中宋" w:eastAsia="黑体"/>
          <w:b w:val="0"/>
          <w:bCs w:val="0"/>
          <w:sz w:val="28"/>
          <w:szCs w:val="28"/>
          <w:highlight w:val="none"/>
        </w:rPr>
        <w:t>第三节 政府采购合同专用条款</w:t>
      </w:r>
      <w:bookmarkEnd w:id="82"/>
    </w:p>
    <w:tbl>
      <w:tblPr>
        <w:tblStyle w:val="8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F10B4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043730B">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20D80008">
            <w:pPr>
              <w:adjustRightInd w:val="0"/>
              <w:snapToGrid w:val="0"/>
              <w:jc w:val="center"/>
              <w:rPr>
                <w:rFonts w:ascii="宋体" w:hAnsi="宋体"/>
                <w:sz w:val="24"/>
                <w:szCs w:val="24"/>
                <w:highlight w:val="none"/>
              </w:rPr>
            </w:pPr>
            <w:r>
              <w:rPr>
                <w:rFonts w:hint="eastAsia" w:ascii="宋体" w:hAnsi="宋体"/>
                <w:sz w:val="24"/>
                <w:szCs w:val="24"/>
                <w:highlight w:val="none"/>
              </w:rPr>
              <w:t>第1.2（6）项</w:t>
            </w:r>
          </w:p>
        </w:tc>
        <w:tc>
          <w:tcPr>
            <w:tcW w:w="1742" w:type="dxa"/>
            <w:noWrap w:val="0"/>
            <w:vAlign w:val="center"/>
          </w:tcPr>
          <w:p w14:paraId="5E00F279">
            <w:pPr>
              <w:adjustRightInd w:val="0"/>
              <w:snapToGrid w:val="0"/>
              <w:jc w:val="left"/>
              <w:rPr>
                <w:rFonts w:ascii="宋体" w:hAnsi="宋体"/>
                <w:sz w:val="24"/>
                <w:szCs w:val="24"/>
                <w:highlight w:val="none"/>
              </w:rPr>
            </w:pPr>
            <w:r>
              <w:rPr>
                <w:rFonts w:hint="eastAsia" w:ascii="宋体" w:hAnsi="宋体"/>
                <w:sz w:val="24"/>
                <w:szCs w:val="24"/>
                <w:highlight w:val="none"/>
              </w:rPr>
              <w:t>联合体具体要求</w:t>
            </w:r>
          </w:p>
        </w:tc>
        <w:tc>
          <w:tcPr>
            <w:tcW w:w="5170" w:type="dxa"/>
            <w:noWrap w:val="0"/>
            <w:vAlign w:val="center"/>
          </w:tcPr>
          <w:p w14:paraId="3026097C">
            <w:pPr>
              <w:autoSpaceDE w:val="0"/>
              <w:autoSpaceDN w:val="0"/>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本项目不接受联合体投标。</w:t>
            </w:r>
          </w:p>
        </w:tc>
      </w:tr>
      <w:tr w14:paraId="5109D7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70794E29">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2AB148AA">
            <w:pPr>
              <w:adjustRightInd w:val="0"/>
              <w:snapToGrid w:val="0"/>
              <w:jc w:val="center"/>
              <w:rPr>
                <w:rFonts w:ascii="宋体" w:hAnsi="宋体"/>
                <w:sz w:val="24"/>
                <w:szCs w:val="24"/>
                <w:highlight w:val="none"/>
              </w:rPr>
            </w:pPr>
            <w:r>
              <w:rPr>
                <w:rFonts w:hint="eastAsia" w:ascii="宋体" w:hAnsi="宋体"/>
                <w:sz w:val="24"/>
                <w:szCs w:val="24"/>
                <w:highlight w:val="none"/>
              </w:rPr>
              <w:t>第1.2（7）项</w:t>
            </w:r>
          </w:p>
        </w:tc>
        <w:tc>
          <w:tcPr>
            <w:tcW w:w="1742" w:type="dxa"/>
            <w:noWrap w:val="0"/>
            <w:vAlign w:val="center"/>
          </w:tcPr>
          <w:p w14:paraId="38C99572">
            <w:pPr>
              <w:adjustRightInd w:val="0"/>
              <w:snapToGrid w:val="0"/>
              <w:jc w:val="left"/>
              <w:rPr>
                <w:rFonts w:ascii="宋体" w:hAnsi="宋体"/>
                <w:sz w:val="24"/>
                <w:szCs w:val="24"/>
                <w:highlight w:val="none"/>
              </w:rPr>
            </w:pPr>
            <w:r>
              <w:rPr>
                <w:rFonts w:hint="eastAsia" w:ascii="宋体" w:hAnsi="宋体"/>
                <w:sz w:val="24"/>
                <w:szCs w:val="24"/>
                <w:highlight w:val="none"/>
              </w:rPr>
              <w:t>其他术语解释</w:t>
            </w:r>
          </w:p>
        </w:tc>
        <w:tc>
          <w:tcPr>
            <w:tcW w:w="5170" w:type="dxa"/>
            <w:noWrap w:val="0"/>
            <w:vAlign w:val="center"/>
          </w:tcPr>
          <w:p w14:paraId="67AE3A59">
            <w:pPr>
              <w:autoSpaceDE w:val="0"/>
              <w:autoSpaceDN w:val="0"/>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无。</w:t>
            </w:r>
          </w:p>
        </w:tc>
      </w:tr>
      <w:tr w14:paraId="5E8B5F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FF264B7">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591CEFF4">
            <w:pPr>
              <w:adjustRightInd w:val="0"/>
              <w:snapToGrid w:val="0"/>
              <w:jc w:val="center"/>
              <w:rPr>
                <w:rFonts w:ascii="宋体" w:hAnsi="宋体"/>
                <w:sz w:val="24"/>
                <w:szCs w:val="24"/>
                <w:highlight w:val="none"/>
              </w:rPr>
            </w:pPr>
            <w:r>
              <w:rPr>
                <w:rFonts w:hint="eastAsia" w:ascii="宋体" w:hAnsi="宋体"/>
                <w:sz w:val="24"/>
                <w:szCs w:val="24"/>
                <w:highlight w:val="none"/>
              </w:rPr>
              <w:t>第4.4款</w:t>
            </w:r>
          </w:p>
        </w:tc>
        <w:tc>
          <w:tcPr>
            <w:tcW w:w="1742" w:type="dxa"/>
            <w:noWrap w:val="0"/>
            <w:vAlign w:val="center"/>
          </w:tcPr>
          <w:p w14:paraId="4C8B3932">
            <w:pPr>
              <w:adjustRightInd w:val="0"/>
              <w:snapToGrid w:val="0"/>
              <w:jc w:val="left"/>
              <w:rPr>
                <w:rFonts w:ascii="宋体" w:hAnsi="宋体"/>
                <w:sz w:val="24"/>
                <w:szCs w:val="24"/>
                <w:highlight w:val="none"/>
              </w:rPr>
            </w:pPr>
            <w:r>
              <w:rPr>
                <w:rFonts w:hint="eastAsia" w:ascii="宋体" w:hAnsi="宋体"/>
                <w:sz w:val="24"/>
                <w:szCs w:val="24"/>
                <w:highlight w:val="none"/>
              </w:rPr>
              <w:t>履约验收中甲方提出异议或作出说明的期限</w:t>
            </w:r>
          </w:p>
        </w:tc>
        <w:tc>
          <w:tcPr>
            <w:tcW w:w="5170" w:type="dxa"/>
            <w:noWrap w:val="0"/>
            <w:vAlign w:val="center"/>
          </w:tcPr>
          <w:p w14:paraId="23F33870">
            <w:pPr>
              <w:autoSpaceDE w:val="0"/>
              <w:autoSpaceDN w:val="0"/>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乙方提出验收申请之日起15个工作日内。</w:t>
            </w:r>
          </w:p>
        </w:tc>
      </w:tr>
      <w:tr w14:paraId="194F39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CDEBAAB">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31A44405">
            <w:pPr>
              <w:adjustRightInd w:val="0"/>
              <w:snapToGrid w:val="0"/>
              <w:jc w:val="center"/>
              <w:rPr>
                <w:rFonts w:ascii="宋体" w:hAnsi="宋体"/>
                <w:sz w:val="24"/>
                <w:szCs w:val="24"/>
                <w:highlight w:val="none"/>
              </w:rPr>
            </w:pPr>
            <w:r>
              <w:rPr>
                <w:rFonts w:hint="eastAsia" w:ascii="宋体" w:hAnsi="宋体"/>
                <w:sz w:val="24"/>
                <w:szCs w:val="24"/>
                <w:highlight w:val="none"/>
              </w:rPr>
              <w:t>第4.6款</w:t>
            </w:r>
          </w:p>
        </w:tc>
        <w:tc>
          <w:tcPr>
            <w:tcW w:w="1742" w:type="dxa"/>
            <w:noWrap w:val="0"/>
            <w:vAlign w:val="center"/>
          </w:tcPr>
          <w:p w14:paraId="51679173">
            <w:pPr>
              <w:adjustRightInd w:val="0"/>
              <w:snapToGrid w:val="0"/>
              <w:jc w:val="left"/>
              <w:rPr>
                <w:rFonts w:ascii="宋体" w:hAnsi="宋体"/>
                <w:sz w:val="24"/>
                <w:szCs w:val="24"/>
                <w:highlight w:val="none"/>
              </w:rPr>
            </w:pPr>
            <w:r>
              <w:rPr>
                <w:rFonts w:hint="eastAsia" w:ascii="宋体" w:hAnsi="宋体"/>
                <w:sz w:val="24"/>
                <w:szCs w:val="24"/>
                <w:highlight w:val="none"/>
              </w:rPr>
              <w:t>约定甲方承担的其他义务和责任</w:t>
            </w:r>
          </w:p>
        </w:tc>
        <w:tc>
          <w:tcPr>
            <w:tcW w:w="5170" w:type="dxa"/>
            <w:noWrap w:val="0"/>
            <w:vAlign w:val="center"/>
          </w:tcPr>
          <w:p w14:paraId="4F8DBB7B">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（1）按照合同规定的方式和期限向乙方支付相应的费用。</w:t>
            </w:r>
          </w:p>
          <w:p w14:paraId="1A0F305B">
            <w:pPr>
              <w:autoSpaceDE w:val="0"/>
              <w:autoSpaceDN w:val="0"/>
              <w:adjustRightInd w:val="0"/>
              <w:snapToGrid w:val="0"/>
              <w:jc w:val="left"/>
              <w:rPr>
                <w:rFonts w:hint="eastAsia" w:ascii="宋体" w:hAnsi="宋体" w:eastAsia="宋体" w:cs="Times New Roman"/>
                <w:sz w:val="24"/>
                <w:szCs w:val="24"/>
                <w:highlight w:val="none"/>
                <w:lang w:val="zh-TW" w:eastAsia="zh-TW"/>
              </w:rPr>
            </w:pPr>
            <w:r>
              <w:rPr>
                <w:rFonts w:hint="eastAsia" w:ascii="宋体" w:hAnsi="宋体" w:eastAsia="宋体" w:cs="Times New Roman"/>
                <w:sz w:val="24"/>
                <w:szCs w:val="24"/>
                <w:highlight w:val="none"/>
                <w:lang w:val="zh-TW" w:eastAsia="zh-TW"/>
              </w:rPr>
              <w:t>（2）向乙方提供必要的支持。</w:t>
            </w:r>
          </w:p>
          <w:p w14:paraId="2389EB0D">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（3）保证提供的信息和资料真实、准确、完整。</w:t>
            </w:r>
          </w:p>
          <w:p w14:paraId="38AC4806">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（4）保护乙方的商业秘密。</w:t>
            </w:r>
          </w:p>
          <w:p w14:paraId="53828FEB">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（5）其他经双方协商一致的义务。</w:t>
            </w:r>
          </w:p>
        </w:tc>
      </w:tr>
      <w:tr w14:paraId="7D8DFE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E3F21B0">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33554D0A">
            <w:pPr>
              <w:snapToGrid w:val="0"/>
              <w:jc w:val="center"/>
              <w:rPr>
                <w:sz w:val="24"/>
                <w:szCs w:val="24"/>
                <w:highlight w:val="none"/>
              </w:rPr>
            </w:pPr>
            <w:r>
              <w:rPr>
                <w:rFonts w:hint="eastAsia" w:ascii="宋体" w:hAnsi="宋体"/>
                <w:sz w:val="24"/>
                <w:szCs w:val="24"/>
                <w:highlight w:val="none"/>
              </w:rPr>
              <w:t>第5.4款</w:t>
            </w:r>
          </w:p>
        </w:tc>
        <w:tc>
          <w:tcPr>
            <w:tcW w:w="1742" w:type="dxa"/>
            <w:noWrap w:val="0"/>
            <w:vAlign w:val="center"/>
          </w:tcPr>
          <w:p w14:paraId="16101482">
            <w:pPr>
              <w:adjustRightInd w:val="0"/>
              <w:snapToGrid w:val="0"/>
              <w:jc w:val="left"/>
              <w:rPr>
                <w:rFonts w:ascii="宋体" w:hAnsi="宋体"/>
                <w:sz w:val="24"/>
                <w:szCs w:val="24"/>
                <w:highlight w:val="none"/>
              </w:rPr>
            </w:pPr>
            <w:r>
              <w:rPr>
                <w:rFonts w:hint="eastAsia" w:ascii="宋体" w:hAnsi="宋体"/>
                <w:sz w:val="24"/>
                <w:szCs w:val="24"/>
                <w:highlight w:val="none"/>
              </w:rPr>
              <w:t>约定乙方承担的其他义务和责任</w:t>
            </w:r>
          </w:p>
        </w:tc>
        <w:tc>
          <w:tcPr>
            <w:tcW w:w="5170" w:type="dxa"/>
            <w:noWrap w:val="0"/>
            <w:vAlign w:val="center"/>
          </w:tcPr>
          <w:p w14:paraId="0B9A5F7F">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（1）按照合同规定的方式和期限提供产品和/或服务。</w:t>
            </w:r>
          </w:p>
          <w:p w14:paraId="6918BA51">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（2）对所提供的产品和/或服务，要求其符合国家相关法律法规的要求。</w:t>
            </w:r>
          </w:p>
          <w:p w14:paraId="3A67D877">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（3）保证所提供的信息和资料真实、准确、完整。</w:t>
            </w:r>
          </w:p>
          <w:p w14:paraId="5D71C96A">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（4）保护甲方的商业秘密。</w:t>
            </w:r>
          </w:p>
          <w:p w14:paraId="61634ACE">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（5）不侵犯甲方的知识产权。</w:t>
            </w:r>
          </w:p>
          <w:p w14:paraId="33EC1622">
            <w:pPr>
              <w:autoSpaceDE w:val="0"/>
              <w:autoSpaceDN w:val="0"/>
              <w:adjustRightInd w:val="0"/>
              <w:snapToGrid w:val="0"/>
              <w:jc w:val="left"/>
              <w:rPr>
                <w:rFonts w:hint="eastAsia" w:ascii="宋体" w:hAnsi="宋体" w:eastAsia="宋体" w:cs="Times New Roman"/>
                <w:sz w:val="24"/>
                <w:szCs w:val="24"/>
                <w:highlight w:val="none"/>
                <w:lang w:val="zh-TW" w:eastAsia="zh-CN"/>
              </w:rPr>
            </w:pPr>
            <w:r>
              <w:rPr>
                <w:rFonts w:hint="eastAsia" w:ascii="宋体" w:hAnsi="宋体" w:eastAsia="宋体" w:cs="Times New Roman"/>
                <w:sz w:val="24"/>
                <w:szCs w:val="24"/>
                <w:highlight w:val="none"/>
                <w:lang w:val="zh-TW" w:eastAsia="zh-CN"/>
              </w:rPr>
              <w:t>（6）其他经双方协商一致的义务。</w:t>
            </w:r>
          </w:p>
        </w:tc>
      </w:tr>
      <w:tr w14:paraId="5D6AC0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9AE2FB8">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4427F97C">
            <w:pPr>
              <w:snapToGrid w:val="0"/>
              <w:jc w:val="center"/>
              <w:rPr>
                <w:rFonts w:ascii="宋体" w:hAnsi="宋体"/>
                <w:sz w:val="24"/>
                <w:szCs w:val="24"/>
                <w:highlight w:val="none"/>
              </w:rPr>
            </w:pPr>
            <w:r>
              <w:rPr>
                <w:rFonts w:hint="eastAsia" w:ascii="宋体" w:hAnsi="宋体"/>
                <w:sz w:val="24"/>
                <w:szCs w:val="24"/>
                <w:highlight w:val="none"/>
              </w:rPr>
              <w:t>第6.1款</w:t>
            </w:r>
          </w:p>
        </w:tc>
        <w:tc>
          <w:tcPr>
            <w:tcW w:w="1742" w:type="dxa"/>
            <w:noWrap w:val="0"/>
            <w:vAlign w:val="center"/>
          </w:tcPr>
          <w:p w14:paraId="032D74A2">
            <w:pPr>
              <w:adjustRightInd w:val="0"/>
              <w:snapToGrid w:val="0"/>
              <w:jc w:val="left"/>
              <w:rPr>
                <w:rFonts w:ascii="宋体" w:hAnsi="宋体"/>
                <w:sz w:val="24"/>
                <w:szCs w:val="24"/>
                <w:highlight w:val="none"/>
              </w:rPr>
            </w:pPr>
            <w:r>
              <w:rPr>
                <w:rFonts w:hint="eastAsia" w:ascii="宋体" w:hAnsi="宋体"/>
                <w:sz w:val="24"/>
                <w:szCs w:val="24"/>
                <w:highlight w:val="none"/>
              </w:rPr>
              <w:t>履行合同义务的顺序</w:t>
            </w:r>
          </w:p>
        </w:tc>
        <w:tc>
          <w:tcPr>
            <w:tcW w:w="5170" w:type="dxa"/>
            <w:noWrap w:val="0"/>
            <w:vAlign w:val="center"/>
          </w:tcPr>
          <w:p w14:paraId="34C52016">
            <w:pPr>
              <w:autoSpaceDE w:val="0"/>
              <w:autoSpaceDN w:val="0"/>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无。</w:t>
            </w:r>
          </w:p>
        </w:tc>
      </w:tr>
      <w:tr w14:paraId="48125C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0B7A1C41">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54C136BF">
            <w:pPr>
              <w:adjustRightInd w:val="0"/>
              <w:snapToGrid w:val="0"/>
              <w:jc w:val="center"/>
              <w:rPr>
                <w:rFonts w:ascii="宋体" w:hAnsi="宋体"/>
                <w:sz w:val="24"/>
                <w:szCs w:val="24"/>
                <w:highlight w:val="none"/>
              </w:rPr>
            </w:pPr>
            <w:r>
              <w:rPr>
                <w:rFonts w:hint="eastAsia" w:ascii="宋体" w:hAnsi="宋体"/>
                <w:sz w:val="24"/>
                <w:szCs w:val="24"/>
                <w:highlight w:val="none"/>
              </w:rPr>
              <w:t>第7.1款</w:t>
            </w:r>
          </w:p>
        </w:tc>
        <w:tc>
          <w:tcPr>
            <w:tcW w:w="1742" w:type="dxa"/>
            <w:noWrap w:val="0"/>
            <w:vAlign w:val="center"/>
          </w:tcPr>
          <w:p w14:paraId="5B9957DF">
            <w:pPr>
              <w:adjustRightInd w:val="0"/>
              <w:snapToGrid w:val="0"/>
              <w:jc w:val="left"/>
              <w:rPr>
                <w:rFonts w:ascii="宋体" w:hAnsi="宋体"/>
                <w:sz w:val="24"/>
                <w:szCs w:val="24"/>
                <w:highlight w:val="none"/>
              </w:rPr>
            </w:pPr>
            <w:r>
              <w:rPr>
                <w:rFonts w:hint="eastAsia" w:ascii="宋体" w:hAnsi="宋体"/>
                <w:sz w:val="24"/>
                <w:szCs w:val="24"/>
                <w:highlight w:val="none"/>
              </w:rPr>
              <w:t>包装特殊要求</w:t>
            </w:r>
          </w:p>
        </w:tc>
        <w:tc>
          <w:tcPr>
            <w:tcW w:w="5170" w:type="dxa"/>
            <w:noWrap w:val="0"/>
            <w:vAlign w:val="center"/>
          </w:tcPr>
          <w:p w14:paraId="15039A88">
            <w:pPr>
              <w:autoSpaceDE w:val="0"/>
              <w:autoSpaceDN w:val="0"/>
              <w:adjustRightInd w:val="0"/>
              <w:snapToGrid w:val="0"/>
              <w:jc w:val="left"/>
              <w:rPr>
                <w:rFonts w:hint="eastAsia" w:ascii="宋体" w:hAnsi="宋体" w:eastAsia="宋体" w:cs="Times New Roman"/>
                <w:sz w:val="24"/>
                <w:szCs w:val="24"/>
                <w:highlight w:val="none"/>
                <w:lang w:val="zh-TW" w:eastAsia="zh-TW"/>
              </w:rPr>
            </w:pPr>
            <w:r>
              <w:rPr>
                <w:rFonts w:hint="eastAsia" w:ascii="宋体" w:hAnsi="宋体" w:eastAsia="宋体" w:cs="Times New Roman"/>
                <w:sz w:val="24"/>
                <w:szCs w:val="24"/>
                <w:highlight w:val="none"/>
                <w:lang w:val="en-US" w:eastAsia="zh-CN"/>
              </w:rPr>
              <w:t>无。</w:t>
            </w:r>
          </w:p>
        </w:tc>
      </w:tr>
      <w:tr w14:paraId="6ECCAF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109BDC35">
            <w:pPr>
              <w:adjustRightInd w:val="0"/>
              <w:snapToGrid w:val="0"/>
              <w:jc w:val="center"/>
              <w:rPr>
                <w:rFonts w:ascii="宋体" w:hAnsi="宋体"/>
                <w:sz w:val="24"/>
                <w:szCs w:val="24"/>
                <w:highlight w:val="none"/>
              </w:rPr>
            </w:pPr>
          </w:p>
        </w:tc>
        <w:tc>
          <w:tcPr>
            <w:tcW w:w="1742" w:type="dxa"/>
            <w:noWrap w:val="0"/>
            <w:vAlign w:val="center"/>
          </w:tcPr>
          <w:p w14:paraId="6A15FB0D">
            <w:pPr>
              <w:adjustRightInd w:val="0"/>
              <w:snapToGrid w:val="0"/>
              <w:jc w:val="left"/>
              <w:rPr>
                <w:rFonts w:ascii="宋体" w:hAnsi="宋体"/>
                <w:sz w:val="24"/>
                <w:szCs w:val="24"/>
                <w:highlight w:val="none"/>
              </w:rPr>
            </w:pPr>
            <w:r>
              <w:rPr>
                <w:rFonts w:hint="eastAsia" w:ascii="宋体" w:hAnsi="宋体"/>
                <w:sz w:val="24"/>
                <w:szCs w:val="24"/>
                <w:highlight w:val="none"/>
              </w:rPr>
              <w:t>指定现场</w:t>
            </w:r>
          </w:p>
        </w:tc>
        <w:tc>
          <w:tcPr>
            <w:tcW w:w="5170" w:type="dxa"/>
            <w:noWrap w:val="0"/>
            <w:vAlign w:val="center"/>
          </w:tcPr>
          <w:p w14:paraId="5B951568">
            <w:pPr>
              <w:autoSpaceDE w:val="0"/>
              <w:autoSpaceDN w:val="0"/>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新乡医学院第一附属医院指定地点（卫辉市健康路88号）</w:t>
            </w:r>
          </w:p>
        </w:tc>
      </w:tr>
      <w:tr w14:paraId="39D088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330419F3">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248A66D3">
            <w:pPr>
              <w:adjustRightInd w:val="0"/>
              <w:snapToGrid w:val="0"/>
              <w:jc w:val="center"/>
              <w:rPr>
                <w:rFonts w:ascii="宋体" w:hAnsi="宋体"/>
                <w:sz w:val="24"/>
                <w:szCs w:val="24"/>
                <w:highlight w:val="none"/>
              </w:rPr>
            </w:pPr>
            <w:r>
              <w:rPr>
                <w:rFonts w:hint="eastAsia" w:ascii="宋体" w:hAnsi="宋体"/>
                <w:sz w:val="24"/>
                <w:szCs w:val="24"/>
                <w:highlight w:val="none"/>
              </w:rPr>
              <w:t>第7.2款</w:t>
            </w:r>
          </w:p>
        </w:tc>
        <w:tc>
          <w:tcPr>
            <w:tcW w:w="1742" w:type="dxa"/>
            <w:noWrap w:val="0"/>
            <w:vAlign w:val="center"/>
          </w:tcPr>
          <w:p w14:paraId="519CCFE5">
            <w:pPr>
              <w:adjustRightInd w:val="0"/>
              <w:snapToGrid w:val="0"/>
              <w:jc w:val="left"/>
              <w:rPr>
                <w:rFonts w:ascii="宋体" w:hAnsi="宋体"/>
                <w:sz w:val="24"/>
                <w:szCs w:val="24"/>
                <w:highlight w:val="none"/>
              </w:rPr>
            </w:pPr>
            <w:r>
              <w:rPr>
                <w:rFonts w:hint="eastAsia" w:ascii="宋体" w:hAnsi="宋体"/>
                <w:sz w:val="24"/>
                <w:szCs w:val="24"/>
                <w:highlight w:val="none"/>
              </w:rPr>
              <w:t>运输特殊要求</w:t>
            </w:r>
          </w:p>
        </w:tc>
        <w:tc>
          <w:tcPr>
            <w:tcW w:w="5170" w:type="dxa"/>
            <w:noWrap w:val="0"/>
            <w:vAlign w:val="center"/>
          </w:tcPr>
          <w:p w14:paraId="770E1757">
            <w:pPr>
              <w:autoSpaceDE w:val="0"/>
              <w:autoSpaceDN w:val="0"/>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无</w:t>
            </w:r>
          </w:p>
        </w:tc>
      </w:tr>
      <w:tr w14:paraId="61B658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45269608">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76E6322E">
            <w:pPr>
              <w:adjustRightInd w:val="0"/>
              <w:snapToGrid w:val="0"/>
              <w:jc w:val="center"/>
              <w:rPr>
                <w:rFonts w:ascii="宋体" w:hAnsi="宋体"/>
                <w:sz w:val="24"/>
                <w:szCs w:val="24"/>
                <w:highlight w:val="none"/>
              </w:rPr>
            </w:pPr>
            <w:r>
              <w:rPr>
                <w:rFonts w:hint="eastAsia" w:ascii="宋体" w:hAnsi="宋体"/>
                <w:sz w:val="24"/>
                <w:szCs w:val="24"/>
                <w:highlight w:val="none"/>
              </w:rPr>
              <w:t>第7.3款</w:t>
            </w:r>
          </w:p>
        </w:tc>
        <w:tc>
          <w:tcPr>
            <w:tcW w:w="1742" w:type="dxa"/>
            <w:noWrap w:val="0"/>
            <w:vAlign w:val="center"/>
          </w:tcPr>
          <w:p w14:paraId="75856913">
            <w:pPr>
              <w:adjustRightInd w:val="0"/>
              <w:snapToGrid w:val="0"/>
              <w:jc w:val="left"/>
              <w:rPr>
                <w:rFonts w:ascii="宋体" w:hAnsi="宋体"/>
                <w:sz w:val="24"/>
                <w:szCs w:val="24"/>
                <w:highlight w:val="none"/>
              </w:rPr>
            </w:pPr>
            <w:r>
              <w:rPr>
                <w:rFonts w:hint="eastAsia" w:ascii="宋体" w:hAnsi="宋体"/>
                <w:sz w:val="24"/>
                <w:szCs w:val="24"/>
                <w:highlight w:val="none"/>
              </w:rPr>
              <w:t>保险要求</w:t>
            </w:r>
          </w:p>
        </w:tc>
        <w:tc>
          <w:tcPr>
            <w:tcW w:w="5170" w:type="dxa"/>
            <w:noWrap w:val="0"/>
            <w:vAlign w:val="center"/>
          </w:tcPr>
          <w:p w14:paraId="3121ADFC">
            <w:pPr>
              <w:autoSpaceDE w:val="0"/>
              <w:autoSpaceDN w:val="0"/>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无</w:t>
            </w:r>
          </w:p>
        </w:tc>
      </w:tr>
      <w:tr w14:paraId="5B06E6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F00508F">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21C3DFF6">
            <w:pPr>
              <w:adjustRightInd w:val="0"/>
              <w:snapToGrid w:val="0"/>
              <w:jc w:val="center"/>
              <w:rPr>
                <w:rFonts w:ascii="宋体" w:hAnsi="宋体"/>
                <w:sz w:val="24"/>
                <w:szCs w:val="24"/>
                <w:highlight w:val="none"/>
              </w:rPr>
            </w:pPr>
            <w:r>
              <w:rPr>
                <w:rFonts w:hint="eastAsia" w:ascii="宋体" w:hAnsi="宋体"/>
                <w:sz w:val="24"/>
                <w:szCs w:val="24"/>
                <w:highlight w:val="none"/>
              </w:rPr>
              <w:t>第8.2（1）项</w:t>
            </w:r>
          </w:p>
        </w:tc>
        <w:tc>
          <w:tcPr>
            <w:tcW w:w="1742" w:type="dxa"/>
            <w:noWrap w:val="0"/>
            <w:vAlign w:val="center"/>
          </w:tcPr>
          <w:p w14:paraId="2D3BD98E">
            <w:pPr>
              <w:adjustRightInd w:val="0"/>
              <w:snapToGrid w:val="0"/>
              <w:jc w:val="left"/>
              <w:rPr>
                <w:rFonts w:ascii="宋体" w:hAnsi="宋体"/>
                <w:sz w:val="24"/>
                <w:szCs w:val="24"/>
                <w:highlight w:val="none"/>
              </w:rPr>
            </w:pPr>
            <w:r>
              <w:rPr>
                <w:rFonts w:hint="eastAsia" w:ascii="宋体" w:hAnsi="宋体"/>
                <w:sz w:val="24"/>
                <w:szCs w:val="24"/>
                <w:highlight w:val="none"/>
              </w:rPr>
              <w:t>质量保证期</w:t>
            </w:r>
          </w:p>
        </w:tc>
        <w:tc>
          <w:tcPr>
            <w:tcW w:w="5170" w:type="dxa"/>
            <w:noWrap w:val="0"/>
            <w:vAlign w:val="center"/>
          </w:tcPr>
          <w:p w14:paraId="1DB7D120">
            <w:pPr>
              <w:autoSpaceDE w:val="0"/>
              <w:autoSpaceDN w:val="0"/>
              <w:adjustRightInd w:val="0"/>
              <w:snapToGrid w:val="0"/>
              <w:jc w:val="left"/>
              <w:rPr>
                <w:rFonts w:ascii="宋体" w:hAnsi="宋体"/>
                <w:sz w:val="24"/>
                <w:szCs w:val="24"/>
                <w:highlight w:val="none"/>
              </w:rPr>
            </w:pPr>
            <w:r>
              <w:rPr>
                <w:rFonts w:hint="eastAsia" w:ascii="宋体" w:hAnsi="宋体"/>
                <w:sz w:val="24"/>
                <w:szCs w:val="24"/>
                <w:highlight w:val="none"/>
              </w:rPr>
              <w:t>货物经最终验收合格之日起原厂整机质保</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年</w:t>
            </w:r>
          </w:p>
        </w:tc>
      </w:tr>
      <w:tr w14:paraId="6DD8E2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A662F95">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594F2E32">
            <w:pPr>
              <w:adjustRightInd w:val="0"/>
              <w:snapToGrid w:val="0"/>
              <w:jc w:val="center"/>
              <w:rPr>
                <w:rFonts w:ascii="宋体" w:hAnsi="宋体"/>
                <w:sz w:val="24"/>
                <w:szCs w:val="24"/>
                <w:highlight w:val="none"/>
              </w:rPr>
            </w:pPr>
            <w:r>
              <w:rPr>
                <w:rFonts w:hint="eastAsia" w:ascii="宋体" w:hAnsi="宋体"/>
                <w:sz w:val="24"/>
                <w:szCs w:val="24"/>
                <w:highlight w:val="none"/>
              </w:rPr>
              <w:t>第8.2（3）项</w:t>
            </w:r>
          </w:p>
        </w:tc>
        <w:tc>
          <w:tcPr>
            <w:tcW w:w="1742" w:type="dxa"/>
            <w:noWrap w:val="0"/>
            <w:vAlign w:val="center"/>
          </w:tcPr>
          <w:p w14:paraId="3A9FF8C0">
            <w:pPr>
              <w:adjustRightInd w:val="0"/>
              <w:snapToGrid w:val="0"/>
              <w:jc w:val="left"/>
              <w:rPr>
                <w:rFonts w:ascii="宋体" w:hAnsi="宋体"/>
                <w:sz w:val="24"/>
                <w:szCs w:val="24"/>
                <w:highlight w:val="none"/>
              </w:rPr>
            </w:pPr>
            <w:r>
              <w:rPr>
                <w:rFonts w:hint="eastAsia" w:ascii="宋体" w:hAnsi="宋体"/>
                <w:sz w:val="24"/>
                <w:szCs w:val="24"/>
                <w:highlight w:val="none"/>
              </w:rPr>
              <w:t>货物质量缺陷</w:t>
            </w:r>
          </w:p>
          <w:p w14:paraId="57F62B1F">
            <w:pPr>
              <w:adjustRightInd w:val="0"/>
              <w:snapToGrid w:val="0"/>
              <w:jc w:val="left"/>
              <w:rPr>
                <w:rFonts w:ascii="宋体" w:hAnsi="宋体"/>
                <w:sz w:val="24"/>
                <w:szCs w:val="24"/>
                <w:highlight w:val="none"/>
              </w:rPr>
            </w:pPr>
            <w:r>
              <w:rPr>
                <w:rFonts w:hint="eastAsia" w:ascii="宋体" w:hAnsi="宋体"/>
                <w:sz w:val="24"/>
                <w:szCs w:val="24"/>
                <w:highlight w:val="none"/>
              </w:rPr>
              <w:t>响应时间</w:t>
            </w:r>
          </w:p>
        </w:tc>
        <w:tc>
          <w:tcPr>
            <w:tcW w:w="5170" w:type="dxa"/>
            <w:noWrap w:val="0"/>
            <w:vAlign w:val="center"/>
          </w:tcPr>
          <w:p w14:paraId="670719E4">
            <w:pPr>
              <w:adjustRightInd w:val="0"/>
              <w:snapToGrid w:val="0"/>
              <w:jc w:val="left"/>
              <w:rPr>
                <w:rFonts w:ascii="宋体" w:hAnsi="宋体"/>
                <w:sz w:val="24"/>
                <w:szCs w:val="24"/>
                <w:highlight w:val="none"/>
              </w:rPr>
            </w:pPr>
            <w:r>
              <w:rPr>
                <w:rFonts w:hint="eastAsia" w:ascii="宋体" w:hAnsi="宋体"/>
                <w:sz w:val="24"/>
                <w:szCs w:val="24"/>
                <w:highlight w:val="none"/>
              </w:rPr>
              <w:t>在接到通知后</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小时内响应，</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小时内到达现场进行检修，解决问题时间不超过</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小时。</w:t>
            </w:r>
          </w:p>
        </w:tc>
      </w:tr>
      <w:tr w14:paraId="30EF9D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F623C7E">
            <w:pPr>
              <w:snapToGrid w:val="0"/>
              <w:jc w:val="center"/>
              <w:rPr>
                <w:rFonts w:ascii="宋体" w:hAnsi="宋体" w:cs="宋体"/>
                <w:sz w:val="24"/>
                <w:szCs w:val="24"/>
                <w:highlight w:val="none"/>
              </w:rPr>
            </w:pPr>
            <w:r>
              <w:rPr>
                <w:rFonts w:hint="eastAsia" w:ascii="宋体" w:hAnsi="宋体" w:cs="宋体"/>
                <w:sz w:val="24"/>
                <w:szCs w:val="24"/>
                <w:highlight w:val="none"/>
              </w:rPr>
              <w:t>第二节</w:t>
            </w:r>
          </w:p>
          <w:p w14:paraId="3DC14E8B">
            <w:pPr>
              <w:pStyle w:val="141"/>
              <w:ind w:firstLine="0" w:firstLineChars="0"/>
              <w:jc w:val="center"/>
              <w:rPr>
                <w:sz w:val="24"/>
                <w:szCs w:val="24"/>
                <w:highlight w:val="none"/>
              </w:rPr>
            </w:pPr>
            <w:r>
              <w:rPr>
                <w:rFonts w:hint="eastAsia" w:ascii="宋体" w:hAnsi="宋体" w:eastAsia="宋体" w:cs="宋体"/>
                <w:sz w:val="24"/>
                <w:szCs w:val="24"/>
                <w:highlight w:val="none"/>
              </w:rPr>
              <w:t>第11.1款</w:t>
            </w:r>
          </w:p>
        </w:tc>
        <w:tc>
          <w:tcPr>
            <w:tcW w:w="1742" w:type="dxa"/>
            <w:noWrap w:val="0"/>
            <w:vAlign w:val="center"/>
          </w:tcPr>
          <w:p w14:paraId="7D30EF0A">
            <w:pPr>
              <w:adjustRightInd w:val="0"/>
              <w:snapToGrid w:val="0"/>
              <w:rPr>
                <w:rFonts w:ascii="宋体" w:hAnsi="宋体"/>
                <w:sz w:val="24"/>
                <w:szCs w:val="24"/>
                <w:highlight w:val="none"/>
              </w:rPr>
            </w:pPr>
            <w:r>
              <w:rPr>
                <w:rFonts w:hint="eastAsia" w:ascii="宋体" w:hAnsi="宋体"/>
                <w:sz w:val="24"/>
                <w:szCs w:val="24"/>
                <w:highlight w:val="none"/>
              </w:rPr>
              <w:t>其他应当保密的信息</w:t>
            </w:r>
          </w:p>
        </w:tc>
        <w:tc>
          <w:tcPr>
            <w:tcW w:w="5170" w:type="dxa"/>
            <w:noWrap w:val="0"/>
            <w:vAlign w:val="center"/>
          </w:tcPr>
          <w:p w14:paraId="2DD2A437">
            <w:pPr>
              <w:adjustRightInd w:val="0"/>
              <w:snapToGrid w:val="0"/>
              <w:jc w:val="left"/>
              <w:rPr>
                <w:rFonts w:ascii="宋体" w:hAnsi="宋体"/>
                <w:sz w:val="24"/>
                <w:szCs w:val="24"/>
                <w:highlight w:val="none"/>
              </w:rPr>
            </w:pPr>
            <w:r>
              <w:rPr>
                <w:rFonts w:hint="eastAsia" w:ascii="宋体" w:hAnsi="宋体"/>
                <w:sz w:val="24"/>
                <w:szCs w:val="24"/>
                <w:highlight w:val="none"/>
              </w:rPr>
              <w:t>无</w:t>
            </w:r>
          </w:p>
        </w:tc>
      </w:tr>
      <w:tr w14:paraId="032B0D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1" w:hRule="atLeast"/>
        </w:trPr>
        <w:tc>
          <w:tcPr>
            <w:tcW w:w="1607" w:type="dxa"/>
            <w:noWrap w:val="0"/>
            <w:vAlign w:val="center"/>
          </w:tcPr>
          <w:p w14:paraId="7B73FC94">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0A9A2FA3">
            <w:pPr>
              <w:adjustRightInd w:val="0"/>
              <w:snapToGrid w:val="0"/>
              <w:jc w:val="center"/>
              <w:rPr>
                <w:rFonts w:ascii="宋体" w:hAnsi="宋体"/>
                <w:sz w:val="24"/>
                <w:szCs w:val="24"/>
                <w:highlight w:val="none"/>
              </w:rPr>
            </w:pPr>
            <w:r>
              <w:rPr>
                <w:rFonts w:hint="eastAsia" w:ascii="宋体" w:hAnsi="宋体"/>
                <w:sz w:val="24"/>
                <w:szCs w:val="24"/>
                <w:highlight w:val="none"/>
              </w:rPr>
              <w:t>第12.2款</w:t>
            </w:r>
          </w:p>
        </w:tc>
        <w:tc>
          <w:tcPr>
            <w:tcW w:w="1742" w:type="dxa"/>
            <w:noWrap w:val="0"/>
            <w:vAlign w:val="center"/>
          </w:tcPr>
          <w:p w14:paraId="713640BE">
            <w:pPr>
              <w:adjustRightInd w:val="0"/>
              <w:snapToGrid w:val="0"/>
              <w:jc w:val="left"/>
              <w:rPr>
                <w:rFonts w:ascii="宋体" w:hAnsi="宋体"/>
                <w:sz w:val="24"/>
                <w:szCs w:val="24"/>
                <w:highlight w:val="none"/>
              </w:rPr>
            </w:pPr>
            <w:r>
              <w:rPr>
                <w:rFonts w:hint="eastAsia" w:ascii="宋体" w:hAnsi="宋体"/>
                <w:sz w:val="24"/>
                <w:szCs w:val="24"/>
                <w:highlight w:val="none"/>
              </w:rPr>
              <w:t>合同价款支付时间</w:t>
            </w:r>
          </w:p>
        </w:tc>
        <w:tc>
          <w:tcPr>
            <w:tcW w:w="5170" w:type="dxa"/>
            <w:noWrap w:val="0"/>
            <w:vAlign w:val="center"/>
          </w:tcPr>
          <w:p w14:paraId="080E54FB">
            <w:pPr>
              <w:adjustRightInd w:val="0"/>
              <w:snapToGrid w:val="0"/>
              <w:jc w:val="left"/>
              <w:rPr>
                <w:rFonts w:hint="eastAsia" w:ascii="宋体" w:hAnsi="宋体" w:eastAsia="宋体"/>
                <w:sz w:val="24"/>
                <w:szCs w:val="24"/>
                <w:highlight w:val="none"/>
                <w:lang w:eastAsia="zh-CN"/>
              </w:rPr>
            </w:pPr>
            <w:r>
              <w:rPr>
                <w:rFonts w:hint="eastAsia" w:ascii="宋体" w:hAnsi="宋体" w:eastAsia="宋体" w:cs="宋体"/>
                <w:kern w:val="2"/>
                <w:sz w:val="24"/>
                <w:szCs w:val="24"/>
                <w:highlight w:val="none"/>
                <w:u w:val="none"/>
                <w:lang w:val="en-US" w:eastAsia="zh-CN" w:bidi="ar-SA"/>
              </w:rPr>
              <w:t xml:space="preserve">合同签订生效后预付款金额：合同金额30%（注：中小企业预付款金额为合同金额的50%，）验收合格后付至合同金额的100%  </w:t>
            </w:r>
          </w:p>
        </w:tc>
      </w:tr>
      <w:tr w14:paraId="66D121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66FC24DC">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34644689">
            <w:pPr>
              <w:adjustRightInd w:val="0"/>
              <w:snapToGrid w:val="0"/>
              <w:jc w:val="center"/>
              <w:rPr>
                <w:rFonts w:ascii="宋体" w:hAnsi="宋体"/>
                <w:sz w:val="24"/>
                <w:szCs w:val="24"/>
                <w:highlight w:val="none"/>
              </w:rPr>
            </w:pPr>
            <w:r>
              <w:rPr>
                <w:rFonts w:hint="eastAsia" w:ascii="宋体" w:hAnsi="宋体"/>
                <w:sz w:val="24"/>
                <w:szCs w:val="24"/>
                <w:highlight w:val="none"/>
              </w:rPr>
              <w:t>第13.2款</w:t>
            </w:r>
          </w:p>
        </w:tc>
        <w:tc>
          <w:tcPr>
            <w:tcW w:w="1742" w:type="dxa"/>
            <w:noWrap w:val="0"/>
            <w:vAlign w:val="center"/>
          </w:tcPr>
          <w:p w14:paraId="3DC3E3CF">
            <w:pPr>
              <w:adjustRightInd w:val="0"/>
              <w:snapToGrid w:val="0"/>
              <w:jc w:val="left"/>
              <w:rPr>
                <w:rFonts w:ascii="宋体" w:hAnsi="宋体"/>
                <w:sz w:val="24"/>
                <w:szCs w:val="24"/>
                <w:highlight w:val="none"/>
              </w:rPr>
            </w:pPr>
            <w:r>
              <w:rPr>
                <w:rFonts w:hint="eastAsia" w:ascii="宋体" w:hAnsi="宋体"/>
                <w:sz w:val="24"/>
                <w:szCs w:val="24"/>
                <w:highlight w:val="none"/>
              </w:rPr>
              <w:t>履约保证金不予退还的情形</w:t>
            </w:r>
          </w:p>
        </w:tc>
        <w:tc>
          <w:tcPr>
            <w:tcW w:w="5170" w:type="dxa"/>
            <w:noWrap w:val="0"/>
            <w:vAlign w:val="center"/>
          </w:tcPr>
          <w:p w14:paraId="2407A577">
            <w:pPr>
              <w:adjustRightInd w:val="0"/>
              <w:snapToGrid w:val="0"/>
              <w:jc w:val="left"/>
              <w:rPr>
                <w:rFonts w:ascii="宋体" w:hAnsi="宋体"/>
                <w:sz w:val="24"/>
                <w:szCs w:val="24"/>
                <w:highlight w:val="none"/>
              </w:rPr>
            </w:pPr>
            <w:r>
              <w:rPr>
                <w:rFonts w:hint="eastAsia" w:ascii="宋体" w:hAnsi="宋体"/>
                <w:sz w:val="24"/>
                <w:szCs w:val="24"/>
                <w:highlight w:val="none"/>
              </w:rPr>
              <w:t>乙方未按合同规定时间完成货物供货、安装调试。（未能按期完成，但经乙方提出逾期情况说明，甲方同意延期，不视为违约）</w:t>
            </w:r>
          </w:p>
        </w:tc>
      </w:tr>
      <w:tr w14:paraId="46774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3DF4215">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14237315">
            <w:pPr>
              <w:adjustRightInd w:val="0"/>
              <w:snapToGrid w:val="0"/>
              <w:jc w:val="center"/>
              <w:rPr>
                <w:rFonts w:ascii="宋体" w:hAnsi="宋体"/>
                <w:sz w:val="24"/>
                <w:szCs w:val="24"/>
                <w:highlight w:val="none"/>
              </w:rPr>
            </w:pPr>
            <w:r>
              <w:rPr>
                <w:rFonts w:hint="eastAsia" w:ascii="宋体" w:hAnsi="宋体"/>
                <w:sz w:val="24"/>
                <w:szCs w:val="24"/>
                <w:highlight w:val="none"/>
              </w:rPr>
              <w:t>第13.3款</w:t>
            </w:r>
          </w:p>
        </w:tc>
        <w:tc>
          <w:tcPr>
            <w:tcW w:w="1742" w:type="dxa"/>
            <w:noWrap w:val="0"/>
            <w:vAlign w:val="center"/>
          </w:tcPr>
          <w:p w14:paraId="74FF9BD1">
            <w:pPr>
              <w:adjustRightInd w:val="0"/>
              <w:snapToGrid w:val="0"/>
              <w:jc w:val="left"/>
              <w:rPr>
                <w:rFonts w:ascii="宋体" w:hAnsi="宋体"/>
                <w:sz w:val="24"/>
                <w:szCs w:val="24"/>
                <w:highlight w:val="none"/>
              </w:rPr>
            </w:pPr>
            <w:r>
              <w:rPr>
                <w:rFonts w:hint="eastAsia" w:ascii="宋体" w:hAnsi="宋体"/>
                <w:sz w:val="24"/>
                <w:szCs w:val="24"/>
                <w:highlight w:val="none"/>
              </w:rPr>
              <w:t>履约保证金退还时间及逾期退还的违约金</w:t>
            </w:r>
          </w:p>
        </w:tc>
        <w:tc>
          <w:tcPr>
            <w:tcW w:w="5170" w:type="dxa"/>
            <w:noWrap w:val="0"/>
            <w:vAlign w:val="center"/>
          </w:tcPr>
          <w:p w14:paraId="24AA1BCC">
            <w:pPr>
              <w:adjustRightInd w:val="0"/>
              <w:snapToGrid w:val="0"/>
              <w:jc w:val="left"/>
              <w:rPr>
                <w:rFonts w:ascii="宋体" w:hAnsi="宋体"/>
                <w:sz w:val="24"/>
                <w:szCs w:val="24"/>
                <w:highlight w:val="none"/>
              </w:rPr>
            </w:pPr>
            <w:r>
              <w:rPr>
                <w:rFonts w:hint="eastAsia" w:ascii="宋体" w:hAnsi="宋体"/>
                <w:sz w:val="24"/>
                <w:szCs w:val="24"/>
                <w:highlight w:val="none"/>
              </w:rPr>
              <w:t>采购人（甲方）于合同期满30日后，无息退还中标方（乙方）履约保证金。</w:t>
            </w:r>
          </w:p>
        </w:tc>
      </w:tr>
      <w:tr w14:paraId="17B73D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9785D0F">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4F338A43">
            <w:pPr>
              <w:adjustRightInd w:val="0"/>
              <w:snapToGrid w:val="0"/>
              <w:jc w:val="center"/>
              <w:rPr>
                <w:rFonts w:ascii="宋体" w:hAnsi="宋体"/>
                <w:sz w:val="24"/>
                <w:szCs w:val="24"/>
                <w:highlight w:val="none"/>
              </w:rPr>
            </w:pPr>
            <w:r>
              <w:rPr>
                <w:rFonts w:hint="eastAsia" w:ascii="宋体" w:hAnsi="宋体"/>
                <w:sz w:val="24"/>
                <w:szCs w:val="24"/>
                <w:highlight w:val="none"/>
              </w:rPr>
              <w:t>第14.1（3）项</w:t>
            </w:r>
          </w:p>
        </w:tc>
        <w:tc>
          <w:tcPr>
            <w:tcW w:w="1742" w:type="dxa"/>
            <w:noWrap w:val="0"/>
            <w:vAlign w:val="center"/>
          </w:tcPr>
          <w:p w14:paraId="2CB7CE8A">
            <w:pPr>
              <w:adjustRightInd w:val="0"/>
              <w:snapToGrid w:val="0"/>
              <w:jc w:val="left"/>
              <w:rPr>
                <w:rFonts w:ascii="宋体" w:hAnsi="宋体"/>
                <w:sz w:val="24"/>
                <w:szCs w:val="24"/>
                <w:highlight w:val="none"/>
              </w:rPr>
            </w:pPr>
            <w:r>
              <w:rPr>
                <w:rFonts w:hint="eastAsia" w:ascii="宋体" w:hAnsi="宋体"/>
                <w:sz w:val="24"/>
                <w:szCs w:val="24"/>
                <w:highlight w:val="none"/>
              </w:rPr>
              <w:t>运行监督、维修期限</w:t>
            </w:r>
          </w:p>
        </w:tc>
        <w:tc>
          <w:tcPr>
            <w:tcW w:w="5170" w:type="dxa"/>
            <w:noWrap w:val="0"/>
            <w:vAlign w:val="center"/>
          </w:tcPr>
          <w:p w14:paraId="006791E0">
            <w:pPr>
              <w:adjustRightInd w:val="0"/>
              <w:snapToGrid w:val="0"/>
              <w:jc w:val="left"/>
              <w:rPr>
                <w:rFonts w:ascii="宋体" w:hAnsi="宋体"/>
                <w:sz w:val="24"/>
                <w:szCs w:val="24"/>
                <w:highlight w:val="none"/>
              </w:rPr>
            </w:pPr>
            <w:r>
              <w:rPr>
                <w:rFonts w:hint="eastAsia" w:ascii="宋体" w:hAnsi="宋体"/>
                <w:sz w:val="24"/>
                <w:szCs w:val="24"/>
                <w:highlight w:val="none"/>
              </w:rPr>
              <w:t>货物经最终验收合格之日起原厂整机质保</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年</w:t>
            </w:r>
          </w:p>
        </w:tc>
      </w:tr>
      <w:tr w14:paraId="3CE9D6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699ABDCA">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12C9C622">
            <w:pPr>
              <w:adjustRightInd w:val="0"/>
              <w:snapToGrid w:val="0"/>
              <w:jc w:val="center"/>
              <w:rPr>
                <w:rFonts w:ascii="宋体" w:hAnsi="宋体"/>
                <w:sz w:val="24"/>
                <w:szCs w:val="24"/>
                <w:highlight w:val="none"/>
              </w:rPr>
            </w:pPr>
            <w:r>
              <w:rPr>
                <w:rFonts w:hint="eastAsia" w:ascii="宋体" w:hAnsi="宋体"/>
                <w:sz w:val="24"/>
                <w:szCs w:val="24"/>
                <w:highlight w:val="none"/>
              </w:rPr>
              <w:t>第14.1（5）项</w:t>
            </w:r>
          </w:p>
        </w:tc>
        <w:tc>
          <w:tcPr>
            <w:tcW w:w="1742" w:type="dxa"/>
            <w:noWrap w:val="0"/>
            <w:vAlign w:val="center"/>
          </w:tcPr>
          <w:p w14:paraId="6F37580E">
            <w:pPr>
              <w:adjustRightInd w:val="0"/>
              <w:snapToGrid w:val="0"/>
              <w:jc w:val="left"/>
              <w:rPr>
                <w:rFonts w:ascii="宋体" w:hAnsi="宋体"/>
                <w:sz w:val="24"/>
                <w:szCs w:val="24"/>
                <w:highlight w:val="none"/>
              </w:rPr>
            </w:pPr>
            <w:r>
              <w:rPr>
                <w:rFonts w:hint="eastAsia" w:ascii="宋体" w:hAnsi="宋体"/>
                <w:sz w:val="24"/>
                <w:szCs w:val="24"/>
                <w:highlight w:val="none"/>
              </w:rPr>
              <w:t>货物回收的约定</w:t>
            </w:r>
          </w:p>
        </w:tc>
        <w:tc>
          <w:tcPr>
            <w:tcW w:w="5170" w:type="dxa"/>
            <w:noWrap w:val="0"/>
            <w:vAlign w:val="center"/>
          </w:tcPr>
          <w:p w14:paraId="00C39A21">
            <w:pPr>
              <w:adjustRightInd w:val="0"/>
              <w:snapToGrid w:val="0"/>
              <w:jc w:val="left"/>
              <w:rPr>
                <w:rFonts w:hint="eastAsia" w:ascii="宋体" w:hAnsi="宋体" w:eastAsia="宋体"/>
                <w:sz w:val="24"/>
                <w:szCs w:val="24"/>
                <w:highlight w:val="none"/>
                <w:lang w:val="en-US" w:eastAsia="zh-CN"/>
              </w:rPr>
            </w:pPr>
            <w:r>
              <w:rPr>
                <w:rFonts w:hint="eastAsia" w:ascii="宋体" w:hAnsi="宋体"/>
                <w:sz w:val="24"/>
                <w:szCs w:val="24"/>
                <w:highlight w:val="none"/>
                <w:lang w:val="en-US" w:eastAsia="zh-CN"/>
              </w:rPr>
              <w:t>无。</w:t>
            </w:r>
          </w:p>
        </w:tc>
      </w:tr>
      <w:tr w14:paraId="1B4D22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6950A10">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0DD08978">
            <w:pPr>
              <w:adjustRightInd w:val="0"/>
              <w:snapToGrid w:val="0"/>
              <w:jc w:val="center"/>
              <w:rPr>
                <w:rFonts w:ascii="宋体" w:hAnsi="宋体"/>
                <w:sz w:val="24"/>
                <w:szCs w:val="24"/>
                <w:highlight w:val="none"/>
              </w:rPr>
            </w:pPr>
            <w:r>
              <w:rPr>
                <w:rFonts w:hint="eastAsia" w:ascii="宋体" w:hAnsi="宋体"/>
                <w:sz w:val="24"/>
                <w:szCs w:val="24"/>
                <w:highlight w:val="none"/>
              </w:rPr>
              <w:t>第14.1（6）项</w:t>
            </w:r>
          </w:p>
        </w:tc>
        <w:tc>
          <w:tcPr>
            <w:tcW w:w="1742" w:type="dxa"/>
            <w:noWrap w:val="0"/>
            <w:vAlign w:val="center"/>
          </w:tcPr>
          <w:p w14:paraId="003854A8">
            <w:pPr>
              <w:adjustRightInd w:val="0"/>
              <w:snapToGrid w:val="0"/>
              <w:jc w:val="left"/>
              <w:rPr>
                <w:rFonts w:ascii="宋体" w:hAnsi="宋体"/>
                <w:sz w:val="24"/>
                <w:szCs w:val="24"/>
                <w:highlight w:val="none"/>
              </w:rPr>
            </w:pPr>
            <w:r>
              <w:rPr>
                <w:rFonts w:hint="eastAsia" w:ascii="宋体" w:hAnsi="宋体"/>
                <w:sz w:val="24"/>
                <w:szCs w:val="24"/>
                <w:highlight w:val="none"/>
              </w:rPr>
              <w:t>乙方提供的其他服务</w:t>
            </w:r>
          </w:p>
        </w:tc>
        <w:tc>
          <w:tcPr>
            <w:tcW w:w="5170" w:type="dxa"/>
            <w:noWrap w:val="0"/>
            <w:vAlign w:val="center"/>
          </w:tcPr>
          <w:p w14:paraId="723F699A">
            <w:pPr>
              <w:adjustRightInd w:val="0"/>
              <w:snapToGrid w:val="0"/>
              <w:jc w:val="left"/>
              <w:rPr>
                <w:rFonts w:ascii="宋体" w:hAnsi="宋体"/>
                <w:sz w:val="24"/>
                <w:szCs w:val="24"/>
                <w:highlight w:val="none"/>
              </w:rPr>
            </w:pPr>
          </w:p>
        </w:tc>
      </w:tr>
      <w:tr w14:paraId="550949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3BD0CBB">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78ED2309">
            <w:pPr>
              <w:adjustRightInd w:val="0"/>
              <w:snapToGrid w:val="0"/>
              <w:jc w:val="center"/>
              <w:rPr>
                <w:rFonts w:ascii="宋体" w:hAnsi="宋体"/>
                <w:sz w:val="24"/>
                <w:szCs w:val="24"/>
                <w:highlight w:val="none"/>
              </w:rPr>
            </w:pPr>
            <w:r>
              <w:rPr>
                <w:rFonts w:hint="eastAsia" w:ascii="宋体" w:hAnsi="宋体"/>
                <w:sz w:val="24"/>
                <w:szCs w:val="24"/>
                <w:highlight w:val="none"/>
              </w:rPr>
              <w:t>第15.1款</w:t>
            </w:r>
          </w:p>
        </w:tc>
        <w:tc>
          <w:tcPr>
            <w:tcW w:w="1742" w:type="dxa"/>
            <w:noWrap w:val="0"/>
            <w:vAlign w:val="center"/>
          </w:tcPr>
          <w:p w14:paraId="2A20F33C">
            <w:pPr>
              <w:adjustRightInd w:val="0"/>
              <w:snapToGrid w:val="0"/>
              <w:jc w:val="left"/>
              <w:rPr>
                <w:rFonts w:ascii="宋体" w:hAnsi="宋体"/>
                <w:sz w:val="24"/>
                <w:szCs w:val="24"/>
                <w:highlight w:val="none"/>
              </w:rPr>
            </w:pPr>
            <w:r>
              <w:rPr>
                <w:rFonts w:hint="eastAsia" w:ascii="宋体" w:hAnsi="宋体"/>
                <w:sz w:val="24"/>
                <w:szCs w:val="24"/>
                <w:highlight w:val="none"/>
              </w:rPr>
              <w:t>修理、重作、更换相关具体规定</w:t>
            </w:r>
          </w:p>
        </w:tc>
        <w:tc>
          <w:tcPr>
            <w:tcW w:w="5170" w:type="dxa"/>
            <w:noWrap w:val="0"/>
            <w:vAlign w:val="center"/>
          </w:tcPr>
          <w:p w14:paraId="5F3B8785">
            <w:pPr>
              <w:adjustRightInd w:val="0"/>
              <w:snapToGrid w:val="0"/>
              <w:jc w:val="left"/>
              <w:rPr>
                <w:rFonts w:ascii="宋体" w:hAnsi="宋体"/>
                <w:sz w:val="24"/>
                <w:szCs w:val="24"/>
                <w:highlight w:val="none"/>
              </w:rPr>
            </w:pPr>
            <w:r>
              <w:rPr>
                <w:rFonts w:hint="eastAsia" w:ascii="宋体" w:hAnsi="宋体"/>
                <w:sz w:val="24"/>
                <w:szCs w:val="24"/>
                <w:highlight w:val="none"/>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5DF19E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747B0AD">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6208A93B">
            <w:pPr>
              <w:adjustRightInd w:val="0"/>
              <w:snapToGrid w:val="0"/>
              <w:jc w:val="center"/>
              <w:rPr>
                <w:rFonts w:ascii="宋体" w:hAnsi="宋体"/>
                <w:sz w:val="24"/>
                <w:szCs w:val="24"/>
                <w:highlight w:val="none"/>
              </w:rPr>
            </w:pPr>
            <w:r>
              <w:rPr>
                <w:rFonts w:hint="eastAsia" w:ascii="宋体" w:hAnsi="宋体"/>
                <w:sz w:val="24"/>
                <w:szCs w:val="24"/>
                <w:highlight w:val="none"/>
              </w:rPr>
              <w:t>第15.2（2）项</w:t>
            </w:r>
          </w:p>
        </w:tc>
        <w:tc>
          <w:tcPr>
            <w:tcW w:w="1742" w:type="dxa"/>
            <w:noWrap w:val="0"/>
            <w:vAlign w:val="center"/>
          </w:tcPr>
          <w:p w14:paraId="24CEEB7B">
            <w:pPr>
              <w:adjustRightInd w:val="0"/>
              <w:snapToGrid w:val="0"/>
              <w:jc w:val="left"/>
              <w:rPr>
                <w:rFonts w:ascii="宋体" w:hAnsi="宋体"/>
                <w:sz w:val="24"/>
                <w:szCs w:val="24"/>
                <w:highlight w:val="none"/>
              </w:rPr>
            </w:pPr>
            <w:r>
              <w:rPr>
                <w:rFonts w:hint="eastAsia" w:ascii="宋体" w:hAnsi="宋体"/>
                <w:sz w:val="24"/>
                <w:szCs w:val="24"/>
                <w:highlight w:val="none"/>
              </w:rPr>
              <w:t>迟延交货赔偿费</w:t>
            </w:r>
          </w:p>
        </w:tc>
        <w:tc>
          <w:tcPr>
            <w:tcW w:w="5170" w:type="dxa"/>
            <w:noWrap w:val="0"/>
            <w:vAlign w:val="center"/>
          </w:tcPr>
          <w:p w14:paraId="4C249474">
            <w:pPr>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1乙方未按合同规定时间完成供货、设备安装调试、系统集成达到验收条件，乙方每逾期一天，须按照合同总额</w:t>
            </w:r>
            <w:r>
              <w:rPr>
                <w:rFonts w:hint="eastAsia" w:ascii="宋体" w:hAnsi="宋体" w:eastAsia="宋体" w:cs="Times New Roman"/>
                <w:sz w:val="24"/>
                <w:szCs w:val="24"/>
                <w:highlight w:val="none"/>
                <w:lang w:val="en" w:eastAsia="zh-CN"/>
              </w:rPr>
              <w:t xml:space="preserve"> </w:t>
            </w:r>
            <w:r>
              <w:rPr>
                <w:rFonts w:hint="eastAsia" w:ascii="宋体" w:hAnsi="宋体" w:eastAsia="宋体" w:cs="Times New Roman"/>
                <w:sz w:val="24"/>
                <w:szCs w:val="24"/>
                <w:highlight w:val="none"/>
                <w:lang w:val="en-US" w:eastAsia="zh-CN"/>
              </w:rPr>
              <w:t>2‰的标准向甲方交纳违约金，累计不超过合同总额的10</w:t>
            </w:r>
            <w:r>
              <w:rPr>
                <w:rFonts w:hint="eastAsia" w:ascii="宋体" w:hAnsi="宋体" w:eastAsia="宋体" w:cs="Times New Roman"/>
                <w:sz w:val="24"/>
                <w:szCs w:val="24"/>
                <w:highlight w:val="none"/>
                <w:lang w:val="en" w:eastAsia="zh-CN"/>
              </w:rPr>
              <w:t xml:space="preserve"> </w:t>
            </w:r>
            <w:r>
              <w:rPr>
                <w:rFonts w:hint="eastAsia" w:ascii="宋体" w:hAnsi="宋体" w:eastAsia="宋体" w:cs="Times New Roman"/>
                <w:sz w:val="24"/>
                <w:szCs w:val="24"/>
                <w:highlight w:val="none"/>
                <w:lang w:val="en-US" w:eastAsia="zh-CN"/>
              </w:rPr>
              <w:t>%。</w:t>
            </w:r>
          </w:p>
          <w:p w14:paraId="17B818A3">
            <w:pPr>
              <w:adjustRightInd w:val="0"/>
              <w:snapToGrid w:val="0"/>
              <w:jc w:val="lef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2.未能按期完成，经乙方提出逾期情况说明，甲方同意延期，不视为乙方违约。</w:t>
            </w:r>
          </w:p>
        </w:tc>
      </w:tr>
      <w:tr w14:paraId="3E89EC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2CA58E2">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6BF3FA4D">
            <w:pPr>
              <w:adjustRightInd w:val="0"/>
              <w:snapToGrid w:val="0"/>
              <w:jc w:val="center"/>
              <w:rPr>
                <w:rFonts w:ascii="宋体" w:hAnsi="宋体"/>
                <w:sz w:val="24"/>
                <w:szCs w:val="24"/>
                <w:highlight w:val="none"/>
              </w:rPr>
            </w:pPr>
            <w:r>
              <w:rPr>
                <w:rFonts w:hint="eastAsia" w:ascii="宋体" w:hAnsi="宋体"/>
                <w:sz w:val="24"/>
                <w:szCs w:val="24"/>
                <w:highlight w:val="none"/>
              </w:rPr>
              <w:t>第15.3款</w:t>
            </w:r>
          </w:p>
        </w:tc>
        <w:tc>
          <w:tcPr>
            <w:tcW w:w="1742" w:type="dxa"/>
            <w:noWrap w:val="0"/>
            <w:vAlign w:val="center"/>
          </w:tcPr>
          <w:p w14:paraId="0578E6FA">
            <w:pPr>
              <w:adjustRightInd w:val="0"/>
              <w:snapToGrid w:val="0"/>
              <w:jc w:val="left"/>
              <w:rPr>
                <w:rFonts w:ascii="宋体" w:hAnsi="宋体"/>
                <w:sz w:val="24"/>
                <w:szCs w:val="24"/>
                <w:highlight w:val="none"/>
              </w:rPr>
            </w:pPr>
            <w:r>
              <w:rPr>
                <w:rFonts w:hint="eastAsia" w:ascii="宋体" w:hAnsi="宋体"/>
                <w:sz w:val="24"/>
                <w:szCs w:val="24"/>
                <w:highlight w:val="none"/>
              </w:rPr>
              <w:t>逾期付款利息</w:t>
            </w:r>
          </w:p>
        </w:tc>
        <w:tc>
          <w:tcPr>
            <w:tcW w:w="5170" w:type="dxa"/>
            <w:noWrap w:val="0"/>
            <w:vAlign w:val="center"/>
          </w:tcPr>
          <w:p w14:paraId="4B9BAB4F">
            <w:pPr>
              <w:adjustRightInd w:val="0"/>
              <w:snapToGrid w:val="0"/>
              <w:jc w:val="lef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甲方存在逾期付款，每日以逾期付款额</w:t>
            </w:r>
            <w:r>
              <w:rPr>
                <w:rFonts w:hint="eastAsia" w:ascii="宋体" w:hAnsi="宋体" w:eastAsia="宋体" w:cs="Times New Roman"/>
                <w:sz w:val="24"/>
                <w:szCs w:val="24"/>
                <w:highlight w:val="none"/>
                <w:lang w:val="en" w:eastAsia="zh-CN"/>
              </w:rPr>
              <w:t>的</w:t>
            </w:r>
            <w:r>
              <w:rPr>
                <w:rFonts w:hint="eastAsia" w:ascii="宋体" w:hAnsi="宋体" w:eastAsia="宋体" w:cs="Times New Roman"/>
                <w:sz w:val="24"/>
                <w:szCs w:val="24"/>
                <w:highlight w:val="none"/>
                <w:lang w:val="en-US" w:eastAsia="zh-CN"/>
              </w:rPr>
              <w:t>2‰的标准向乙方交纳违约金，累计不超过逾期付款额</w:t>
            </w:r>
            <w:r>
              <w:rPr>
                <w:rFonts w:hint="eastAsia" w:ascii="宋体" w:hAnsi="宋体" w:eastAsia="宋体" w:cs="Times New Roman"/>
                <w:sz w:val="24"/>
                <w:szCs w:val="24"/>
                <w:highlight w:val="none"/>
                <w:lang w:val="en" w:eastAsia="zh-CN"/>
              </w:rPr>
              <w:t>的</w:t>
            </w:r>
            <w:r>
              <w:rPr>
                <w:rFonts w:hint="eastAsia" w:ascii="宋体" w:hAnsi="宋体" w:eastAsia="宋体" w:cs="Times New Roman"/>
                <w:sz w:val="24"/>
                <w:szCs w:val="24"/>
                <w:highlight w:val="none"/>
                <w:lang w:val="en-US" w:eastAsia="zh-CN"/>
              </w:rPr>
              <w:t>4</w:t>
            </w:r>
            <w:r>
              <w:rPr>
                <w:rFonts w:hint="eastAsia" w:ascii="宋体" w:hAnsi="宋体" w:eastAsia="宋体" w:cs="Times New Roman"/>
                <w:sz w:val="24"/>
                <w:szCs w:val="24"/>
                <w:highlight w:val="none"/>
                <w:lang w:val="en" w:eastAsia="zh-CN"/>
              </w:rPr>
              <w:t xml:space="preserve"> </w:t>
            </w:r>
            <w:r>
              <w:rPr>
                <w:rFonts w:hint="eastAsia" w:ascii="宋体" w:hAnsi="宋体" w:eastAsia="宋体" w:cs="Times New Roman"/>
                <w:sz w:val="24"/>
                <w:szCs w:val="24"/>
                <w:highlight w:val="none"/>
                <w:lang w:val="en-US" w:eastAsia="zh-CN"/>
              </w:rPr>
              <w:t>%。</w:t>
            </w:r>
          </w:p>
          <w:p w14:paraId="79CCFCE3">
            <w:pPr>
              <w:adjustRightInd w:val="0"/>
              <w:snapToGrid w:val="0"/>
              <w:jc w:val="lef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因财政部门资金拨付的原因造成逾期付款的，不视为甲方违约。</w:t>
            </w:r>
          </w:p>
        </w:tc>
      </w:tr>
      <w:tr w14:paraId="40925C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8" w:space="0"/>
              <w:right w:val="single" w:color="auto" w:sz="8" w:space="0"/>
            </w:tcBorders>
            <w:noWrap w:val="0"/>
            <w:vAlign w:val="center"/>
          </w:tcPr>
          <w:p w14:paraId="1FD168E7">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7714D1AD">
            <w:pPr>
              <w:adjustRightInd w:val="0"/>
              <w:snapToGrid w:val="0"/>
              <w:jc w:val="center"/>
              <w:rPr>
                <w:rFonts w:ascii="宋体" w:hAnsi="宋体"/>
                <w:sz w:val="24"/>
                <w:szCs w:val="24"/>
                <w:highlight w:val="none"/>
              </w:rPr>
            </w:pPr>
            <w:r>
              <w:rPr>
                <w:rFonts w:hint="eastAsia" w:ascii="宋体" w:hAnsi="宋体"/>
                <w:sz w:val="24"/>
                <w:szCs w:val="24"/>
                <w:highlight w:val="none"/>
              </w:rPr>
              <w:t>第15.4款</w:t>
            </w:r>
          </w:p>
        </w:tc>
        <w:tc>
          <w:tcPr>
            <w:tcW w:w="1742" w:type="dxa"/>
            <w:tcBorders>
              <w:left w:val="single" w:color="auto" w:sz="8" w:space="0"/>
              <w:bottom w:val="single" w:color="auto" w:sz="8" w:space="0"/>
              <w:right w:val="single" w:color="auto" w:sz="8" w:space="0"/>
            </w:tcBorders>
            <w:noWrap w:val="0"/>
            <w:vAlign w:val="center"/>
          </w:tcPr>
          <w:p w14:paraId="6359DFA0">
            <w:pPr>
              <w:adjustRightInd w:val="0"/>
              <w:snapToGrid w:val="0"/>
              <w:jc w:val="left"/>
              <w:rPr>
                <w:rFonts w:ascii="宋体" w:hAnsi="宋体"/>
                <w:sz w:val="24"/>
                <w:szCs w:val="24"/>
                <w:highlight w:val="none"/>
              </w:rPr>
            </w:pPr>
            <w:r>
              <w:rPr>
                <w:rFonts w:hint="eastAsia" w:ascii="宋体" w:hAnsi="宋体"/>
                <w:sz w:val="24"/>
                <w:szCs w:val="24"/>
                <w:highlight w:val="none"/>
              </w:rPr>
              <w:t>其他违约责任</w:t>
            </w:r>
          </w:p>
        </w:tc>
        <w:tc>
          <w:tcPr>
            <w:tcW w:w="5170" w:type="dxa"/>
            <w:tcBorders>
              <w:left w:val="single" w:color="auto" w:sz="8" w:space="0"/>
              <w:bottom w:val="single" w:color="auto" w:sz="8" w:space="0"/>
            </w:tcBorders>
            <w:noWrap w:val="0"/>
            <w:vAlign w:val="center"/>
          </w:tcPr>
          <w:p w14:paraId="62F5DE00">
            <w:pPr>
              <w:adjustRightInd w:val="0"/>
              <w:snapToGrid w:val="0"/>
              <w:jc w:val="left"/>
              <w:rPr>
                <w:rFonts w:ascii="宋体" w:hAnsi="宋体"/>
                <w:sz w:val="24"/>
                <w:szCs w:val="24"/>
                <w:highlight w:val="none"/>
                <w:u w:val="single"/>
              </w:rPr>
            </w:pPr>
          </w:p>
        </w:tc>
      </w:tr>
      <w:tr w14:paraId="3FBE68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8" w:space="0"/>
              <w:right w:val="single" w:color="auto" w:sz="8" w:space="0"/>
            </w:tcBorders>
            <w:noWrap w:val="0"/>
            <w:vAlign w:val="center"/>
          </w:tcPr>
          <w:p w14:paraId="72BF6849">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193B61CB">
            <w:pPr>
              <w:adjustRightInd w:val="0"/>
              <w:snapToGrid w:val="0"/>
              <w:jc w:val="center"/>
              <w:rPr>
                <w:rFonts w:ascii="宋体" w:hAnsi="宋体"/>
                <w:sz w:val="24"/>
                <w:szCs w:val="24"/>
                <w:highlight w:val="none"/>
              </w:rPr>
            </w:pPr>
            <w:r>
              <w:rPr>
                <w:rFonts w:hint="eastAsia" w:ascii="宋体" w:hAnsi="宋体"/>
                <w:sz w:val="24"/>
                <w:szCs w:val="24"/>
                <w:highlight w:val="none"/>
              </w:rPr>
              <w:t>第19.2款</w:t>
            </w:r>
          </w:p>
        </w:tc>
        <w:tc>
          <w:tcPr>
            <w:tcW w:w="1742" w:type="dxa"/>
            <w:tcBorders>
              <w:top w:val="single" w:color="auto" w:sz="8" w:space="0"/>
              <w:left w:val="single" w:color="auto" w:sz="8" w:space="0"/>
              <w:right w:val="single" w:color="auto" w:sz="8" w:space="0"/>
            </w:tcBorders>
            <w:noWrap w:val="0"/>
            <w:vAlign w:val="center"/>
          </w:tcPr>
          <w:p w14:paraId="4278C2F9">
            <w:pPr>
              <w:adjustRightInd w:val="0"/>
              <w:snapToGrid w:val="0"/>
              <w:jc w:val="left"/>
              <w:rPr>
                <w:rFonts w:ascii="宋体" w:hAnsi="宋体"/>
                <w:sz w:val="24"/>
                <w:szCs w:val="24"/>
                <w:highlight w:val="none"/>
              </w:rPr>
            </w:pPr>
            <w:r>
              <w:rPr>
                <w:rFonts w:hint="eastAsia" w:ascii="宋体" w:hAnsi="宋体"/>
                <w:sz w:val="24"/>
                <w:szCs w:val="24"/>
                <w:highlight w:val="none"/>
              </w:rPr>
              <w:t>解决争议的方法</w:t>
            </w:r>
          </w:p>
        </w:tc>
        <w:tc>
          <w:tcPr>
            <w:tcW w:w="5170" w:type="dxa"/>
            <w:tcBorders>
              <w:top w:val="single" w:color="auto" w:sz="8" w:space="0"/>
              <w:left w:val="single" w:color="auto" w:sz="8" w:space="0"/>
            </w:tcBorders>
            <w:noWrap w:val="0"/>
            <w:vAlign w:val="center"/>
          </w:tcPr>
          <w:p w14:paraId="7B26369D">
            <w:pPr>
              <w:autoSpaceDE w:val="0"/>
              <w:autoSpaceDN w:val="0"/>
              <w:adjustRightInd w:val="0"/>
              <w:snapToGrid w:val="0"/>
              <w:spacing w:line="400" w:lineRule="exact"/>
              <w:jc w:val="left"/>
              <w:rPr>
                <w:rFonts w:ascii="宋体" w:hAnsi="宋体" w:cs="宋体"/>
                <w:iCs/>
                <w:sz w:val="24"/>
                <w:szCs w:val="24"/>
                <w:highlight w:val="none"/>
              </w:rPr>
            </w:pPr>
            <w:r>
              <w:rPr>
                <w:rFonts w:hint="eastAsia" w:ascii="宋体" w:hAnsi="宋体" w:cs="宋体"/>
                <w:iCs/>
                <w:sz w:val="24"/>
                <w:szCs w:val="24"/>
                <w:highlight w:val="none"/>
              </w:rPr>
              <w:t>因本合同及合同有关事项发生的争议，按下列第</w:t>
            </w:r>
            <w:r>
              <w:rPr>
                <w:rFonts w:hint="eastAsia" w:ascii="宋体" w:hAnsi="宋体" w:cs="宋体"/>
                <w:iCs/>
                <w:sz w:val="24"/>
                <w:szCs w:val="24"/>
                <w:highlight w:val="none"/>
                <w:u w:val="single"/>
              </w:rPr>
              <w:t xml:space="preserve"> （2）  </w:t>
            </w:r>
            <w:r>
              <w:rPr>
                <w:rFonts w:hint="eastAsia" w:ascii="宋体" w:hAnsi="宋体" w:cs="宋体"/>
                <w:iCs/>
                <w:sz w:val="24"/>
                <w:szCs w:val="24"/>
                <w:highlight w:val="none"/>
              </w:rPr>
              <w:t>种方式解决：</w:t>
            </w:r>
          </w:p>
          <w:p w14:paraId="36937FAF">
            <w:pPr>
              <w:autoSpaceDE w:val="0"/>
              <w:autoSpaceDN w:val="0"/>
              <w:adjustRightInd w:val="0"/>
              <w:snapToGrid w:val="0"/>
              <w:spacing w:line="400" w:lineRule="exact"/>
              <w:jc w:val="left"/>
              <w:rPr>
                <w:rFonts w:ascii="宋体" w:hAnsi="宋体" w:cs="宋体"/>
                <w:iCs/>
                <w:sz w:val="24"/>
                <w:szCs w:val="24"/>
                <w:highlight w:val="none"/>
              </w:rPr>
            </w:pPr>
            <w:r>
              <w:rPr>
                <w:rFonts w:hint="eastAsia" w:ascii="宋体" w:hAnsi="宋体" w:cs="宋体"/>
                <w:iCs/>
                <w:sz w:val="24"/>
                <w:szCs w:val="24"/>
                <w:highlight w:val="none"/>
              </w:rPr>
              <w:t>（1）向</w:t>
            </w:r>
            <w:r>
              <w:rPr>
                <w:rFonts w:hint="eastAsia" w:ascii="宋体" w:hAnsi="宋体" w:cs="宋体"/>
                <w:iCs/>
                <w:sz w:val="24"/>
                <w:szCs w:val="24"/>
                <w:highlight w:val="none"/>
                <w:u w:val="single"/>
              </w:rPr>
              <w:t xml:space="preserve">                    </w:t>
            </w:r>
            <w:r>
              <w:rPr>
                <w:rFonts w:hint="eastAsia" w:ascii="宋体" w:hAnsi="宋体" w:cs="宋体"/>
                <w:iCs/>
                <w:sz w:val="24"/>
                <w:szCs w:val="24"/>
                <w:highlight w:val="none"/>
              </w:rPr>
              <w:t>仲裁委员会申请仲裁，仲裁地点为</w:t>
            </w:r>
            <w:r>
              <w:rPr>
                <w:rFonts w:hint="eastAsia" w:ascii="宋体" w:hAnsi="宋体" w:cs="宋体"/>
                <w:iCs/>
                <w:sz w:val="24"/>
                <w:szCs w:val="24"/>
                <w:highlight w:val="none"/>
                <w:u w:val="single"/>
              </w:rPr>
              <w:t xml:space="preserve">           </w:t>
            </w:r>
            <w:r>
              <w:rPr>
                <w:rFonts w:hint="eastAsia" w:ascii="宋体" w:hAnsi="宋体" w:cs="宋体"/>
                <w:iCs/>
                <w:sz w:val="24"/>
                <w:szCs w:val="24"/>
                <w:highlight w:val="none"/>
              </w:rPr>
              <w:t>；</w:t>
            </w:r>
          </w:p>
          <w:p w14:paraId="787339E9">
            <w:pPr>
              <w:adjustRightInd w:val="0"/>
              <w:snapToGrid w:val="0"/>
              <w:jc w:val="left"/>
              <w:rPr>
                <w:rFonts w:ascii="宋体" w:hAnsi="宋体"/>
                <w:sz w:val="24"/>
                <w:szCs w:val="24"/>
                <w:highlight w:val="none"/>
                <w:u w:val="single"/>
              </w:rPr>
            </w:pPr>
            <w:r>
              <w:rPr>
                <w:rFonts w:hint="eastAsia" w:ascii="宋体" w:hAnsi="宋体" w:cs="宋体"/>
                <w:iCs/>
                <w:sz w:val="24"/>
                <w:szCs w:val="24"/>
                <w:highlight w:val="none"/>
              </w:rPr>
              <w:t>（2）向</w:t>
            </w:r>
            <w:r>
              <w:rPr>
                <w:rFonts w:hint="eastAsia" w:ascii="宋体" w:hAnsi="宋体" w:cs="宋体"/>
                <w:iCs/>
                <w:sz w:val="24"/>
                <w:szCs w:val="24"/>
                <w:highlight w:val="none"/>
                <w:u w:val="single"/>
              </w:rPr>
              <w:t xml:space="preserve">    </w:t>
            </w:r>
            <w:r>
              <w:rPr>
                <w:rFonts w:hint="eastAsia" w:ascii="宋体" w:hAnsi="宋体" w:cs="宋体"/>
                <w:iCs/>
                <w:sz w:val="24"/>
                <w:szCs w:val="24"/>
                <w:highlight w:val="none"/>
                <w:u w:val="single"/>
                <w:lang w:val="en-US" w:eastAsia="zh-CN"/>
              </w:rPr>
              <w:t>甲方所在地</w:t>
            </w:r>
            <w:r>
              <w:rPr>
                <w:rFonts w:hint="eastAsia" w:ascii="宋体" w:hAnsi="宋体" w:cs="宋体"/>
                <w:iCs/>
                <w:sz w:val="24"/>
                <w:szCs w:val="24"/>
                <w:highlight w:val="none"/>
                <w:u w:val="single"/>
              </w:rPr>
              <w:t xml:space="preserve">    </w:t>
            </w:r>
            <w:r>
              <w:rPr>
                <w:rFonts w:hint="eastAsia" w:ascii="宋体" w:hAnsi="宋体" w:cs="宋体"/>
                <w:iCs/>
                <w:sz w:val="24"/>
                <w:szCs w:val="24"/>
                <w:highlight w:val="none"/>
              </w:rPr>
              <w:t>人民法院起诉。</w:t>
            </w:r>
          </w:p>
        </w:tc>
      </w:tr>
      <w:tr w14:paraId="078131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0E29C5F1">
            <w:pPr>
              <w:adjustRightInd w:val="0"/>
              <w:snapToGrid w:val="0"/>
              <w:jc w:val="center"/>
              <w:rPr>
                <w:rFonts w:ascii="宋体" w:hAnsi="宋体"/>
                <w:sz w:val="24"/>
                <w:szCs w:val="24"/>
                <w:highlight w:val="none"/>
              </w:rPr>
            </w:pPr>
            <w:r>
              <w:rPr>
                <w:rFonts w:hint="eastAsia" w:ascii="宋体" w:hAnsi="宋体"/>
                <w:sz w:val="24"/>
                <w:szCs w:val="24"/>
                <w:highlight w:val="none"/>
              </w:rPr>
              <w:t>第二节</w:t>
            </w:r>
          </w:p>
          <w:p w14:paraId="79B33070">
            <w:pPr>
              <w:adjustRightInd w:val="0"/>
              <w:snapToGrid w:val="0"/>
              <w:jc w:val="center"/>
              <w:rPr>
                <w:rFonts w:ascii="宋体" w:hAnsi="宋体"/>
                <w:sz w:val="24"/>
                <w:szCs w:val="24"/>
                <w:highlight w:val="none"/>
              </w:rPr>
            </w:pPr>
            <w:r>
              <w:rPr>
                <w:rFonts w:hint="eastAsia" w:ascii="宋体" w:hAnsi="宋体"/>
                <w:sz w:val="24"/>
                <w:szCs w:val="24"/>
                <w:highlight w:val="none"/>
              </w:rPr>
              <w:t>第23.1款</w:t>
            </w:r>
          </w:p>
        </w:tc>
        <w:tc>
          <w:tcPr>
            <w:tcW w:w="1742" w:type="dxa"/>
            <w:noWrap w:val="0"/>
            <w:vAlign w:val="center"/>
          </w:tcPr>
          <w:p w14:paraId="1D87EC59">
            <w:pPr>
              <w:adjustRightInd w:val="0"/>
              <w:snapToGrid w:val="0"/>
              <w:jc w:val="left"/>
              <w:rPr>
                <w:rFonts w:ascii="宋体" w:hAnsi="宋体"/>
                <w:sz w:val="24"/>
                <w:szCs w:val="24"/>
                <w:highlight w:val="none"/>
              </w:rPr>
            </w:pPr>
            <w:r>
              <w:rPr>
                <w:rFonts w:hint="eastAsia" w:ascii="宋体" w:hAnsi="宋体"/>
                <w:bCs/>
                <w:sz w:val="24"/>
                <w:szCs w:val="24"/>
                <w:highlight w:val="none"/>
              </w:rPr>
              <w:t>其他专用条款</w:t>
            </w:r>
          </w:p>
        </w:tc>
        <w:tc>
          <w:tcPr>
            <w:tcW w:w="5170" w:type="dxa"/>
            <w:noWrap w:val="0"/>
            <w:vAlign w:val="center"/>
          </w:tcPr>
          <w:p w14:paraId="72570E95">
            <w:pPr>
              <w:adjustRightInd w:val="0"/>
              <w:snapToGrid w:val="0"/>
              <w:jc w:val="left"/>
              <w:rPr>
                <w:rFonts w:hint="eastAsia" w:ascii="宋体" w:hAnsi="宋体" w:eastAsia="宋体"/>
                <w:sz w:val="24"/>
                <w:szCs w:val="24"/>
                <w:highlight w:val="none"/>
                <w:lang w:val="en-US" w:eastAsia="zh-CN"/>
              </w:rPr>
            </w:pPr>
            <w:r>
              <w:rPr>
                <w:rFonts w:hint="eastAsia" w:ascii="宋体" w:hAnsi="宋体"/>
                <w:sz w:val="24"/>
                <w:szCs w:val="24"/>
                <w:highlight w:val="none"/>
                <w:lang w:val="en-US" w:eastAsia="zh-CN"/>
              </w:rPr>
              <w:t>无</w:t>
            </w:r>
          </w:p>
        </w:tc>
      </w:tr>
    </w:tbl>
    <w:p w14:paraId="2A038415">
      <w:pPr>
        <w:rPr>
          <w:highlight w:val="none"/>
        </w:rPr>
      </w:pPr>
    </w:p>
    <w:bookmarkEnd w:id="0"/>
    <w:bookmarkEnd w:id="1"/>
    <w:bookmarkEnd w:id="2"/>
    <w:bookmarkEnd w:id="3"/>
    <w:bookmarkEnd w:id="4"/>
    <w:bookmarkEnd w:id="5"/>
    <w:bookmarkEnd w:id="6"/>
    <w:p w14:paraId="7CFE26FB">
      <w:pPr>
        <w:pStyle w:val="4"/>
        <w:numPr>
          <w:ilvl w:val="0"/>
          <w:numId w:val="0"/>
        </w:numPr>
        <w:ind w:leftChars="0"/>
        <w:jc w:val="center"/>
        <w:outlineLvl w:val="0"/>
        <w:rPr>
          <w:rFonts w:hint="eastAsia" w:ascii="宋体" w:hAnsi="宋体" w:eastAsia="宋体" w:cs="宋体"/>
          <w:color w:val="auto"/>
          <w:szCs w:val="32"/>
          <w:highlight w:val="none"/>
        </w:rPr>
      </w:pPr>
      <w:bookmarkStart w:id="83" w:name="_附件"/>
      <w:bookmarkEnd w:id="83"/>
      <w:bookmarkStart w:id="84" w:name="_Toc7202"/>
      <w:bookmarkStart w:id="85" w:name="_Toc424561850"/>
      <w:bookmarkStart w:id="86" w:name="_Toc13880"/>
      <w:bookmarkStart w:id="87" w:name="_Toc10139"/>
      <w:r>
        <w:rPr>
          <w:rFonts w:hint="eastAsia" w:ascii="宋体" w:hAnsi="宋体" w:eastAsia="宋体" w:cs="宋体"/>
          <w:color w:val="auto"/>
          <w:szCs w:val="32"/>
          <w:highlight w:val="none"/>
          <w:lang w:val="en-US" w:eastAsia="zh-CN"/>
        </w:rPr>
        <w:br w:type="page"/>
      </w:r>
      <w:r>
        <w:rPr>
          <w:rFonts w:hint="eastAsia" w:ascii="宋体" w:hAnsi="宋体" w:eastAsia="宋体" w:cs="宋体"/>
          <w:color w:val="auto"/>
          <w:szCs w:val="32"/>
          <w:highlight w:val="none"/>
          <w:lang w:val="en-US" w:eastAsia="zh-CN"/>
        </w:rPr>
        <w:t>第五章 采购</w:t>
      </w:r>
      <w:r>
        <w:rPr>
          <w:rFonts w:hint="eastAsia" w:ascii="宋体" w:hAnsi="宋体" w:eastAsia="宋体" w:cs="宋体"/>
          <w:color w:val="auto"/>
          <w:szCs w:val="32"/>
          <w:highlight w:val="none"/>
        </w:rPr>
        <w:t>需求</w:t>
      </w:r>
      <w:bookmarkEnd w:id="84"/>
      <w:bookmarkEnd w:id="85"/>
      <w:bookmarkEnd w:id="86"/>
      <w:bookmarkEnd w:id="87"/>
    </w:p>
    <w:bookmarkEnd w:id="7"/>
    <w:bookmarkEnd w:id="8"/>
    <w:bookmarkEnd w:id="9"/>
    <w:bookmarkEnd w:id="10"/>
    <w:bookmarkEnd w:id="11"/>
    <w:bookmarkEnd w:id="12"/>
    <w:bookmarkEnd w:id="13"/>
    <w:p w14:paraId="6730543F">
      <w:pPr>
        <w:spacing w:line="240" w:lineRule="auto"/>
        <w:ind w:leftChars="0" w:right="0" w:rightChars="0" w:firstLine="0" w:firstLineChars="0"/>
        <w:jc w:val="center"/>
        <w:rPr>
          <w:rFonts w:hint="eastAsia" w:ascii="方正公文小标宋" w:hAnsi="方正公文小标宋" w:eastAsia="方正公文小标宋" w:cs="方正公文小标宋"/>
          <w:b w:val="0"/>
          <w:bCs/>
          <w:color w:val="auto"/>
          <w:sz w:val="30"/>
          <w:szCs w:val="30"/>
          <w:highlight w:val="none"/>
        </w:rPr>
      </w:pPr>
      <w:bookmarkStart w:id="88" w:name="_Toc22724001"/>
      <w:bookmarkStart w:id="89" w:name="_Toc22962923"/>
      <w:bookmarkStart w:id="90" w:name="_Toc22570541"/>
      <w:bookmarkStart w:id="91" w:name="_Toc22568834"/>
      <w:bookmarkStart w:id="92" w:name="_Toc22804120"/>
      <w:bookmarkStart w:id="93" w:name="_Toc23426"/>
      <w:bookmarkStart w:id="94" w:name="_Toc22953442"/>
      <w:bookmarkStart w:id="95" w:name="_Toc4468"/>
      <w:r>
        <w:rPr>
          <w:rFonts w:hint="eastAsia" w:ascii="宋体" w:hAnsi="宋体" w:eastAsia="宋体" w:cs="宋体"/>
          <w:b w:val="0"/>
          <w:bCs/>
          <w:color w:val="auto"/>
          <w:sz w:val="30"/>
          <w:szCs w:val="30"/>
          <w:highlight w:val="none"/>
          <w:lang w:val="en-US" w:eastAsia="zh-CN"/>
        </w:rPr>
        <w:t>支气管镜系统</w:t>
      </w:r>
      <w:r>
        <w:rPr>
          <w:rFonts w:hint="eastAsia" w:ascii="宋体" w:hAnsi="宋体" w:eastAsia="宋体" w:cs="宋体"/>
          <w:b w:val="0"/>
          <w:bCs/>
          <w:color w:val="auto"/>
          <w:sz w:val="30"/>
          <w:szCs w:val="30"/>
          <w:highlight w:val="none"/>
        </w:rPr>
        <w:t>技术参数</w:t>
      </w:r>
    </w:p>
    <w:p w14:paraId="7968A020">
      <w:pPr>
        <w:numPr>
          <w:ilvl w:val="0"/>
          <w:numId w:val="0"/>
        </w:numPr>
        <w:spacing w:line="240" w:lineRule="auto"/>
        <w:ind w:leftChars="0" w:right="0" w:rightChars="0" w:firstLine="0" w:firstLineChars="0"/>
        <w:jc w:val="left"/>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val="0"/>
          <w:color w:val="auto"/>
          <w:sz w:val="24"/>
          <w:szCs w:val="24"/>
          <w:highlight w:val="none"/>
          <w:lang w:val="en-US" w:eastAsia="zh-CN"/>
        </w:rPr>
        <w:t>总体要求：</w:t>
      </w:r>
    </w:p>
    <w:p w14:paraId="075797F5">
      <w:pPr>
        <w:numPr>
          <w:ilvl w:val="1"/>
          <w:numId w:val="0"/>
        </w:numPr>
        <w:spacing w:line="240" w:lineRule="auto"/>
        <w:ind w:left="0" w:leftChars="0" w:right="0" w:rightChars="0" w:firstLine="0" w:firstLine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bidi="ar-SA"/>
        </w:rPr>
        <w:t>1.</w:t>
      </w:r>
      <w:r>
        <w:rPr>
          <w:rFonts w:hint="eastAsia" w:ascii="宋体" w:hAnsi="宋体" w:eastAsia="宋体" w:cs="宋体"/>
          <w:bCs/>
          <w:color w:val="auto"/>
          <w:sz w:val="24"/>
          <w:szCs w:val="24"/>
          <w:highlight w:val="none"/>
          <w:lang w:val="en-US" w:eastAsia="zh-CN"/>
        </w:rPr>
        <w:t>设备名称：</w:t>
      </w:r>
      <w:r>
        <w:rPr>
          <w:rFonts w:hint="eastAsia" w:ascii="宋体" w:hAnsi="宋体" w:eastAsia="宋体" w:cs="宋体"/>
          <w:b w:val="0"/>
          <w:bCs/>
          <w:color w:val="auto"/>
          <w:sz w:val="24"/>
          <w:szCs w:val="24"/>
          <w:highlight w:val="none"/>
          <w:lang w:val="en-US" w:eastAsia="zh-CN"/>
        </w:rPr>
        <w:t>支气管镜系统。</w:t>
      </w:r>
    </w:p>
    <w:p w14:paraId="40CBF92B">
      <w:pPr>
        <w:numPr>
          <w:ilvl w:val="1"/>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2.设备用途：用于呼吸系统疾病的诊断及治疗。</w:t>
      </w:r>
    </w:p>
    <w:p w14:paraId="1D42F6AC">
      <w:pPr>
        <w:numPr>
          <w:ilvl w:val="0"/>
          <w:numId w:val="0"/>
        </w:numPr>
        <w:spacing w:line="240" w:lineRule="auto"/>
        <w:ind w:leftChars="0" w:right="0" w:rightChars="0" w:firstLine="0" w:firstLineChars="0"/>
        <w:jc w:val="left"/>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二、支气管镜系统</w:t>
      </w:r>
      <w:r>
        <w:rPr>
          <w:rFonts w:hint="eastAsia" w:ascii="宋体" w:hAnsi="宋体" w:eastAsia="宋体" w:cs="宋体"/>
          <w:b/>
          <w:bCs w:val="0"/>
          <w:color w:val="auto"/>
          <w:sz w:val="24"/>
          <w:szCs w:val="24"/>
          <w:highlight w:val="none"/>
          <w:lang w:val="en-US" w:eastAsia="zh-CN"/>
        </w:rPr>
        <w:t>技术要求：</w:t>
      </w:r>
    </w:p>
    <w:p w14:paraId="4155E50D">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sz w:val="24"/>
          <w:szCs w:val="24"/>
          <w:highlight w:val="none"/>
        </w:rPr>
      </w:pPr>
      <w:r>
        <w:rPr>
          <w:rFonts w:hint="eastAsia" w:ascii="方正楷体_GB2312" w:hAnsi="方正楷体_GB2312" w:eastAsia="方正楷体_GB2312" w:cs="方正楷体_GB2312"/>
          <w:b/>
          <w:bCs/>
          <w:color w:val="auto"/>
          <w:kern w:val="2"/>
          <w:sz w:val="24"/>
          <w:szCs w:val="24"/>
          <w:highlight w:val="none"/>
          <w:lang w:val="en-US" w:eastAsia="zh-CN" w:bidi="ar-SA"/>
        </w:rPr>
        <w:t>（一）</w:t>
      </w:r>
      <w:r>
        <w:rPr>
          <w:rFonts w:hint="eastAsia" w:ascii="方正楷体_GB2312" w:hAnsi="方正楷体_GB2312" w:eastAsia="方正楷体_GB2312" w:cs="方正楷体_GB2312"/>
          <w:b/>
          <w:bCs/>
          <w:color w:val="auto"/>
          <w:sz w:val="24"/>
          <w:szCs w:val="24"/>
          <w:highlight w:val="none"/>
        </w:rPr>
        <w:t>超声内镜图像处理装置</w:t>
      </w:r>
      <w:r>
        <w:rPr>
          <w:rFonts w:hint="eastAsia" w:ascii="方正楷体_GB2312" w:hAnsi="方正楷体_GB2312" w:eastAsia="方正楷体_GB2312" w:cs="方正楷体_GB2312"/>
          <w:b/>
          <w:bCs/>
          <w:color w:val="auto"/>
          <w:sz w:val="24"/>
          <w:szCs w:val="24"/>
          <w:highlight w:val="none"/>
          <w:lang w:val="en-US" w:eastAsia="zh-CN"/>
        </w:rPr>
        <w:t>2</w:t>
      </w:r>
      <w:r>
        <w:rPr>
          <w:rFonts w:hint="eastAsia" w:ascii="方正楷体_GB2312" w:hAnsi="方正楷体_GB2312" w:eastAsia="方正楷体_GB2312" w:cs="方正楷体_GB2312"/>
          <w:b/>
          <w:bCs/>
          <w:color w:val="auto"/>
          <w:sz w:val="24"/>
          <w:szCs w:val="24"/>
          <w:highlight w:val="none"/>
        </w:rPr>
        <w:t>台</w:t>
      </w:r>
    </w:p>
    <w:p w14:paraId="5701373F">
      <w:pPr>
        <w:spacing w:line="240" w:lineRule="auto"/>
        <w:ind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1.处理器系统功能要求</w:t>
      </w:r>
    </w:p>
    <w:p w14:paraId="73F50EB3">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至少</w:t>
      </w:r>
      <w:r>
        <w:rPr>
          <w:rFonts w:hint="eastAsia" w:ascii="宋体" w:hAnsi="宋体" w:eastAsia="宋体" w:cs="宋体"/>
          <w:color w:val="auto"/>
          <w:sz w:val="24"/>
          <w:szCs w:val="24"/>
          <w:highlight w:val="none"/>
        </w:rPr>
        <w:t>兼容机械扫描、电子扫描两种模式</w:t>
      </w:r>
      <w:r>
        <w:rPr>
          <w:rFonts w:hint="eastAsia" w:ascii="宋体" w:hAnsi="宋体" w:eastAsia="宋体" w:cs="宋体"/>
          <w:color w:val="auto"/>
          <w:sz w:val="24"/>
          <w:szCs w:val="24"/>
          <w:highlight w:val="none"/>
          <w:lang w:eastAsia="zh-CN"/>
        </w:rPr>
        <w:t>。</w:t>
      </w:r>
    </w:p>
    <w:p w14:paraId="6D741B2B">
      <w:pPr>
        <w:spacing w:line="240" w:lineRule="auto"/>
        <w:ind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★1.2兼容超声小探头、电子（环扫、凸阵）超声镜</w:t>
      </w:r>
      <w:r>
        <w:rPr>
          <w:rFonts w:hint="eastAsia" w:ascii="宋体" w:hAnsi="宋体" w:eastAsia="宋体" w:cs="宋体"/>
          <w:color w:val="auto"/>
          <w:sz w:val="24"/>
          <w:szCs w:val="24"/>
          <w:highlight w:val="none"/>
          <w:lang w:eastAsia="zh-CN"/>
        </w:rPr>
        <w:t>。</w:t>
      </w:r>
    </w:p>
    <w:p w14:paraId="7728029E">
      <w:pPr>
        <w:spacing w:line="240" w:lineRule="auto"/>
        <w:ind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1.3具有HDTV信号输出，具有画中画功能</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且画中画的位置、大小可调</w:t>
      </w:r>
      <w:r>
        <w:rPr>
          <w:rFonts w:hint="eastAsia" w:ascii="宋体" w:hAnsi="宋体" w:eastAsia="宋体" w:cs="宋体"/>
          <w:color w:val="auto"/>
          <w:sz w:val="24"/>
          <w:szCs w:val="24"/>
          <w:highlight w:val="none"/>
          <w:lang w:eastAsia="zh-CN"/>
        </w:rPr>
        <w:t>。</w:t>
      </w:r>
    </w:p>
    <w:p w14:paraId="646316C1">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1.4可保存静态图片至系统硬盘和外接U盘，具有USB接口</w:t>
      </w:r>
      <w:r>
        <w:rPr>
          <w:rFonts w:hint="eastAsia" w:ascii="宋体" w:hAnsi="宋体" w:eastAsia="宋体" w:cs="宋体"/>
          <w:color w:val="auto"/>
          <w:sz w:val="24"/>
          <w:szCs w:val="24"/>
          <w:highlight w:val="none"/>
          <w:lang w:eastAsia="zh-CN"/>
        </w:rPr>
        <w:t>。</w:t>
      </w:r>
    </w:p>
    <w:p w14:paraId="4726017B">
      <w:pPr>
        <w:spacing w:line="240" w:lineRule="auto"/>
        <w:ind w:leftChars="0" w:right="0" w:rightChars="0" w:firstLine="0" w:firstLineChars="0"/>
        <w:jc w:val="left"/>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★1.5可实现超声主机和内镜主机的联动</w:t>
      </w:r>
      <w:r>
        <w:rPr>
          <w:rFonts w:hint="eastAsia" w:ascii="宋体" w:hAnsi="宋体" w:cs="宋体"/>
          <w:color w:val="auto"/>
          <w:sz w:val="24"/>
          <w:szCs w:val="24"/>
          <w:highlight w:val="none"/>
          <w:lang w:eastAsia="zh-CN"/>
        </w:rPr>
        <w:t>。</w:t>
      </w:r>
    </w:p>
    <w:p w14:paraId="75EDB75C">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1.6超声图像和内镜图像可经内镜主机接口保存</w:t>
      </w:r>
      <w:r>
        <w:rPr>
          <w:rFonts w:hint="eastAsia" w:ascii="宋体" w:hAnsi="宋体" w:eastAsia="宋体" w:cs="宋体"/>
          <w:color w:val="auto"/>
          <w:sz w:val="24"/>
          <w:szCs w:val="24"/>
          <w:highlight w:val="none"/>
          <w:lang w:eastAsia="zh-CN"/>
        </w:rPr>
        <w:t>。</w:t>
      </w:r>
    </w:p>
    <w:p w14:paraId="6D3C84D1">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1.7具有</w:t>
      </w:r>
      <w:r>
        <w:rPr>
          <w:rFonts w:hint="eastAsia" w:ascii="宋体" w:hAnsi="宋体" w:cs="宋体"/>
          <w:color w:val="auto"/>
          <w:sz w:val="24"/>
          <w:szCs w:val="24"/>
          <w:highlight w:val="none"/>
          <w:lang w:val="en-US" w:eastAsia="zh-CN"/>
        </w:rPr>
        <w:t>不少于三种测量方式，包括不限于</w:t>
      </w:r>
      <w:r>
        <w:rPr>
          <w:rFonts w:hint="eastAsia" w:ascii="宋体" w:hAnsi="宋体" w:eastAsia="宋体" w:cs="宋体"/>
          <w:color w:val="auto"/>
          <w:sz w:val="24"/>
          <w:szCs w:val="24"/>
          <w:highlight w:val="none"/>
        </w:rPr>
        <w:t>距离测量、面积测量、体积测量功能，且可在不冻结超声图像时操作</w:t>
      </w:r>
      <w:r>
        <w:rPr>
          <w:rFonts w:hint="eastAsia" w:ascii="宋体" w:hAnsi="宋体" w:eastAsia="宋体" w:cs="宋体"/>
          <w:color w:val="auto"/>
          <w:sz w:val="24"/>
          <w:szCs w:val="24"/>
          <w:highlight w:val="none"/>
          <w:lang w:eastAsia="zh-CN"/>
        </w:rPr>
        <w:t>。</w:t>
      </w:r>
    </w:p>
    <w:p w14:paraId="207BF5B1">
      <w:pPr>
        <w:spacing w:line="240" w:lineRule="auto"/>
        <w:ind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1.8超声键盘内置轨迹球，方便操作；</w:t>
      </w:r>
    </w:p>
    <w:p w14:paraId="609645BB">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1.9</w:t>
      </w:r>
      <w:r>
        <w:rPr>
          <w:rFonts w:hint="eastAsia" w:ascii="宋体" w:hAnsi="宋体" w:eastAsia="宋体" w:cs="宋体"/>
          <w:color w:val="auto"/>
          <w:sz w:val="24"/>
          <w:szCs w:val="24"/>
          <w:highlight w:val="none"/>
        </w:rPr>
        <w:t>键盘配备触摸板和背光键</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方便黑暗环境操作</w:t>
      </w:r>
      <w:r>
        <w:rPr>
          <w:rFonts w:hint="eastAsia" w:ascii="宋体" w:hAnsi="宋体" w:eastAsia="宋体" w:cs="宋体"/>
          <w:color w:val="auto"/>
          <w:sz w:val="24"/>
          <w:szCs w:val="24"/>
          <w:highlight w:val="none"/>
          <w:lang w:eastAsia="zh-CN"/>
        </w:rPr>
        <w:t>。</w:t>
      </w:r>
    </w:p>
    <w:p w14:paraId="5DBDF63D">
      <w:pPr>
        <w:spacing w:line="240" w:lineRule="auto"/>
        <w:ind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机械扫描模式要求：</w:t>
      </w:r>
    </w:p>
    <w:p w14:paraId="3AAEE906">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2.1显示模式：B模式</w:t>
      </w:r>
      <w:r>
        <w:rPr>
          <w:rFonts w:hint="eastAsia" w:ascii="宋体" w:hAnsi="宋体" w:eastAsia="宋体" w:cs="宋体"/>
          <w:color w:val="auto"/>
          <w:sz w:val="24"/>
          <w:szCs w:val="24"/>
          <w:highlight w:val="none"/>
          <w:lang w:eastAsia="zh-CN"/>
        </w:rPr>
        <w:t>。</w:t>
      </w:r>
    </w:p>
    <w:p w14:paraId="7D92B1A0">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2.2环形扫描</w:t>
      </w:r>
      <w:r>
        <w:rPr>
          <w:rFonts w:hint="eastAsia" w:ascii="宋体" w:hAnsi="宋体" w:eastAsia="宋体" w:cs="宋体"/>
          <w:color w:val="auto"/>
          <w:sz w:val="24"/>
          <w:szCs w:val="24"/>
          <w:highlight w:val="none"/>
          <w:lang w:eastAsia="zh-CN"/>
        </w:rPr>
        <w:t>。</w:t>
      </w:r>
    </w:p>
    <w:p w14:paraId="52E5CE82">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2.3配套设备：机械环扫超声镜、小探头</w:t>
      </w:r>
      <w:r>
        <w:rPr>
          <w:rFonts w:hint="eastAsia" w:ascii="宋体" w:hAnsi="宋体" w:eastAsia="宋体" w:cs="宋体"/>
          <w:color w:val="auto"/>
          <w:sz w:val="24"/>
          <w:szCs w:val="24"/>
          <w:highlight w:val="none"/>
          <w:lang w:eastAsia="zh-CN"/>
        </w:rPr>
        <w:t>。</w:t>
      </w:r>
    </w:p>
    <w:p w14:paraId="03663EB0">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2.4显示范围：</w:t>
      </w:r>
      <w:r>
        <w:rPr>
          <w:rFonts w:hint="eastAsia" w:ascii="宋体" w:hAnsi="宋体" w:cs="宋体"/>
          <w:color w:val="auto"/>
          <w:sz w:val="24"/>
          <w:szCs w:val="24"/>
          <w:highlight w:val="none"/>
          <w:lang w:val="en-US" w:eastAsia="zh-CN"/>
        </w:rPr>
        <w:t>最大</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cm</w:t>
      </w:r>
      <w:r>
        <w:rPr>
          <w:rFonts w:hint="eastAsia" w:ascii="宋体" w:hAnsi="宋体" w:eastAsia="宋体" w:cs="宋体"/>
          <w:color w:val="auto"/>
          <w:sz w:val="24"/>
          <w:szCs w:val="24"/>
          <w:highlight w:val="none"/>
          <w:lang w:eastAsia="zh-CN"/>
        </w:rPr>
        <w:t>。</w:t>
      </w:r>
    </w:p>
    <w:p w14:paraId="370120C8">
      <w:pPr>
        <w:spacing w:line="240" w:lineRule="auto"/>
        <w:ind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2.5显示处理：可旋转、滚动、倒转</w:t>
      </w:r>
      <w:r>
        <w:rPr>
          <w:rFonts w:hint="eastAsia" w:ascii="宋体" w:hAnsi="宋体" w:eastAsia="宋体" w:cs="宋体"/>
          <w:color w:val="auto"/>
          <w:sz w:val="24"/>
          <w:szCs w:val="24"/>
          <w:highlight w:val="none"/>
          <w:lang w:val="en-US" w:eastAsia="zh-CN"/>
        </w:rPr>
        <w:t>等。</w:t>
      </w:r>
    </w:p>
    <w:p w14:paraId="10F72E27">
      <w:pPr>
        <w:spacing w:line="240" w:lineRule="auto"/>
        <w:ind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2.6可用频率：</w:t>
      </w:r>
      <w:r>
        <w:rPr>
          <w:rFonts w:hint="eastAsia" w:ascii="宋体" w:hAnsi="宋体" w:cs="宋体"/>
          <w:color w:val="auto"/>
          <w:sz w:val="24"/>
          <w:szCs w:val="24"/>
          <w:highlight w:val="none"/>
          <w:lang w:val="en-US" w:eastAsia="zh-CN"/>
        </w:rPr>
        <w:t>最大</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20MHz</w:t>
      </w:r>
      <w:r>
        <w:rPr>
          <w:rFonts w:hint="eastAsia" w:ascii="宋体" w:hAnsi="宋体" w:eastAsia="宋体" w:cs="宋体"/>
          <w:color w:val="auto"/>
          <w:sz w:val="24"/>
          <w:szCs w:val="24"/>
          <w:highlight w:val="none"/>
          <w:lang w:val="en-US" w:eastAsia="zh-CN"/>
        </w:rPr>
        <w:t>。</w:t>
      </w:r>
    </w:p>
    <w:p w14:paraId="639F91B2">
      <w:pPr>
        <w:spacing w:line="240" w:lineRule="auto"/>
        <w:ind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电子扫描模式要求：</w:t>
      </w:r>
    </w:p>
    <w:p w14:paraId="1F2BF664">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3.1显示模式：B模式、彩色血流模式、能量血流模式，且彩色血流模式、能量血流模式可以和B模式画面同时显示</w:t>
      </w:r>
      <w:r>
        <w:rPr>
          <w:rFonts w:hint="eastAsia" w:ascii="宋体" w:hAnsi="宋体" w:eastAsia="宋体" w:cs="宋体"/>
          <w:color w:val="auto"/>
          <w:sz w:val="24"/>
          <w:szCs w:val="24"/>
          <w:highlight w:val="none"/>
          <w:lang w:eastAsia="zh-CN"/>
        </w:rPr>
        <w:t>。</w:t>
      </w:r>
    </w:p>
    <w:p w14:paraId="2369CB4B">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3.2扫描：环形扫描、凸阵扫描</w:t>
      </w:r>
      <w:r>
        <w:rPr>
          <w:rFonts w:hint="eastAsia" w:ascii="宋体" w:hAnsi="宋体" w:eastAsia="宋体" w:cs="宋体"/>
          <w:color w:val="auto"/>
          <w:sz w:val="24"/>
          <w:szCs w:val="24"/>
          <w:highlight w:val="none"/>
          <w:lang w:eastAsia="zh-CN"/>
        </w:rPr>
        <w:t>。</w:t>
      </w:r>
    </w:p>
    <w:p w14:paraId="4EE3DF76">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3.3显示范围：</w:t>
      </w:r>
      <w:r>
        <w:rPr>
          <w:rFonts w:hint="eastAsia" w:ascii="宋体" w:hAnsi="宋体" w:cs="宋体"/>
          <w:color w:val="auto"/>
          <w:sz w:val="24"/>
          <w:szCs w:val="24"/>
          <w:highlight w:val="none"/>
          <w:lang w:val="en-US" w:eastAsia="zh-CN"/>
        </w:rPr>
        <w:t>最大</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cm</w:t>
      </w:r>
      <w:r>
        <w:rPr>
          <w:rFonts w:hint="eastAsia" w:ascii="宋体" w:hAnsi="宋体" w:eastAsia="宋体" w:cs="宋体"/>
          <w:color w:val="auto"/>
          <w:sz w:val="24"/>
          <w:szCs w:val="24"/>
          <w:highlight w:val="none"/>
          <w:lang w:eastAsia="zh-CN"/>
        </w:rPr>
        <w:t>。</w:t>
      </w:r>
    </w:p>
    <w:p w14:paraId="5BA1163F">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3.4显示处理：可旋转、滚动，扇形、倒转</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eastAsia="zh-CN"/>
        </w:rPr>
        <w:t>。</w:t>
      </w:r>
    </w:p>
    <w:p w14:paraId="793A79B0">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3.5焦点位置、数量均可调节</w:t>
      </w:r>
      <w:r>
        <w:rPr>
          <w:rFonts w:hint="eastAsia" w:ascii="宋体" w:hAnsi="宋体" w:eastAsia="宋体" w:cs="宋体"/>
          <w:color w:val="auto"/>
          <w:sz w:val="24"/>
          <w:szCs w:val="24"/>
          <w:highlight w:val="none"/>
          <w:lang w:eastAsia="zh-CN"/>
        </w:rPr>
        <w:t>。</w:t>
      </w:r>
    </w:p>
    <w:p w14:paraId="73675EAA">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3.6彩色/能量血流模式：正常模式、高分辨率模式</w:t>
      </w:r>
      <w:r>
        <w:rPr>
          <w:rFonts w:hint="eastAsia" w:ascii="宋体" w:hAnsi="宋体" w:eastAsia="宋体" w:cs="宋体"/>
          <w:color w:val="auto"/>
          <w:sz w:val="24"/>
          <w:szCs w:val="24"/>
          <w:highlight w:val="none"/>
          <w:lang w:eastAsia="zh-CN"/>
        </w:rPr>
        <w:t>。</w:t>
      </w:r>
    </w:p>
    <w:p w14:paraId="45820DE3">
      <w:pPr>
        <w:spacing w:line="240" w:lineRule="auto"/>
        <w:ind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3.7可用频率：</w:t>
      </w:r>
      <w:r>
        <w:rPr>
          <w:rFonts w:hint="eastAsia" w:ascii="宋体" w:hAnsi="宋体" w:cs="宋体"/>
          <w:color w:val="auto"/>
          <w:sz w:val="24"/>
          <w:szCs w:val="24"/>
          <w:highlight w:val="none"/>
          <w:lang w:val="en-US" w:eastAsia="zh-CN"/>
        </w:rPr>
        <w:t>最大</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12MHz</w:t>
      </w:r>
      <w:r>
        <w:rPr>
          <w:rFonts w:hint="eastAsia" w:ascii="宋体" w:hAnsi="宋体" w:eastAsia="宋体" w:cs="宋体"/>
          <w:color w:val="auto"/>
          <w:sz w:val="24"/>
          <w:szCs w:val="24"/>
          <w:highlight w:val="none"/>
          <w:lang w:eastAsia="zh-CN"/>
        </w:rPr>
        <w:t>。</w:t>
      </w:r>
    </w:p>
    <w:p w14:paraId="6E2ED33B">
      <w:pPr>
        <w:spacing w:line="240" w:lineRule="auto"/>
        <w:ind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3.8具有</w:t>
      </w:r>
      <w:r>
        <w:rPr>
          <w:rFonts w:hint="eastAsia" w:ascii="宋体" w:hAnsi="宋体" w:cs="宋体"/>
          <w:color w:val="auto"/>
          <w:sz w:val="24"/>
          <w:szCs w:val="24"/>
          <w:highlight w:val="none"/>
          <w:lang w:val="en-US" w:eastAsia="zh-CN"/>
        </w:rPr>
        <w:t>微</w:t>
      </w:r>
      <w:r>
        <w:rPr>
          <w:rFonts w:hint="eastAsia" w:ascii="宋体" w:hAnsi="宋体" w:eastAsia="宋体" w:cs="宋体"/>
          <w:color w:val="auto"/>
          <w:sz w:val="24"/>
          <w:szCs w:val="24"/>
          <w:highlight w:val="none"/>
        </w:rPr>
        <w:t>血流模式功能</w:t>
      </w:r>
      <w:r>
        <w:rPr>
          <w:rFonts w:hint="eastAsia" w:ascii="宋体" w:hAnsi="宋体" w:cs="宋体"/>
          <w:color w:val="auto"/>
          <w:sz w:val="24"/>
          <w:szCs w:val="24"/>
          <w:highlight w:val="none"/>
          <w:lang w:eastAsia="zh-CN"/>
        </w:rPr>
        <w:t>。</w:t>
      </w:r>
    </w:p>
    <w:p w14:paraId="07157171">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（二）超声支气管镜2条</w:t>
      </w:r>
    </w:p>
    <w:p w14:paraId="3223B14E">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视野角≥80°</w:t>
      </w:r>
      <w:r>
        <w:rPr>
          <w:rFonts w:hint="eastAsia" w:ascii="宋体" w:hAnsi="宋体" w:eastAsia="宋体" w:cs="宋体"/>
          <w:color w:val="auto"/>
          <w:sz w:val="24"/>
          <w:szCs w:val="24"/>
          <w:highlight w:val="none"/>
          <w:lang w:eastAsia="zh-CN"/>
        </w:rPr>
        <w:t>。</w:t>
      </w:r>
    </w:p>
    <w:p w14:paraId="03511DA2">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视野方向:向前斜视≥20°</w:t>
      </w:r>
      <w:r>
        <w:rPr>
          <w:rFonts w:hint="eastAsia" w:ascii="宋体" w:hAnsi="宋体" w:eastAsia="宋体" w:cs="宋体"/>
          <w:color w:val="auto"/>
          <w:sz w:val="24"/>
          <w:szCs w:val="24"/>
          <w:highlight w:val="none"/>
          <w:lang w:eastAsia="zh-CN"/>
        </w:rPr>
        <w:t>。</w:t>
      </w:r>
    </w:p>
    <w:p w14:paraId="43FD40B4">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景深</w:t>
      </w:r>
      <w:r>
        <w:rPr>
          <w:rFonts w:hint="eastAsia" w:ascii="宋体" w:hAnsi="宋体" w:cs="宋体"/>
          <w:color w:val="auto"/>
          <w:sz w:val="24"/>
          <w:szCs w:val="24"/>
          <w:highlight w:val="none"/>
          <w:lang w:val="en-US" w:eastAsia="zh-CN"/>
        </w:rPr>
        <w:t>范围：≥2</w:t>
      </w:r>
      <w:r>
        <w:rPr>
          <w:rFonts w:hint="eastAsia" w:ascii="宋体" w:hAnsi="宋体" w:eastAsia="宋体" w:cs="宋体"/>
          <w:color w:val="auto"/>
          <w:sz w:val="24"/>
          <w:szCs w:val="24"/>
          <w:highlight w:val="none"/>
        </w:rPr>
        <w:t>-50mm</w:t>
      </w:r>
      <w:r>
        <w:rPr>
          <w:rFonts w:hint="eastAsia" w:ascii="宋体" w:hAnsi="宋体" w:eastAsia="宋体" w:cs="宋体"/>
          <w:color w:val="auto"/>
          <w:sz w:val="24"/>
          <w:szCs w:val="24"/>
          <w:highlight w:val="none"/>
          <w:lang w:eastAsia="zh-CN"/>
        </w:rPr>
        <w:t>。</w:t>
      </w:r>
    </w:p>
    <w:p w14:paraId="5EBA2C99">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先端部外径≤6.6mm</w:t>
      </w:r>
      <w:r>
        <w:rPr>
          <w:rFonts w:hint="eastAsia" w:ascii="宋体" w:hAnsi="宋体" w:eastAsia="宋体" w:cs="宋体"/>
          <w:color w:val="auto"/>
          <w:sz w:val="24"/>
          <w:szCs w:val="24"/>
          <w:highlight w:val="none"/>
          <w:lang w:eastAsia="zh-CN"/>
        </w:rPr>
        <w:t>。</w:t>
      </w:r>
    </w:p>
    <w:p w14:paraId="6ADDC899">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软性部外径≤6.3mm</w:t>
      </w:r>
      <w:r>
        <w:rPr>
          <w:rFonts w:hint="eastAsia" w:ascii="宋体" w:hAnsi="宋体" w:eastAsia="宋体" w:cs="宋体"/>
          <w:color w:val="auto"/>
          <w:sz w:val="24"/>
          <w:szCs w:val="24"/>
          <w:highlight w:val="none"/>
          <w:lang w:eastAsia="zh-CN"/>
        </w:rPr>
        <w:t>。</w:t>
      </w:r>
    </w:p>
    <w:p w14:paraId="71A802F4">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6.</w:t>
      </w:r>
      <w:r>
        <w:rPr>
          <w:rFonts w:hint="eastAsia" w:ascii="宋体" w:hAnsi="宋体" w:eastAsia="宋体" w:cs="宋体"/>
          <w:color w:val="auto"/>
          <w:sz w:val="24"/>
          <w:szCs w:val="24"/>
          <w:highlight w:val="none"/>
        </w:rPr>
        <w:t>有效长度≥600mm</w:t>
      </w:r>
      <w:r>
        <w:rPr>
          <w:rFonts w:hint="eastAsia" w:ascii="宋体" w:hAnsi="宋体" w:eastAsia="宋体" w:cs="宋体"/>
          <w:color w:val="auto"/>
          <w:sz w:val="24"/>
          <w:szCs w:val="24"/>
          <w:highlight w:val="none"/>
          <w:lang w:eastAsia="zh-CN"/>
        </w:rPr>
        <w:t>。</w:t>
      </w:r>
    </w:p>
    <w:p w14:paraId="125BD1B4">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7.</w:t>
      </w:r>
      <w:r>
        <w:rPr>
          <w:rFonts w:hint="eastAsia" w:ascii="宋体" w:hAnsi="宋体" w:eastAsia="宋体" w:cs="宋体"/>
          <w:color w:val="auto"/>
          <w:sz w:val="24"/>
          <w:szCs w:val="24"/>
          <w:highlight w:val="none"/>
        </w:rPr>
        <w:t>钳子管道内径≥2.</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2FC6206D">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8.</w:t>
      </w:r>
      <w:r>
        <w:rPr>
          <w:rFonts w:hint="eastAsia" w:ascii="宋体" w:hAnsi="宋体" w:eastAsia="宋体" w:cs="宋体"/>
          <w:color w:val="auto"/>
          <w:sz w:val="24"/>
          <w:szCs w:val="24"/>
          <w:highlight w:val="none"/>
        </w:rPr>
        <w:t>弯曲角度：上≥160°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下≥70°</w:t>
      </w:r>
      <w:r>
        <w:rPr>
          <w:rFonts w:hint="eastAsia" w:ascii="宋体" w:hAnsi="宋体" w:eastAsia="宋体" w:cs="宋体"/>
          <w:color w:val="auto"/>
          <w:sz w:val="24"/>
          <w:szCs w:val="24"/>
          <w:highlight w:val="none"/>
          <w:lang w:eastAsia="zh-CN"/>
        </w:rPr>
        <w:t>。</w:t>
      </w:r>
    </w:p>
    <w:p w14:paraId="4AF636F5">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9.</w:t>
      </w:r>
      <w:r>
        <w:rPr>
          <w:rFonts w:hint="eastAsia" w:ascii="宋体" w:hAnsi="宋体" w:eastAsia="宋体" w:cs="宋体"/>
          <w:color w:val="auto"/>
          <w:sz w:val="24"/>
          <w:szCs w:val="24"/>
          <w:highlight w:val="none"/>
        </w:rPr>
        <w:t>超声显示模式：具备B模式，彩色血流模式，能量血流模式，高清血流模式，脉冲多普勒模式</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eastAsia="zh-CN"/>
        </w:rPr>
        <w:t>。</w:t>
      </w:r>
    </w:p>
    <w:p w14:paraId="0B2EC074">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10.</w:t>
      </w:r>
      <w:r>
        <w:rPr>
          <w:rFonts w:hint="eastAsia" w:ascii="宋体" w:hAnsi="宋体" w:eastAsia="宋体" w:cs="宋体"/>
          <w:color w:val="auto"/>
          <w:sz w:val="24"/>
          <w:szCs w:val="24"/>
          <w:highlight w:val="none"/>
        </w:rPr>
        <w:t>超声扫描模式：电子凸阵扫描</w:t>
      </w:r>
      <w:r>
        <w:rPr>
          <w:rFonts w:hint="eastAsia" w:ascii="宋体" w:hAnsi="宋体" w:eastAsia="宋体" w:cs="宋体"/>
          <w:color w:val="auto"/>
          <w:sz w:val="24"/>
          <w:szCs w:val="24"/>
          <w:highlight w:val="none"/>
          <w:lang w:eastAsia="zh-CN"/>
        </w:rPr>
        <w:t>。</w:t>
      </w:r>
    </w:p>
    <w:p w14:paraId="48C6CCC0">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11.</w:t>
      </w:r>
      <w:r>
        <w:rPr>
          <w:rFonts w:hint="eastAsia" w:ascii="宋体" w:hAnsi="宋体" w:eastAsia="宋体" w:cs="宋体"/>
          <w:color w:val="auto"/>
          <w:sz w:val="24"/>
          <w:szCs w:val="24"/>
          <w:highlight w:val="none"/>
        </w:rPr>
        <w:t>超声扫描方向：平行于插入方向</w:t>
      </w:r>
      <w:r>
        <w:rPr>
          <w:rFonts w:hint="eastAsia" w:ascii="宋体" w:hAnsi="宋体" w:eastAsia="宋体" w:cs="宋体"/>
          <w:color w:val="auto"/>
          <w:sz w:val="24"/>
          <w:szCs w:val="24"/>
          <w:highlight w:val="none"/>
          <w:lang w:eastAsia="zh-CN"/>
        </w:rPr>
        <w:t>。</w:t>
      </w:r>
    </w:p>
    <w:p w14:paraId="714F6D83">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12.</w:t>
      </w:r>
      <w:r>
        <w:rPr>
          <w:rFonts w:hint="eastAsia" w:ascii="宋体" w:hAnsi="宋体" w:eastAsia="宋体" w:cs="宋体"/>
          <w:color w:val="auto"/>
          <w:sz w:val="24"/>
          <w:szCs w:val="24"/>
          <w:highlight w:val="none"/>
        </w:rPr>
        <w:t>超声扫描频率：</w:t>
      </w:r>
      <w:r>
        <w:rPr>
          <w:rFonts w:hint="eastAsia" w:ascii="宋体" w:hAnsi="宋体" w:cs="宋体"/>
          <w:color w:val="auto"/>
          <w:sz w:val="24"/>
          <w:szCs w:val="24"/>
          <w:highlight w:val="none"/>
          <w:lang w:val="en-US" w:eastAsia="zh-CN"/>
        </w:rPr>
        <w:t>最大≥12</w:t>
      </w:r>
      <w:r>
        <w:rPr>
          <w:rFonts w:hint="eastAsia" w:ascii="宋体" w:hAnsi="宋体" w:eastAsia="宋体" w:cs="宋体"/>
          <w:color w:val="auto"/>
          <w:sz w:val="24"/>
          <w:szCs w:val="24"/>
          <w:highlight w:val="none"/>
        </w:rPr>
        <w:t>MHz</w:t>
      </w:r>
      <w:r>
        <w:rPr>
          <w:rFonts w:hint="eastAsia" w:ascii="宋体" w:hAnsi="宋体" w:eastAsia="宋体" w:cs="宋体"/>
          <w:color w:val="auto"/>
          <w:sz w:val="24"/>
          <w:szCs w:val="24"/>
          <w:highlight w:val="none"/>
          <w:lang w:eastAsia="zh-CN"/>
        </w:rPr>
        <w:t>等。</w:t>
      </w:r>
    </w:p>
    <w:p w14:paraId="4F6B3D8D">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13.</w:t>
      </w:r>
      <w:r>
        <w:rPr>
          <w:rFonts w:hint="eastAsia" w:ascii="宋体" w:hAnsi="宋体" w:eastAsia="宋体" w:cs="宋体"/>
          <w:color w:val="auto"/>
          <w:sz w:val="24"/>
          <w:szCs w:val="24"/>
          <w:highlight w:val="none"/>
        </w:rPr>
        <w:t>扫描范围：≥65°</w:t>
      </w:r>
      <w:r>
        <w:rPr>
          <w:rFonts w:hint="eastAsia" w:ascii="宋体" w:hAnsi="宋体" w:eastAsia="宋体" w:cs="宋体"/>
          <w:color w:val="auto"/>
          <w:sz w:val="24"/>
          <w:szCs w:val="24"/>
          <w:highlight w:val="none"/>
          <w:lang w:eastAsia="zh-CN"/>
        </w:rPr>
        <w:t>。</w:t>
      </w:r>
    </w:p>
    <w:p w14:paraId="618EED0B">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14.</w:t>
      </w:r>
      <w:r>
        <w:rPr>
          <w:rFonts w:hint="eastAsia" w:ascii="宋体" w:hAnsi="宋体" w:eastAsia="宋体" w:cs="宋体"/>
          <w:color w:val="auto"/>
          <w:sz w:val="24"/>
          <w:szCs w:val="24"/>
          <w:highlight w:val="none"/>
        </w:rPr>
        <w:t>超声扫描接触法：水囊法或直接接触法</w:t>
      </w:r>
      <w:r>
        <w:rPr>
          <w:rFonts w:hint="eastAsia" w:ascii="宋体" w:hAnsi="宋体" w:eastAsia="宋体" w:cs="宋体"/>
          <w:color w:val="auto"/>
          <w:sz w:val="24"/>
          <w:szCs w:val="24"/>
          <w:highlight w:val="none"/>
          <w:lang w:eastAsia="zh-CN"/>
        </w:rPr>
        <w:t>。</w:t>
      </w:r>
    </w:p>
    <w:p w14:paraId="03A0FB89">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 xml:space="preserve">（三）高清图像处理装置2台   </w:t>
      </w:r>
    </w:p>
    <w:p w14:paraId="3E32A0CD">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主机/光源要求分体设计。</w:t>
      </w:r>
    </w:p>
    <w:p w14:paraId="301F661C">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全高清摄像系统，可以输出</w:t>
      </w:r>
      <w:r>
        <w:rPr>
          <w:rFonts w:hint="eastAsia" w:ascii="宋体" w:hAnsi="宋体" w:eastAsia="宋体" w:cs="宋体"/>
          <w:color w:val="auto"/>
          <w:sz w:val="24"/>
          <w:szCs w:val="24"/>
          <w:highlight w:val="none"/>
          <w:lang w:val="en-US" w:eastAsia="zh-CN"/>
        </w:rPr>
        <w:t>不低于</w:t>
      </w:r>
      <w:r>
        <w:rPr>
          <w:rFonts w:hint="eastAsia" w:ascii="宋体" w:hAnsi="宋体" w:eastAsia="宋体" w:cs="宋体"/>
          <w:color w:val="auto"/>
          <w:sz w:val="24"/>
          <w:szCs w:val="24"/>
          <w:highlight w:val="none"/>
        </w:rPr>
        <w:t>1080P的高清数字信号，具有≥</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种HDTV信号输出方式（</w:t>
      </w:r>
      <w:r>
        <w:rPr>
          <w:rFonts w:hint="eastAsia" w:ascii="宋体" w:hAnsi="宋体" w:cs="宋体"/>
          <w:color w:val="auto"/>
          <w:sz w:val="24"/>
          <w:szCs w:val="24"/>
          <w:highlight w:val="none"/>
          <w:lang w:val="en-US" w:eastAsia="zh-CN"/>
        </w:rPr>
        <w:t>HDMI、</w:t>
      </w:r>
      <w:r>
        <w:rPr>
          <w:rFonts w:hint="eastAsia" w:ascii="宋体" w:hAnsi="宋体" w:eastAsia="宋体" w:cs="宋体"/>
          <w:color w:val="auto"/>
          <w:sz w:val="24"/>
          <w:szCs w:val="24"/>
          <w:highlight w:val="none"/>
        </w:rPr>
        <w:t>DVI、SDI</w:t>
      </w:r>
      <w:r>
        <w:rPr>
          <w:rFonts w:hint="eastAsia" w:ascii="宋体" w:hAnsi="宋体" w:cs="宋体"/>
          <w:color w:val="auto"/>
          <w:sz w:val="24"/>
          <w:szCs w:val="24"/>
          <w:highlight w:val="none"/>
          <w:lang w:eastAsia="zh-CN"/>
        </w:rPr>
        <w:t>等</w:t>
      </w:r>
      <w:r>
        <w:rPr>
          <w:rFonts w:hint="eastAsia" w:ascii="宋体" w:hAnsi="宋体" w:eastAsia="宋体" w:cs="宋体"/>
          <w:color w:val="auto"/>
          <w:sz w:val="24"/>
          <w:szCs w:val="24"/>
          <w:highlight w:val="none"/>
        </w:rPr>
        <w:t>）。</w:t>
      </w:r>
    </w:p>
    <w:p w14:paraId="6F2B75C4">
      <w:pPr>
        <w:numPr>
          <w:ilvl w:val="0"/>
          <w:numId w:val="0"/>
        </w:numPr>
        <w:spacing w:line="240" w:lineRule="auto"/>
        <w:ind w:left="0"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具有</w:t>
      </w:r>
      <w:r>
        <w:rPr>
          <w:rFonts w:hint="eastAsia" w:ascii="宋体" w:hAnsi="宋体" w:cs="宋体"/>
          <w:color w:val="auto"/>
          <w:sz w:val="24"/>
          <w:szCs w:val="24"/>
          <w:highlight w:val="none"/>
          <w:lang w:val="en-US" w:eastAsia="zh-CN"/>
        </w:rPr>
        <w:t>特殊</w:t>
      </w:r>
      <w:r>
        <w:rPr>
          <w:rFonts w:hint="eastAsia" w:ascii="宋体" w:hAnsi="宋体" w:eastAsia="宋体" w:cs="宋体"/>
          <w:color w:val="auto"/>
          <w:sz w:val="24"/>
          <w:szCs w:val="24"/>
          <w:highlight w:val="none"/>
        </w:rPr>
        <w:t>光观察功能，以便于临床诊断。</w:t>
      </w:r>
    </w:p>
    <w:p w14:paraId="7816473A">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具有</w:t>
      </w:r>
      <w:r>
        <w:rPr>
          <w:rFonts w:hint="eastAsia" w:ascii="宋体" w:hAnsi="宋体" w:eastAsia="宋体" w:cs="宋体"/>
          <w:color w:val="auto"/>
          <w:sz w:val="24"/>
          <w:szCs w:val="24"/>
          <w:highlight w:val="none"/>
          <w:lang w:val="en-US" w:eastAsia="zh-CN"/>
        </w:rPr>
        <w:t>良好的</w:t>
      </w:r>
      <w:r>
        <w:rPr>
          <w:rFonts w:hint="eastAsia" w:ascii="宋体" w:hAnsi="宋体" w:eastAsia="宋体" w:cs="宋体"/>
          <w:color w:val="auto"/>
          <w:sz w:val="24"/>
          <w:szCs w:val="24"/>
          <w:highlight w:val="none"/>
        </w:rPr>
        <w:t>色图显示功能。</w:t>
      </w:r>
    </w:p>
    <w:p w14:paraId="2D256AFC">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具有画面大小切换功能。</w:t>
      </w:r>
    </w:p>
    <w:p w14:paraId="3639EF63">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6.</w:t>
      </w:r>
      <w:r>
        <w:rPr>
          <w:rFonts w:hint="eastAsia" w:ascii="宋体" w:hAnsi="宋体" w:eastAsia="宋体" w:cs="宋体"/>
          <w:color w:val="auto"/>
          <w:sz w:val="24"/>
          <w:szCs w:val="24"/>
          <w:highlight w:val="none"/>
        </w:rPr>
        <w:t>一键式插拔，安装内镜更方便。</w:t>
      </w:r>
    </w:p>
    <w:p w14:paraId="1439C8DC">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7.</w:t>
      </w:r>
      <w:r>
        <w:rPr>
          <w:rFonts w:hint="eastAsia" w:ascii="宋体" w:hAnsi="宋体" w:eastAsia="宋体" w:cs="宋体"/>
          <w:color w:val="auto"/>
          <w:sz w:val="24"/>
          <w:szCs w:val="24"/>
          <w:highlight w:val="none"/>
        </w:rPr>
        <w:t>具有≥</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种的轮廓强调和构造强调功能。</w:t>
      </w:r>
    </w:p>
    <w:p w14:paraId="730FDF73">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8.</w:t>
      </w:r>
      <w:r>
        <w:rPr>
          <w:rFonts w:hint="eastAsia" w:ascii="宋体" w:hAnsi="宋体" w:eastAsia="宋体" w:cs="宋体"/>
          <w:color w:val="auto"/>
          <w:sz w:val="24"/>
          <w:szCs w:val="24"/>
          <w:highlight w:val="none"/>
        </w:rPr>
        <w:t>具有自动增益控制功能。</w:t>
      </w:r>
    </w:p>
    <w:p w14:paraId="64EE1855">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9.</w:t>
      </w:r>
      <w:r>
        <w:rPr>
          <w:rFonts w:hint="eastAsia" w:ascii="宋体" w:hAnsi="宋体" w:eastAsia="宋体" w:cs="宋体"/>
          <w:color w:val="auto"/>
          <w:sz w:val="24"/>
          <w:szCs w:val="24"/>
          <w:highlight w:val="none"/>
        </w:rPr>
        <w:t>具有色彩强调功能≥1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级。</w:t>
      </w:r>
    </w:p>
    <w:p w14:paraId="6D3D1AF5">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w:t>
      </w:r>
      <w:r>
        <w:rPr>
          <w:rFonts w:hint="eastAsia" w:ascii="宋体" w:hAnsi="宋体" w:eastAsia="宋体" w:cs="宋体"/>
          <w:color w:val="auto"/>
          <w:sz w:val="24"/>
          <w:szCs w:val="24"/>
          <w:highlight w:val="none"/>
        </w:rPr>
        <w:t>具有预冻结功能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快速实时冻结功能。</w:t>
      </w:r>
    </w:p>
    <w:p w14:paraId="1B333539">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11.</w:t>
      </w:r>
      <w:r>
        <w:rPr>
          <w:rFonts w:hint="eastAsia" w:ascii="宋体" w:hAnsi="宋体" w:eastAsia="宋体" w:cs="宋体"/>
          <w:color w:val="auto"/>
          <w:sz w:val="24"/>
          <w:szCs w:val="24"/>
          <w:highlight w:val="none"/>
        </w:rPr>
        <w:t>具有≥3种的测光模式选择功能。</w:t>
      </w:r>
    </w:p>
    <w:p w14:paraId="4359DE04">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12.</w:t>
      </w:r>
      <w:r>
        <w:rPr>
          <w:rFonts w:hint="eastAsia" w:ascii="宋体" w:hAnsi="宋体" w:eastAsia="宋体" w:cs="宋体"/>
          <w:color w:val="auto"/>
          <w:sz w:val="24"/>
          <w:szCs w:val="24"/>
          <w:highlight w:val="none"/>
        </w:rPr>
        <w:t>通过键盘可存入≥</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0名操作者及其名下各种详细设置数据，并可通过USB进行数据转移。</w:t>
      </w:r>
    </w:p>
    <w:p w14:paraId="112157F2">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13.</w:t>
      </w:r>
      <w:r>
        <w:rPr>
          <w:rFonts w:hint="eastAsia" w:ascii="宋体" w:hAnsi="宋体" w:eastAsia="宋体" w:cs="宋体"/>
          <w:color w:val="auto"/>
          <w:sz w:val="24"/>
          <w:szCs w:val="24"/>
          <w:highlight w:val="none"/>
        </w:rPr>
        <w:t>具备16：9，16：10，两种以上不同的长宽比图像输出格式，保证可以适用不同的监视器。</w:t>
      </w:r>
    </w:p>
    <w:p w14:paraId="0F2BF948">
      <w:pPr>
        <w:numPr>
          <w:ilvl w:val="0"/>
          <w:numId w:val="0"/>
        </w:numPr>
        <w:spacing w:line="240" w:lineRule="auto"/>
        <w:ind w:left="0"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14.</w:t>
      </w:r>
      <w:r>
        <w:rPr>
          <w:rFonts w:hint="eastAsia" w:ascii="宋体" w:hAnsi="宋体" w:eastAsia="宋体" w:cs="宋体"/>
          <w:color w:val="auto"/>
          <w:sz w:val="24"/>
          <w:szCs w:val="24"/>
          <w:highlight w:val="none"/>
        </w:rPr>
        <w:t>兼容性：可兼容同一品牌胃镜、结肠镜，支气管镜、</w:t>
      </w:r>
      <w:r>
        <w:rPr>
          <w:rFonts w:hint="eastAsia" w:ascii="宋体" w:hAnsi="宋体" w:cs="宋体"/>
          <w:color w:val="auto"/>
          <w:sz w:val="24"/>
          <w:szCs w:val="24"/>
          <w:highlight w:val="none"/>
          <w:lang w:val="en-US" w:eastAsia="zh-CN"/>
        </w:rPr>
        <w:t>电子</w:t>
      </w:r>
      <w:r>
        <w:rPr>
          <w:rFonts w:hint="eastAsia" w:ascii="宋体" w:hAnsi="宋体" w:eastAsia="宋体" w:cs="宋体"/>
          <w:color w:val="auto"/>
          <w:sz w:val="24"/>
          <w:szCs w:val="24"/>
          <w:highlight w:val="none"/>
        </w:rPr>
        <w:t>胸腔镜、十二指肠镜、超声小探头系统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超声内镜等。</w:t>
      </w:r>
    </w:p>
    <w:p w14:paraId="1FCB1CDE">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sz w:val="24"/>
          <w:szCs w:val="24"/>
          <w:highlight w:val="none"/>
        </w:rPr>
      </w:pPr>
      <w:r>
        <w:rPr>
          <w:rFonts w:hint="eastAsia" w:ascii="方正楷体_GB2312" w:hAnsi="方正楷体_GB2312" w:eastAsia="方正楷体_GB2312" w:cs="方正楷体_GB2312"/>
          <w:b/>
          <w:bCs/>
          <w:color w:val="auto"/>
          <w:kern w:val="2"/>
          <w:sz w:val="24"/>
          <w:szCs w:val="24"/>
          <w:highlight w:val="none"/>
          <w:lang w:val="en-US" w:eastAsia="zh-CN" w:bidi="ar-SA"/>
        </w:rPr>
        <w:t>（四）内窥镜冷光源2台</w:t>
      </w:r>
    </w:p>
    <w:p w14:paraId="67E081EC">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要求和主机分体设计。</w:t>
      </w:r>
    </w:p>
    <w:p w14:paraId="051FE56F">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主灯：≥300W氙气短弧灯（无臭氧，持续照明≥</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00H）。</w:t>
      </w:r>
    </w:p>
    <w:p w14:paraId="7C64A89C">
      <w:pPr>
        <w:numPr>
          <w:ilvl w:val="0"/>
          <w:numId w:val="0"/>
        </w:numPr>
        <w:spacing w:line="240" w:lineRule="auto"/>
        <w:ind w:left="0" w:leftChars="0" w:right="0" w:rightChars="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具有</w:t>
      </w:r>
      <w:r>
        <w:rPr>
          <w:rFonts w:hint="eastAsia" w:ascii="宋体" w:hAnsi="宋体" w:cs="宋体"/>
          <w:color w:val="auto"/>
          <w:sz w:val="24"/>
          <w:szCs w:val="24"/>
          <w:highlight w:val="none"/>
          <w:lang w:val="en-US" w:eastAsia="zh-CN"/>
        </w:rPr>
        <w:t>特殊</w:t>
      </w:r>
      <w:r>
        <w:rPr>
          <w:rFonts w:hint="eastAsia" w:ascii="宋体" w:hAnsi="宋体" w:eastAsia="宋体" w:cs="宋体"/>
          <w:color w:val="auto"/>
          <w:sz w:val="24"/>
          <w:szCs w:val="24"/>
          <w:highlight w:val="none"/>
        </w:rPr>
        <w:t>光滤光系统。</w:t>
      </w:r>
    </w:p>
    <w:p w14:paraId="539963E8">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气泵具有调节送气压力≥3级功能。</w:t>
      </w:r>
    </w:p>
    <w:p w14:paraId="06DB6E98">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具有≥16档自动曝光功能。</w:t>
      </w:r>
    </w:p>
    <w:p w14:paraId="7708B5DF">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（五）治疗型电子支气管镜4条</w:t>
      </w:r>
    </w:p>
    <w:p w14:paraId="247EF124">
      <w:pPr>
        <w:numPr>
          <w:ilvl w:val="0"/>
          <w:numId w:val="0"/>
        </w:numPr>
        <w:spacing w:line="240" w:lineRule="auto"/>
        <w:ind w:left="0" w:leftChars="0" w:right="0" w:rightChars="0" w:firstLine="0" w:firstLineChars="0"/>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kern w:val="2"/>
          <w:sz w:val="24"/>
          <w:szCs w:val="24"/>
          <w:highlight w:val="none"/>
          <w:lang w:val="en-US" w:eastAsia="zh-CN" w:bidi="ar-SA"/>
        </w:rPr>
        <w:t>1.</w:t>
      </w:r>
      <w:r>
        <w:rPr>
          <w:rFonts w:hint="eastAsia" w:ascii="宋体" w:hAnsi="宋体" w:eastAsia="宋体" w:cs="宋体"/>
          <w:color w:val="auto"/>
          <w:sz w:val="24"/>
          <w:szCs w:val="24"/>
          <w:highlight w:val="none"/>
        </w:rPr>
        <w:t>一键式插拔，全防水设计</w:t>
      </w:r>
      <w:r>
        <w:rPr>
          <w:rFonts w:hint="eastAsia" w:ascii="宋体" w:hAnsi="宋体" w:eastAsia="宋体" w:cs="宋体"/>
          <w:color w:val="auto"/>
          <w:sz w:val="24"/>
          <w:szCs w:val="24"/>
          <w:highlight w:val="none"/>
          <w:lang w:eastAsia="zh-CN"/>
        </w:rPr>
        <w:t>。</w:t>
      </w:r>
    </w:p>
    <w:p w14:paraId="230120D7">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视野角：≥1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eastAsia="zh-CN"/>
        </w:rPr>
        <w:t>。</w:t>
      </w:r>
    </w:p>
    <w:p w14:paraId="7083956E">
      <w:pPr>
        <w:numPr>
          <w:ilvl w:val="0"/>
          <w:numId w:val="0"/>
        </w:numPr>
        <w:spacing w:line="240" w:lineRule="auto"/>
        <w:ind w:left="0"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视野深度：</w:t>
      </w:r>
      <w:bookmarkStart w:id="96" w:name="OLE_LINK2"/>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50</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bookmarkEnd w:id="96"/>
    </w:p>
    <w:p w14:paraId="7568E416">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视野方向：直视</w:t>
      </w:r>
      <w:r>
        <w:rPr>
          <w:rFonts w:hint="eastAsia" w:ascii="宋体" w:hAnsi="宋体" w:eastAsia="宋体" w:cs="宋体"/>
          <w:color w:val="auto"/>
          <w:sz w:val="24"/>
          <w:szCs w:val="24"/>
          <w:highlight w:val="none"/>
          <w:lang w:eastAsia="zh-CN"/>
        </w:rPr>
        <w:t>。</w:t>
      </w:r>
    </w:p>
    <w:p w14:paraId="0143D887">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弯曲角度：向上≥180°，向下≥1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eastAsia="zh-CN"/>
        </w:rPr>
        <w:t>。</w:t>
      </w:r>
    </w:p>
    <w:p w14:paraId="0E3ACB48">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6.</w:t>
      </w:r>
      <w:r>
        <w:rPr>
          <w:rFonts w:hint="eastAsia" w:ascii="宋体" w:hAnsi="宋体" w:eastAsia="宋体" w:cs="宋体"/>
          <w:color w:val="auto"/>
          <w:sz w:val="24"/>
          <w:szCs w:val="24"/>
          <w:highlight w:val="none"/>
        </w:rPr>
        <w:t>先端部外径：≤5.9mm</w:t>
      </w:r>
      <w:r>
        <w:rPr>
          <w:rFonts w:hint="eastAsia" w:ascii="宋体" w:hAnsi="宋体" w:eastAsia="宋体" w:cs="宋体"/>
          <w:color w:val="auto"/>
          <w:sz w:val="24"/>
          <w:szCs w:val="24"/>
          <w:highlight w:val="none"/>
          <w:lang w:eastAsia="zh-CN"/>
        </w:rPr>
        <w:t>。</w:t>
      </w:r>
    </w:p>
    <w:p w14:paraId="457608DB">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7.</w:t>
      </w:r>
      <w:r>
        <w:rPr>
          <w:rFonts w:hint="eastAsia" w:ascii="宋体" w:hAnsi="宋体" w:eastAsia="宋体" w:cs="宋体"/>
          <w:color w:val="auto"/>
          <w:sz w:val="24"/>
          <w:szCs w:val="24"/>
          <w:highlight w:val="none"/>
        </w:rPr>
        <w:t>软性部外径：≤6.0mm</w:t>
      </w:r>
      <w:r>
        <w:rPr>
          <w:rFonts w:hint="eastAsia" w:ascii="宋体" w:hAnsi="宋体" w:eastAsia="宋体" w:cs="宋体"/>
          <w:color w:val="auto"/>
          <w:sz w:val="24"/>
          <w:szCs w:val="24"/>
          <w:highlight w:val="none"/>
          <w:lang w:eastAsia="zh-CN"/>
        </w:rPr>
        <w:t>。</w:t>
      </w:r>
    </w:p>
    <w:p w14:paraId="79968251">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8.</w:t>
      </w:r>
      <w:r>
        <w:rPr>
          <w:rFonts w:hint="eastAsia" w:ascii="宋体" w:hAnsi="宋体" w:eastAsia="宋体" w:cs="宋体"/>
          <w:color w:val="auto"/>
          <w:sz w:val="24"/>
          <w:szCs w:val="24"/>
          <w:highlight w:val="none"/>
        </w:rPr>
        <w:t>活检孔内径：≥2.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3E3C45CF">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p>
    <w:p w14:paraId="22C1A873">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（六）细型电子支气管镜3条</w:t>
      </w:r>
    </w:p>
    <w:p w14:paraId="3018923B">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视野角：≥110°</w:t>
      </w:r>
      <w:r>
        <w:rPr>
          <w:rFonts w:hint="eastAsia" w:ascii="宋体" w:hAnsi="宋体" w:eastAsia="宋体" w:cs="宋体"/>
          <w:color w:val="auto"/>
          <w:sz w:val="24"/>
          <w:szCs w:val="24"/>
          <w:highlight w:val="none"/>
          <w:lang w:eastAsia="zh-CN"/>
        </w:rPr>
        <w:t>。</w:t>
      </w:r>
    </w:p>
    <w:p w14:paraId="20CF498C">
      <w:pPr>
        <w:numPr>
          <w:ilvl w:val="0"/>
          <w:numId w:val="0"/>
        </w:numPr>
        <w:spacing w:line="240" w:lineRule="auto"/>
        <w:ind w:left="0"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视野深度：</w:t>
      </w:r>
      <w:r>
        <w:rPr>
          <w:rFonts w:hint="eastAsia" w:ascii="宋体" w:hAnsi="宋体" w:cs="宋体"/>
          <w:color w:val="auto"/>
          <w:sz w:val="24"/>
          <w:szCs w:val="24"/>
          <w:highlight w:val="none"/>
          <w:lang w:val="en-US" w:eastAsia="zh-CN"/>
        </w:rPr>
        <w:t>≥2-50</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02326DFA">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视野方向：直视</w:t>
      </w:r>
      <w:r>
        <w:rPr>
          <w:rFonts w:hint="eastAsia" w:ascii="宋体" w:hAnsi="宋体" w:eastAsia="宋体" w:cs="宋体"/>
          <w:color w:val="auto"/>
          <w:sz w:val="24"/>
          <w:szCs w:val="24"/>
          <w:highlight w:val="none"/>
          <w:lang w:eastAsia="zh-CN"/>
        </w:rPr>
        <w:t>。</w:t>
      </w:r>
    </w:p>
    <w:p w14:paraId="15975906">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弯曲角度：向上≥1</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0°，向下≥1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eastAsia="zh-CN"/>
        </w:rPr>
        <w:t>。</w:t>
      </w:r>
    </w:p>
    <w:p w14:paraId="355F9104">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先端部外径：≤4.</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3DD377FD">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6.</w:t>
      </w:r>
      <w:r>
        <w:rPr>
          <w:rFonts w:hint="eastAsia" w:ascii="宋体" w:hAnsi="宋体" w:eastAsia="宋体" w:cs="宋体"/>
          <w:color w:val="auto"/>
          <w:sz w:val="24"/>
          <w:szCs w:val="24"/>
          <w:highlight w:val="none"/>
        </w:rPr>
        <w:t>插入部外径：≤4.1mm</w:t>
      </w:r>
      <w:r>
        <w:rPr>
          <w:rFonts w:hint="eastAsia" w:ascii="宋体" w:hAnsi="宋体" w:eastAsia="宋体" w:cs="宋体"/>
          <w:color w:val="auto"/>
          <w:sz w:val="24"/>
          <w:szCs w:val="24"/>
          <w:highlight w:val="none"/>
          <w:lang w:eastAsia="zh-CN"/>
        </w:rPr>
        <w:t>。</w:t>
      </w:r>
    </w:p>
    <w:p w14:paraId="34945E1C">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7.</w:t>
      </w:r>
      <w:r>
        <w:rPr>
          <w:rFonts w:hint="eastAsia" w:ascii="宋体" w:hAnsi="宋体" w:eastAsia="宋体" w:cs="宋体"/>
          <w:color w:val="auto"/>
          <w:sz w:val="24"/>
          <w:szCs w:val="24"/>
          <w:highlight w:val="none"/>
        </w:rPr>
        <w:t>活检孔内径：≥</w:t>
      </w:r>
      <w:r>
        <w:rPr>
          <w:rFonts w:hint="eastAsia" w:ascii="宋体" w:hAnsi="宋体" w:cs="宋体"/>
          <w:color w:val="auto"/>
          <w:sz w:val="24"/>
          <w:szCs w:val="24"/>
          <w:highlight w:val="none"/>
          <w:lang w:val="en-US" w:eastAsia="zh-CN"/>
        </w:rPr>
        <w:t>1.8</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76B183F9">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（七）超细型电子支气管镜1条</w:t>
      </w:r>
    </w:p>
    <w:p w14:paraId="62015B9A">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视野角：≥90°</w:t>
      </w:r>
      <w:r>
        <w:rPr>
          <w:rFonts w:hint="eastAsia" w:ascii="宋体" w:hAnsi="宋体" w:eastAsia="宋体" w:cs="宋体"/>
          <w:color w:val="auto"/>
          <w:sz w:val="24"/>
          <w:szCs w:val="24"/>
          <w:highlight w:val="none"/>
          <w:lang w:eastAsia="zh-CN"/>
        </w:rPr>
        <w:t>。</w:t>
      </w:r>
    </w:p>
    <w:p w14:paraId="10C0C022">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视野深度：</w:t>
      </w:r>
      <w:r>
        <w:rPr>
          <w:rFonts w:hint="eastAsia" w:ascii="宋体" w:hAnsi="宋体" w:cs="宋体"/>
          <w:color w:val="auto"/>
          <w:sz w:val="24"/>
          <w:szCs w:val="24"/>
          <w:highlight w:val="none"/>
          <w:lang w:val="en-US" w:eastAsia="zh-CN"/>
        </w:rPr>
        <w:t>≥2-50</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11CFA13E">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视野方向：直视</w:t>
      </w:r>
      <w:r>
        <w:rPr>
          <w:rFonts w:hint="eastAsia" w:ascii="宋体" w:hAnsi="宋体" w:eastAsia="宋体" w:cs="宋体"/>
          <w:color w:val="auto"/>
          <w:sz w:val="24"/>
          <w:szCs w:val="24"/>
          <w:highlight w:val="none"/>
          <w:lang w:eastAsia="zh-CN"/>
        </w:rPr>
        <w:t>。</w:t>
      </w:r>
    </w:p>
    <w:p w14:paraId="4385B3C1">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弯曲角度：向上≥1</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0°，向下≥1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eastAsia="zh-CN"/>
        </w:rPr>
        <w:t>。</w:t>
      </w:r>
    </w:p>
    <w:p w14:paraId="4AF259B7">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先端部外径：≤3.</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3E72EFBA">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6.</w:t>
      </w:r>
      <w:r>
        <w:rPr>
          <w:rFonts w:hint="eastAsia" w:ascii="宋体" w:hAnsi="宋体" w:eastAsia="宋体" w:cs="宋体"/>
          <w:color w:val="auto"/>
          <w:sz w:val="24"/>
          <w:szCs w:val="24"/>
          <w:highlight w:val="none"/>
        </w:rPr>
        <w:t>插入部外径：≤3.7mm</w:t>
      </w:r>
      <w:r>
        <w:rPr>
          <w:rFonts w:hint="eastAsia" w:ascii="宋体" w:hAnsi="宋体" w:eastAsia="宋体" w:cs="宋体"/>
          <w:color w:val="auto"/>
          <w:sz w:val="24"/>
          <w:szCs w:val="24"/>
          <w:highlight w:val="none"/>
          <w:lang w:eastAsia="zh-CN"/>
        </w:rPr>
        <w:t>。</w:t>
      </w:r>
    </w:p>
    <w:p w14:paraId="68E08F5D">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7.</w:t>
      </w:r>
      <w:r>
        <w:rPr>
          <w:rFonts w:hint="eastAsia" w:ascii="宋体" w:hAnsi="宋体" w:eastAsia="宋体" w:cs="宋体"/>
          <w:color w:val="auto"/>
          <w:sz w:val="24"/>
          <w:szCs w:val="24"/>
          <w:highlight w:val="none"/>
        </w:rPr>
        <w:t>活检孔内径：≥1.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eastAsia="zh-CN"/>
        </w:rPr>
        <w:t>。</w:t>
      </w:r>
    </w:p>
    <w:p w14:paraId="4AF46DC4">
      <w:pPr>
        <w:numPr>
          <w:ilvl w:val="0"/>
          <w:numId w:val="0"/>
        </w:numPr>
        <w:spacing w:line="240" w:lineRule="auto"/>
        <w:ind w:left="0" w:leftChars="0" w:right="0" w:rightChars="0" w:firstLine="0" w:firstLineChars="0"/>
        <w:jc w:val="left"/>
        <w:rPr>
          <w:rFonts w:hint="default"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 xml:space="preserve">（八）内镜用超声探头2套       </w:t>
      </w:r>
    </w:p>
    <w:p w14:paraId="015FC59A">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显示模式：B超模式</w:t>
      </w:r>
      <w:r>
        <w:rPr>
          <w:rFonts w:hint="eastAsia" w:ascii="宋体" w:hAnsi="宋体" w:eastAsia="宋体" w:cs="宋体"/>
          <w:color w:val="auto"/>
          <w:sz w:val="24"/>
          <w:szCs w:val="24"/>
          <w:highlight w:val="none"/>
          <w:lang w:eastAsia="zh-CN"/>
        </w:rPr>
        <w:t>。</w:t>
      </w:r>
    </w:p>
    <w:p w14:paraId="09C2172A">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扫描方法：机械式环形扫描</w:t>
      </w:r>
      <w:r>
        <w:rPr>
          <w:rFonts w:hint="eastAsia" w:ascii="宋体" w:hAnsi="宋体" w:eastAsia="宋体" w:cs="宋体"/>
          <w:color w:val="auto"/>
          <w:sz w:val="24"/>
          <w:szCs w:val="24"/>
          <w:highlight w:val="none"/>
          <w:lang w:eastAsia="zh-CN"/>
        </w:rPr>
        <w:t>。</w:t>
      </w:r>
    </w:p>
    <w:p w14:paraId="477FB179">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扫描方向：垂直于插入方向</w:t>
      </w:r>
      <w:r>
        <w:rPr>
          <w:rFonts w:hint="eastAsia" w:ascii="宋体" w:hAnsi="宋体" w:eastAsia="宋体" w:cs="宋体"/>
          <w:color w:val="auto"/>
          <w:sz w:val="24"/>
          <w:szCs w:val="24"/>
          <w:highlight w:val="none"/>
          <w:lang w:eastAsia="zh-CN"/>
        </w:rPr>
        <w:t>。</w:t>
      </w:r>
    </w:p>
    <w:p w14:paraId="03FCF7B8">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超声频率：</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20MHz</w:t>
      </w:r>
      <w:r>
        <w:rPr>
          <w:rFonts w:hint="eastAsia" w:ascii="宋体" w:hAnsi="宋体" w:eastAsia="宋体" w:cs="宋体"/>
          <w:color w:val="auto"/>
          <w:sz w:val="24"/>
          <w:szCs w:val="24"/>
          <w:highlight w:val="none"/>
          <w:lang w:eastAsia="zh-CN"/>
        </w:rPr>
        <w:t>。</w:t>
      </w:r>
    </w:p>
    <w:p w14:paraId="70FCF983">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有效长度：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2150mm</w:t>
      </w:r>
      <w:r>
        <w:rPr>
          <w:rFonts w:hint="eastAsia" w:ascii="宋体" w:hAnsi="宋体" w:eastAsia="宋体" w:cs="宋体"/>
          <w:color w:val="auto"/>
          <w:sz w:val="24"/>
          <w:szCs w:val="24"/>
          <w:highlight w:val="none"/>
          <w:lang w:eastAsia="zh-CN"/>
        </w:rPr>
        <w:t>。</w:t>
      </w:r>
    </w:p>
    <w:p w14:paraId="2885F49E">
      <w:pPr>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6.</w:t>
      </w:r>
      <w:r>
        <w:rPr>
          <w:rFonts w:hint="eastAsia" w:ascii="宋体" w:hAnsi="宋体" w:eastAsia="宋体" w:cs="宋体"/>
          <w:color w:val="auto"/>
          <w:sz w:val="24"/>
          <w:szCs w:val="24"/>
          <w:highlight w:val="none"/>
        </w:rPr>
        <w:t>全长：</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2240mm</w:t>
      </w:r>
      <w:r>
        <w:rPr>
          <w:rFonts w:hint="eastAsia" w:ascii="宋体" w:hAnsi="宋体" w:eastAsia="宋体" w:cs="宋体"/>
          <w:color w:val="auto"/>
          <w:sz w:val="24"/>
          <w:szCs w:val="24"/>
          <w:highlight w:val="none"/>
          <w:lang w:eastAsia="zh-CN"/>
        </w:rPr>
        <w:t>。</w:t>
      </w:r>
    </w:p>
    <w:p w14:paraId="773D64EB">
      <w:pPr>
        <w:numPr>
          <w:ilvl w:val="0"/>
          <w:numId w:val="0"/>
        </w:numPr>
        <w:spacing w:line="240" w:lineRule="auto"/>
        <w:ind w:left="0" w:leftChars="0" w:right="0" w:rightChars="0" w:firstLine="0" w:firstLineChars="0"/>
        <w:jc w:val="left"/>
        <w:rPr>
          <w:rFonts w:hint="default" w:ascii="宋体" w:hAnsi="宋体" w:eastAsia="宋体" w:cs="宋体"/>
          <w:strike w:val="0"/>
          <w:color w:val="auto"/>
          <w:sz w:val="24"/>
          <w:szCs w:val="24"/>
          <w:highlight w:val="none"/>
          <w:lang w:eastAsia="zh-CN"/>
        </w:rPr>
      </w:pPr>
      <w:r>
        <w:rPr>
          <w:rFonts w:hint="eastAsia" w:ascii="宋体" w:hAnsi="宋体" w:eastAsia="宋体" w:cs="宋体"/>
          <w:strike w:val="0"/>
          <w:color w:val="auto"/>
          <w:kern w:val="2"/>
          <w:sz w:val="24"/>
          <w:szCs w:val="24"/>
          <w:highlight w:val="none"/>
          <w:lang w:val="en-US" w:eastAsia="zh-CN" w:bidi="ar-SA"/>
        </w:rPr>
        <w:t>7.</w:t>
      </w:r>
      <w:r>
        <w:rPr>
          <w:rFonts w:hint="eastAsia" w:ascii="宋体" w:hAnsi="宋体" w:eastAsia="宋体" w:cs="宋体"/>
          <w:strike w:val="0"/>
          <w:color w:val="auto"/>
          <w:sz w:val="24"/>
          <w:szCs w:val="24"/>
          <w:highlight w:val="none"/>
        </w:rPr>
        <w:t>插入部</w:t>
      </w:r>
      <w:r>
        <w:rPr>
          <w:rFonts w:hint="eastAsia" w:ascii="宋体" w:hAnsi="宋体" w:cs="宋体"/>
          <w:strike w:val="0"/>
          <w:color w:val="auto"/>
          <w:sz w:val="24"/>
          <w:szCs w:val="24"/>
          <w:highlight w:val="none"/>
          <w:lang w:val="en-US" w:eastAsia="zh-CN"/>
        </w:rPr>
        <w:t>外径</w:t>
      </w:r>
      <w:r>
        <w:rPr>
          <w:rFonts w:hint="eastAsia" w:ascii="宋体" w:hAnsi="宋体" w:eastAsia="宋体" w:cs="宋体"/>
          <w:strike w:val="0"/>
          <w:color w:val="auto"/>
          <w:sz w:val="24"/>
          <w:szCs w:val="24"/>
          <w:highlight w:val="none"/>
        </w:rPr>
        <w:t>：</w:t>
      </w:r>
      <w:r>
        <w:rPr>
          <w:rFonts w:hint="eastAsia" w:ascii="宋体" w:hAnsi="宋体" w:eastAsia="宋体" w:cs="宋体"/>
          <w:strike w:val="0"/>
          <w:color w:val="auto"/>
          <w:sz w:val="24"/>
          <w:szCs w:val="24"/>
          <w:highlight w:val="none"/>
          <w:lang w:val="en-US" w:eastAsia="zh-CN"/>
        </w:rPr>
        <w:t>≤</w:t>
      </w:r>
      <w:r>
        <w:rPr>
          <w:rFonts w:hint="eastAsia" w:ascii="宋体" w:hAnsi="宋体" w:eastAsia="宋体" w:cs="宋体"/>
          <w:strike w:val="0"/>
          <w:color w:val="auto"/>
          <w:sz w:val="24"/>
          <w:szCs w:val="24"/>
          <w:highlight w:val="none"/>
        </w:rPr>
        <w:t>1.7mm</w:t>
      </w:r>
      <w:r>
        <w:rPr>
          <w:rFonts w:hint="eastAsia" w:ascii="宋体" w:hAnsi="宋体" w:eastAsia="宋体" w:cs="宋体"/>
          <w:strike w:val="0"/>
          <w:color w:val="auto"/>
          <w:sz w:val="24"/>
          <w:szCs w:val="24"/>
          <w:highlight w:val="none"/>
          <w:lang w:eastAsia="zh-CN"/>
        </w:rPr>
        <w:t>。</w:t>
      </w:r>
    </w:p>
    <w:p w14:paraId="56C6A2B0">
      <w:pPr>
        <w:numPr>
          <w:ilvl w:val="0"/>
          <w:numId w:val="0"/>
        </w:numPr>
        <w:spacing w:line="240" w:lineRule="auto"/>
        <w:ind w:left="0"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兼容内镜</w:t>
      </w:r>
      <w:r>
        <w:rPr>
          <w:rFonts w:hint="eastAsia" w:ascii="宋体" w:hAnsi="宋体" w:cs="宋体"/>
          <w:color w:val="auto"/>
          <w:sz w:val="24"/>
          <w:szCs w:val="24"/>
          <w:highlight w:val="none"/>
          <w:lang w:eastAsia="zh-CN"/>
        </w:rPr>
        <w:t>的</w:t>
      </w:r>
      <w:r>
        <w:rPr>
          <w:rFonts w:hint="eastAsia" w:ascii="宋体" w:hAnsi="宋体" w:cs="宋体"/>
          <w:color w:val="auto"/>
          <w:sz w:val="24"/>
          <w:szCs w:val="24"/>
          <w:highlight w:val="none"/>
          <w:lang w:val="en-US" w:eastAsia="zh-CN"/>
        </w:rPr>
        <w:t>工作通道直径</w:t>
      </w:r>
      <w:r>
        <w:rPr>
          <w:rFonts w:hint="eastAsia" w:ascii="宋体" w:hAnsi="宋体" w:eastAsia="宋体" w:cs="宋体"/>
          <w:color w:val="auto"/>
          <w:sz w:val="24"/>
          <w:szCs w:val="24"/>
          <w:highlight w:val="none"/>
        </w:rPr>
        <w:t>：2.0mm</w:t>
      </w:r>
      <w:r>
        <w:rPr>
          <w:rFonts w:hint="eastAsia" w:ascii="宋体" w:hAnsi="宋体" w:eastAsia="宋体" w:cs="宋体"/>
          <w:color w:val="auto"/>
          <w:sz w:val="24"/>
          <w:szCs w:val="24"/>
          <w:highlight w:val="none"/>
          <w:lang w:eastAsia="zh-CN"/>
        </w:rPr>
        <w:t>。</w:t>
      </w:r>
    </w:p>
    <w:p w14:paraId="102F7ABF">
      <w:pPr>
        <w:numPr>
          <w:ilvl w:val="0"/>
          <w:numId w:val="0"/>
        </w:numPr>
        <w:jc w:val="left"/>
        <w:rPr>
          <w:rFonts w:hint="default" w:ascii="宋体" w:hAnsi="宋体" w:eastAsia="宋体" w:cs="宋体"/>
          <w:color w:val="auto"/>
          <w:sz w:val="24"/>
          <w:szCs w:val="24"/>
          <w:highlight w:val="none"/>
          <w:lang w:val="en-US" w:eastAsia="zh-CN"/>
        </w:rPr>
      </w:pPr>
      <w:r>
        <w:rPr>
          <w:rFonts w:hint="eastAsia" w:ascii="宋体"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配备超声探头驱动器一个，要求：①全长</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1850mm；②可</w:t>
      </w:r>
      <w:r>
        <w:rPr>
          <w:rFonts w:hint="eastAsia" w:ascii="宋体" w:hAnsi="宋体" w:cs="宋体"/>
          <w:color w:val="auto"/>
          <w:sz w:val="24"/>
          <w:szCs w:val="24"/>
          <w:highlight w:val="none"/>
          <w:lang w:val="en-US" w:eastAsia="zh-CN"/>
        </w:rPr>
        <w:t>匹配同</w:t>
      </w:r>
      <w:r>
        <w:rPr>
          <w:rFonts w:hint="eastAsia" w:ascii="宋体" w:hAnsi="宋体" w:eastAsia="宋体" w:cs="宋体"/>
          <w:color w:val="auto"/>
          <w:sz w:val="24"/>
          <w:szCs w:val="24"/>
          <w:highlight w:val="none"/>
        </w:rPr>
        <w:t>品牌超声内镜主机；③可兼容同品牌超声探头</w:t>
      </w:r>
      <w:r>
        <w:rPr>
          <w:rFonts w:hint="eastAsia" w:ascii="宋体" w:hAnsi="宋体" w:eastAsia="宋体" w:cs="宋体"/>
          <w:color w:val="auto"/>
          <w:sz w:val="24"/>
          <w:szCs w:val="24"/>
          <w:highlight w:val="none"/>
          <w:lang w:eastAsia="zh-CN"/>
        </w:rPr>
        <w:t>。</w:t>
      </w:r>
    </w:p>
    <w:p w14:paraId="0F2B2B7B">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三、其他配置要求</w:t>
      </w:r>
    </w:p>
    <w:p w14:paraId="3903CC05">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 xml:space="preserve">（一）冷冻治疗机2台    </w:t>
      </w:r>
    </w:p>
    <w:p w14:paraId="42FCDDA4">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软管冷冻探针能够在检查气管镜直径最小2.0</w:t>
      </w:r>
      <w:r>
        <w:rPr>
          <w:rFonts w:hint="eastAsia" w:ascii="宋体" w:hAnsi="宋体" w:eastAsia="宋体" w:cs="宋体"/>
          <w:color w:val="auto"/>
          <w:sz w:val="24"/>
          <w:szCs w:val="24"/>
          <w:highlight w:val="none"/>
          <w:lang w:val="en-US" w:eastAsia="zh-CN"/>
        </w:rPr>
        <w:t>mm</w:t>
      </w:r>
      <w:r>
        <w:rPr>
          <w:rFonts w:hint="eastAsia" w:ascii="宋体" w:hAnsi="宋体" w:eastAsia="宋体" w:cs="宋体"/>
          <w:color w:val="auto"/>
          <w:sz w:val="24"/>
          <w:szCs w:val="24"/>
          <w:highlight w:val="none"/>
        </w:rPr>
        <w:t>活检通道下畅通使用，探针直径≤1.8mm</w:t>
      </w:r>
      <w:r>
        <w:rPr>
          <w:rFonts w:hint="eastAsia" w:ascii="宋体" w:hAnsi="宋体" w:eastAsia="宋体" w:cs="宋体"/>
          <w:color w:val="auto"/>
          <w:sz w:val="24"/>
          <w:szCs w:val="24"/>
          <w:highlight w:val="none"/>
          <w:lang w:eastAsia="zh-CN"/>
        </w:rPr>
        <w:t>。</w:t>
      </w:r>
    </w:p>
    <w:p w14:paraId="6D191F62">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环境温度18-25℃摄氏度</w:t>
      </w:r>
      <w:r>
        <w:rPr>
          <w:rFonts w:hint="eastAsia" w:ascii="宋体" w:hAnsi="宋体" w:eastAsia="宋体" w:cs="宋体"/>
          <w:color w:val="auto"/>
          <w:sz w:val="24"/>
          <w:szCs w:val="24"/>
          <w:highlight w:val="none"/>
          <w:lang w:eastAsia="zh-CN"/>
        </w:rPr>
        <w:t>。</w:t>
      </w:r>
    </w:p>
    <w:p w14:paraId="44541792">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制冷剂二氧化碳CO2</w:t>
      </w:r>
      <w:r>
        <w:rPr>
          <w:rFonts w:hint="eastAsia" w:ascii="宋体" w:hAnsi="宋体" w:eastAsia="宋体" w:cs="宋体"/>
          <w:color w:val="auto"/>
          <w:sz w:val="24"/>
          <w:szCs w:val="24"/>
          <w:highlight w:val="none"/>
          <w:lang w:eastAsia="zh-CN"/>
        </w:rPr>
        <w:t>。</w:t>
      </w:r>
    </w:p>
    <w:p w14:paraId="6966398F">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探头温度-40℃至-79℃</w:t>
      </w:r>
      <w:r>
        <w:rPr>
          <w:rFonts w:hint="eastAsia" w:ascii="宋体" w:hAnsi="宋体" w:eastAsia="宋体" w:cs="宋体"/>
          <w:color w:val="auto"/>
          <w:sz w:val="24"/>
          <w:szCs w:val="24"/>
          <w:highlight w:val="none"/>
          <w:lang w:eastAsia="zh-CN"/>
        </w:rPr>
        <w:t>。</w:t>
      </w:r>
    </w:p>
    <w:p w14:paraId="53E9D901">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冷冻降温时间＜4S</w:t>
      </w:r>
      <w:r>
        <w:rPr>
          <w:rFonts w:hint="eastAsia" w:ascii="宋体" w:hAnsi="宋体" w:eastAsia="宋体" w:cs="宋体"/>
          <w:color w:val="auto"/>
          <w:sz w:val="24"/>
          <w:szCs w:val="24"/>
          <w:highlight w:val="none"/>
          <w:lang w:eastAsia="zh-CN"/>
        </w:rPr>
        <w:t>。</w:t>
      </w:r>
    </w:p>
    <w:p w14:paraId="36AAF72F">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冷冻升温时间＜5s</w:t>
      </w:r>
      <w:r>
        <w:rPr>
          <w:rFonts w:hint="eastAsia" w:ascii="宋体" w:hAnsi="宋体" w:eastAsia="宋体" w:cs="宋体"/>
          <w:color w:val="auto"/>
          <w:sz w:val="24"/>
          <w:szCs w:val="24"/>
          <w:highlight w:val="none"/>
          <w:lang w:eastAsia="zh-CN"/>
        </w:rPr>
        <w:t>。</w:t>
      </w:r>
    </w:p>
    <w:p w14:paraId="4D3B2C18">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主机具有自动温度检测，数字显示温度</w:t>
      </w:r>
      <w:r>
        <w:rPr>
          <w:rFonts w:hint="eastAsia" w:ascii="宋体" w:hAnsi="宋体" w:eastAsia="宋体" w:cs="宋体"/>
          <w:color w:val="auto"/>
          <w:sz w:val="24"/>
          <w:szCs w:val="24"/>
          <w:highlight w:val="none"/>
          <w:lang w:eastAsia="zh-CN"/>
        </w:rPr>
        <w:t>。</w:t>
      </w:r>
    </w:p>
    <w:p w14:paraId="522B7F7F">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主机具有时间定时，报警，数字显示</w:t>
      </w:r>
      <w:r>
        <w:rPr>
          <w:rFonts w:hint="eastAsia" w:ascii="宋体" w:hAnsi="宋体" w:eastAsia="宋体" w:cs="宋体"/>
          <w:color w:val="auto"/>
          <w:sz w:val="24"/>
          <w:szCs w:val="24"/>
          <w:highlight w:val="none"/>
          <w:lang w:eastAsia="zh-CN"/>
        </w:rPr>
        <w:t>。</w:t>
      </w:r>
    </w:p>
    <w:p w14:paraId="3127354D">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主机具有自动压力控制，仪表显示压力</w:t>
      </w:r>
      <w:r>
        <w:rPr>
          <w:rFonts w:hint="eastAsia" w:ascii="宋体" w:hAnsi="宋体" w:eastAsia="宋体" w:cs="宋体"/>
          <w:color w:val="auto"/>
          <w:sz w:val="24"/>
          <w:szCs w:val="24"/>
          <w:highlight w:val="none"/>
          <w:lang w:eastAsia="zh-CN"/>
        </w:rPr>
        <w:t>。</w:t>
      </w:r>
    </w:p>
    <w:p w14:paraId="38F17D4C">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最大接地电阻</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Ω</w:t>
      </w:r>
      <w:r>
        <w:rPr>
          <w:rFonts w:hint="eastAsia" w:ascii="宋体" w:hAnsi="宋体" w:eastAsia="宋体" w:cs="宋体"/>
          <w:color w:val="auto"/>
          <w:sz w:val="24"/>
          <w:szCs w:val="24"/>
          <w:highlight w:val="none"/>
          <w:lang w:eastAsia="zh-CN"/>
        </w:rPr>
        <w:t>。</w:t>
      </w:r>
    </w:p>
    <w:p w14:paraId="04066BFE">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最大功率≤120W</w:t>
      </w:r>
      <w:r>
        <w:rPr>
          <w:rFonts w:hint="eastAsia" w:ascii="宋体" w:hAnsi="宋体" w:eastAsia="宋体" w:cs="宋体"/>
          <w:color w:val="auto"/>
          <w:sz w:val="24"/>
          <w:szCs w:val="24"/>
          <w:highlight w:val="none"/>
          <w:lang w:eastAsia="zh-CN"/>
        </w:rPr>
        <w:t>。</w:t>
      </w:r>
    </w:p>
    <w:p w14:paraId="1038F67A">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工作压力5-7Mp</w:t>
      </w:r>
      <w:r>
        <w:rPr>
          <w:rFonts w:hint="eastAsia" w:ascii="宋体" w:hAnsi="宋体" w:eastAsia="宋体" w:cs="宋体"/>
          <w:color w:val="auto"/>
          <w:sz w:val="24"/>
          <w:szCs w:val="24"/>
          <w:highlight w:val="none"/>
          <w:lang w:eastAsia="zh-CN"/>
        </w:rPr>
        <w:t>。</w:t>
      </w:r>
    </w:p>
    <w:p w14:paraId="61562237">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探针与电源间绝缘电压4KV</w:t>
      </w:r>
      <w:r>
        <w:rPr>
          <w:rFonts w:hint="eastAsia" w:ascii="宋体" w:hAnsi="宋体" w:eastAsia="宋体" w:cs="宋体"/>
          <w:color w:val="auto"/>
          <w:sz w:val="24"/>
          <w:szCs w:val="24"/>
          <w:highlight w:val="none"/>
          <w:lang w:eastAsia="zh-CN"/>
        </w:rPr>
        <w:t>。</w:t>
      </w:r>
    </w:p>
    <w:p w14:paraId="1C676EF5">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适用部件BF型</w:t>
      </w:r>
      <w:r>
        <w:rPr>
          <w:rFonts w:hint="eastAsia" w:ascii="宋体" w:hAnsi="宋体" w:eastAsia="宋体" w:cs="宋体"/>
          <w:color w:val="auto"/>
          <w:sz w:val="24"/>
          <w:szCs w:val="24"/>
          <w:highlight w:val="none"/>
          <w:lang w:eastAsia="zh-CN"/>
        </w:rPr>
        <w:t>。</w:t>
      </w:r>
    </w:p>
    <w:p w14:paraId="489E409D">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脚踏开关医用防爆、防水</w:t>
      </w:r>
      <w:r>
        <w:rPr>
          <w:rFonts w:hint="eastAsia" w:ascii="宋体" w:hAnsi="宋体" w:eastAsia="宋体" w:cs="宋体"/>
          <w:color w:val="auto"/>
          <w:sz w:val="24"/>
          <w:szCs w:val="24"/>
          <w:highlight w:val="none"/>
          <w:lang w:eastAsia="zh-CN"/>
        </w:rPr>
        <w:t>。</w:t>
      </w:r>
    </w:p>
    <w:p w14:paraId="6186B35D">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lang w:val="en-US" w:eastAsia="zh-CN"/>
        </w:rPr>
        <w:t>附件配套设备：复消型</w:t>
      </w:r>
      <w:r>
        <w:rPr>
          <w:rFonts w:hint="eastAsia" w:ascii="宋体" w:hAnsi="宋体" w:eastAsia="宋体" w:cs="宋体"/>
          <w:color w:val="auto"/>
          <w:sz w:val="24"/>
          <w:szCs w:val="24"/>
          <w:highlight w:val="none"/>
        </w:rPr>
        <w:t>软式探针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根（</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毫米可交替反复消毒使用）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钢瓶2个交替使用。</w:t>
      </w:r>
    </w:p>
    <w:p w14:paraId="5B36348F">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（二）麻醉机2台</w:t>
      </w:r>
    </w:p>
    <w:p w14:paraId="7A91F167">
      <w:pPr>
        <w:numPr>
          <w:ilvl w:val="0"/>
          <w:numId w:val="0"/>
        </w:numPr>
        <w:spacing w:line="240" w:lineRule="auto"/>
        <w:ind w:leftChars="0" w:right="0" w:rightChars="0" w:firstLine="0" w:firstLine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1.主机部分</w:t>
      </w:r>
    </w:p>
    <w:p w14:paraId="3CF701EA">
      <w:pPr>
        <w:pStyle w:val="310"/>
        <w:numPr>
          <w:ilvl w:val="0"/>
          <w:numId w:val="0"/>
        </w:numPr>
        <w:spacing w:line="240" w:lineRule="auto"/>
        <w:ind w:left="0" w:leftChars="0"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1.1</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color w:val="auto"/>
          <w:sz w:val="24"/>
          <w:szCs w:val="24"/>
          <w:highlight w:val="none"/>
        </w:rPr>
        <w:t>12英寸彩色触控屏，可以根据操作位置的需要，在四维层面多角度旋转调节，可折叠。</w:t>
      </w:r>
    </w:p>
    <w:p w14:paraId="0DB8619D">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1.2至少</w:t>
      </w:r>
      <w:r>
        <w:rPr>
          <w:rFonts w:hint="eastAsia" w:ascii="宋体" w:hAnsi="宋体" w:eastAsia="宋体" w:cs="宋体"/>
          <w:color w:val="auto"/>
          <w:sz w:val="24"/>
          <w:szCs w:val="24"/>
          <w:highlight w:val="none"/>
        </w:rPr>
        <w:t>两个大容量旋转式抽屉，大工作台面。</w:t>
      </w:r>
    </w:p>
    <w:p w14:paraId="29EB04F9">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1.3</w:t>
      </w:r>
      <w:r>
        <w:rPr>
          <w:rFonts w:hint="eastAsia" w:ascii="宋体" w:hAnsi="宋体" w:eastAsia="宋体" w:cs="宋体"/>
          <w:color w:val="auto"/>
          <w:sz w:val="24"/>
          <w:szCs w:val="24"/>
          <w:highlight w:val="none"/>
        </w:rPr>
        <w:t>中央刹车系统：单踏板控制、开合一体式，解锁和锁定为同一踏板，采用导电、静音脚轮。</w:t>
      </w:r>
    </w:p>
    <w:p w14:paraId="1D3EF9A8">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1.4</w:t>
      </w:r>
      <w:r>
        <w:rPr>
          <w:rFonts w:hint="eastAsia" w:ascii="宋体" w:hAnsi="宋体" w:eastAsia="宋体" w:cs="宋体"/>
          <w:color w:val="auto"/>
          <w:sz w:val="24"/>
          <w:szCs w:val="24"/>
          <w:highlight w:val="none"/>
        </w:rPr>
        <w:t>具备嵌入式顶光照明系统，LED灯泡数量≥8个。</w:t>
      </w:r>
    </w:p>
    <w:p w14:paraId="75D4DDAA">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1.5</w:t>
      </w:r>
      <w:r>
        <w:rPr>
          <w:rFonts w:hint="eastAsia" w:ascii="宋体" w:hAnsi="宋体" w:eastAsia="宋体" w:cs="宋体"/>
          <w:color w:val="auto"/>
          <w:sz w:val="24"/>
          <w:szCs w:val="24"/>
          <w:highlight w:val="none"/>
        </w:rPr>
        <w:t>全中文操作系统，设置操作两步到位。</w:t>
      </w:r>
    </w:p>
    <w:p w14:paraId="0A556636">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1.6</w:t>
      </w:r>
      <w:r>
        <w:rPr>
          <w:rFonts w:hint="eastAsia" w:ascii="宋体" w:hAnsi="宋体" w:eastAsia="宋体" w:cs="宋体"/>
          <w:color w:val="auto"/>
          <w:sz w:val="24"/>
          <w:szCs w:val="24"/>
          <w:highlight w:val="none"/>
        </w:rPr>
        <w:t>电气一体化开关，具有开机自检、快速启动功能、待机功能。</w:t>
      </w:r>
    </w:p>
    <w:p w14:paraId="04C31C7D">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1.7</w:t>
      </w:r>
      <w:r>
        <w:rPr>
          <w:rFonts w:hint="eastAsia" w:ascii="宋体" w:hAnsi="宋体" w:eastAsia="宋体" w:cs="宋体"/>
          <w:color w:val="auto"/>
          <w:sz w:val="24"/>
          <w:szCs w:val="24"/>
          <w:highlight w:val="none"/>
        </w:rPr>
        <w:t>后备锂电池，使用时间≥</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0分钟。</w:t>
      </w:r>
    </w:p>
    <w:p w14:paraId="12BA9B40">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1.8</w:t>
      </w:r>
      <w:r>
        <w:rPr>
          <w:rFonts w:hint="eastAsia" w:ascii="宋体" w:hAnsi="宋体" w:eastAsia="宋体" w:cs="宋体"/>
          <w:color w:val="auto"/>
          <w:sz w:val="24"/>
          <w:szCs w:val="24"/>
          <w:highlight w:val="none"/>
        </w:rPr>
        <w:t>具有3个以上辅助网电源插座，为围术期设备提供电源支持。</w:t>
      </w:r>
    </w:p>
    <w:p w14:paraId="5A731EB7">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1.9</w:t>
      </w:r>
      <w:r>
        <w:rPr>
          <w:rFonts w:hint="eastAsia" w:ascii="宋体" w:hAnsi="宋体" w:eastAsia="宋体" w:cs="宋体"/>
          <w:color w:val="auto"/>
          <w:sz w:val="24"/>
          <w:szCs w:val="24"/>
          <w:highlight w:val="none"/>
        </w:rPr>
        <w:t>可选配隔离变压器，有效保障医生用电安全。</w:t>
      </w:r>
    </w:p>
    <w:p w14:paraId="5EAD43B0">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1.10</w:t>
      </w:r>
      <w:r>
        <w:rPr>
          <w:rFonts w:hint="eastAsia" w:ascii="宋体" w:hAnsi="宋体" w:eastAsia="宋体" w:cs="宋体"/>
          <w:color w:val="auto"/>
          <w:sz w:val="24"/>
          <w:szCs w:val="24"/>
          <w:highlight w:val="none"/>
        </w:rPr>
        <w:t>主机机身正面具备</w:t>
      </w:r>
      <w:r>
        <w:rPr>
          <w:rFonts w:hint="eastAsia" w:ascii="宋体" w:hAnsi="宋体" w:eastAsia="宋体" w:cs="宋体"/>
          <w:color w:val="auto"/>
          <w:sz w:val="24"/>
          <w:szCs w:val="24"/>
          <w:highlight w:val="none"/>
          <w:lang w:val="en-US" w:eastAsia="zh-CN"/>
        </w:rPr>
        <w:t>至少</w:t>
      </w:r>
      <w:r>
        <w:rPr>
          <w:rFonts w:hint="eastAsia" w:ascii="宋体" w:hAnsi="宋体" w:eastAsia="宋体" w:cs="宋体"/>
          <w:color w:val="auto"/>
          <w:sz w:val="24"/>
          <w:szCs w:val="24"/>
          <w:highlight w:val="none"/>
        </w:rPr>
        <w:t>3个模块插槽，支持</w:t>
      </w:r>
      <w:r>
        <w:rPr>
          <w:rFonts w:hint="eastAsia" w:ascii="宋体" w:hAnsi="宋体" w:eastAsia="宋体" w:cs="宋体"/>
          <w:color w:val="auto"/>
          <w:sz w:val="24"/>
          <w:szCs w:val="24"/>
          <w:highlight w:val="none"/>
          <w:lang w:val="en-US" w:eastAsia="zh-CN"/>
        </w:rPr>
        <w:t>至少</w:t>
      </w:r>
      <w:r>
        <w:rPr>
          <w:rFonts w:hint="eastAsia" w:ascii="宋体" w:hAnsi="宋体" w:eastAsia="宋体" w:cs="宋体"/>
          <w:color w:val="auto"/>
          <w:sz w:val="24"/>
          <w:szCs w:val="24"/>
          <w:highlight w:val="none"/>
        </w:rPr>
        <w:t>3个模块同时使用，可与同品牌的插件式监护仪实现模块共享。监测CO</w:t>
      </w:r>
      <w:r>
        <w:rPr>
          <w:rFonts w:hint="eastAsia" w:ascii="宋体" w:hAnsi="宋体" w:eastAsia="宋体" w:cs="宋体"/>
          <w:color w:val="auto"/>
          <w:sz w:val="24"/>
          <w:szCs w:val="24"/>
          <w:highlight w:val="none"/>
          <w:vertAlign w:val="subscript"/>
        </w:rPr>
        <w:t>2</w:t>
      </w:r>
      <w:r>
        <w:rPr>
          <w:rFonts w:hint="eastAsia" w:ascii="宋体" w:hAnsi="宋体" w:eastAsia="宋体" w:cs="宋体"/>
          <w:color w:val="auto"/>
          <w:sz w:val="24"/>
          <w:szCs w:val="24"/>
          <w:highlight w:val="none"/>
        </w:rPr>
        <w:t>、AG、BIS、O2等监测</w:t>
      </w:r>
      <w:r>
        <w:rPr>
          <w:rFonts w:hint="eastAsia" w:ascii="宋体" w:hAnsi="宋体" w:eastAsia="宋体" w:cs="宋体"/>
          <w:color w:val="auto"/>
          <w:sz w:val="24"/>
          <w:szCs w:val="24"/>
          <w:highlight w:val="none"/>
          <w:lang w:eastAsia="zh-CN"/>
        </w:rPr>
        <w:t>。</w:t>
      </w:r>
    </w:p>
    <w:p w14:paraId="0BA5421C">
      <w:pPr>
        <w:pStyle w:val="310"/>
        <w:numPr>
          <w:ilvl w:val="0"/>
          <w:numId w:val="0"/>
        </w:numPr>
        <w:spacing w:line="240" w:lineRule="auto"/>
        <w:ind w:left="0" w:leftChars="0" w:right="0" w:rightChars="0" w:firstLine="0" w:firstLineChars="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气源部分</w:t>
      </w:r>
    </w:p>
    <w:p w14:paraId="0EFECF2E">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2.1</w:t>
      </w:r>
      <w:r>
        <w:rPr>
          <w:rFonts w:hint="eastAsia" w:ascii="宋体" w:hAnsi="宋体" w:eastAsia="宋体" w:cs="宋体"/>
          <w:color w:val="auto"/>
          <w:sz w:val="24"/>
          <w:szCs w:val="24"/>
          <w:highlight w:val="none"/>
        </w:rPr>
        <w:t>氧气，空气</w:t>
      </w:r>
      <w:r>
        <w:rPr>
          <w:rFonts w:hint="eastAsia" w:ascii="宋体" w:hAnsi="宋体" w:cs="宋体"/>
          <w:color w:val="auto"/>
          <w:sz w:val="24"/>
          <w:szCs w:val="24"/>
          <w:highlight w:val="none"/>
          <w:lang w:eastAsia="zh-CN"/>
        </w:rPr>
        <w:t>等</w:t>
      </w:r>
      <w:r>
        <w:rPr>
          <w:rFonts w:hint="eastAsia" w:ascii="宋体" w:hAnsi="宋体" w:eastAsia="宋体" w:cs="宋体"/>
          <w:color w:val="auto"/>
          <w:sz w:val="24"/>
          <w:szCs w:val="24"/>
          <w:highlight w:val="none"/>
        </w:rPr>
        <w:t>气源，可进行非纯氧供气，工作压力为0.28~0.6Mpa。</w:t>
      </w:r>
    </w:p>
    <w:p w14:paraId="38A24D63">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2.2</w:t>
      </w:r>
      <w:r>
        <w:rPr>
          <w:rFonts w:hint="eastAsia" w:ascii="宋体" w:hAnsi="宋体" w:eastAsia="宋体" w:cs="宋体"/>
          <w:color w:val="auto"/>
          <w:sz w:val="24"/>
          <w:szCs w:val="24"/>
          <w:highlight w:val="none"/>
        </w:rPr>
        <w:t>具备氧气，空气电子流量计，快速直观，调节范围：0-10L/min，调节精度为0.1L，适合低微流量麻醉手术。</w:t>
      </w:r>
    </w:p>
    <w:p w14:paraId="334C0D31">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2.3</w:t>
      </w:r>
      <w:r>
        <w:rPr>
          <w:rFonts w:hint="eastAsia" w:ascii="宋体" w:hAnsi="宋体" w:eastAsia="宋体" w:cs="宋体"/>
          <w:color w:val="auto"/>
          <w:sz w:val="24"/>
          <w:szCs w:val="24"/>
          <w:highlight w:val="none"/>
        </w:rPr>
        <w:t>具备机械的笑、氧保护装置，不受停电影响，保证任何流量下氧浓度≥25%。</w:t>
      </w:r>
    </w:p>
    <w:p w14:paraId="00DC21A2">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2.4</w:t>
      </w:r>
      <w:r>
        <w:rPr>
          <w:rFonts w:hint="eastAsia" w:ascii="宋体" w:hAnsi="宋体" w:eastAsia="宋体" w:cs="宋体"/>
          <w:color w:val="auto"/>
          <w:sz w:val="24"/>
          <w:szCs w:val="24"/>
          <w:highlight w:val="none"/>
        </w:rPr>
        <w:t>快速充氧范围25-75</w:t>
      </w:r>
      <w:r>
        <w:rPr>
          <w:rFonts w:hint="eastAsia" w:ascii="宋体" w:hAnsi="宋体" w:eastAsia="宋体" w:cs="宋体"/>
          <w:color w:val="auto"/>
          <w:sz w:val="24"/>
          <w:szCs w:val="24"/>
          <w:highlight w:val="none"/>
          <w:lang w:val="en-US" w:eastAsia="zh-CN"/>
        </w:rPr>
        <w:t>L</w:t>
      </w:r>
      <w:r>
        <w:rPr>
          <w:rFonts w:hint="eastAsia" w:ascii="宋体" w:hAnsi="宋体" w:eastAsia="宋体" w:cs="宋体"/>
          <w:color w:val="auto"/>
          <w:sz w:val="24"/>
          <w:szCs w:val="24"/>
          <w:highlight w:val="none"/>
        </w:rPr>
        <w:t>/min</w:t>
      </w:r>
      <w:r>
        <w:rPr>
          <w:rFonts w:hint="eastAsia" w:ascii="宋体" w:hAnsi="宋体" w:eastAsia="宋体" w:cs="宋体"/>
          <w:color w:val="auto"/>
          <w:sz w:val="24"/>
          <w:szCs w:val="24"/>
          <w:highlight w:val="none"/>
          <w:lang w:eastAsia="zh-CN"/>
        </w:rPr>
        <w:t>。</w:t>
      </w:r>
    </w:p>
    <w:p w14:paraId="178B7CDC">
      <w:pPr>
        <w:pStyle w:val="310"/>
        <w:numPr>
          <w:ilvl w:val="0"/>
          <w:numId w:val="0"/>
        </w:numPr>
        <w:spacing w:line="240" w:lineRule="auto"/>
        <w:ind w:left="0" w:leftChars="0" w:right="0" w:rightChars="0"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3.麻醉呼吸机</w:t>
      </w:r>
    </w:p>
    <w:p w14:paraId="4F993CB9">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气动电控呼吸机。</w:t>
      </w:r>
    </w:p>
    <w:p w14:paraId="2EF14829">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适用范围：成人、小儿和婴幼儿。</w:t>
      </w:r>
    </w:p>
    <w:p w14:paraId="1F6C3B0A">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具有回路泄漏、顺应性、新鲜气体自动补偿功能，保证潮气量所设即所得。</w:t>
      </w:r>
    </w:p>
    <w:p w14:paraId="47CB5187">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rPr>
        <w:t>通气模式：VCV、PCV、手动，可选配SIMV-VC、SIMV-PC、CPAP/PSV、PRVC</w:t>
      </w:r>
      <w:r>
        <w:rPr>
          <w:rFonts w:hint="eastAsia" w:ascii="宋体" w:hAnsi="宋体" w:eastAsia="宋体" w:cs="宋体"/>
          <w:color w:val="auto"/>
          <w:sz w:val="24"/>
          <w:szCs w:val="24"/>
          <w:highlight w:val="none"/>
          <w:lang w:eastAsia="zh-CN"/>
        </w:rPr>
        <w:t>。</w:t>
      </w:r>
    </w:p>
    <w:p w14:paraId="5FB0E957">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控制通气模式下：</w:t>
      </w:r>
    </w:p>
    <w:p w14:paraId="415AFE92">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3.5.1 </w:t>
      </w:r>
      <w:r>
        <w:rPr>
          <w:rFonts w:hint="eastAsia" w:ascii="宋体" w:hAnsi="宋体" w:eastAsia="宋体" w:cs="宋体"/>
          <w:color w:val="auto"/>
          <w:sz w:val="24"/>
          <w:szCs w:val="24"/>
          <w:highlight w:val="none"/>
        </w:rPr>
        <w:t>VCV模式下潮气量设定范围：15～1500ml。</w:t>
      </w:r>
    </w:p>
    <w:p w14:paraId="4CFC977A">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3.5.2 </w:t>
      </w:r>
      <w:r>
        <w:rPr>
          <w:rFonts w:hint="eastAsia" w:ascii="宋体" w:hAnsi="宋体" w:eastAsia="宋体" w:cs="宋体"/>
          <w:color w:val="auto"/>
          <w:sz w:val="24"/>
          <w:szCs w:val="24"/>
          <w:highlight w:val="none"/>
        </w:rPr>
        <w:t>PCV模式下潮气量控制范围：5～1500ml。</w:t>
      </w:r>
    </w:p>
    <w:p w14:paraId="51E65034">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3.5.3 </w:t>
      </w:r>
      <w:r>
        <w:rPr>
          <w:rFonts w:hint="eastAsia" w:ascii="宋体" w:hAnsi="宋体" w:eastAsia="宋体" w:cs="宋体"/>
          <w:color w:val="auto"/>
          <w:sz w:val="24"/>
          <w:szCs w:val="24"/>
          <w:highlight w:val="none"/>
        </w:rPr>
        <w:t>呼吸频率设定范围：4～100次/min。</w:t>
      </w:r>
    </w:p>
    <w:p w14:paraId="158AEF87">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3.5.4 </w:t>
      </w:r>
      <w:r>
        <w:rPr>
          <w:rFonts w:hint="eastAsia" w:ascii="宋体" w:hAnsi="宋体" w:eastAsia="宋体" w:cs="宋体"/>
          <w:color w:val="auto"/>
          <w:sz w:val="24"/>
          <w:szCs w:val="24"/>
          <w:highlight w:val="none"/>
        </w:rPr>
        <w:t>吸呼比设定范围：4:1～1:10。</w:t>
      </w:r>
    </w:p>
    <w:p w14:paraId="598D83C8">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3.5.5 </w:t>
      </w:r>
      <w:r>
        <w:rPr>
          <w:rFonts w:hint="eastAsia" w:ascii="宋体" w:hAnsi="宋体" w:eastAsia="宋体" w:cs="宋体"/>
          <w:color w:val="auto"/>
          <w:sz w:val="24"/>
          <w:szCs w:val="24"/>
          <w:highlight w:val="none"/>
        </w:rPr>
        <w:t>吸气压力设定范围：5～70cmH2O</w:t>
      </w:r>
      <w:r>
        <w:rPr>
          <w:rFonts w:hint="eastAsia" w:ascii="宋体" w:hAnsi="宋体" w:eastAsia="宋体" w:cs="宋体"/>
          <w:color w:val="auto"/>
          <w:sz w:val="24"/>
          <w:szCs w:val="24"/>
          <w:highlight w:val="none"/>
          <w:lang w:eastAsia="zh-CN"/>
        </w:rPr>
        <w:t>。</w:t>
      </w:r>
    </w:p>
    <w:p w14:paraId="61FF2CD3">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3.5.6 </w:t>
      </w:r>
      <w:r>
        <w:rPr>
          <w:rFonts w:hint="eastAsia" w:ascii="宋体" w:hAnsi="宋体" w:eastAsia="宋体" w:cs="宋体"/>
          <w:color w:val="auto"/>
          <w:sz w:val="24"/>
          <w:szCs w:val="24"/>
          <w:highlight w:val="none"/>
        </w:rPr>
        <w:t>PEEP设定范围：OFF，3～30cmH2O</w:t>
      </w:r>
      <w:r>
        <w:rPr>
          <w:rFonts w:hint="eastAsia" w:ascii="宋体" w:hAnsi="宋体" w:eastAsia="宋体" w:cs="宋体"/>
          <w:color w:val="auto"/>
          <w:sz w:val="24"/>
          <w:szCs w:val="24"/>
          <w:highlight w:val="none"/>
          <w:lang w:eastAsia="zh-CN"/>
        </w:rPr>
        <w:t>。</w:t>
      </w:r>
    </w:p>
    <w:p w14:paraId="01E75527">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3.5.7 </w:t>
      </w:r>
      <w:r>
        <w:rPr>
          <w:rFonts w:hint="eastAsia" w:ascii="宋体" w:hAnsi="宋体" w:eastAsia="宋体" w:cs="宋体"/>
          <w:color w:val="auto"/>
          <w:sz w:val="24"/>
          <w:szCs w:val="24"/>
          <w:highlight w:val="none"/>
        </w:rPr>
        <w:t>压力限制设定范围：10～100cmH2O。</w:t>
      </w:r>
    </w:p>
    <w:p w14:paraId="5EC8309B">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3.5.8 </w:t>
      </w:r>
      <w:r>
        <w:rPr>
          <w:rFonts w:hint="eastAsia" w:ascii="宋体" w:hAnsi="宋体" w:eastAsia="宋体" w:cs="宋体"/>
          <w:color w:val="auto"/>
          <w:sz w:val="24"/>
          <w:szCs w:val="24"/>
          <w:highlight w:val="none"/>
        </w:rPr>
        <w:t>吸气暂停设定范围：OFF，5%~60%。</w:t>
      </w:r>
    </w:p>
    <w:p w14:paraId="21D28621">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同步和支持通气模式下：</w:t>
      </w:r>
    </w:p>
    <w:p w14:paraId="2E8D8B7C">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3.6.1 </w:t>
      </w:r>
      <w:r>
        <w:rPr>
          <w:rFonts w:hint="eastAsia" w:ascii="宋体" w:hAnsi="宋体" w:eastAsia="宋体" w:cs="宋体"/>
          <w:color w:val="auto"/>
          <w:sz w:val="24"/>
          <w:szCs w:val="24"/>
          <w:highlight w:val="none"/>
        </w:rPr>
        <w:t>触发窗设定范围：</w:t>
      </w:r>
      <w:r>
        <w:rPr>
          <w:rFonts w:hint="eastAsia" w:ascii="宋体" w:hAnsi="宋体" w:eastAsia="宋体" w:cs="宋体"/>
          <w:color w:val="auto"/>
          <w:sz w:val="24"/>
          <w:szCs w:val="24"/>
          <w:highlight w:val="none"/>
          <w:lang w:val="zh-CN"/>
        </w:rPr>
        <w:t>5%～90%；</w:t>
      </w:r>
    </w:p>
    <w:p w14:paraId="082B4159">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3.6.2 </w:t>
      </w:r>
      <w:r>
        <w:rPr>
          <w:rFonts w:hint="eastAsia" w:ascii="宋体" w:hAnsi="宋体" w:eastAsia="宋体" w:cs="宋体"/>
          <w:color w:val="auto"/>
          <w:sz w:val="24"/>
          <w:szCs w:val="24"/>
          <w:highlight w:val="none"/>
          <w:lang w:val="zh-CN"/>
        </w:rPr>
        <w:t>吸气时间</w:t>
      </w:r>
      <w:r>
        <w:rPr>
          <w:rFonts w:hint="eastAsia" w:ascii="宋体" w:hAnsi="宋体" w:eastAsia="宋体" w:cs="宋体"/>
          <w:color w:val="auto"/>
          <w:sz w:val="24"/>
          <w:szCs w:val="24"/>
          <w:highlight w:val="none"/>
        </w:rPr>
        <w:t>设定范围：</w:t>
      </w:r>
      <w:r>
        <w:rPr>
          <w:rFonts w:hint="eastAsia" w:ascii="宋体" w:hAnsi="宋体" w:eastAsia="宋体" w:cs="宋体"/>
          <w:color w:val="auto"/>
          <w:sz w:val="24"/>
          <w:szCs w:val="24"/>
          <w:highlight w:val="none"/>
          <w:lang w:val="zh-CN"/>
        </w:rPr>
        <w:t>0.2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0.5s；</w:t>
      </w:r>
    </w:p>
    <w:p w14:paraId="5B21F79A">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3.6.3 </w:t>
      </w:r>
      <w:r>
        <w:rPr>
          <w:rFonts w:hint="eastAsia" w:ascii="宋体" w:hAnsi="宋体" w:eastAsia="宋体" w:cs="宋体"/>
          <w:color w:val="auto"/>
          <w:sz w:val="24"/>
          <w:szCs w:val="24"/>
          <w:highlight w:val="none"/>
        </w:rPr>
        <w:t>吸气触发设定范围：流量触发1</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15L/min，压力触发-20</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1cmH2O</w:t>
      </w:r>
      <w:r>
        <w:rPr>
          <w:rFonts w:hint="eastAsia" w:ascii="宋体" w:hAnsi="宋体" w:eastAsia="宋体" w:cs="宋体"/>
          <w:color w:val="auto"/>
          <w:sz w:val="24"/>
          <w:szCs w:val="24"/>
          <w:highlight w:val="none"/>
          <w:lang w:eastAsia="zh-CN"/>
        </w:rPr>
        <w:t>；</w:t>
      </w:r>
    </w:p>
    <w:p w14:paraId="5E5EBA7C">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 xml:space="preserve">3.6.4 </w:t>
      </w:r>
      <w:r>
        <w:rPr>
          <w:rFonts w:hint="eastAsia" w:ascii="宋体" w:hAnsi="宋体" w:eastAsia="宋体" w:cs="宋体"/>
          <w:color w:val="auto"/>
          <w:sz w:val="24"/>
          <w:szCs w:val="24"/>
          <w:highlight w:val="none"/>
        </w:rPr>
        <w:t>支持压力设定范围：3～60 cmH2O</w:t>
      </w:r>
      <w:r>
        <w:rPr>
          <w:rFonts w:hint="eastAsia" w:ascii="宋体" w:hAnsi="宋体" w:eastAsia="宋体" w:cs="宋体"/>
          <w:color w:val="auto"/>
          <w:sz w:val="24"/>
          <w:szCs w:val="24"/>
          <w:highlight w:val="none"/>
          <w:lang w:eastAsia="zh-CN"/>
        </w:rPr>
        <w:t>。</w:t>
      </w:r>
    </w:p>
    <w:p w14:paraId="303A2734">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重点参数监测范围：</w:t>
      </w:r>
    </w:p>
    <w:p w14:paraId="5FCBBF59">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3.7.1 </w:t>
      </w:r>
      <w:r>
        <w:rPr>
          <w:rFonts w:hint="eastAsia" w:ascii="宋体" w:hAnsi="宋体" w:eastAsia="宋体" w:cs="宋体"/>
          <w:color w:val="auto"/>
          <w:sz w:val="24"/>
          <w:szCs w:val="24"/>
          <w:highlight w:val="none"/>
        </w:rPr>
        <w:t>分钟通气量监测范围：0～100L/min</w:t>
      </w:r>
      <w:r>
        <w:rPr>
          <w:rFonts w:hint="eastAsia" w:ascii="宋体" w:hAnsi="宋体" w:eastAsia="宋体" w:cs="宋体"/>
          <w:color w:val="auto"/>
          <w:sz w:val="24"/>
          <w:szCs w:val="24"/>
          <w:highlight w:val="none"/>
          <w:lang w:eastAsia="zh-CN"/>
        </w:rPr>
        <w:t>。</w:t>
      </w:r>
    </w:p>
    <w:p w14:paraId="62A9A602">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3.7.2 </w:t>
      </w:r>
      <w:r>
        <w:rPr>
          <w:rFonts w:hint="eastAsia" w:ascii="宋体" w:hAnsi="宋体" w:eastAsia="宋体" w:cs="宋体"/>
          <w:color w:val="auto"/>
          <w:sz w:val="24"/>
          <w:szCs w:val="24"/>
          <w:highlight w:val="none"/>
        </w:rPr>
        <w:t>吸气和呼气潮气量监测范围：0～3000ml</w:t>
      </w:r>
      <w:r>
        <w:rPr>
          <w:rFonts w:hint="eastAsia" w:ascii="宋体" w:hAnsi="宋体" w:eastAsia="宋体" w:cs="宋体"/>
          <w:color w:val="auto"/>
          <w:sz w:val="24"/>
          <w:szCs w:val="24"/>
          <w:highlight w:val="none"/>
          <w:lang w:eastAsia="zh-CN"/>
        </w:rPr>
        <w:t>。</w:t>
      </w:r>
    </w:p>
    <w:p w14:paraId="1614335F">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3.7.3 </w:t>
      </w:r>
      <w:r>
        <w:rPr>
          <w:rFonts w:hint="eastAsia" w:ascii="宋体" w:hAnsi="宋体" w:eastAsia="宋体" w:cs="宋体"/>
          <w:color w:val="auto"/>
          <w:sz w:val="24"/>
          <w:szCs w:val="24"/>
          <w:highlight w:val="none"/>
        </w:rPr>
        <w:t>顺应性监测范围：0～250mL/cmH2O</w:t>
      </w:r>
      <w:r>
        <w:rPr>
          <w:rFonts w:hint="eastAsia" w:ascii="宋体" w:hAnsi="宋体" w:eastAsia="宋体" w:cs="宋体"/>
          <w:color w:val="auto"/>
          <w:sz w:val="24"/>
          <w:szCs w:val="24"/>
          <w:highlight w:val="none"/>
          <w:lang w:eastAsia="zh-CN"/>
        </w:rPr>
        <w:t>。</w:t>
      </w:r>
    </w:p>
    <w:p w14:paraId="07014BE6">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3.7.4 </w:t>
      </w:r>
      <w:r>
        <w:rPr>
          <w:rFonts w:hint="eastAsia" w:ascii="宋体" w:hAnsi="宋体" w:eastAsia="宋体" w:cs="宋体"/>
          <w:color w:val="auto"/>
          <w:sz w:val="24"/>
          <w:szCs w:val="24"/>
          <w:highlight w:val="none"/>
        </w:rPr>
        <w:t>气阻监测范围：0～500cmH2O/(s/L)</w:t>
      </w:r>
      <w:r>
        <w:rPr>
          <w:rFonts w:hint="eastAsia" w:ascii="宋体" w:hAnsi="宋体" w:eastAsia="宋体" w:cs="宋体"/>
          <w:color w:val="auto"/>
          <w:sz w:val="24"/>
          <w:szCs w:val="24"/>
          <w:highlight w:val="none"/>
          <w:lang w:eastAsia="zh-CN"/>
        </w:rPr>
        <w:t>。</w:t>
      </w:r>
    </w:p>
    <w:p w14:paraId="0AFEE3E5">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其他监测参数：呼吸频率、峰压、平均压、平台压、呼末正压、吸入和呼出氧浓度、吸呼比，可选配：吸入和呼末CO2浓度、吸入和呼末麻醉气体浓度、麻醉深度监测等。</w:t>
      </w:r>
    </w:p>
    <w:p w14:paraId="0B6A43FC">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w:t>
      </w:r>
      <w:r>
        <w:rPr>
          <w:rFonts w:hint="eastAsia" w:ascii="宋体" w:hAnsi="宋体" w:eastAsia="宋体" w:cs="宋体"/>
          <w:color w:val="auto"/>
          <w:sz w:val="24"/>
          <w:szCs w:val="24"/>
          <w:highlight w:val="none"/>
        </w:rPr>
        <w:t>呼吸力学监测：压力波形、流速波形、容量波形、CO2波形、EEG波形，能够</w:t>
      </w:r>
      <w:r>
        <w:rPr>
          <w:rFonts w:hint="eastAsia" w:ascii="宋体" w:hAnsi="宋体" w:cs="宋体"/>
          <w:color w:val="auto"/>
          <w:sz w:val="24"/>
          <w:szCs w:val="24"/>
          <w:highlight w:val="none"/>
          <w:lang w:val="en-US" w:eastAsia="zh-CN"/>
        </w:rPr>
        <w:t>至少4</w:t>
      </w:r>
      <w:r>
        <w:rPr>
          <w:rFonts w:hint="eastAsia" w:ascii="宋体" w:hAnsi="宋体" w:eastAsia="宋体" w:cs="宋体"/>
          <w:color w:val="auto"/>
          <w:sz w:val="24"/>
          <w:szCs w:val="24"/>
          <w:highlight w:val="none"/>
        </w:rPr>
        <w:t>道波形同屏显示。</w:t>
      </w:r>
    </w:p>
    <w:p w14:paraId="6478C6F0">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3.10</w:t>
      </w:r>
      <w:r>
        <w:rPr>
          <w:rFonts w:hint="eastAsia" w:ascii="宋体" w:hAnsi="宋体" w:eastAsia="宋体" w:cs="宋体"/>
          <w:color w:val="auto"/>
          <w:sz w:val="24"/>
          <w:szCs w:val="24"/>
          <w:highlight w:val="none"/>
        </w:rPr>
        <w:t>可选配压力-容积环、压力-流速环、流速-容积环，环图分析功能，可标记参考环，并提供参考环相关呼吸力学参数。</w:t>
      </w:r>
    </w:p>
    <w:p w14:paraId="65B17901">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3.11</w:t>
      </w:r>
      <w:r>
        <w:rPr>
          <w:rFonts w:hint="eastAsia" w:ascii="宋体" w:hAnsi="宋体" w:eastAsia="宋体" w:cs="宋体"/>
          <w:color w:val="auto"/>
          <w:sz w:val="24"/>
          <w:szCs w:val="24"/>
          <w:highlight w:val="none"/>
        </w:rPr>
        <w:t>具有体外循环模式。</w:t>
      </w:r>
    </w:p>
    <w:p w14:paraId="0BC012E6">
      <w:pPr>
        <w:pStyle w:val="310"/>
        <w:numPr>
          <w:ilvl w:val="0"/>
          <w:numId w:val="0"/>
        </w:numPr>
        <w:spacing w:line="240" w:lineRule="auto"/>
        <w:ind w:left="0" w:leftChars="0" w:right="0" w:rightChars="0" w:firstLine="0" w:firstLine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4.呼吸回路</w:t>
      </w:r>
    </w:p>
    <w:p w14:paraId="39869543">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标配双向流量传感器监测，流量传感器采样管内置在回路中，具有防水处理装置。</w:t>
      </w:r>
    </w:p>
    <w:p w14:paraId="473A0D65">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呼吸回路的进气端和出气端均位于麻醉机正前方，便于麻醉医生操作。</w:t>
      </w:r>
    </w:p>
    <w:p w14:paraId="58123FEC">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安全上升式风箱，便于观察泄漏，适用于成人、小儿和婴幼儿，用于各类病人时无需更换风箱。</w:t>
      </w:r>
    </w:p>
    <w:p w14:paraId="00839610">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集成式、一体化回路，无需工具可徒手拆卸，回路与主机无管路连接，回路容积≤2.5L。</w:t>
      </w:r>
    </w:p>
    <w:p w14:paraId="489BDE76">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一体化回路采用PPSU材料制作，回路整体可134℃高温高压消毒</w:t>
      </w:r>
      <w:r>
        <w:rPr>
          <w:rFonts w:hint="eastAsia" w:ascii="宋体" w:hAnsi="宋体" w:eastAsia="宋体" w:cs="宋体"/>
          <w:color w:val="auto"/>
          <w:sz w:val="24"/>
          <w:szCs w:val="24"/>
          <w:highlight w:val="none"/>
          <w:lang w:eastAsia="zh-CN"/>
        </w:rPr>
        <w:t>。</w:t>
      </w:r>
    </w:p>
    <w:p w14:paraId="1E7D68AC">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4.6</w:t>
      </w:r>
      <w:r>
        <w:rPr>
          <w:rFonts w:hint="eastAsia" w:ascii="宋体" w:hAnsi="宋体" w:eastAsia="宋体" w:cs="宋体"/>
          <w:color w:val="auto"/>
          <w:sz w:val="24"/>
          <w:szCs w:val="24"/>
          <w:highlight w:val="none"/>
        </w:rPr>
        <w:t>可选配有外部气体出口ACGO，辅助气路开关与辅助气路盖一体化设计，气路盖采用旋转卡扣式设计，方便开启和关闭辅助气路，能外接Bain回路、T管回路等。</w:t>
      </w:r>
    </w:p>
    <w:p w14:paraId="2CA6AF39">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4.7</w:t>
      </w:r>
      <w:r>
        <w:rPr>
          <w:rFonts w:hint="eastAsia" w:ascii="宋体" w:hAnsi="宋体" w:eastAsia="宋体" w:cs="宋体"/>
          <w:color w:val="auto"/>
          <w:sz w:val="24"/>
          <w:szCs w:val="24"/>
          <w:highlight w:val="none"/>
        </w:rPr>
        <w:t>可选配智能化Bypass旁路功能，术中更换钠石灰，不影响麻醉机的运行，且无麻醉药泄漏，安全可靠。</w:t>
      </w:r>
    </w:p>
    <w:p w14:paraId="343AA76A">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4.8</w:t>
      </w:r>
      <w:r>
        <w:rPr>
          <w:rFonts w:hint="eastAsia" w:ascii="宋体" w:hAnsi="宋体" w:eastAsia="宋体" w:cs="宋体"/>
          <w:color w:val="auto"/>
          <w:sz w:val="24"/>
          <w:szCs w:val="24"/>
          <w:highlight w:val="none"/>
        </w:rPr>
        <w:t>回路加热功能，不接受冷凝处理，消除水汽冷凝，增强病人呼吸舒适性，便于设备维护。</w:t>
      </w:r>
    </w:p>
    <w:p w14:paraId="5535E72F">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4.9</w:t>
      </w:r>
      <w:r>
        <w:rPr>
          <w:rFonts w:hint="eastAsia" w:ascii="宋体" w:hAnsi="宋体" w:eastAsia="宋体" w:cs="宋体"/>
          <w:color w:val="auto"/>
          <w:sz w:val="24"/>
          <w:szCs w:val="24"/>
          <w:highlight w:val="none"/>
        </w:rPr>
        <w:t>标配</w:t>
      </w:r>
      <w:r>
        <w:rPr>
          <w:rFonts w:hint="eastAsia" w:ascii="宋体" w:hAnsi="宋体" w:eastAsia="宋体" w:cs="宋体"/>
          <w:color w:val="auto"/>
          <w:sz w:val="24"/>
          <w:szCs w:val="24"/>
          <w:highlight w:val="none"/>
          <w:lang w:val="en-US" w:eastAsia="zh-CN"/>
        </w:rPr>
        <w:t>至少1</w:t>
      </w:r>
      <w:r>
        <w:rPr>
          <w:rFonts w:hint="eastAsia" w:ascii="宋体" w:hAnsi="宋体" w:eastAsia="宋体" w:cs="宋体"/>
          <w:color w:val="auto"/>
          <w:sz w:val="24"/>
          <w:szCs w:val="24"/>
          <w:highlight w:val="none"/>
        </w:rPr>
        <w:t>个钠石灰罐，安装时能使用单手操作、扣式安装。</w:t>
      </w:r>
    </w:p>
    <w:p w14:paraId="2AE890AF">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4.10</w:t>
      </w:r>
      <w:r>
        <w:rPr>
          <w:rFonts w:hint="eastAsia" w:ascii="宋体" w:hAnsi="宋体" w:eastAsia="宋体" w:cs="宋体"/>
          <w:color w:val="auto"/>
          <w:sz w:val="24"/>
          <w:szCs w:val="24"/>
          <w:highlight w:val="none"/>
        </w:rPr>
        <w:t>具备用于排除呼气端积水的上提式排水阀，确保测量精确，排水阀采用无积水杯式设计，无需拆卸、支持术中排水，防止麻醉气体泄漏。</w:t>
      </w:r>
    </w:p>
    <w:p w14:paraId="378B107A">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4.11</w:t>
      </w:r>
      <w:r>
        <w:rPr>
          <w:rFonts w:hint="eastAsia" w:ascii="宋体" w:hAnsi="宋体" w:eastAsia="宋体" w:cs="宋体"/>
          <w:color w:val="auto"/>
          <w:sz w:val="24"/>
          <w:szCs w:val="24"/>
          <w:highlight w:val="none"/>
        </w:rPr>
        <w:t>可选择氧气或空气作为机械通气驱动源。</w:t>
      </w:r>
    </w:p>
    <w:p w14:paraId="12C61F82">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4.12</w:t>
      </w:r>
      <w:r>
        <w:rPr>
          <w:rFonts w:hint="eastAsia" w:ascii="宋体" w:hAnsi="宋体" w:eastAsia="宋体" w:cs="宋体"/>
          <w:color w:val="auto"/>
          <w:sz w:val="24"/>
          <w:szCs w:val="24"/>
          <w:highlight w:val="none"/>
        </w:rPr>
        <w:t>回路泄漏量不应超过</w:t>
      </w:r>
      <w:r>
        <w:rPr>
          <w:rFonts w:hint="eastAsia" w:ascii="宋体" w:hAnsi="宋体" w:cs="宋体"/>
          <w:color w:val="auto"/>
          <w:sz w:val="24"/>
          <w:szCs w:val="24"/>
          <w:highlight w:val="none"/>
          <w:lang w:val="en-US" w:eastAsia="zh-CN"/>
        </w:rPr>
        <w:t>100</w:t>
      </w:r>
      <w:r>
        <w:rPr>
          <w:rFonts w:hint="eastAsia" w:ascii="宋体" w:hAnsi="宋体" w:eastAsia="宋体" w:cs="宋体"/>
          <w:color w:val="auto"/>
          <w:sz w:val="24"/>
          <w:szCs w:val="24"/>
          <w:highlight w:val="none"/>
        </w:rPr>
        <w:t>ml/min。</w:t>
      </w:r>
    </w:p>
    <w:p w14:paraId="7AB47C4D">
      <w:pPr>
        <w:pStyle w:val="310"/>
        <w:numPr>
          <w:ilvl w:val="0"/>
          <w:numId w:val="0"/>
        </w:numPr>
        <w:spacing w:line="240" w:lineRule="auto"/>
        <w:ind w:left="0" w:leftChars="0" w:right="0" w:rightChars="0" w:firstLine="0" w:firstLineChars="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蒸发罐</w:t>
      </w:r>
    </w:p>
    <w:p w14:paraId="74E1196B">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default" w:ascii="宋体" w:hAnsi="宋体" w:eastAsia="宋体" w:cs="宋体"/>
          <w:color w:val="auto"/>
          <w:kern w:val="2"/>
          <w:sz w:val="24"/>
          <w:szCs w:val="24"/>
          <w:highlight w:val="none"/>
          <w:lang w:val="en-US" w:eastAsia="zh-CN" w:bidi="ar-SA"/>
        </w:rPr>
        <w:t>5.1</w:t>
      </w:r>
      <w:r>
        <w:rPr>
          <w:rFonts w:hint="eastAsia" w:ascii="宋体" w:hAnsi="宋体" w:eastAsia="宋体" w:cs="宋体"/>
          <w:color w:val="auto"/>
          <w:sz w:val="24"/>
          <w:szCs w:val="24"/>
          <w:highlight w:val="none"/>
        </w:rPr>
        <w:t>高标准蒸发罐，具有温度、压力、流量补偿功能。</w:t>
      </w:r>
    </w:p>
    <w:p w14:paraId="1AC85125">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default" w:ascii="宋体" w:hAnsi="宋体" w:eastAsia="宋体" w:cs="宋体"/>
          <w:color w:val="auto"/>
          <w:kern w:val="2"/>
          <w:sz w:val="24"/>
          <w:szCs w:val="24"/>
          <w:highlight w:val="none"/>
          <w:lang w:val="en-US" w:eastAsia="zh-CN" w:bidi="ar-SA"/>
        </w:rPr>
        <w:t>5.2</w:t>
      </w:r>
      <w:r>
        <w:rPr>
          <w:rFonts w:hint="eastAsia" w:ascii="宋体" w:hAnsi="宋体" w:eastAsia="宋体" w:cs="宋体"/>
          <w:color w:val="auto"/>
          <w:sz w:val="24"/>
          <w:szCs w:val="24"/>
          <w:highlight w:val="none"/>
        </w:rPr>
        <w:t>主机标配双罐位，具备互锁功能。</w:t>
      </w:r>
    </w:p>
    <w:p w14:paraId="1142D4A9">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default" w:ascii="宋体" w:hAnsi="宋体" w:eastAsia="宋体" w:cs="宋体"/>
          <w:color w:val="auto"/>
          <w:kern w:val="2"/>
          <w:sz w:val="24"/>
          <w:szCs w:val="24"/>
          <w:highlight w:val="none"/>
          <w:lang w:val="en-US" w:eastAsia="zh-CN" w:bidi="ar-SA"/>
        </w:rPr>
        <w:t>5.3</w:t>
      </w:r>
      <w:r>
        <w:rPr>
          <w:rFonts w:hint="eastAsia" w:ascii="宋体" w:hAnsi="宋体" w:eastAsia="宋体" w:cs="宋体"/>
          <w:color w:val="auto"/>
          <w:sz w:val="24"/>
          <w:szCs w:val="24"/>
          <w:highlight w:val="none"/>
        </w:rPr>
        <w:t>挥发罐容量大于300ml。</w:t>
      </w:r>
    </w:p>
    <w:p w14:paraId="535D0CF2">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default" w:ascii="宋体" w:hAnsi="宋体" w:eastAsia="宋体" w:cs="宋体"/>
          <w:color w:val="auto"/>
          <w:kern w:val="2"/>
          <w:sz w:val="24"/>
          <w:szCs w:val="24"/>
          <w:highlight w:val="none"/>
          <w:lang w:val="en-US" w:eastAsia="zh-CN" w:bidi="ar-SA"/>
        </w:rPr>
        <w:t>5.4</w:t>
      </w:r>
      <w:r>
        <w:rPr>
          <w:rFonts w:hint="eastAsia" w:ascii="宋体" w:hAnsi="宋体" w:eastAsia="宋体" w:cs="宋体"/>
          <w:color w:val="auto"/>
          <w:sz w:val="24"/>
          <w:szCs w:val="24"/>
          <w:highlight w:val="none"/>
        </w:rPr>
        <w:t>具有安全运输模式-T模式，转运更换无需排空麻醉药。</w:t>
      </w:r>
    </w:p>
    <w:p w14:paraId="0DF880CD">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报警性能</w:t>
      </w:r>
    </w:p>
    <w:p w14:paraId="2CF74447">
      <w:pPr>
        <w:pStyle w:val="310"/>
        <w:numPr>
          <w:ilvl w:val="0"/>
          <w:numId w:val="0"/>
        </w:numPr>
        <w:spacing w:line="24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备窒息、窒息≥2min报警、持续气道压力高、压力受限报警、负压报警、气道压力上下限报警、吸入和呼出潮气量上下限报警、分钟通气量上下限报警、吸入和呼出氧浓度上下限报警、吸入和呼末CO2浓度上下限报警、吸入和呼末N2O浓度上下限报警、吸入和呼末麻醉气体浓度上下限报警、BIS信号质量弱等生理报警功能。</w:t>
      </w:r>
    </w:p>
    <w:p w14:paraId="30806E84">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（三）心电监护仪2台</w:t>
      </w:r>
    </w:p>
    <w:p w14:paraId="08A64EF6">
      <w:pPr>
        <w:numPr>
          <w:ilvl w:val="0"/>
          <w:numId w:val="0"/>
        </w:numPr>
        <w:spacing w:line="240" w:lineRule="auto"/>
        <w:ind w:left="0" w:leftChars="0" w:right="0" w:rightChars="0" w:firstLine="0" w:firstLineChars="0"/>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kern w:val="2"/>
          <w:sz w:val="24"/>
          <w:szCs w:val="24"/>
          <w:highlight w:val="none"/>
          <w:lang w:val="en-US" w:eastAsia="zh-CN" w:bidi="ar-SA"/>
        </w:rPr>
        <w:t>1.</w:t>
      </w:r>
      <w:r>
        <w:rPr>
          <w:rFonts w:hint="eastAsia" w:ascii="宋体" w:hAnsi="宋体" w:eastAsia="宋体" w:cs="宋体"/>
          <w:bCs/>
          <w:color w:val="auto"/>
          <w:sz w:val="24"/>
          <w:szCs w:val="24"/>
          <w:highlight w:val="none"/>
        </w:rPr>
        <w:t>产品为适用于手术室、ICU、CCU病房监护及床边监护的插件式监护仪</w:t>
      </w:r>
      <w:r>
        <w:rPr>
          <w:rFonts w:hint="eastAsia" w:ascii="宋体" w:hAnsi="宋体" w:cs="宋体"/>
          <w:bCs/>
          <w:color w:val="auto"/>
          <w:sz w:val="24"/>
          <w:szCs w:val="24"/>
          <w:highlight w:val="none"/>
          <w:lang w:eastAsia="zh-CN"/>
        </w:rPr>
        <w:t>。</w:t>
      </w:r>
    </w:p>
    <w:p w14:paraId="45D63FC3">
      <w:pPr>
        <w:pStyle w:val="310"/>
        <w:spacing w:line="240" w:lineRule="auto"/>
        <w:ind w:left="0" w:leftChars="0" w:right="0" w:rightChars="0" w:firstLine="0" w:firstLineChars="0"/>
        <w:jc w:val="left"/>
        <w:rPr>
          <w:rFonts w:hint="default" w:ascii="宋体" w:hAnsi="宋体" w:eastAsia="宋体" w:cs="宋体"/>
          <w:bCs/>
          <w:color w:val="auto"/>
          <w:kern w:val="2"/>
          <w:sz w:val="24"/>
          <w:szCs w:val="24"/>
          <w:highlight w:val="none"/>
          <w:lang w:val="en-US" w:eastAsia="zh-CN" w:bidi="ar-SA"/>
        </w:rPr>
      </w:pPr>
      <w:r>
        <w:rPr>
          <w:rFonts w:hint="default" w:ascii="宋体" w:hAnsi="宋体" w:eastAsia="宋体" w:cs="宋体"/>
          <w:bCs/>
          <w:color w:val="auto"/>
          <w:kern w:val="2"/>
          <w:sz w:val="24"/>
          <w:szCs w:val="24"/>
          <w:highlight w:val="none"/>
          <w:lang w:val="en-US" w:eastAsia="zh-CN" w:bidi="ar-SA"/>
        </w:rPr>
        <w:t>2.</w:t>
      </w:r>
      <w:r>
        <w:rPr>
          <w:rFonts w:hint="eastAsia" w:ascii="宋体" w:hAnsi="宋体" w:eastAsia="宋体" w:cs="宋体"/>
          <w:bCs/>
          <w:color w:val="auto"/>
          <w:sz w:val="24"/>
          <w:szCs w:val="24"/>
          <w:highlight w:val="none"/>
        </w:rPr>
        <w:t>模块化插件式床边监护仪，主机、显示屏和插件槽一体化设计，主机插槽数≥</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个</w:t>
      </w:r>
      <w:r>
        <w:rPr>
          <w:rFonts w:hint="eastAsia" w:ascii="宋体" w:hAnsi="宋体" w:eastAsia="宋体" w:cs="宋体"/>
          <w:bCs/>
          <w:color w:val="auto"/>
          <w:sz w:val="24"/>
          <w:szCs w:val="24"/>
          <w:highlight w:val="none"/>
          <w:lang w:eastAsia="zh-CN"/>
        </w:rPr>
        <w:t>。</w:t>
      </w:r>
    </w:p>
    <w:p w14:paraId="32C85DE4">
      <w:pPr>
        <w:pStyle w:val="310"/>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w:t>
      </w:r>
      <w:r>
        <w:rPr>
          <w:rFonts w:hint="eastAsia" w:ascii="宋体" w:hAnsi="宋体" w:eastAsia="宋体" w:cs="宋体"/>
          <w:bCs/>
          <w:color w:val="auto"/>
          <w:sz w:val="24"/>
          <w:szCs w:val="24"/>
          <w:highlight w:val="none"/>
        </w:rPr>
        <w:t>LED高清液晶显示屏≥15英寸，分辨率≥1920×1080像素</w:t>
      </w:r>
      <w:r>
        <w:rPr>
          <w:rFonts w:hint="eastAsia" w:ascii="宋体" w:hAnsi="宋体" w:eastAsia="宋体" w:cs="宋体"/>
          <w:bCs/>
          <w:color w:val="auto"/>
          <w:sz w:val="24"/>
          <w:szCs w:val="24"/>
          <w:highlight w:val="none"/>
          <w:lang w:eastAsia="zh-CN"/>
        </w:rPr>
        <w:t>。</w:t>
      </w:r>
    </w:p>
    <w:p w14:paraId="23B10B1A">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w:t>
      </w:r>
      <w:r>
        <w:rPr>
          <w:rFonts w:hint="eastAsia" w:ascii="宋体" w:hAnsi="宋体" w:eastAsia="宋体" w:cs="宋体"/>
          <w:bCs/>
          <w:color w:val="auto"/>
          <w:sz w:val="24"/>
          <w:szCs w:val="24"/>
          <w:highlight w:val="none"/>
        </w:rPr>
        <w:t>具有智能光感器，自动调节屏幕亮度，屏幕支持手势滑动操作，可快速切换界面，并支持穿戴医用防护手套操作</w:t>
      </w:r>
      <w:r>
        <w:rPr>
          <w:rFonts w:hint="eastAsia" w:ascii="宋体" w:hAnsi="宋体" w:eastAsia="宋体" w:cs="宋体"/>
          <w:bCs/>
          <w:color w:val="auto"/>
          <w:sz w:val="24"/>
          <w:szCs w:val="24"/>
          <w:highlight w:val="none"/>
          <w:lang w:eastAsia="zh-CN"/>
        </w:rPr>
        <w:t>。</w:t>
      </w:r>
    </w:p>
    <w:p w14:paraId="016C8173">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5.</w:t>
      </w:r>
      <w:r>
        <w:rPr>
          <w:rFonts w:hint="eastAsia" w:ascii="宋体" w:hAnsi="宋体" w:eastAsia="宋体" w:cs="宋体"/>
          <w:bCs/>
          <w:color w:val="auto"/>
          <w:sz w:val="24"/>
          <w:szCs w:val="24"/>
          <w:highlight w:val="none"/>
        </w:rPr>
        <w:t>多参数监测模块可升级为带屏幕的转运监测模块，支持机身前后双屏同时无遮挡显示与操作，屏幕尺寸≥5.5英寸，内置锂电池供电≥8小时</w:t>
      </w:r>
      <w:r>
        <w:rPr>
          <w:rFonts w:hint="eastAsia" w:ascii="宋体" w:hAnsi="宋体" w:eastAsia="宋体" w:cs="宋体"/>
          <w:bCs/>
          <w:color w:val="auto"/>
          <w:sz w:val="24"/>
          <w:szCs w:val="24"/>
          <w:highlight w:val="none"/>
          <w:lang w:eastAsia="zh-CN"/>
        </w:rPr>
        <w:t>。</w:t>
      </w:r>
    </w:p>
    <w:p w14:paraId="4BE8E48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6.</w:t>
      </w:r>
      <w:r>
        <w:rPr>
          <w:rFonts w:hint="eastAsia" w:ascii="宋体" w:hAnsi="宋体" w:eastAsia="宋体" w:cs="宋体"/>
          <w:bCs/>
          <w:color w:val="auto"/>
          <w:sz w:val="24"/>
          <w:szCs w:val="24"/>
          <w:highlight w:val="none"/>
        </w:rPr>
        <w:t>无风扇设计，极大降低噪音</w:t>
      </w:r>
      <w:r>
        <w:rPr>
          <w:rFonts w:hint="eastAsia" w:ascii="宋体" w:hAnsi="宋体" w:eastAsia="宋体" w:cs="宋体"/>
          <w:bCs/>
          <w:color w:val="auto"/>
          <w:sz w:val="24"/>
          <w:szCs w:val="24"/>
          <w:highlight w:val="none"/>
          <w:lang w:eastAsia="zh-CN"/>
        </w:rPr>
        <w:t>。</w:t>
      </w:r>
    </w:p>
    <w:p w14:paraId="3E2EE93B">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7.</w:t>
      </w:r>
      <w:r>
        <w:rPr>
          <w:rFonts w:hint="eastAsia" w:ascii="宋体" w:hAnsi="宋体" w:eastAsia="宋体" w:cs="宋体"/>
          <w:bCs/>
          <w:color w:val="auto"/>
          <w:sz w:val="24"/>
          <w:szCs w:val="24"/>
          <w:highlight w:val="none"/>
        </w:rPr>
        <w:t>可充电锂电池，持续供电≥3小时</w:t>
      </w:r>
      <w:r>
        <w:rPr>
          <w:rFonts w:hint="eastAsia" w:ascii="宋体" w:hAnsi="宋体" w:eastAsia="宋体" w:cs="宋体"/>
          <w:bCs/>
          <w:color w:val="auto"/>
          <w:sz w:val="24"/>
          <w:szCs w:val="24"/>
          <w:highlight w:val="none"/>
          <w:lang w:eastAsia="zh-CN"/>
        </w:rPr>
        <w:t>。</w:t>
      </w:r>
    </w:p>
    <w:p w14:paraId="73128588">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8.</w:t>
      </w:r>
      <w:r>
        <w:rPr>
          <w:rFonts w:hint="eastAsia" w:ascii="宋体" w:hAnsi="宋体" w:eastAsia="宋体" w:cs="宋体"/>
          <w:bCs/>
          <w:color w:val="auto"/>
          <w:sz w:val="24"/>
          <w:szCs w:val="24"/>
          <w:highlight w:val="none"/>
        </w:rPr>
        <w:t>具备监护模式、演示模式、待机模式、夜间模式、体外循环模式、插管模式</w:t>
      </w:r>
      <w:r>
        <w:rPr>
          <w:rFonts w:hint="eastAsia" w:ascii="宋体" w:hAnsi="宋体" w:eastAsia="宋体" w:cs="宋体"/>
          <w:bCs/>
          <w:color w:val="auto"/>
          <w:sz w:val="24"/>
          <w:szCs w:val="24"/>
          <w:highlight w:val="none"/>
          <w:lang w:eastAsia="zh-CN"/>
        </w:rPr>
        <w:t>。</w:t>
      </w:r>
    </w:p>
    <w:p w14:paraId="6C5422D4">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9.</w:t>
      </w:r>
      <w:r>
        <w:rPr>
          <w:rFonts w:hint="eastAsia" w:ascii="宋体" w:hAnsi="宋体" w:eastAsia="宋体" w:cs="宋体"/>
          <w:bCs/>
          <w:color w:val="auto"/>
          <w:sz w:val="24"/>
          <w:szCs w:val="24"/>
          <w:highlight w:val="none"/>
        </w:rPr>
        <w:t>可监测心电、血氧、脉博、无创血压、呼吸、体温等基础参数，可升级2IBP、ETCO2、CO、AG、ICG、麻醉深度、氧浓度、窒息唤醒等参数模块</w:t>
      </w:r>
      <w:r>
        <w:rPr>
          <w:rFonts w:hint="eastAsia" w:ascii="宋体" w:hAnsi="宋体" w:eastAsia="宋体" w:cs="宋体"/>
          <w:bCs/>
          <w:color w:val="auto"/>
          <w:sz w:val="24"/>
          <w:szCs w:val="24"/>
          <w:highlight w:val="none"/>
          <w:lang w:eastAsia="zh-CN"/>
        </w:rPr>
        <w:t>。</w:t>
      </w:r>
    </w:p>
    <w:p w14:paraId="4EF73712">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10.</w:t>
      </w:r>
      <w:r>
        <w:rPr>
          <w:rFonts w:hint="eastAsia" w:ascii="宋体" w:hAnsi="宋体" w:eastAsia="宋体" w:cs="宋体"/>
          <w:bCs/>
          <w:color w:val="auto"/>
          <w:sz w:val="24"/>
          <w:szCs w:val="24"/>
          <w:highlight w:val="none"/>
        </w:rPr>
        <w:t>支持3/5/6/12导心电</w:t>
      </w:r>
      <w:r>
        <w:rPr>
          <w:rFonts w:hint="eastAsia" w:ascii="宋体" w:hAnsi="宋体" w:eastAsia="宋体" w:cs="宋体"/>
          <w:bCs/>
          <w:color w:val="auto"/>
          <w:sz w:val="24"/>
          <w:szCs w:val="24"/>
          <w:highlight w:val="none"/>
          <w:lang w:val="en-US" w:eastAsia="zh-CN"/>
        </w:rPr>
        <w:t>等</w:t>
      </w:r>
      <w:r>
        <w:rPr>
          <w:rFonts w:hint="eastAsia" w:ascii="宋体" w:hAnsi="宋体" w:eastAsia="宋体" w:cs="宋体"/>
          <w:bCs/>
          <w:color w:val="auto"/>
          <w:sz w:val="24"/>
          <w:szCs w:val="24"/>
          <w:highlight w:val="none"/>
        </w:rPr>
        <w:t>，具有智能导联脱落，多导同步分析功能</w:t>
      </w:r>
      <w:r>
        <w:rPr>
          <w:rFonts w:hint="eastAsia" w:ascii="宋体" w:hAnsi="宋体" w:eastAsia="宋体" w:cs="宋体"/>
          <w:bCs/>
          <w:color w:val="auto"/>
          <w:sz w:val="24"/>
          <w:szCs w:val="24"/>
          <w:highlight w:val="none"/>
          <w:lang w:eastAsia="zh-CN"/>
        </w:rPr>
        <w:t>。</w:t>
      </w:r>
    </w:p>
    <w:p w14:paraId="02C4403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11.</w:t>
      </w:r>
      <w:r>
        <w:rPr>
          <w:rFonts w:hint="eastAsia" w:ascii="宋体" w:hAnsi="宋体" w:eastAsia="宋体" w:cs="宋体"/>
          <w:bCs/>
          <w:color w:val="auto"/>
          <w:sz w:val="24"/>
          <w:szCs w:val="24"/>
          <w:highlight w:val="none"/>
        </w:rPr>
        <w:t>具备心拍类型识别功能，可区分正常心拍、异常心拍、起搏心拍，根据心律失常分析结果在每个心拍上进行标注</w:t>
      </w:r>
      <w:r>
        <w:rPr>
          <w:rFonts w:hint="eastAsia" w:ascii="宋体" w:hAnsi="宋体" w:eastAsia="宋体" w:cs="宋体"/>
          <w:bCs/>
          <w:color w:val="auto"/>
          <w:sz w:val="24"/>
          <w:szCs w:val="24"/>
          <w:highlight w:val="none"/>
          <w:lang w:eastAsia="zh-CN"/>
        </w:rPr>
        <w:t>。</w:t>
      </w:r>
    </w:p>
    <w:p w14:paraId="1CA3535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kern w:val="2"/>
          <w:sz w:val="24"/>
          <w:szCs w:val="24"/>
          <w:highlight w:val="none"/>
          <w:lang w:val="en-US" w:eastAsia="zh-CN" w:bidi="ar-SA"/>
        </w:rPr>
        <w:t>12.</w:t>
      </w:r>
      <w:r>
        <w:rPr>
          <w:rFonts w:hint="eastAsia" w:ascii="宋体" w:hAnsi="宋体" w:eastAsia="宋体" w:cs="宋体"/>
          <w:bCs/>
          <w:color w:val="auto"/>
          <w:sz w:val="24"/>
          <w:szCs w:val="24"/>
          <w:highlight w:val="none"/>
        </w:rPr>
        <w:t>支持≥27种实时心律失常分析，可识别不规则节律停止和房颤停止并报警。</w:t>
      </w:r>
    </w:p>
    <w:p w14:paraId="6629270D">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kern w:val="2"/>
          <w:sz w:val="24"/>
          <w:szCs w:val="24"/>
          <w:highlight w:val="none"/>
          <w:lang w:val="en-US" w:eastAsia="zh-CN" w:bidi="ar-SA"/>
        </w:rPr>
        <w:t>13.</w:t>
      </w:r>
      <w:r>
        <w:rPr>
          <w:rFonts w:hint="eastAsia" w:ascii="宋体" w:hAnsi="宋体" w:eastAsia="宋体" w:cs="宋体"/>
          <w:bCs/>
          <w:color w:val="auto"/>
          <w:sz w:val="24"/>
          <w:szCs w:val="24"/>
          <w:highlight w:val="none"/>
        </w:rPr>
        <w:t>适用于成人、小儿和新生儿，可显示分析结果、存储报告以及打印报告。</w:t>
      </w:r>
    </w:p>
    <w:p w14:paraId="0BEDADBA">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14.</w:t>
      </w:r>
      <w:r>
        <w:rPr>
          <w:rFonts w:hint="eastAsia" w:ascii="宋体" w:hAnsi="宋体" w:eastAsia="宋体" w:cs="宋体"/>
          <w:bCs/>
          <w:color w:val="auto"/>
          <w:sz w:val="24"/>
          <w:szCs w:val="24"/>
          <w:highlight w:val="none"/>
        </w:rPr>
        <w:t>具有QT/QTc测量功能，提供QT、QTc参数值，QT/QTc监护适用于成人、小儿和新生儿病人</w:t>
      </w:r>
      <w:r>
        <w:rPr>
          <w:rFonts w:hint="eastAsia" w:ascii="宋体" w:hAnsi="宋体" w:eastAsia="宋体" w:cs="宋体"/>
          <w:bCs/>
          <w:color w:val="auto"/>
          <w:sz w:val="24"/>
          <w:szCs w:val="24"/>
          <w:highlight w:val="none"/>
          <w:lang w:eastAsia="zh-CN"/>
        </w:rPr>
        <w:t>。</w:t>
      </w:r>
    </w:p>
    <w:p w14:paraId="72C93B7C">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15.</w:t>
      </w:r>
      <w:r>
        <w:rPr>
          <w:rFonts w:hint="eastAsia" w:ascii="宋体" w:hAnsi="宋体" w:eastAsia="宋体" w:cs="宋体"/>
          <w:bCs/>
          <w:color w:val="auto"/>
          <w:sz w:val="24"/>
          <w:szCs w:val="24"/>
          <w:highlight w:val="none"/>
        </w:rPr>
        <w:t>提供ST段分析功能，适用于成人，小儿和新生儿，支持在专门的窗口中分组显示心脏前壁，下壁和侧壁的ST实时片段和参考片段</w:t>
      </w:r>
      <w:r>
        <w:rPr>
          <w:rFonts w:hint="eastAsia" w:ascii="宋体" w:hAnsi="宋体" w:eastAsia="宋体" w:cs="宋体"/>
          <w:bCs/>
          <w:color w:val="auto"/>
          <w:sz w:val="24"/>
          <w:szCs w:val="24"/>
          <w:highlight w:val="none"/>
          <w:lang w:eastAsia="zh-CN"/>
        </w:rPr>
        <w:t>。</w:t>
      </w:r>
    </w:p>
    <w:p w14:paraId="381A1038">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16.</w:t>
      </w:r>
      <w:r>
        <w:rPr>
          <w:rFonts w:hint="eastAsia" w:ascii="宋体" w:hAnsi="宋体" w:eastAsia="宋体" w:cs="宋体"/>
          <w:bCs/>
          <w:color w:val="auto"/>
          <w:sz w:val="24"/>
          <w:szCs w:val="24"/>
          <w:highlight w:val="none"/>
        </w:rPr>
        <w:t>可配24小时心电概览报告，可查看心率统计、心律失常统计、QT/QTc统计、ST段统计、起搏统计等信息，帮助医生分析病人24小时心电整体状况</w:t>
      </w:r>
      <w:r>
        <w:rPr>
          <w:rFonts w:hint="eastAsia" w:ascii="宋体" w:hAnsi="宋体" w:eastAsia="宋体" w:cs="宋体"/>
          <w:bCs/>
          <w:color w:val="auto"/>
          <w:sz w:val="24"/>
          <w:szCs w:val="24"/>
          <w:highlight w:val="none"/>
          <w:lang w:eastAsia="zh-CN"/>
        </w:rPr>
        <w:t>。</w:t>
      </w:r>
    </w:p>
    <w:p w14:paraId="7B505C38">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kern w:val="2"/>
          <w:sz w:val="24"/>
          <w:szCs w:val="24"/>
          <w:highlight w:val="none"/>
          <w:lang w:val="en-US" w:eastAsia="zh-CN" w:bidi="ar-SA"/>
        </w:rPr>
        <w:t>17.</w:t>
      </w:r>
      <w:r>
        <w:rPr>
          <w:rFonts w:hint="eastAsia" w:ascii="宋体" w:hAnsi="宋体" w:eastAsia="宋体" w:cs="宋体"/>
          <w:bCs/>
          <w:color w:val="auto"/>
          <w:sz w:val="24"/>
          <w:szCs w:val="24"/>
          <w:highlight w:val="none"/>
        </w:rPr>
        <w:t>心率报警限范围：HR 高限：17bpm～295 bpm、HR 低限：16bpm～290 bpm、极度心动过速：60 bpm～300 bpm 、极度心动过缓：15bpm～120 bpm</w:t>
      </w:r>
      <w:r>
        <w:rPr>
          <w:rFonts w:hint="eastAsia" w:ascii="宋体" w:hAnsi="宋体" w:eastAsia="宋体" w:cs="宋体"/>
          <w:bCs/>
          <w:color w:val="auto"/>
          <w:sz w:val="24"/>
          <w:szCs w:val="24"/>
          <w:highlight w:val="none"/>
          <w:lang w:eastAsia="zh-CN"/>
        </w:rPr>
        <w:t>。</w:t>
      </w:r>
    </w:p>
    <w:p w14:paraId="15B10E82">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18.</w:t>
      </w:r>
      <w:r>
        <w:rPr>
          <w:rFonts w:hint="eastAsia" w:ascii="宋体" w:hAnsi="宋体" w:eastAsia="宋体" w:cs="宋体"/>
          <w:bCs/>
          <w:color w:val="auto"/>
          <w:sz w:val="24"/>
          <w:szCs w:val="24"/>
          <w:highlight w:val="none"/>
        </w:rPr>
        <w:t>具有强大的心电抗干扰能力，耐极化电压：±800mV</w:t>
      </w:r>
      <w:r>
        <w:rPr>
          <w:rFonts w:hint="eastAsia" w:ascii="宋体" w:hAnsi="宋体" w:eastAsia="宋体" w:cs="宋体"/>
          <w:bCs/>
          <w:color w:val="auto"/>
          <w:sz w:val="24"/>
          <w:szCs w:val="24"/>
          <w:highlight w:val="none"/>
          <w:lang w:eastAsia="zh-CN"/>
        </w:rPr>
        <w:t>。</w:t>
      </w:r>
    </w:p>
    <w:p w14:paraId="6D505970">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kern w:val="2"/>
          <w:sz w:val="24"/>
          <w:szCs w:val="24"/>
          <w:highlight w:val="none"/>
          <w:lang w:val="en-US" w:eastAsia="zh-CN" w:bidi="ar-SA"/>
        </w:rPr>
        <w:t>19.</w:t>
      </w:r>
      <w:r>
        <w:rPr>
          <w:rFonts w:hint="eastAsia" w:ascii="宋体" w:hAnsi="宋体" w:eastAsia="宋体" w:cs="宋体"/>
          <w:bCs/>
          <w:color w:val="auto"/>
          <w:sz w:val="24"/>
          <w:szCs w:val="24"/>
          <w:highlight w:val="none"/>
        </w:rPr>
        <w:t>心电模式具有诊断、手术、监护、ST模式，其中手术、监护、ST模式共模抑制能力</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10</w:t>
      </w:r>
      <w:r>
        <w:rPr>
          <w:rFonts w:hint="eastAsia" w:ascii="宋体" w:hAnsi="宋体" w:cs="宋体"/>
          <w:bCs/>
          <w:color w:val="auto"/>
          <w:sz w:val="24"/>
          <w:szCs w:val="24"/>
          <w:highlight w:val="none"/>
          <w:lang w:eastAsia="zh-CN"/>
        </w:rPr>
        <w:t>5</w:t>
      </w:r>
      <w:r>
        <w:rPr>
          <w:rFonts w:hint="eastAsia" w:ascii="宋体" w:hAnsi="宋体" w:eastAsia="宋体" w:cs="宋体"/>
          <w:bCs/>
          <w:color w:val="auto"/>
          <w:sz w:val="24"/>
          <w:szCs w:val="24"/>
          <w:highlight w:val="none"/>
        </w:rPr>
        <w:t>db</w:t>
      </w:r>
      <w:r>
        <w:rPr>
          <w:rFonts w:hint="eastAsia" w:ascii="宋体" w:hAnsi="宋体" w:eastAsia="宋体" w:cs="宋体"/>
          <w:bCs/>
          <w:color w:val="auto"/>
          <w:sz w:val="24"/>
          <w:szCs w:val="24"/>
          <w:highlight w:val="none"/>
          <w:lang w:eastAsia="zh-CN"/>
        </w:rPr>
        <w:t>。</w:t>
      </w:r>
    </w:p>
    <w:p w14:paraId="03CA60E3">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20.</w:t>
      </w:r>
      <w:r>
        <w:rPr>
          <w:rFonts w:hint="eastAsia" w:ascii="宋体" w:hAnsi="宋体" w:eastAsia="宋体" w:cs="宋体"/>
          <w:bCs/>
          <w:color w:val="auto"/>
          <w:sz w:val="24"/>
          <w:szCs w:val="24"/>
          <w:highlight w:val="none"/>
        </w:rPr>
        <w:t>具有心率变异性分析功能，提供心率变异性相关参数显示，支持RR间期直方图、RR间期差值直方图、散点图、RR间期趋势图，用于评价心脏自主神经的活动性</w:t>
      </w:r>
      <w:r>
        <w:rPr>
          <w:rFonts w:hint="eastAsia" w:ascii="宋体" w:hAnsi="宋体" w:eastAsia="宋体" w:cs="宋体"/>
          <w:bCs/>
          <w:color w:val="auto"/>
          <w:sz w:val="24"/>
          <w:szCs w:val="24"/>
          <w:highlight w:val="none"/>
          <w:lang w:eastAsia="zh-CN"/>
        </w:rPr>
        <w:t>。</w:t>
      </w:r>
    </w:p>
    <w:p w14:paraId="583A5523">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21.</w:t>
      </w:r>
      <w:r>
        <w:rPr>
          <w:rFonts w:hint="eastAsia" w:ascii="宋体" w:hAnsi="宋体" w:eastAsia="宋体" w:cs="宋体"/>
          <w:bCs/>
          <w:color w:val="auto"/>
          <w:sz w:val="24"/>
          <w:szCs w:val="24"/>
          <w:highlight w:val="none"/>
        </w:rPr>
        <w:t>支持RR呼吸率测量，测量范围：0～200rpm</w:t>
      </w:r>
      <w:r>
        <w:rPr>
          <w:rFonts w:hint="eastAsia" w:ascii="宋体" w:hAnsi="宋体" w:eastAsia="宋体" w:cs="宋体"/>
          <w:bCs/>
          <w:color w:val="auto"/>
          <w:sz w:val="24"/>
          <w:szCs w:val="24"/>
          <w:highlight w:val="none"/>
          <w:lang w:eastAsia="zh-CN"/>
        </w:rPr>
        <w:t>。</w:t>
      </w:r>
    </w:p>
    <w:p w14:paraId="21AFFDBF">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22.</w:t>
      </w:r>
      <w:r>
        <w:rPr>
          <w:rFonts w:hint="eastAsia" w:ascii="宋体" w:hAnsi="宋体" w:eastAsia="宋体" w:cs="宋体"/>
          <w:bCs/>
          <w:color w:val="auto"/>
          <w:sz w:val="24"/>
          <w:szCs w:val="24"/>
          <w:highlight w:val="none"/>
        </w:rPr>
        <w:t>可选血氧测量范围为1 ％ ～100％；在70％～100％范围内，成人/儿童测量精度为±2％（非运动状态下）、±3％（运动状态下），新生儿为±3％（非运动状态和运动状态下）</w:t>
      </w:r>
      <w:r>
        <w:rPr>
          <w:rFonts w:hint="eastAsia" w:ascii="宋体" w:hAnsi="宋体" w:eastAsia="宋体" w:cs="宋体"/>
          <w:bCs/>
          <w:color w:val="auto"/>
          <w:sz w:val="24"/>
          <w:szCs w:val="24"/>
          <w:highlight w:val="none"/>
          <w:lang w:eastAsia="zh-CN"/>
        </w:rPr>
        <w:t>。</w:t>
      </w:r>
    </w:p>
    <w:p w14:paraId="462194B3">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23.</w:t>
      </w:r>
      <w:r>
        <w:rPr>
          <w:rFonts w:hint="eastAsia" w:ascii="宋体" w:hAnsi="宋体" w:eastAsia="宋体" w:cs="宋体"/>
          <w:bCs/>
          <w:color w:val="auto"/>
          <w:sz w:val="24"/>
          <w:szCs w:val="24"/>
          <w:highlight w:val="none"/>
        </w:rPr>
        <w:t>标配血氧可显示弱灌注指数（PI），PI弱灌注指数范围：0.02-20%</w:t>
      </w:r>
      <w:r>
        <w:rPr>
          <w:rFonts w:hint="eastAsia" w:ascii="宋体" w:hAnsi="宋体" w:eastAsia="宋体" w:cs="宋体"/>
          <w:bCs/>
          <w:color w:val="auto"/>
          <w:sz w:val="24"/>
          <w:szCs w:val="24"/>
          <w:highlight w:val="none"/>
          <w:lang w:eastAsia="zh-CN"/>
        </w:rPr>
        <w:t>。</w:t>
      </w:r>
    </w:p>
    <w:p w14:paraId="2E81033C">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24.</w:t>
      </w:r>
      <w:r>
        <w:rPr>
          <w:rFonts w:hint="eastAsia" w:ascii="宋体" w:hAnsi="宋体" w:eastAsia="宋体" w:cs="宋体"/>
          <w:bCs/>
          <w:color w:val="auto"/>
          <w:sz w:val="24"/>
          <w:szCs w:val="24"/>
          <w:highlight w:val="none"/>
        </w:rPr>
        <w:t>配置指套式血氧探头，支持浸泡清洁与消毒，防水等级≥IP7</w:t>
      </w:r>
      <w:r>
        <w:rPr>
          <w:rFonts w:hint="eastAsia" w:ascii="宋体" w:hAnsi="宋体" w:eastAsia="宋体" w:cs="宋体"/>
          <w:bCs/>
          <w:color w:val="auto"/>
          <w:sz w:val="24"/>
          <w:szCs w:val="24"/>
          <w:highlight w:val="none"/>
          <w:lang w:eastAsia="zh-CN"/>
        </w:rPr>
        <w:t>。</w:t>
      </w:r>
    </w:p>
    <w:p w14:paraId="6C5FB8E7">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25.</w:t>
      </w:r>
      <w:r>
        <w:rPr>
          <w:rFonts w:hint="eastAsia" w:ascii="宋体" w:hAnsi="宋体" w:eastAsia="宋体" w:cs="宋体"/>
          <w:bCs/>
          <w:color w:val="auto"/>
          <w:sz w:val="24"/>
          <w:szCs w:val="24"/>
          <w:highlight w:val="none"/>
        </w:rPr>
        <w:t>无创血压适用于成人，小儿和新生儿</w:t>
      </w:r>
      <w:r>
        <w:rPr>
          <w:rFonts w:hint="eastAsia" w:ascii="宋体" w:hAnsi="宋体" w:eastAsia="宋体" w:cs="宋体"/>
          <w:bCs/>
          <w:color w:val="auto"/>
          <w:sz w:val="24"/>
          <w:szCs w:val="24"/>
          <w:highlight w:val="none"/>
          <w:lang w:eastAsia="zh-CN"/>
        </w:rPr>
        <w:t>。</w:t>
      </w:r>
    </w:p>
    <w:p w14:paraId="33F8414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26.</w:t>
      </w:r>
      <w:r>
        <w:rPr>
          <w:rFonts w:hint="eastAsia" w:ascii="宋体" w:hAnsi="宋体" w:eastAsia="宋体" w:cs="宋体"/>
          <w:bCs/>
          <w:color w:val="auto"/>
          <w:sz w:val="24"/>
          <w:szCs w:val="24"/>
          <w:highlight w:val="none"/>
        </w:rPr>
        <w:t>无创血压提供手动、自动间隔、连续、序列、整点五种测量模式</w:t>
      </w:r>
      <w:r>
        <w:rPr>
          <w:rFonts w:hint="eastAsia" w:ascii="宋体" w:hAnsi="宋体" w:eastAsia="宋体" w:cs="宋体"/>
          <w:bCs/>
          <w:color w:val="auto"/>
          <w:sz w:val="24"/>
          <w:szCs w:val="24"/>
          <w:highlight w:val="none"/>
          <w:lang w:eastAsia="zh-CN"/>
        </w:rPr>
        <w:t>。</w:t>
      </w:r>
    </w:p>
    <w:p w14:paraId="6923FA04">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kern w:val="2"/>
          <w:sz w:val="24"/>
          <w:szCs w:val="24"/>
          <w:highlight w:val="none"/>
          <w:lang w:val="en-US" w:eastAsia="zh-CN" w:bidi="ar-SA"/>
        </w:rPr>
        <w:t>27.</w:t>
      </w:r>
      <w:r>
        <w:rPr>
          <w:rFonts w:hint="eastAsia" w:ascii="宋体" w:hAnsi="宋体" w:eastAsia="宋体" w:cs="宋体"/>
          <w:bCs/>
          <w:color w:val="auto"/>
          <w:sz w:val="24"/>
          <w:szCs w:val="24"/>
          <w:highlight w:val="none"/>
        </w:rPr>
        <w:t>NIBP测量范围：</w:t>
      </w:r>
    </w:p>
    <w:p w14:paraId="0875ED5C">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成人：收缩压 25 mmHg -290mmHg，舒张压 10 mmHg-250mmHg，平均压 15mmHg -260mmHg</w:t>
      </w:r>
      <w:r>
        <w:rPr>
          <w:rFonts w:hint="eastAsia" w:ascii="宋体" w:hAnsi="宋体" w:eastAsia="宋体" w:cs="宋体"/>
          <w:bCs/>
          <w:color w:val="auto"/>
          <w:sz w:val="24"/>
          <w:szCs w:val="24"/>
          <w:highlight w:val="none"/>
          <w:lang w:eastAsia="zh-CN"/>
        </w:rPr>
        <w:t>；</w:t>
      </w:r>
    </w:p>
    <w:p w14:paraId="3238588C">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小儿：收缩压 25 mmHg -250mmHg，舒张压 15 mmHg-210mmHg，平均压 15 mmHg-225mmHg</w:t>
      </w:r>
      <w:r>
        <w:rPr>
          <w:rFonts w:hint="eastAsia" w:ascii="宋体" w:hAnsi="宋体" w:eastAsia="宋体" w:cs="宋体"/>
          <w:bCs/>
          <w:color w:val="auto"/>
          <w:sz w:val="24"/>
          <w:szCs w:val="24"/>
          <w:highlight w:val="none"/>
          <w:lang w:eastAsia="zh-CN"/>
        </w:rPr>
        <w:t>；</w:t>
      </w:r>
    </w:p>
    <w:p w14:paraId="2813B70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新生儿：收缩压 25 mmHg -140mmHg，舒张压 10 mmHg-115mmHg，平均压 15mmHg -125mmHg</w:t>
      </w:r>
      <w:r>
        <w:rPr>
          <w:rFonts w:hint="eastAsia" w:ascii="宋体" w:hAnsi="宋体" w:eastAsia="宋体" w:cs="宋体"/>
          <w:bCs/>
          <w:color w:val="auto"/>
          <w:sz w:val="24"/>
          <w:szCs w:val="24"/>
          <w:highlight w:val="none"/>
          <w:lang w:eastAsia="zh-CN"/>
        </w:rPr>
        <w:t>。</w:t>
      </w:r>
    </w:p>
    <w:p w14:paraId="7B8E6B46">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kern w:val="2"/>
          <w:sz w:val="24"/>
          <w:szCs w:val="24"/>
          <w:highlight w:val="none"/>
          <w:lang w:val="en-US" w:eastAsia="zh-CN" w:bidi="ar-SA"/>
        </w:rPr>
        <w:t>28</w:t>
      </w:r>
      <w:r>
        <w:rPr>
          <w:rFonts w:hint="default" w:ascii="宋体" w:hAnsi="宋体" w:eastAsia="宋体" w:cs="宋体"/>
          <w:bCs/>
          <w:color w:val="auto"/>
          <w:kern w:val="2"/>
          <w:sz w:val="24"/>
          <w:szCs w:val="24"/>
          <w:highlight w:val="none"/>
          <w:lang w:val="en-US" w:eastAsia="zh-CN" w:bidi="ar-SA"/>
        </w:rPr>
        <w:t>.</w:t>
      </w:r>
      <w:r>
        <w:rPr>
          <w:rFonts w:hint="eastAsia" w:ascii="宋体" w:hAnsi="宋体" w:eastAsia="宋体" w:cs="宋体"/>
          <w:bCs/>
          <w:color w:val="auto"/>
          <w:sz w:val="24"/>
          <w:szCs w:val="24"/>
          <w:highlight w:val="none"/>
        </w:rPr>
        <w:t>具有动态血压监测界面，分析界面下查看病人测量时间段的收缩压和舒张压的正常数据、低于正常数据以及高于正常数据的百分率，同时还可以看到收缩压和舒张压的平均值、最大值和最小值</w:t>
      </w:r>
      <w:r>
        <w:rPr>
          <w:rFonts w:hint="eastAsia" w:ascii="宋体" w:hAnsi="宋体" w:eastAsia="宋体" w:cs="宋体"/>
          <w:bCs/>
          <w:color w:val="auto"/>
          <w:sz w:val="24"/>
          <w:szCs w:val="24"/>
          <w:highlight w:val="none"/>
          <w:lang w:eastAsia="zh-CN"/>
        </w:rPr>
        <w:t>。</w:t>
      </w:r>
    </w:p>
    <w:p w14:paraId="431592B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29</w:t>
      </w:r>
      <w:r>
        <w:rPr>
          <w:rFonts w:hint="default" w:ascii="宋体" w:hAnsi="宋体" w:eastAsia="宋体" w:cs="宋体"/>
          <w:bCs/>
          <w:color w:val="auto"/>
          <w:kern w:val="2"/>
          <w:sz w:val="24"/>
          <w:szCs w:val="24"/>
          <w:highlight w:val="none"/>
          <w:lang w:val="en-US" w:eastAsia="zh-CN" w:bidi="ar-SA"/>
        </w:rPr>
        <w:t>.</w:t>
      </w:r>
      <w:r>
        <w:rPr>
          <w:rFonts w:hint="eastAsia" w:ascii="宋体" w:hAnsi="宋体" w:eastAsia="宋体" w:cs="宋体"/>
          <w:bCs/>
          <w:color w:val="auto"/>
          <w:sz w:val="24"/>
          <w:szCs w:val="24"/>
          <w:highlight w:val="none"/>
        </w:rPr>
        <w:t>提供辅助静脉穿刺功能</w:t>
      </w:r>
      <w:r>
        <w:rPr>
          <w:rFonts w:hint="eastAsia" w:ascii="宋体" w:hAnsi="宋体" w:eastAsia="宋体" w:cs="宋体"/>
          <w:bCs/>
          <w:color w:val="auto"/>
          <w:sz w:val="24"/>
          <w:szCs w:val="24"/>
          <w:highlight w:val="none"/>
          <w:lang w:val="en-US" w:eastAsia="zh-CN"/>
        </w:rPr>
        <w:t>。</w:t>
      </w:r>
    </w:p>
    <w:p w14:paraId="54577627">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kern w:val="2"/>
          <w:sz w:val="24"/>
          <w:szCs w:val="24"/>
          <w:highlight w:val="none"/>
          <w:lang w:val="en-US" w:eastAsia="zh-CN" w:bidi="ar-SA"/>
        </w:rPr>
        <w:t>30</w:t>
      </w:r>
      <w:r>
        <w:rPr>
          <w:rFonts w:hint="default" w:ascii="宋体" w:hAnsi="宋体" w:eastAsia="宋体" w:cs="宋体"/>
          <w:bCs/>
          <w:color w:val="auto"/>
          <w:kern w:val="2"/>
          <w:sz w:val="24"/>
          <w:szCs w:val="24"/>
          <w:highlight w:val="none"/>
          <w:lang w:val="en-US" w:eastAsia="zh-CN" w:bidi="ar-SA"/>
        </w:rPr>
        <w:t>.</w:t>
      </w:r>
      <w:r>
        <w:rPr>
          <w:rFonts w:hint="eastAsia" w:ascii="宋体" w:hAnsi="宋体" w:eastAsia="宋体" w:cs="宋体"/>
          <w:bCs/>
          <w:color w:val="auto"/>
          <w:sz w:val="24"/>
          <w:szCs w:val="24"/>
          <w:highlight w:val="none"/>
        </w:rPr>
        <w:t>支持双通道有创压IBP监测，支持升级多达8通道有创压监测</w:t>
      </w:r>
      <w:r>
        <w:rPr>
          <w:rFonts w:hint="eastAsia" w:ascii="宋体" w:hAnsi="宋体" w:eastAsia="宋体" w:cs="宋体"/>
          <w:bCs/>
          <w:color w:val="auto"/>
          <w:sz w:val="24"/>
          <w:szCs w:val="24"/>
          <w:highlight w:val="none"/>
          <w:lang w:eastAsia="zh-CN"/>
        </w:rPr>
        <w:t>。</w:t>
      </w:r>
    </w:p>
    <w:p w14:paraId="28B55BB1">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31．</w:t>
      </w:r>
      <w:r>
        <w:rPr>
          <w:rFonts w:hint="eastAsia" w:ascii="宋体" w:hAnsi="宋体" w:eastAsia="宋体" w:cs="宋体"/>
          <w:bCs/>
          <w:color w:val="auto"/>
          <w:sz w:val="24"/>
          <w:szCs w:val="24"/>
          <w:highlight w:val="none"/>
        </w:rPr>
        <w:t>有创压适用于成人，小儿和新生儿，测量范围：-50</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370mmHg</w:t>
      </w:r>
      <w:r>
        <w:rPr>
          <w:rFonts w:hint="eastAsia" w:ascii="宋体" w:hAnsi="宋体" w:eastAsia="宋体" w:cs="宋体"/>
          <w:bCs/>
          <w:color w:val="auto"/>
          <w:sz w:val="24"/>
          <w:szCs w:val="24"/>
          <w:highlight w:val="none"/>
          <w:lang w:eastAsia="zh-CN"/>
        </w:rPr>
        <w:t>。</w:t>
      </w:r>
    </w:p>
    <w:p w14:paraId="2DB716B0">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32．</w:t>
      </w:r>
      <w:r>
        <w:rPr>
          <w:rFonts w:hint="eastAsia" w:ascii="宋体" w:hAnsi="宋体" w:eastAsia="宋体" w:cs="宋体"/>
          <w:bCs/>
          <w:color w:val="auto"/>
          <w:sz w:val="24"/>
          <w:szCs w:val="24"/>
          <w:highlight w:val="none"/>
        </w:rPr>
        <w:t xml:space="preserve">可提供每搏压力变异PPV实时显示，测量范围：0%～50%；分辨率：1% </w:t>
      </w:r>
      <w:r>
        <w:rPr>
          <w:rFonts w:hint="eastAsia" w:ascii="宋体" w:hAnsi="宋体" w:eastAsia="宋体" w:cs="宋体"/>
          <w:bCs/>
          <w:color w:val="auto"/>
          <w:sz w:val="24"/>
          <w:szCs w:val="24"/>
          <w:highlight w:val="none"/>
          <w:lang w:eastAsia="zh-CN"/>
        </w:rPr>
        <w:t>。</w:t>
      </w:r>
    </w:p>
    <w:p w14:paraId="41D4DC76">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33．</w:t>
      </w:r>
      <w:r>
        <w:rPr>
          <w:rFonts w:hint="eastAsia" w:ascii="宋体" w:hAnsi="宋体" w:eastAsia="宋体" w:cs="宋体"/>
          <w:bCs/>
          <w:color w:val="auto"/>
          <w:sz w:val="24"/>
          <w:szCs w:val="24"/>
          <w:highlight w:val="none"/>
        </w:rPr>
        <w:t>可提供收缩压力变异SPV实时显示，测量范围：0 mmHg～50mmHg；分辨率：1mmHg</w:t>
      </w:r>
      <w:r>
        <w:rPr>
          <w:rFonts w:hint="eastAsia" w:ascii="宋体" w:hAnsi="宋体" w:eastAsia="宋体" w:cs="宋体"/>
          <w:bCs/>
          <w:color w:val="auto"/>
          <w:sz w:val="24"/>
          <w:szCs w:val="24"/>
          <w:highlight w:val="none"/>
          <w:lang w:eastAsia="zh-CN"/>
        </w:rPr>
        <w:t>。</w:t>
      </w:r>
    </w:p>
    <w:p w14:paraId="2A3F3EF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34．</w:t>
      </w:r>
      <w:r>
        <w:rPr>
          <w:rFonts w:hint="eastAsia" w:ascii="宋体" w:hAnsi="宋体" w:eastAsia="宋体" w:cs="宋体"/>
          <w:bCs/>
          <w:color w:val="auto"/>
          <w:sz w:val="24"/>
          <w:szCs w:val="24"/>
          <w:highlight w:val="none"/>
        </w:rPr>
        <w:t>可提供肺动脉楔压PAWP</w:t>
      </w:r>
      <w:r>
        <w:rPr>
          <w:rFonts w:hint="eastAsia" w:ascii="宋体" w:hAnsi="宋体" w:eastAsia="宋体" w:cs="宋体"/>
          <w:bCs/>
          <w:color w:val="auto"/>
          <w:sz w:val="24"/>
          <w:szCs w:val="24"/>
          <w:highlight w:val="none"/>
          <w:lang w:eastAsia="zh-CN"/>
        </w:rPr>
        <w:t>。</w:t>
      </w:r>
    </w:p>
    <w:p w14:paraId="2D14665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35．</w:t>
      </w:r>
      <w:r>
        <w:rPr>
          <w:rFonts w:hint="eastAsia" w:ascii="宋体" w:hAnsi="宋体" w:eastAsia="宋体" w:cs="宋体"/>
          <w:bCs/>
          <w:color w:val="auto"/>
          <w:sz w:val="24"/>
          <w:szCs w:val="24"/>
          <w:highlight w:val="none"/>
        </w:rPr>
        <w:t>适用于成人至新生儿全年龄段病人，旁流采样率：≤50ml/min，旁流二氧化碳监测无需积水杯，采用自动排水管，减少感染风险</w:t>
      </w:r>
      <w:r>
        <w:rPr>
          <w:rFonts w:hint="eastAsia" w:ascii="宋体" w:hAnsi="宋体" w:eastAsia="宋体" w:cs="宋体"/>
          <w:bCs/>
          <w:color w:val="auto"/>
          <w:sz w:val="24"/>
          <w:szCs w:val="24"/>
          <w:highlight w:val="none"/>
          <w:lang w:eastAsia="zh-CN"/>
        </w:rPr>
        <w:t>。</w:t>
      </w:r>
    </w:p>
    <w:p w14:paraId="187EE3BA">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36．</w:t>
      </w:r>
      <w:r>
        <w:rPr>
          <w:rFonts w:hint="eastAsia" w:ascii="宋体" w:hAnsi="宋体" w:eastAsia="宋体" w:cs="宋体"/>
          <w:bCs/>
          <w:color w:val="auto"/>
          <w:sz w:val="24"/>
          <w:szCs w:val="24"/>
          <w:highlight w:val="none"/>
        </w:rPr>
        <w:t>支持升级麻醉气体AG监测模块，监测CO2/O2/N2O/AA（吸入麻醉药）的波形和数值显示及呼吸频率awRR，主流监测方式：无需执行校准</w:t>
      </w:r>
      <w:r>
        <w:rPr>
          <w:rFonts w:hint="eastAsia" w:ascii="宋体" w:hAnsi="宋体" w:eastAsia="宋体" w:cs="宋体"/>
          <w:bCs/>
          <w:color w:val="auto"/>
          <w:sz w:val="24"/>
          <w:szCs w:val="24"/>
          <w:highlight w:val="none"/>
          <w:lang w:eastAsia="zh-CN"/>
        </w:rPr>
        <w:t>。</w:t>
      </w:r>
    </w:p>
    <w:p w14:paraId="2B428AA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37．</w:t>
      </w:r>
      <w:r>
        <w:rPr>
          <w:rFonts w:hint="eastAsia" w:ascii="宋体" w:hAnsi="宋体" w:eastAsia="宋体" w:cs="宋体"/>
          <w:bCs/>
          <w:color w:val="auto"/>
          <w:sz w:val="24"/>
          <w:szCs w:val="24"/>
          <w:highlight w:val="none"/>
        </w:rPr>
        <w:t>支持升级ICG模块，进行血流动力学参数监测，可无创监测患者连续心排量</w:t>
      </w:r>
      <w:r>
        <w:rPr>
          <w:rFonts w:hint="eastAsia" w:ascii="宋体" w:hAnsi="宋体" w:eastAsia="宋体" w:cs="宋体"/>
          <w:bCs/>
          <w:color w:val="auto"/>
          <w:sz w:val="24"/>
          <w:szCs w:val="24"/>
          <w:highlight w:val="none"/>
          <w:lang w:eastAsia="zh-CN"/>
        </w:rPr>
        <w:t>。</w:t>
      </w:r>
    </w:p>
    <w:p w14:paraId="306DC5BB">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38．</w:t>
      </w:r>
      <w:r>
        <w:rPr>
          <w:rFonts w:hint="eastAsia" w:ascii="宋体" w:hAnsi="宋体" w:eastAsia="宋体" w:cs="宋体"/>
          <w:bCs/>
          <w:color w:val="auto"/>
          <w:sz w:val="24"/>
          <w:szCs w:val="24"/>
          <w:highlight w:val="none"/>
        </w:rPr>
        <w:t>支持升级有创心输出量C.O监测模块，采用金标准热稀释法测量</w:t>
      </w:r>
      <w:r>
        <w:rPr>
          <w:rFonts w:hint="eastAsia" w:ascii="宋体" w:hAnsi="宋体" w:eastAsia="宋体" w:cs="宋体"/>
          <w:bCs/>
          <w:color w:val="auto"/>
          <w:sz w:val="24"/>
          <w:szCs w:val="24"/>
          <w:highlight w:val="none"/>
          <w:lang w:eastAsia="zh-CN"/>
        </w:rPr>
        <w:t>。</w:t>
      </w:r>
    </w:p>
    <w:p w14:paraId="79BF6BB2">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39．</w:t>
      </w:r>
      <w:r>
        <w:rPr>
          <w:rFonts w:hint="eastAsia" w:ascii="宋体" w:hAnsi="宋体" w:eastAsia="宋体" w:cs="宋体"/>
          <w:bCs/>
          <w:color w:val="auto"/>
          <w:sz w:val="24"/>
          <w:szCs w:val="24"/>
          <w:highlight w:val="none"/>
        </w:rPr>
        <w:t>支持升级麻醉深度BIS监测模块，提供脑电波形显示，BIS指数（0至100）EMG（肌电信号）SQI（信号质量指数）SR（抑制比）SEF（频谱边缘频率）TP（总功率）等参数</w:t>
      </w:r>
      <w:r>
        <w:rPr>
          <w:rFonts w:hint="eastAsia" w:ascii="宋体" w:hAnsi="宋体" w:eastAsia="宋体" w:cs="宋体"/>
          <w:bCs/>
          <w:color w:val="auto"/>
          <w:sz w:val="24"/>
          <w:szCs w:val="24"/>
          <w:highlight w:val="none"/>
          <w:lang w:eastAsia="zh-CN"/>
        </w:rPr>
        <w:t>。</w:t>
      </w:r>
    </w:p>
    <w:p w14:paraId="531F4D73">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40．</w:t>
      </w:r>
      <w:r>
        <w:rPr>
          <w:rFonts w:hint="eastAsia" w:ascii="宋体" w:hAnsi="宋体" w:eastAsia="宋体" w:cs="宋体"/>
          <w:bCs/>
          <w:color w:val="auto"/>
          <w:sz w:val="24"/>
          <w:szCs w:val="24"/>
          <w:highlight w:val="none"/>
        </w:rPr>
        <w:t>具有多种界面显示标准界面、大字体界面、动态趋势界面、呼吸氧合界面、它床观察、ECG全屏、ECG半屏、PAWP、EWS、单血氧、CCHD界面（选配）等</w:t>
      </w:r>
      <w:r>
        <w:rPr>
          <w:rFonts w:hint="eastAsia" w:ascii="宋体" w:hAnsi="宋体" w:eastAsia="宋体" w:cs="宋体"/>
          <w:bCs/>
          <w:color w:val="auto"/>
          <w:sz w:val="24"/>
          <w:szCs w:val="24"/>
          <w:highlight w:val="none"/>
          <w:lang w:eastAsia="zh-CN"/>
        </w:rPr>
        <w:t>。</w:t>
      </w:r>
    </w:p>
    <w:p w14:paraId="326B2BBA">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41．</w:t>
      </w:r>
      <w:r>
        <w:rPr>
          <w:rFonts w:hint="eastAsia" w:ascii="宋体" w:hAnsi="宋体" w:eastAsia="宋体" w:cs="宋体"/>
          <w:bCs/>
          <w:color w:val="auto"/>
          <w:sz w:val="24"/>
          <w:szCs w:val="24"/>
          <w:highlight w:val="none"/>
        </w:rPr>
        <w:t>可升级脓毒症筛查工具、格拉斯哥昏迷评分系统（GCS）、早期预警评分功能、起搏分析、CCHD筛查等软件功能</w:t>
      </w:r>
      <w:r>
        <w:rPr>
          <w:rFonts w:hint="eastAsia" w:ascii="宋体" w:hAnsi="宋体" w:eastAsia="宋体" w:cs="宋体"/>
          <w:bCs/>
          <w:color w:val="auto"/>
          <w:sz w:val="24"/>
          <w:szCs w:val="24"/>
          <w:highlight w:val="none"/>
          <w:lang w:eastAsia="zh-CN"/>
        </w:rPr>
        <w:t>。</w:t>
      </w:r>
    </w:p>
    <w:p w14:paraId="02452013">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42．</w:t>
      </w:r>
      <w:r>
        <w:rPr>
          <w:rFonts w:hint="eastAsia" w:ascii="宋体" w:hAnsi="宋体" w:eastAsia="宋体" w:cs="宋体"/>
          <w:bCs/>
          <w:color w:val="auto"/>
          <w:sz w:val="24"/>
          <w:szCs w:val="24"/>
          <w:highlight w:val="none"/>
        </w:rPr>
        <w:t>支持≥160小时趋势表和趋势图回顾</w:t>
      </w:r>
      <w:r>
        <w:rPr>
          <w:rFonts w:hint="eastAsia" w:ascii="宋体" w:hAnsi="宋体" w:eastAsia="宋体" w:cs="宋体"/>
          <w:bCs/>
          <w:color w:val="auto"/>
          <w:sz w:val="24"/>
          <w:szCs w:val="24"/>
          <w:highlight w:val="none"/>
          <w:lang w:eastAsia="zh-CN"/>
        </w:rPr>
        <w:t>。</w:t>
      </w:r>
    </w:p>
    <w:p w14:paraId="032C7E14">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43．</w:t>
      </w:r>
      <w:r>
        <w:rPr>
          <w:rFonts w:hint="eastAsia" w:ascii="宋体" w:hAnsi="宋体" w:eastAsia="宋体" w:cs="宋体"/>
          <w:bCs/>
          <w:color w:val="auto"/>
          <w:sz w:val="24"/>
          <w:szCs w:val="24"/>
          <w:highlight w:val="none"/>
        </w:rPr>
        <w:t>支持≥2000组NIBP存储与回顾功能</w:t>
      </w:r>
      <w:r>
        <w:rPr>
          <w:rFonts w:hint="eastAsia" w:ascii="宋体" w:hAnsi="宋体" w:eastAsia="宋体" w:cs="宋体"/>
          <w:bCs/>
          <w:color w:val="auto"/>
          <w:sz w:val="24"/>
          <w:szCs w:val="24"/>
          <w:highlight w:val="none"/>
          <w:lang w:eastAsia="zh-CN"/>
        </w:rPr>
        <w:t>。</w:t>
      </w:r>
    </w:p>
    <w:p w14:paraId="5AFEED1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44．</w:t>
      </w:r>
      <w:r>
        <w:rPr>
          <w:rFonts w:hint="eastAsia" w:ascii="宋体" w:hAnsi="宋体" w:eastAsia="宋体" w:cs="宋体"/>
          <w:bCs/>
          <w:color w:val="auto"/>
          <w:sz w:val="24"/>
          <w:szCs w:val="24"/>
          <w:highlight w:val="none"/>
        </w:rPr>
        <w:t>支持≥2000组报警事件与回顾功能</w:t>
      </w:r>
      <w:r>
        <w:rPr>
          <w:rFonts w:hint="eastAsia" w:ascii="宋体" w:hAnsi="宋体" w:eastAsia="宋体" w:cs="宋体"/>
          <w:bCs/>
          <w:color w:val="auto"/>
          <w:sz w:val="24"/>
          <w:szCs w:val="24"/>
          <w:highlight w:val="none"/>
          <w:lang w:eastAsia="zh-CN"/>
        </w:rPr>
        <w:t>。</w:t>
      </w:r>
    </w:p>
    <w:p w14:paraId="5F892D77">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45．</w:t>
      </w:r>
      <w:r>
        <w:rPr>
          <w:rFonts w:hint="eastAsia" w:ascii="宋体" w:hAnsi="宋体" w:eastAsia="宋体" w:cs="宋体"/>
          <w:bCs/>
          <w:color w:val="auto"/>
          <w:sz w:val="24"/>
          <w:szCs w:val="24"/>
          <w:highlight w:val="none"/>
        </w:rPr>
        <w:t>支持≥48小时全息波形的存储与回顾功能</w:t>
      </w:r>
      <w:r>
        <w:rPr>
          <w:rFonts w:hint="eastAsia" w:ascii="宋体" w:hAnsi="宋体" w:eastAsia="宋体" w:cs="宋体"/>
          <w:bCs/>
          <w:color w:val="auto"/>
          <w:sz w:val="24"/>
          <w:szCs w:val="24"/>
          <w:highlight w:val="none"/>
          <w:lang w:eastAsia="zh-CN"/>
        </w:rPr>
        <w:t>。</w:t>
      </w:r>
    </w:p>
    <w:p w14:paraId="4F429686">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46．</w:t>
      </w:r>
      <w:r>
        <w:rPr>
          <w:rFonts w:hint="eastAsia" w:ascii="宋体" w:hAnsi="宋体" w:eastAsia="宋体" w:cs="宋体"/>
          <w:bCs/>
          <w:color w:val="auto"/>
          <w:sz w:val="24"/>
          <w:szCs w:val="24"/>
          <w:highlight w:val="none"/>
        </w:rPr>
        <w:t>支持≥48小时心律失常统计与回顾功能</w:t>
      </w:r>
      <w:r>
        <w:rPr>
          <w:rFonts w:hint="eastAsia" w:ascii="宋体" w:hAnsi="宋体" w:eastAsia="宋体" w:cs="宋体"/>
          <w:bCs/>
          <w:color w:val="auto"/>
          <w:sz w:val="24"/>
          <w:szCs w:val="24"/>
          <w:highlight w:val="none"/>
          <w:lang w:eastAsia="zh-CN"/>
        </w:rPr>
        <w:t>。</w:t>
      </w:r>
    </w:p>
    <w:p w14:paraId="217CCF69">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47．</w:t>
      </w:r>
      <w:r>
        <w:rPr>
          <w:rFonts w:hint="eastAsia" w:ascii="宋体" w:hAnsi="宋体" w:eastAsia="宋体" w:cs="宋体"/>
          <w:bCs/>
          <w:color w:val="auto"/>
          <w:sz w:val="24"/>
          <w:szCs w:val="24"/>
          <w:highlight w:val="none"/>
        </w:rPr>
        <w:t>具备演示功能,方便培训及学习</w:t>
      </w:r>
      <w:r>
        <w:rPr>
          <w:rFonts w:hint="eastAsia" w:ascii="宋体" w:hAnsi="宋体" w:eastAsia="宋体" w:cs="宋体"/>
          <w:bCs/>
          <w:color w:val="auto"/>
          <w:sz w:val="24"/>
          <w:szCs w:val="24"/>
          <w:highlight w:val="none"/>
          <w:lang w:eastAsia="zh-CN"/>
        </w:rPr>
        <w:t>。</w:t>
      </w:r>
    </w:p>
    <w:p w14:paraId="50E7B102">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48．</w:t>
      </w:r>
      <w:r>
        <w:rPr>
          <w:rFonts w:hint="eastAsia" w:ascii="宋体" w:hAnsi="宋体" w:eastAsia="宋体" w:cs="宋体"/>
          <w:bCs/>
          <w:color w:val="auto"/>
          <w:sz w:val="24"/>
          <w:szCs w:val="24"/>
          <w:highlight w:val="none"/>
        </w:rPr>
        <w:t>具备图形化报警指示功能，方便查看报警信息</w:t>
      </w:r>
      <w:r>
        <w:rPr>
          <w:rFonts w:hint="eastAsia" w:ascii="宋体" w:hAnsi="宋体" w:eastAsia="宋体" w:cs="宋体"/>
          <w:bCs/>
          <w:color w:val="auto"/>
          <w:sz w:val="24"/>
          <w:szCs w:val="24"/>
          <w:highlight w:val="none"/>
          <w:lang w:eastAsia="zh-CN"/>
        </w:rPr>
        <w:t>。</w:t>
      </w:r>
    </w:p>
    <w:p w14:paraId="3ED89D6B">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eastAsia="zh-CN"/>
        </w:rPr>
      </w:pPr>
      <w:r>
        <w:rPr>
          <w:rFonts w:hint="default" w:ascii="宋体" w:hAnsi="宋体" w:eastAsia="宋体" w:cs="宋体"/>
          <w:bCs/>
          <w:color w:val="auto"/>
          <w:kern w:val="2"/>
          <w:sz w:val="24"/>
          <w:szCs w:val="24"/>
          <w:highlight w:val="none"/>
          <w:lang w:val="en-US" w:eastAsia="zh-CN" w:bidi="ar-SA"/>
        </w:rPr>
        <w:t>49．</w:t>
      </w:r>
      <w:r>
        <w:rPr>
          <w:rFonts w:hint="eastAsia" w:ascii="宋体" w:hAnsi="宋体" w:eastAsia="宋体" w:cs="宋体"/>
          <w:bCs/>
          <w:color w:val="auto"/>
          <w:sz w:val="24"/>
          <w:szCs w:val="24"/>
          <w:highlight w:val="none"/>
        </w:rPr>
        <w:t>具备药物计算、肾功能计算、氧合计算、通气计算、血流动力学计算和滴定表功能</w:t>
      </w:r>
      <w:r>
        <w:rPr>
          <w:rFonts w:hint="eastAsia" w:ascii="宋体" w:hAnsi="宋体" w:eastAsia="宋体" w:cs="宋体"/>
          <w:bCs/>
          <w:color w:val="auto"/>
          <w:sz w:val="24"/>
          <w:szCs w:val="24"/>
          <w:highlight w:val="none"/>
          <w:lang w:eastAsia="zh-CN"/>
        </w:rPr>
        <w:t>。</w:t>
      </w:r>
    </w:p>
    <w:p w14:paraId="1C90AC4C">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kern w:val="2"/>
          <w:sz w:val="24"/>
          <w:szCs w:val="24"/>
          <w:highlight w:val="none"/>
          <w:lang w:val="en-US" w:eastAsia="zh-CN" w:bidi="ar-SA"/>
        </w:rPr>
        <w:t>50．</w:t>
      </w:r>
      <w:r>
        <w:rPr>
          <w:rFonts w:hint="eastAsia" w:ascii="宋体" w:hAnsi="宋体" w:eastAsia="宋体" w:cs="宋体"/>
          <w:bCs/>
          <w:color w:val="auto"/>
          <w:sz w:val="24"/>
          <w:szCs w:val="24"/>
          <w:highlight w:val="none"/>
        </w:rPr>
        <w:t>支持计时器功能，可以同时显示最多4个计时器，可以分别对每个计时器进行设置，计时器在设定的时间到达后会进行提示。</w:t>
      </w:r>
    </w:p>
    <w:p w14:paraId="51BAF2A6">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（四）氩气刀系统2台</w:t>
      </w:r>
    </w:p>
    <w:p w14:paraId="71D0C571">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工作频率：电切:430KHz±50KHz，电凝：600KHz±50KHz</w:t>
      </w:r>
      <w:r>
        <w:rPr>
          <w:rFonts w:hint="eastAsia" w:ascii="宋体" w:hAnsi="宋体" w:eastAsia="宋体" w:cs="宋体"/>
          <w:bCs/>
          <w:color w:val="auto"/>
          <w:sz w:val="24"/>
          <w:szCs w:val="24"/>
          <w:highlight w:val="none"/>
          <w:lang w:eastAsia="zh-CN"/>
        </w:rPr>
        <w:t>。</w:t>
      </w:r>
    </w:p>
    <w:p w14:paraId="0DF3ACE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电切额定输出功率：</w:t>
      </w:r>
    </w:p>
    <w:p w14:paraId="4FE34A08">
      <w:pPr>
        <w:numPr>
          <w:ilvl w:val="0"/>
          <w:numId w:val="0"/>
        </w:numPr>
        <w:spacing w:line="240" w:lineRule="auto"/>
        <w:ind w:left="0" w:leftChars="0" w:right="0" w:rightChars="0" w:firstLine="480" w:firstLineChars="20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 xml:space="preserve">2.1 </w:t>
      </w:r>
      <w:r>
        <w:rPr>
          <w:rFonts w:hint="eastAsia" w:ascii="宋体" w:hAnsi="宋体" w:eastAsia="宋体" w:cs="宋体"/>
          <w:bCs/>
          <w:color w:val="auto"/>
          <w:sz w:val="24"/>
          <w:szCs w:val="24"/>
          <w:highlight w:val="none"/>
        </w:rPr>
        <w:t>电切1：功率5-300W（负载400Ω）</w:t>
      </w:r>
      <w:r>
        <w:rPr>
          <w:rFonts w:hint="eastAsia" w:ascii="宋体" w:hAnsi="宋体" w:eastAsia="宋体" w:cs="宋体"/>
          <w:bCs/>
          <w:color w:val="auto"/>
          <w:sz w:val="24"/>
          <w:szCs w:val="24"/>
          <w:highlight w:val="none"/>
          <w:lang w:eastAsia="zh-CN"/>
        </w:rPr>
        <w:t>；</w:t>
      </w:r>
    </w:p>
    <w:p w14:paraId="70551D20">
      <w:pPr>
        <w:numPr>
          <w:ilvl w:val="0"/>
          <w:numId w:val="0"/>
        </w:numPr>
        <w:spacing w:line="240" w:lineRule="auto"/>
        <w:ind w:left="0" w:leftChars="0" w:right="0" w:rightChars="0" w:firstLine="480" w:firstLineChars="20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 xml:space="preserve">2.2 </w:t>
      </w:r>
      <w:r>
        <w:rPr>
          <w:rFonts w:hint="eastAsia" w:ascii="宋体" w:hAnsi="宋体" w:eastAsia="宋体" w:cs="宋体"/>
          <w:bCs/>
          <w:color w:val="auto"/>
          <w:sz w:val="24"/>
          <w:szCs w:val="24"/>
          <w:highlight w:val="none"/>
        </w:rPr>
        <w:t>电切2：功率5-300W(负载400Ω)</w:t>
      </w:r>
      <w:r>
        <w:rPr>
          <w:rFonts w:hint="eastAsia" w:ascii="宋体" w:hAnsi="宋体" w:eastAsia="宋体" w:cs="宋体"/>
          <w:bCs/>
          <w:color w:val="auto"/>
          <w:sz w:val="24"/>
          <w:szCs w:val="24"/>
          <w:highlight w:val="none"/>
          <w:lang w:eastAsia="zh-CN"/>
        </w:rPr>
        <w:t>。</w:t>
      </w:r>
    </w:p>
    <w:p w14:paraId="10C00B63">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电凝额定输出功率：</w:t>
      </w:r>
    </w:p>
    <w:p w14:paraId="4711DB05">
      <w:pPr>
        <w:numPr>
          <w:ilvl w:val="0"/>
          <w:numId w:val="0"/>
        </w:numPr>
        <w:spacing w:line="240" w:lineRule="auto"/>
        <w:ind w:left="0" w:leftChars="0" w:right="0" w:rightChars="0" w:firstLine="480" w:firstLineChars="20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强力凝功率5-120W（负载500Ω）</w:t>
      </w:r>
      <w:r>
        <w:rPr>
          <w:rFonts w:hint="eastAsia" w:ascii="宋体" w:hAnsi="宋体" w:cs="宋体"/>
          <w:bCs/>
          <w:color w:val="auto"/>
          <w:sz w:val="24"/>
          <w:szCs w:val="24"/>
          <w:highlight w:val="none"/>
          <w:lang w:eastAsia="zh-CN"/>
        </w:rPr>
        <w:t>。</w:t>
      </w:r>
    </w:p>
    <w:p w14:paraId="5B894686">
      <w:pPr>
        <w:numPr>
          <w:ilvl w:val="0"/>
          <w:numId w:val="0"/>
        </w:numPr>
        <w:spacing w:line="240" w:lineRule="auto"/>
        <w:ind w:left="0" w:leftChars="0" w:right="0" w:rightChars="0" w:firstLine="480" w:firstLineChars="20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氩束凝功率5-120W（负载500Ω）</w:t>
      </w:r>
      <w:r>
        <w:rPr>
          <w:rFonts w:hint="eastAsia" w:ascii="宋体" w:hAnsi="宋体" w:cs="宋体"/>
          <w:bCs/>
          <w:color w:val="auto"/>
          <w:sz w:val="24"/>
          <w:szCs w:val="24"/>
          <w:highlight w:val="none"/>
          <w:lang w:eastAsia="zh-CN"/>
        </w:rPr>
        <w:t>。</w:t>
      </w:r>
    </w:p>
    <w:p w14:paraId="7E2167AC">
      <w:pPr>
        <w:numPr>
          <w:ilvl w:val="0"/>
          <w:numId w:val="0"/>
        </w:numPr>
        <w:spacing w:line="240" w:lineRule="auto"/>
        <w:ind w:left="0" w:leftChars="0" w:right="0" w:rightChars="0" w:firstLine="480" w:firstLineChars="20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双凝功率：5-100W（100Ω负载）</w:t>
      </w:r>
      <w:r>
        <w:rPr>
          <w:rFonts w:hint="eastAsia" w:ascii="宋体" w:hAnsi="宋体" w:eastAsia="宋体" w:cs="宋体"/>
          <w:bCs/>
          <w:color w:val="auto"/>
          <w:sz w:val="24"/>
          <w:szCs w:val="24"/>
          <w:highlight w:val="none"/>
          <w:lang w:eastAsia="zh-CN"/>
        </w:rPr>
        <w:t>。</w:t>
      </w:r>
    </w:p>
    <w:p w14:paraId="7B30F142">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单、双中性极板检测功能，极板故障时，发出</w:t>
      </w:r>
      <w:r>
        <w:rPr>
          <w:rFonts w:hint="eastAsia" w:ascii="宋体" w:hAnsi="宋体" w:eastAsia="宋体" w:cs="宋体"/>
          <w:bCs/>
          <w:color w:val="auto"/>
          <w:sz w:val="24"/>
          <w:szCs w:val="24"/>
          <w:highlight w:val="none"/>
          <w:lang w:eastAsia="zh-CN"/>
        </w:rPr>
        <w:t>语音提示和灯光</w:t>
      </w:r>
      <w:r>
        <w:rPr>
          <w:rFonts w:hint="eastAsia" w:ascii="宋体" w:hAnsi="宋体" w:eastAsia="宋体" w:cs="宋体"/>
          <w:bCs/>
          <w:color w:val="auto"/>
          <w:sz w:val="24"/>
          <w:szCs w:val="24"/>
          <w:highlight w:val="none"/>
        </w:rPr>
        <w:t>报警，并停止输出。</w:t>
      </w:r>
    </w:p>
    <w:p w14:paraId="49D4589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高频电刀采用</w:t>
      </w:r>
      <w:r>
        <w:rPr>
          <w:rFonts w:hint="eastAsia" w:ascii="宋体" w:hAnsi="宋体" w:cs="宋体"/>
          <w:bCs/>
          <w:color w:val="auto"/>
          <w:sz w:val="24"/>
          <w:szCs w:val="24"/>
          <w:highlight w:val="none"/>
          <w:lang w:val="en-US" w:eastAsia="zh-CN"/>
        </w:rPr>
        <w:t>至少两</w:t>
      </w:r>
      <w:r>
        <w:rPr>
          <w:rFonts w:hint="eastAsia" w:ascii="宋体" w:hAnsi="宋体" w:eastAsia="宋体" w:cs="宋体"/>
          <w:bCs/>
          <w:color w:val="auto"/>
          <w:sz w:val="24"/>
          <w:szCs w:val="24"/>
          <w:highlight w:val="none"/>
        </w:rPr>
        <w:t>联脚踏或按键控制，可以自动转换。</w:t>
      </w:r>
    </w:p>
    <w:p w14:paraId="405B932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具有微电脑处理系统对切割过程进行全程监控，在出血情况下可自动调整电凝输出时间在最短时间内血止。</w:t>
      </w:r>
    </w:p>
    <w:p w14:paraId="60066B16">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电凝功率的自动区分，通过脚踏就可实现功能的转换。</w:t>
      </w:r>
    </w:p>
    <w:p w14:paraId="1C22F45A">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氩束激发距离在7-10mm以上，保证内镜下的视野清晰</w:t>
      </w:r>
    </w:p>
    <w:p w14:paraId="0E2C7B49">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氩气压力不足时，将发出</w:t>
      </w:r>
      <w:r>
        <w:rPr>
          <w:rFonts w:hint="eastAsia" w:ascii="宋体" w:hAnsi="宋体" w:eastAsia="宋体" w:cs="宋体"/>
          <w:bCs/>
          <w:color w:val="auto"/>
          <w:sz w:val="24"/>
          <w:szCs w:val="24"/>
          <w:highlight w:val="none"/>
          <w:lang w:eastAsia="zh-CN"/>
        </w:rPr>
        <w:t>语音提示和灯</w:t>
      </w:r>
      <w:r>
        <w:rPr>
          <w:rFonts w:hint="eastAsia" w:ascii="宋体" w:hAnsi="宋体" w:eastAsia="宋体" w:cs="宋体"/>
          <w:bCs/>
          <w:color w:val="auto"/>
          <w:sz w:val="24"/>
          <w:szCs w:val="24"/>
          <w:highlight w:val="none"/>
        </w:rPr>
        <w:t>光报警，并停止输出。</w:t>
      </w:r>
    </w:p>
    <w:p w14:paraId="0CBC44FA">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default"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lang w:val="en-US" w:eastAsia="zh-CN"/>
        </w:rPr>
        <w:t>氩气流量输出技术参数</w:t>
      </w:r>
    </w:p>
    <w:p w14:paraId="67B956C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氩气流量输出范围≥0.1-5L/min；</w:t>
      </w:r>
    </w:p>
    <w:p w14:paraId="7E7FA571">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氩气流量调节精度</w:t>
      </w:r>
      <w:r>
        <w:rPr>
          <w:rFonts w:hint="eastAsia" w:ascii="宋体" w:hAnsi="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0.5L/min（2.0-5.0L/min）；</w:t>
      </w:r>
    </w:p>
    <w:p w14:paraId="5F860039">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堵塞报警：＞0.1Mpa报警，氩气纯度≥99.99%；</w:t>
      </w:r>
    </w:p>
    <w:p w14:paraId="12E55702">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氩气输入压力0.2-0.65MPa。</w:t>
      </w:r>
    </w:p>
    <w:p w14:paraId="77AD5E6C">
      <w:pPr>
        <w:numPr>
          <w:ilvl w:val="0"/>
          <w:numId w:val="32"/>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供气系统A4L的医用氩气瓶，充装容量≥9.5Mpa。</w:t>
      </w:r>
    </w:p>
    <w:p w14:paraId="3B4C18B1">
      <w:pPr>
        <w:pStyle w:val="101"/>
        <w:rPr>
          <w:rFonts w:hint="default"/>
          <w:color w:val="auto"/>
          <w:highlight w:val="none"/>
          <w:u w:val="none"/>
          <w:lang w:val="en-US" w:eastAsia="zh-CN"/>
        </w:rPr>
      </w:pPr>
      <w:r>
        <w:rPr>
          <w:rFonts w:hint="eastAsia" w:ascii="方正楷体_GB2312" w:hAnsi="方正楷体_GB2312" w:eastAsia="方正楷体_GB2312" w:cs="方正楷体_GB2312"/>
          <w:b/>
          <w:bCs/>
          <w:color w:val="auto"/>
          <w:kern w:val="2"/>
          <w:sz w:val="24"/>
          <w:szCs w:val="24"/>
          <w:highlight w:val="none"/>
          <w:lang w:val="en-US" w:eastAsia="zh-CN" w:bidi="ar-SA"/>
        </w:rPr>
        <w:t>（五）内镜专用台车2台</w:t>
      </w:r>
    </w:p>
    <w:p w14:paraId="2E57CBF8">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1.多层设计，可放置电刀等设备。</w:t>
      </w:r>
    </w:p>
    <w:p w14:paraId="7739DA5C">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2.提供监视器吊臂，方便调整监视器观看角度。</w:t>
      </w:r>
    </w:p>
    <w:p w14:paraId="7D39BF33">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3.采用牢固的抗压结构，稳定耐用。</w:t>
      </w:r>
    </w:p>
    <w:p w14:paraId="40E7988C">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4.带有四个万向轮，方便自由移动，带刹车功能。</w:t>
      </w:r>
    </w:p>
    <w:p w14:paraId="62A846B2">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5.可同时悬挂两条内镜。</w:t>
      </w:r>
    </w:p>
    <w:p w14:paraId="1C6FF4FB">
      <w:pPr>
        <w:numPr>
          <w:ilvl w:val="0"/>
          <w:numId w:val="0"/>
        </w:numPr>
        <w:spacing w:line="240" w:lineRule="auto"/>
        <w:ind w:left="0" w:leftChars="0" w:right="0" w:rightChars="0" w:firstLine="0" w:firstLineChars="0"/>
        <w:jc w:val="left"/>
        <w:rPr>
          <w:rFonts w:hint="eastAsia" w:ascii="方正楷体_GB2312" w:hAnsi="方正楷体_GB2312" w:eastAsia="方正楷体_GB2312" w:cs="方正楷体_GB2312"/>
          <w:b/>
          <w:bCs/>
          <w:color w:val="auto"/>
          <w:kern w:val="2"/>
          <w:sz w:val="24"/>
          <w:szCs w:val="24"/>
          <w:highlight w:val="none"/>
          <w:lang w:val="en-US" w:eastAsia="zh-CN" w:bidi="ar-SA"/>
        </w:rPr>
      </w:pPr>
      <w:r>
        <w:rPr>
          <w:rFonts w:hint="eastAsia" w:ascii="方正楷体_GB2312" w:hAnsi="方正楷体_GB2312" w:eastAsia="方正楷体_GB2312" w:cs="方正楷体_GB2312"/>
          <w:b/>
          <w:bCs/>
          <w:color w:val="auto"/>
          <w:kern w:val="2"/>
          <w:sz w:val="24"/>
          <w:szCs w:val="24"/>
          <w:highlight w:val="none"/>
          <w:lang w:val="en-US" w:eastAsia="zh-CN" w:bidi="ar-SA"/>
        </w:rPr>
        <w:t>（六）内镜专用高清监视器2台</w:t>
      </w:r>
    </w:p>
    <w:p w14:paraId="53C67550">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1.专业级液晶监视器。</w:t>
      </w:r>
    </w:p>
    <w:p w14:paraId="0FFFE861">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2.屏幕尺寸≥26英寸。</w:t>
      </w:r>
    </w:p>
    <w:p w14:paraId="02496392">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3.分辨率≥1920×1080。</w:t>
      </w:r>
    </w:p>
    <w:p w14:paraId="22320B40">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4.提供SDI等接口以便兼容数字和模拟视频信号。</w:t>
      </w:r>
    </w:p>
    <w:p w14:paraId="0C8F5737">
      <w:pPr>
        <w:numPr>
          <w:ilvl w:val="0"/>
          <w:numId w:val="0"/>
        </w:numPr>
        <w:spacing w:line="240" w:lineRule="auto"/>
        <w:ind w:firstLine="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5.具备无信号自动待机功能。</w:t>
      </w:r>
    </w:p>
    <w:p w14:paraId="59189AE4">
      <w:pPr>
        <w:numPr>
          <w:ilvl w:val="0"/>
          <w:numId w:val="0"/>
        </w:numPr>
        <w:spacing w:line="240" w:lineRule="auto"/>
        <w:ind w:left="0" w:leftChars="0" w:right="0" w:rightChars="0" w:firstLine="0" w:firstLineChars="0"/>
        <w:jc w:val="left"/>
        <w:rPr>
          <w:rFonts w:hint="default"/>
          <w:color w:val="auto"/>
          <w:highlight w:val="none"/>
          <w:lang w:val="en-US"/>
        </w:rPr>
      </w:pPr>
      <w:r>
        <w:rPr>
          <w:rFonts w:hint="eastAsia" w:ascii="方正楷体_GB2312" w:hAnsi="方正楷体_GB2312" w:eastAsia="方正楷体_GB2312" w:cs="方正楷体_GB2312"/>
          <w:b/>
          <w:bCs/>
          <w:color w:val="auto"/>
          <w:kern w:val="2"/>
          <w:sz w:val="24"/>
          <w:szCs w:val="24"/>
          <w:highlight w:val="none"/>
          <w:lang w:val="en-US" w:eastAsia="zh-CN" w:bidi="ar-SA"/>
        </w:rPr>
        <w:t>（七）图文工作站3套（含配套桌椅）</w:t>
      </w:r>
    </w:p>
    <w:p w14:paraId="6C8F735D">
      <w:pPr>
        <w:numPr>
          <w:ilvl w:val="0"/>
          <w:numId w:val="0"/>
        </w:numPr>
        <w:spacing w:line="240" w:lineRule="auto"/>
        <w:ind w:firstLine="0" w:firstLine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 可出图文报告。</w:t>
      </w:r>
    </w:p>
    <w:p w14:paraId="05AF5207">
      <w:pPr>
        <w:numPr>
          <w:ilvl w:val="0"/>
          <w:numId w:val="0"/>
        </w:numPr>
        <w:spacing w:line="240" w:lineRule="auto"/>
        <w:ind w:firstLine="0" w:firstLine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 系统基于WINDOWS平台，全面支持WIN7、WIN10操作系统。</w:t>
      </w:r>
    </w:p>
    <w:p w14:paraId="3CC25EE5">
      <w:pPr>
        <w:numPr>
          <w:ilvl w:val="0"/>
          <w:numId w:val="0"/>
        </w:numPr>
        <w:spacing w:line="240" w:lineRule="auto"/>
        <w:ind w:firstLine="0" w:firstLine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 可通过鼠标或脚踏开关对图像或视频进行采集，支持双通道采集，支持DICOM发送功能。</w:t>
      </w:r>
    </w:p>
    <w:p w14:paraId="46E19F0A">
      <w:pPr>
        <w:numPr>
          <w:ilvl w:val="0"/>
          <w:numId w:val="0"/>
        </w:numPr>
        <w:ind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4.可以根据需要直接进行个性化设计，包括线、字段、图片、位置、大小、颜色任意设计。</w:t>
      </w:r>
    </w:p>
    <w:p w14:paraId="65139447">
      <w:pPr>
        <w:numPr>
          <w:ilvl w:val="0"/>
          <w:numId w:val="0"/>
        </w:numPr>
        <w:ind w:firstLine="0" w:firstLineChars="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 主机（SSD硬盘≥500GB，≥6核，3.0GHZ，显示器≥22英寸），配备彩色大容量连供喷墨打印机。</w:t>
      </w:r>
    </w:p>
    <w:p w14:paraId="224858BD">
      <w:pPr>
        <w:pStyle w:val="101"/>
        <w:rPr>
          <w:rFonts w:hint="default"/>
          <w:color w:val="auto"/>
          <w:highlight w:val="none"/>
          <w:lang w:val="en-US" w:eastAsia="zh-CN"/>
        </w:rPr>
      </w:pPr>
    </w:p>
    <w:p w14:paraId="76E109BC">
      <w:pPr>
        <w:numPr>
          <w:ilvl w:val="0"/>
          <w:numId w:val="0"/>
        </w:numPr>
        <w:spacing w:line="240" w:lineRule="auto"/>
        <w:ind w:leftChars="0" w:right="0" w:rightChars="0" w:firstLine="0" w:firstLine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en-US" w:eastAsia="zh-CN" w:bidi="ar-SA"/>
        </w:rPr>
        <w:t>、投标设备运行所需专用耗材及易损件要求</w:t>
      </w:r>
    </w:p>
    <w:p w14:paraId="7A15C37D">
      <w:pPr>
        <w:numPr>
          <w:ilvl w:val="0"/>
          <w:numId w:val="0"/>
        </w:numPr>
        <w:spacing w:line="240" w:lineRule="auto"/>
        <w:ind w:leftChars="0" w:right="0" w:rightChars="0" w:firstLine="0" w:firstLine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一次性使用吸引活检针参数</w:t>
      </w:r>
    </w:p>
    <w:p w14:paraId="7BC2DA52">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1、有效长度：≥700mm。</w:t>
      </w:r>
    </w:p>
    <w:p w14:paraId="42CD2D95">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2、最大插入部外径：≤1.9mm。</w:t>
      </w:r>
    </w:p>
    <w:p w14:paraId="34C24824">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3、针径：21G。</w:t>
      </w:r>
    </w:p>
    <w:p w14:paraId="49F663FE">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4、针芯长度可调：20mm-40mm。</w:t>
      </w:r>
    </w:p>
    <w:p w14:paraId="57ACDC64">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5、穿刺力:能够穿刺铝箔。</w:t>
      </w:r>
    </w:p>
    <w:p w14:paraId="4BB50648">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6、针管密封性:具有良好的密封性。</w:t>
      </w:r>
    </w:p>
    <w:p w14:paraId="13ACA51A">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7、弹性:在通常使用情况下，即使弯曲也能恢复到原来的位置。</w:t>
      </w:r>
    </w:p>
    <w:p w14:paraId="3E829449">
      <w:pPr>
        <w:numPr>
          <w:ilvl w:val="0"/>
          <w:numId w:val="0"/>
        </w:numPr>
        <w:spacing w:line="240" w:lineRule="auto"/>
        <w:ind w:left="0" w:leftChars="0" w:right="0" w:rightChars="0" w:firstLine="0" w:firstLineChars="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8、超声反射部:超声图像中，在针穿刺组织的状态下，能够确认出针的超声反射部。</w:t>
      </w:r>
    </w:p>
    <w:p w14:paraId="26CF9261">
      <w:pPr>
        <w:pStyle w:val="4"/>
        <w:numPr>
          <w:ilvl w:val="0"/>
          <w:numId w:val="0"/>
        </w:numPr>
        <w:spacing w:before="0" w:after="0" w:line="240" w:lineRule="auto"/>
        <w:ind w:leftChars="0"/>
        <w:jc w:val="left"/>
        <w:outlineLvl w:val="0"/>
        <w:rPr>
          <w:rFonts w:hint="eastAsia" w:ascii="宋体" w:hAnsi="宋体" w:cs="宋体"/>
          <w:color w:val="auto"/>
          <w:sz w:val="24"/>
          <w:szCs w:val="24"/>
          <w:highlight w:val="none"/>
          <w:lang w:val="zh-CN"/>
        </w:rPr>
      </w:pPr>
    </w:p>
    <w:p w14:paraId="277B7DF4">
      <w:pPr>
        <w:tabs>
          <w:tab w:val="left" w:pos="840"/>
        </w:tabs>
        <w:spacing w:before="0" w:after="0" w:line="240" w:lineRule="auto"/>
        <w:ind w:leftChars="0"/>
        <w:jc w:val="left"/>
        <w:outlineLvl w:val="0"/>
        <w:rPr>
          <w:rFonts w:hint="eastAsia" w:ascii="宋体" w:hAnsi="宋体" w:cs="宋体"/>
          <w:color w:val="auto"/>
          <w:sz w:val="24"/>
          <w:szCs w:val="24"/>
          <w:highlight w:val="none"/>
          <w:lang w:val="zh-CN"/>
        </w:rPr>
      </w:pPr>
    </w:p>
    <w:p w14:paraId="49C18FDE">
      <w:pPr>
        <w:jc w:val="center"/>
        <w:rPr>
          <w:rFonts w:hint="eastAsia" w:ascii="宋体" w:hAnsi="宋体" w:eastAsia="宋体" w:cs="宋体"/>
          <w:b/>
          <w:color w:val="auto"/>
          <w:sz w:val="44"/>
          <w:szCs w:val="44"/>
          <w:highlight w:val="none"/>
        </w:rPr>
      </w:pPr>
      <w:r>
        <w:rPr>
          <w:rFonts w:hint="eastAsia" w:ascii="宋体" w:hAnsi="宋体" w:cs="宋体"/>
          <w:color w:val="auto"/>
          <w:sz w:val="24"/>
          <w:szCs w:val="24"/>
          <w:highlight w:val="none"/>
          <w:lang w:val="zh-CN"/>
        </w:rPr>
        <w:br w:type="page"/>
      </w:r>
      <w:r>
        <w:rPr>
          <w:rFonts w:hint="eastAsia" w:ascii="宋体" w:hAnsi="宋体" w:eastAsia="宋体" w:cs="宋体"/>
          <w:b/>
          <w:color w:val="auto"/>
          <w:sz w:val="30"/>
          <w:szCs w:val="30"/>
          <w:highlight w:val="none"/>
          <w:lang w:val="en-US" w:eastAsia="zh-CN"/>
        </w:rPr>
        <w:t>便携式支气管镜</w:t>
      </w:r>
      <w:r>
        <w:rPr>
          <w:rFonts w:hint="eastAsia" w:ascii="宋体" w:hAnsi="宋体" w:eastAsia="宋体" w:cs="宋体"/>
          <w:b/>
          <w:color w:val="auto"/>
          <w:sz w:val="30"/>
          <w:szCs w:val="30"/>
          <w:highlight w:val="none"/>
        </w:rPr>
        <w:t>技术参数</w:t>
      </w:r>
    </w:p>
    <w:p w14:paraId="1BB90E90">
      <w:pPr>
        <w:numPr>
          <w:ilvl w:val="0"/>
          <w:numId w:val="0"/>
        </w:numPr>
        <w:spacing w:line="288" w:lineRule="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val="0"/>
          <w:color w:val="auto"/>
          <w:sz w:val="24"/>
          <w:szCs w:val="24"/>
          <w:highlight w:val="none"/>
          <w:lang w:val="en-US" w:eastAsia="zh-CN"/>
        </w:rPr>
        <w:t>总体要求：</w:t>
      </w:r>
    </w:p>
    <w:p w14:paraId="4195C03C">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1、设备名称：便携式支气管镜。</w:t>
      </w:r>
    </w:p>
    <w:p w14:paraId="628C098C">
      <w:pPr>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2、数  量：两台。</w:t>
      </w:r>
    </w:p>
    <w:p w14:paraId="4071B89A">
      <w:pPr>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3、设备用途：对于手术后肺部感染的患者、误吸患者及年老体弱、一般状况较差不能到呼吸内镜科进行检查的患者，可以通过使用便携式支气管镜设备对患者进行支气管镜诊疗。</w:t>
      </w:r>
    </w:p>
    <w:p w14:paraId="029B046C">
      <w:pPr>
        <w:numPr>
          <w:ilvl w:val="0"/>
          <w:numId w:val="0"/>
        </w:numPr>
        <w:spacing w:line="288" w:lineRule="auto"/>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二、便携式支气管镜</w:t>
      </w:r>
      <w:r>
        <w:rPr>
          <w:rFonts w:hint="eastAsia" w:ascii="宋体" w:hAnsi="宋体" w:eastAsia="宋体" w:cs="宋体"/>
          <w:b/>
          <w:bCs w:val="0"/>
          <w:color w:val="auto"/>
          <w:sz w:val="24"/>
          <w:szCs w:val="24"/>
          <w:highlight w:val="none"/>
          <w:lang w:val="en-US" w:eastAsia="zh-CN"/>
        </w:rPr>
        <w:t>技术要求：</w:t>
      </w:r>
    </w:p>
    <w:p w14:paraId="6A67A349">
      <w:pPr>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1、采用数字电子微成像技术，无内置光纤，视角≥120°，中心分辨率≥11</w:t>
      </w:r>
      <w:r>
        <w:rPr>
          <w:rFonts w:hint="eastAsia" w:ascii="宋体" w:hAnsi="宋体" w:cs="宋体"/>
          <w:color w:val="auto"/>
          <w:kern w:val="2"/>
          <w:sz w:val="24"/>
          <w:szCs w:val="24"/>
          <w:highlight w:val="none"/>
          <w:lang w:val="en-US" w:eastAsia="zh-CN" w:bidi="ar-SA"/>
        </w:rPr>
        <w:t xml:space="preserve">.0 </w:t>
      </w:r>
      <w:r>
        <w:rPr>
          <w:rFonts w:hint="eastAsia" w:ascii="宋体" w:hAnsi="宋体" w:eastAsia="宋体" w:cs="宋体"/>
          <w:color w:val="auto"/>
          <w:kern w:val="2"/>
          <w:sz w:val="24"/>
          <w:szCs w:val="24"/>
          <w:highlight w:val="none"/>
          <w:lang w:val="en-US" w:eastAsia="zh-CN" w:bidi="ar-SA"/>
        </w:rPr>
        <w:t>1p/mm。</w:t>
      </w:r>
    </w:p>
    <w:p w14:paraId="7EC3E691">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2、采用医用高分子特种材料构造，机身轻盈、结实耐用、高强度、耐腐蚀、寿命长。</w:t>
      </w:r>
    </w:p>
    <w:p w14:paraId="1BB26216">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3、插入部外径≤4.</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mm，内置吸引通道直径≥2.0mm,长度≥600mm；</w:t>
      </w:r>
    </w:p>
    <w:p w14:paraId="4EB0F824">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4、软管前端可弯曲角度，向上≥160°，向下≥1</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0°。</w:t>
      </w:r>
    </w:p>
    <w:p w14:paraId="5B82F494">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5、照明采用LED灯，亮度≥2000LUX，至少三档亮度可调节，非光纤照明。</w:t>
      </w:r>
    </w:p>
    <w:p w14:paraId="59312C4D">
      <w:pPr>
        <w:numPr>
          <w:ilvl w:val="0"/>
          <w:numId w:val="33"/>
        </w:num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成像距离范围</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2～50mm。</w:t>
      </w:r>
    </w:p>
    <w:p w14:paraId="4A5D8177">
      <w:pPr>
        <w:numPr>
          <w:ilvl w:val="0"/>
          <w:numId w:val="33"/>
        </w:num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具备插入部左右旋转功能，左右旋转角度0-120°。</w:t>
      </w:r>
    </w:p>
    <w:p w14:paraId="189A2D6F">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8、支持一键拍照、录像功能、图像预冻结功能，在不影响实时观察的情况下同时可实现观察预冻结图像。</w:t>
      </w:r>
    </w:p>
    <w:p w14:paraId="5FC89856">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9、与显示器之间的连接采用一键插拔方式，兼容多种显示器，无需旋转，节省临床抢救时间。</w:t>
      </w:r>
    </w:p>
    <w:p w14:paraId="32AE1F76">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10、支持无线及有线传输功能模块连接图像处理工作站，实现远程、直播、报告打印等，方便医生操作、教学。 </w:t>
      </w:r>
    </w:p>
    <w:p w14:paraId="5A495F51">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11、主机屏幕≥3.5</w:t>
      </w:r>
      <w:r>
        <w:rPr>
          <w:rFonts w:hint="eastAsia" w:ascii="宋体" w:hAnsi="宋体" w:cs="宋体"/>
          <w:color w:val="auto"/>
          <w:kern w:val="2"/>
          <w:sz w:val="24"/>
          <w:szCs w:val="24"/>
          <w:highlight w:val="none"/>
          <w:lang w:val="en-US" w:eastAsia="zh-CN" w:bidi="ar-SA"/>
        </w:rPr>
        <w:t>英</w:t>
      </w:r>
      <w:r>
        <w:rPr>
          <w:rFonts w:hint="eastAsia" w:ascii="宋体" w:hAnsi="宋体" w:eastAsia="宋体" w:cs="宋体"/>
          <w:color w:val="auto"/>
          <w:kern w:val="2"/>
          <w:sz w:val="24"/>
          <w:szCs w:val="24"/>
          <w:highlight w:val="none"/>
          <w:lang w:val="en-US" w:eastAsia="zh-CN" w:bidi="ar-SA"/>
        </w:rPr>
        <w:t>寸，显示分辨率≥640×480。</w:t>
      </w:r>
    </w:p>
    <w:p w14:paraId="04956BE6">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12、主机屏幕采用电阻触摸屏，通过压力点触，方便医生戴手套操作。</w:t>
      </w:r>
    </w:p>
    <w:p w14:paraId="4C448866">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13、主机与各种手柄均可带电一键插拔连接、分离，无需旋转，方便临床使用及携带。</w:t>
      </w:r>
    </w:p>
    <w:p w14:paraId="206484AA">
      <w:pPr>
        <w:numPr>
          <w:ilvl w:val="0"/>
          <w:numId w:val="0"/>
        </w:numPr>
        <w:spacing w:line="288" w:lineRule="auto"/>
        <w:rPr>
          <w:rFonts w:hint="eastAsia" w:ascii="宋体" w:hAnsi="宋体" w:eastAsia="宋体" w:cs="宋体"/>
          <w:b/>
          <w:bCs/>
          <w:color w:val="auto"/>
          <w:kern w:val="2"/>
          <w:sz w:val="24"/>
          <w:szCs w:val="24"/>
          <w:highlight w:val="none"/>
          <w:lang w:val="en-US" w:eastAsia="zh-CN" w:bidi="ar-SA"/>
        </w:rPr>
      </w:pPr>
    </w:p>
    <w:p w14:paraId="304F023A">
      <w:pPr>
        <w:jc w:val="center"/>
        <w:rPr>
          <w:rFonts w:hint="eastAsia" w:ascii="宋体" w:hAnsi="宋体" w:eastAsia="宋体" w:cs="宋体"/>
          <w:b/>
          <w:color w:val="auto"/>
          <w:sz w:val="30"/>
          <w:szCs w:val="30"/>
          <w:highlight w:val="none"/>
          <w:lang w:val="en-US" w:eastAsia="zh-CN"/>
        </w:rPr>
      </w:pPr>
      <w:r>
        <w:rPr>
          <w:rFonts w:hint="eastAsia" w:ascii="宋体" w:hAnsi="宋体" w:eastAsia="宋体" w:cs="宋体"/>
          <w:b/>
          <w:color w:val="auto"/>
          <w:sz w:val="30"/>
          <w:szCs w:val="30"/>
          <w:highlight w:val="none"/>
          <w:lang w:val="en-US" w:eastAsia="zh-CN"/>
        </w:rPr>
        <w:t>售后服务及其他</w:t>
      </w:r>
    </w:p>
    <w:p w14:paraId="4C828E3E">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设备自验收合格之日起，支气管镜系统原厂质保期≥4年，便携式支气管镜原厂质保期≥3年。</w:t>
      </w:r>
    </w:p>
    <w:p w14:paraId="3F8A223A">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2、经销商（生产厂家）提供仪器报修电话服务；在接到正式通知后 2小时内响应， 24 小时内到达现场进行检修，解决问题时间不超过48 小时。若不能在上述承诺的时间内解决问题，则在 3 个工作日内提供与原问题机器同品牌规格型号的全新仪器备机服务，直到原设备修复，期间产生的所有费用均有经销商或者生产厂家承担。原设备修复后的质保期限相应延长至新的保修期截止日，全新备机在使用期间的质保及售后均按上述承诺执行。</w:t>
      </w:r>
    </w:p>
    <w:p w14:paraId="3D0054ED">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3、公司技术人员对所售仪器免费定期巡防，免费进行系统的维护、保养及升级服务，使仪器使用率达到最大化，每年内不少于2次上门保养服务。</w:t>
      </w:r>
    </w:p>
    <w:p w14:paraId="672E3463">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4、保证保修期内开机率不低于95%。</w:t>
      </w:r>
    </w:p>
    <w:p w14:paraId="07B36D1C">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5、经销商（生产厂家）负责对我院使用科室及维修人员关于机器常见故障及解决方案进行培训，培训必须达到我方能熟练掌握机器操作流程，能解决常见故障。</w:t>
      </w:r>
    </w:p>
    <w:p w14:paraId="2B371F3E">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6、经销商（生产厂家）投标设备的耗材</w:t>
      </w:r>
      <w:r>
        <w:rPr>
          <w:rFonts w:hint="eastAsia" w:ascii="宋体" w:hAnsi="宋体" w:cs="宋体"/>
          <w:color w:val="auto"/>
          <w:kern w:val="2"/>
          <w:sz w:val="24"/>
          <w:szCs w:val="24"/>
          <w:highlight w:val="none"/>
          <w:lang w:val="en-US" w:eastAsia="zh-CN" w:bidi="ar-SA"/>
        </w:rPr>
        <w:t>符合省标和市标</w:t>
      </w:r>
      <w:r>
        <w:rPr>
          <w:rFonts w:hint="eastAsia" w:ascii="宋体" w:hAnsi="宋体" w:eastAsia="宋体" w:cs="宋体"/>
          <w:color w:val="auto"/>
          <w:kern w:val="2"/>
          <w:sz w:val="24"/>
          <w:szCs w:val="24"/>
          <w:highlight w:val="none"/>
          <w:lang w:val="en-US" w:eastAsia="zh-CN" w:bidi="ar-SA"/>
        </w:rPr>
        <w:t>。</w:t>
      </w:r>
    </w:p>
    <w:p w14:paraId="6ADD8C5B">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7、列出本次投标项目的配置清单。</w:t>
      </w:r>
    </w:p>
    <w:p w14:paraId="3F026499">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列出投标设备运行所需专用耗材及易损件价格（如无耗材或易损件请注明）。耗材价格依据为河南省医药集中采购平台挂网价格或其他医疗机构中标（成交）价格，并说明单次使用价格；易损件需说明更换周期。</w:t>
      </w:r>
    </w:p>
    <w:p w14:paraId="6EC41029">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.投标设备运行所需专用耗材（如无耗材请注明）的供应周期：支气管镜系统</w:t>
      </w: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年，每次供货数量、时间及规格型号以采购人通知或下发的采购清单为准，采购人不保证供应时限及数量，以实际发生为准。（提供专用耗材供应周期及价格承诺函）</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注：上述专用耗材的供应以国家现行法律法规及医院管理制度为准，如遇国家政策调整或医院相关制度调整，按照最新规定执行。</w:t>
      </w:r>
    </w:p>
    <w:p w14:paraId="5D05AA77">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、列出投标设备原产地（国家）。</w:t>
      </w:r>
    </w:p>
    <w:p w14:paraId="6A5BE51F">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、产品为一年内生产的产品（以交货期时间为准）。</w:t>
      </w:r>
    </w:p>
    <w:p w14:paraId="4EB25CD0">
      <w:pPr>
        <w:rPr>
          <w:color w:val="auto"/>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、交货期≤</w:t>
      </w:r>
      <w:r>
        <w:rPr>
          <w:rFonts w:hint="eastAsia" w:ascii="宋体" w:hAnsi="宋体" w:cs="宋体"/>
          <w:color w:val="auto"/>
          <w:kern w:val="2"/>
          <w:sz w:val="24"/>
          <w:szCs w:val="24"/>
          <w:highlight w:val="none"/>
          <w:lang w:val="en-US" w:eastAsia="zh-CN" w:bidi="ar-SA"/>
        </w:rPr>
        <w:t>6</w:t>
      </w:r>
      <w:r>
        <w:rPr>
          <w:rFonts w:hint="eastAsia" w:ascii="宋体" w:hAnsi="宋体" w:eastAsia="宋体" w:cs="宋体"/>
          <w:color w:val="auto"/>
          <w:kern w:val="2"/>
          <w:sz w:val="24"/>
          <w:szCs w:val="24"/>
          <w:highlight w:val="none"/>
          <w:lang w:val="en-US" w:eastAsia="zh-CN" w:bidi="ar-SA"/>
        </w:rPr>
        <w:t>0天。</w:t>
      </w:r>
    </w:p>
    <w:p w14:paraId="241CACB0">
      <w:pPr>
        <w:rPr>
          <w:highlight w:val="none"/>
        </w:rPr>
      </w:pPr>
    </w:p>
    <w:p w14:paraId="5CC21F69">
      <w:pPr>
        <w:jc w:val="center"/>
        <w:rPr>
          <w:rFonts w:hint="eastAsia" w:ascii="宋体" w:hAnsi="宋体" w:eastAsia="宋体" w:cs="宋体"/>
          <w:sz w:val="28"/>
          <w:szCs w:val="28"/>
          <w:highlight w:val="none"/>
        </w:rPr>
      </w:pPr>
      <w:r>
        <w:rPr>
          <w:rFonts w:hint="eastAsia" w:ascii="宋体" w:hAnsi="宋体" w:cs="宋体"/>
          <w:sz w:val="24"/>
          <w:szCs w:val="24"/>
          <w:highlight w:val="none"/>
          <w:lang w:val="zh-CN"/>
        </w:rPr>
        <w:br w:type="page"/>
      </w:r>
      <w:r>
        <w:rPr>
          <w:rFonts w:hint="eastAsia" w:ascii="宋体" w:hAnsi="宋体" w:cs="宋体"/>
          <w:b/>
          <w:bCs/>
          <w:sz w:val="30"/>
          <w:szCs w:val="30"/>
          <w:highlight w:val="none"/>
          <w:lang w:val="en-US" w:eastAsia="zh-CN"/>
        </w:rPr>
        <w:t xml:space="preserve">第六章 </w:t>
      </w:r>
      <w:r>
        <w:rPr>
          <w:rFonts w:hint="eastAsia" w:ascii="宋体" w:hAnsi="宋体" w:eastAsia="宋体" w:cs="宋体"/>
          <w:b/>
          <w:bCs/>
          <w:sz w:val="30"/>
          <w:szCs w:val="30"/>
          <w:highlight w:val="none"/>
        </w:rPr>
        <w:t>投标文件</w:t>
      </w:r>
      <w:bookmarkEnd w:id="88"/>
      <w:bookmarkEnd w:id="89"/>
      <w:bookmarkEnd w:id="90"/>
      <w:bookmarkEnd w:id="91"/>
      <w:bookmarkEnd w:id="92"/>
      <w:bookmarkEnd w:id="93"/>
      <w:bookmarkEnd w:id="94"/>
      <w:bookmarkEnd w:id="95"/>
      <w:r>
        <w:rPr>
          <w:rFonts w:hint="eastAsia" w:ascii="宋体" w:hAnsi="宋体" w:eastAsia="宋体" w:cs="宋体"/>
          <w:b/>
          <w:bCs/>
          <w:sz w:val="30"/>
          <w:szCs w:val="30"/>
          <w:highlight w:val="none"/>
          <w:lang w:val="en-US" w:eastAsia="zh-CN"/>
        </w:rPr>
        <w:t>格式</w:t>
      </w:r>
    </w:p>
    <w:p w14:paraId="1928790B">
      <w:pPr>
        <w:spacing w:line="360" w:lineRule="auto"/>
        <w:jc w:val="center"/>
        <w:outlineLvl w:val="1"/>
        <w:rPr>
          <w:rFonts w:hint="eastAsia" w:ascii="宋体" w:hAnsi="宋体" w:cs="宋体"/>
          <w:sz w:val="24"/>
          <w:highlight w:val="none"/>
        </w:rPr>
      </w:pPr>
      <w:r>
        <w:rPr>
          <w:rFonts w:hint="eastAsia" w:ascii="宋体" w:hAnsi="宋体" w:cs="宋体"/>
          <w:b/>
          <w:sz w:val="36"/>
          <w:highlight w:val="none"/>
        </w:rPr>
        <w:br w:type="page"/>
      </w:r>
      <w:r>
        <w:rPr>
          <w:rFonts w:hint="eastAsia" w:ascii="宋体" w:hAnsi="宋体" w:cs="宋体"/>
          <w:b/>
          <w:sz w:val="36"/>
          <w:highlight w:val="none"/>
        </w:rPr>
        <w:t>目   录</w:t>
      </w:r>
    </w:p>
    <w:p w14:paraId="54439371">
      <w:pPr>
        <w:numPr>
          <w:ilvl w:val="0"/>
          <w:numId w:val="34"/>
        </w:numPr>
        <w:spacing w:line="360" w:lineRule="auto"/>
        <w:ind w:left="1843"/>
        <w:jc w:val="left"/>
        <w:rPr>
          <w:rFonts w:hint="eastAsia" w:ascii="宋体" w:hAnsi="宋体" w:cs="宋体"/>
          <w:sz w:val="24"/>
          <w:highlight w:val="none"/>
        </w:rPr>
      </w:pPr>
      <w:bookmarkStart w:id="97" w:name="_Toc10269"/>
      <w:r>
        <w:rPr>
          <w:rFonts w:hint="eastAsia" w:ascii="宋体" w:hAnsi="宋体" w:cs="宋体"/>
          <w:sz w:val="24"/>
          <w:highlight w:val="none"/>
        </w:rPr>
        <w:t>投标书</w:t>
      </w:r>
    </w:p>
    <w:p w14:paraId="18D70C49">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资格证明文件</w:t>
      </w:r>
    </w:p>
    <w:p w14:paraId="033B3AAA">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法定代表人(授权书/证明书）</w:t>
      </w:r>
    </w:p>
    <w:p w14:paraId="35CE58D6">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资格申明</w:t>
      </w:r>
    </w:p>
    <w:p w14:paraId="747621F6">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营业执照</w:t>
      </w:r>
      <w:r>
        <w:rPr>
          <w:rFonts w:hint="eastAsia" w:ascii="宋体" w:hAnsi="宋体" w:cs="宋体"/>
          <w:sz w:val="24"/>
          <w:highlight w:val="none"/>
          <w:lang w:val="en-US" w:eastAsia="zh-CN"/>
        </w:rPr>
        <w:t>或</w:t>
      </w:r>
      <w:r>
        <w:rPr>
          <w:rFonts w:hint="eastAsia" w:ascii="宋体" w:hAnsi="宋体" w:cs="宋体"/>
          <w:sz w:val="24"/>
          <w:highlight w:val="none"/>
        </w:rPr>
        <w:t xml:space="preserve">其他有效的证明文件 </w:t>
      </w:r>
    </w:p>
    <w:p w14:paraId="5176946C">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反商业贿赂承诺书</w:t>
      </w:r>
    </w:p>
    <w:p w14:paraId="09EDAC68">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无重大违法记录声明函</w:t>
      </w:r>
    </w:p>
    <w:p w14:paraId="55FE2D95">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纳税及社保缴纳证明</w:t>
      </w:r>
    </w:p>
    <w:p w14:paraId="6A54CBF5">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财务状况报告或银行开具的资信证明</w:t>
      </w:r>
    </w:p>
    <w:p w14:paraId="49F98120">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 xml:space="preserve">具有履行合同所必需的设备和专业技术能力的证明文件 </w:t>
      </w:r>
    </w:p>
    <w:p w14:paraId="7D93E85B">
      <w:pPr>
        <w:numPr>
          <w:ilvl w:val="1"/>
          <w:numId w:val="34"/>
        </w:numPr>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不存在参加同一合同项下的政府采购活动单位负责人为同一人或者存在直接控股、管理关系的</w:t>
      </w:r>
      <w:r>
        <w:rPr>
          <w:rFonts w:hint="eastAsia" w:ascii="宋体" w:hAnsi="宋体" w:cs="宋体"/>
          <w:sz w:val="24"/>
          <w:highlight w:val="none"/>
          <w:lang w:val="en-US" w:eastAsia="zh-CN"/>
        </w:rPr>
        <w:t>证明</w:t>
      </w:r>
      <w:r>
        <w:rPr>
          <w:rFonts w:hint="eastAsia" w:ascii="宋体" w:hAnsi="宋体" w:cs="宋体"/>
          <w:sz w:val="24"/>
          <w:highlight w:val="none"/>
        </w:rPr>
        <w:t>。</w:t>
      </w:r>
    </w:p>
    <w:p w14:paraId="5C261958">
      <w:pPr>
        <w:numPr>
          <w:ilvl w:val="1"/>
          <w:numId w:val="34"/>
        </w:numPr>
        <w:tabs>
          <w:tab w:val="left" w:pos="2268"/>
        </w:tabs>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信用查询承诺</w:t>
      </w:r>
    </w:p>
    <w:p w14:paraId="5371B062">
      <w:pPr>
        <w:numPr>
          <w:ilvl w:val="1"/>
          <w:numId w:val="34"/>
        </w:numPr>
        <w:tabs>
          <w:tab w:val="left" w:pos="2268"/>
        </w:tabs>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投标承诺函（格式）</w:t>
      </w:r>
    </w:p>
    <w:p w14:paraId="7C73EC28">
      <w:pPr>
        <w:numPr>
          <w:ilvl w:val="1"/>
          <w:numId w:val="34"/>
        </w:numPr>
        <w:tabs>
          <w:tab w:val="left" w:pos="2268"/>
        </w:tabs>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制造商授权书（进口产品适用）</w:t>
      </w:r>
    </w:p>
    <w:p w14:paraId="2FDE684D">
      <w:pPr>
        <w:numPr>
          <w:ilvl w:val="1"/>
          <w:numId w:val="34"/>
        </w:numPr>
        <w:tabs>
          <w:tab w:val="left" w:pos="2268"/>
        </w:tabs>
        <w:spacing w:line="360" w:lineRule="auto"/>
        <w:ind w:left="1843" w:hanging="142"/>
        <w:jc w:val="left"/>
        <w:rPr>
          <w:rFonts w:hint="default"/>
          <w:highlight w:val="none"/>
          <w:lang w:val="en-US" w:eastAsia="zh-CN"/>
        </w:rPr>
      </w:pPr>
      <w:r>
        <w:rPr>
          <w:rFonts w:hint="eastAsia" w:ascii="宋体" w:hAnsi="宋体" w:cs="宋体"/>
          <w:sz w:val="24"/>
          <w:highlight w:val="none"/>
          <w:lang w:val="en-US" w:eastAsia="zh-CN"/>
        </w:rPr>
        <w:t>投标产品的医疗器械注册证或相关备案凭证</w:t>
      </w:r>
    </w:p>
    <w:p w14:paraId="10B097C2">
      <w:pPr>
        <w:numPr>
          <w:ilvl w:val="1"/>
          <w:numId w:val="34"/>
        </w:numPr>
        <w:tabs>
          <w:tab w:val="left" w:pos="2268"/>
        </w:tabs>
        <w:spacing w:line="360" w:lineRule="auto"/>
        <w:ind w:left="1843" w:hanging="142"/>
        <w:jc w:val="left"/>
        <w:rPr>
          <w:rFonts w:hint="eastAsia" w:ascii="宋体" w:hAnsi="宋体" w:cs="宋体"/>
          <w:sz w:val="24"/>
          <w:highlight w:val="none"/>
        </w:rPr>
      </w:pPr>
      <w:r>
        <w:rPr>
          <w:rFonts w:hint="eastAsia" w:ascii="宋体" w:hAnsi="宋体" w:cs="宋体"/>
          <w:sz w:val="24"/>
          <w:highlight w:val="none"/>
          <w:lang w:val="en-US" w:eastAsia="zh-CN"/>
        </w:rPr>
        <w:t>医疗器械生产许可证或医疗器械经营许可证或医疗器械经营备案凭证</w:t>
      </w:r>
    </w:p>
    <w:p w14:paraId="083680F1">
      <w:pPr>
        <w:numPr>
          <w:ilvl w:val="1"/>
          <w:numId w:val="34"/>
        </w:numPr>
        <w:tabs>
          <w:tab w:val="left" w:pos="2268"/>
        </w:tabs>
        <w:spacing w:line="360" w:lineRule="auto"/>
        <w:ind w:left="1843" w:hanging="142"/>
        <w:jc w:val="left"/>
        <w:rPr>
          <w:rFonts w:hint="eastAsia" w:ascii="宋体" w:hAnsi="宋体" w:cs="宋体"/>
          <w:sz w:val="24"/>
          <w:highlight w:val="none"/>
        </w:rPr>
      </w:pPr>
      <w:r>
        <w:rPr>
          <w:rFonts w:hint="eastAsia" w:ascii="宋体" w:hAnsi="宋体" w:cs="宋体"/>
          <w:sz w:val="24"/>
          <w:highlight w:val="none"/>
        </w:rPr>
        <w:t>其他证明文件</w:t>
      </w:r>
    </w:p>
    <w:p w14:paraId="2CF5425C">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投标报价表格</w:t>
      </w:r>
    </w:p>
    <w:p w14:paraId="303A2A6D">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技术规格及商务偏离表</w:t>
      </w:r>
    </w:p>
    <w:p w14:paraId="0735FA79">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投标货物详细描述及技术支持资料</w:t>
      </w:r>
    </w:p>
    <w:p w14:paraId="0452DDC4">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质保承诺及售后服务</w:t>
      </w:r>
    </w:p>
    <w:p w14:paraId="14E6B9C4">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中小微企业声明函</w:t>
      </w:r>
    </w:p>
    <w:p w14:paraId="21D40C84">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残疾人福利企业声明函</w:t>
      </w:r>
    </w:p>
    <w:p w14:paraId="59F9F340">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产品适用政府采购政策情况表</w:t>
      </w:r>
    </w:p>
    <w:p w14:paraId="76D07A1E">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关于进口产品</w:t>
      </w:r>
    </w:p>
    <w:p w14:paraId="6108F4A9">
      <w:pPr>
        <w:numPr>
          <w:ilvl w:val="0"/>
          <w:numId w:val="34"/>
        </w:numPr>
        <w:spacing w:line="360" w:lineRule="auto"/>
        <w:ind w:left="1843"/>
        <w:jc w:val="left"/>
        <w:rPr>
          <w:rFonts w:hint="eastAsia" w:ascii="宋体" w:hAnsi="宋体" w:cs="宋体"/>
          <w:sz w:val="24"/>
          <w:highlight w:val="none"/>
        </w:rPr>
      </w:pPr>
      <w:r>
        <w:rPr>
          <w:rFonts w:hint="eastAsia" w:ascii="宋体" w:hAnsi="宋体" w:cs="宋体"/>
          <w:sz w:val="24"/>
          <w:highlight w:val="none"/>
        </w:rPr>
        <w:t>其他资料</w:t>
      </w:r>
    </w:p>
    <w:p w14:paraId="19B66B6F">
      <w:pPr>
        <w:rPr>
          <w:rFonts w:hint="eastAsia" w:ascii="宋体" w:hAnsi="宋体" w:cs="宋体"/>
          <w:b/>
          <w:sz w:val="36"/>
          <w:szCs w:val="22"/>
          <w:highlight w:val="none"/>
        </w:rPr>
      </w:pPr>
      <w:r>
        <w:rPr>
          <w:rFonts w:hint="eastAsia" w:ascii="宋体" w:hAnsi="宋体" w:cs="宋体"/>
          <w:b/>
          <w:sz w:val="36"/>
          <w:szCs w:val="22"/>
          <w:highlight w:val="none"/>
        </w:rPr>
        <w:br w:type="page"/>
      </w:r>
      <w:r>
        <w:rPr>
          <w:rFonts w:hint="eastAsia" w:ascii="宋体" w:hAnsi="宋体" w:cs="宋体"/>
          <w:b/>
          <w:sz w:val="36"/>
          <w:szCs w:val="22"/>
          <w:highlight w:val="none"/>
        </w:rPr>
        <w:t>封面：</w:t>
      </w:r>
    </w:p>
    <w:p w14:paraId="634236EF">
      <w:pPr>
        <w:tabs>
          <w:tab w:val="left" w:pos="360"/>
        </w:tabs>
        <w:spacing w:line="360" w:lineRule="auto"/>
        <w:jc w:val="center"/>
        <w:rPr>
          <w:rFonts w:hint="eastAsia" w:ascii="宋体" w:hAnsi="宋体" w:cs="宋体"/>
          <w:b/>
          <w:sz w:val="44"/>
          <w:szCs w:val="44"/>
          <w:highlight w:val="none"/>
          <w:u w:val="single"/>
        </w:rPr>
      </w:pPr>
    </w:p>
    <w:p w14:paraId="351C79C4">
      <w:pPr>
        <w:tabs>
          <w:tab w:val="left" w:pos="360"/>
        </w:tabs>
        <w:spacing w:line="360" w:lineRule="auto"/>
        <w:jc w:val="center"/>
        <w:rPr>
          <w:rFonts w:hint="eastAsia" w:ascii="宋体" w:hAnsi="宋体" w:cs="宋体"/>
          <w:b/>
          <w:sz w:val="44"/>
          <w:szCs w:val="44"/>
          <w:highlight w:val="none"/>
        </w:rPr>
      </w:pPr>
      <w:r>
        <w:rPr>
          <w:rFonts w:hint="eastAsia" w:ascii="宋体" w:hAnsi="宋体" w:cs="宋体"/>
          <w:b/>
          <w:sz w:val="44"/>
          <w:szCs w:val="44"/>
          <w:highlight w:val="none"/>
          <w:u w:val="single"/>
        </w:rPr>
        <w:t xml:space="preserve">                 </w:t>
      </w:r>
      <w:r>
        <w:rPr>
          <w:rFonts w:hint="eastAsia" w:ascii="宋体" w:hAnsi="宋体" w:cs="宋体"/>
          <w:b/>
          <w:sz w:val="44"/>
          <w:szCs w:val="44"/>
          <w:highlight w:val="none"/>
        </w:rPr>
        <w:t>项目</w:t>
      </w:r>
    </w:p>
    <w:p w14:paraId="1BC94BDE">
      <w:pPr>
        <w:tabs>
          <w:tab w:val="left" w:pos="55"/>
        </w:tabs>
        <w:spacing w:line="360" w:lineRule="auto"/>
        <w:jc w:val="left"/>
        <w:rPr>
          <w:rFonts w:hint="eastAsia" w:ascii="宋体" w:hAnsi="宋体" w:cs="宋体"/>
          <w:b/>
          <w:w w:val="150"/>
          <w:sz w:val="48"/>
          <w:szCs w:val="48"/>
          <w:highlight w:val="none"/>
        </w:rPr>
      </w:pPr>
      <w:r>
        <w:rPr>
          <w:rFonts w:hint="eastAsia" w:ascii="宋体" w:hAnsi="宋体" w:cs="宋体"/>
          <w:b/>
          <w:w w:val="150"/>
          <w:sz w:val="84"/>
          <w:szCs w:val="22"/>
          <w:highlight w:val="none"/>
        </w:rPr>
        <w:tab/>
      </w:r>
    </w:p>
    <w:p w14:paraId="39522C0C">
      <w:pPr>
        <w:tabs>
          <w:tab w:val="left" w:pos="1950"/>
        </w:tabs>
        <w:spacing w:line="360" w:lineRule="auto"/>
        <w:jc w:val="left"/>
        <w:rPr>
          <w:rFonts w:hint="eastAsia" w:ascii="宋体" w:hAnsi="宋体" w:cs="宋体"/>
          <w:b/>
          <w:w w:val="150"/>
          <w:sz w:val="48"/>
          <w:szCs w:val="48"/>
          <w:highlight w:val="none"/>
        </w:rPr>
      </w:pPr>
    </w:p>
    <w:p w14:paraId="5B269F50">
      <w:pPr>
        <w:tabs>
          <w:tab w:val="left" w:pos="1950"/>
        </w:tabs>
        <w:spacing w:line="360" w:lineRule="auto"/>
        <w:jc w:val="left"/>
        <w:rPr>
          <w:rFonts w:hint="eastAsia" w:ascii="宋体" w:hAnsi="宋体" w:cs="宋体"/>
          <w:b/>
          <w:w w:val="150"/>
          <w:sz w:val="48"/>
          <w:szCs w:val="48"/>
          <w:highlight w:val="none"/>
        </w:rPr>
      </w:pPr>
    </w:p>
    <w:p w14:paraId="4AA3665C">
      <w:pPr>
        <w:tabs>
          <w:tab w:val="left" w:pos="1950"/>
        </w:tabs>
        <w:spacing w:line="360" w:lineRule="auto"/>
        <w:jc w:val="left"/>
        <w:rPr>
          <w:rFonts w:hint="eastAsia" w:ascii="宋体" w:hAnsi="宋体" w:cs="宋体"/>
          <w:b/>
          <w:w w:val="150"/>
          <w:sz w:val="48"/>
          <w:szCs w:val="48"/>
          <w:highlight w:val="none"/>
        </w:rPr>
      </w:pPr>
    </w:p>
    <w:p w14:paraId="6A0AF475">
      <w:pPr>
        <w:spacing w:line="360" w:lineRule="auto"/>
        <w:jc w:val="center"/>
        <w:rPr>
          <w:rFonts w:hint="eastAsia" w:ascii="宋体" w:hAnsi="宋体" w:cs="宋体"/>
          <w:b/>
          <w:sz w:val="84"/>
          <w:szCs w:val="84"/>
          <w:highlight w:val="none"/>
        </w:rPr>
      </w:pPr>
      <w:r>
        <w:rPr>
          <w:rFonts w:hint="eastAsia" w:ascii="宋体" w:hAnsi="宋体" w:cs="宋体"/>
          <w:b/>
          <w:sz w:val="84"/>
          <w:szCs w:val="84"/>
          <w:highlight w:val="none"/>
        </w:rPr>
        <w:t>投标文件</w:t>
      </w:r>
    </w:p>
    <w:p w14:paraId="00AD0463">
      <w:pPr>
        <w:spacing w:line="360" w:lineRule="auto"/>
        <w:jc w:val="center"/>
        <w:rPr>
          <w:rFonts w:hint="eastAsia" w:ascii="宋体" w:hAnsi="宋体" w:cs="宋体"/>
          <w:b/>
          <w:bCs/>
          <w:sz w:val="30"/>
          <w:szCs w:val="30"/>
          <w:highlight w:val="none"/>
        </w:rPr>
      </w:pPr>
      <w:r>
        <w:rPr>
          <w:rFonts w:hint="eastAsia" w:ascii="宋体" w:hAnsi="宋体" w:cs="宋体"/>
          <w:b/>
          <w:bCs/>
          <w:sz w:val="30"/>
          <w:szCs w:val="30"/>
          <w:highlight w:val="none"/>
        </w:rPr>
        <w:t xml:space="preserve">项目编号：     </w:t>
      </w:r>
    </w:p>
    <w:p w14:paraId="6B59B17F">
      <w:pPr>
        <w:spacing w:line="360" w:lineRule="auto"/>
        <w:jc w:val="center"/>
        <w:rPr>
          <w:rFonts w:hint="eastAsia" w:ascii="宋体" w:hAnsi="宋体" w:cs="宋体"/>
          <w:b/>
          <w:sz w:val="32"/>
          <w:szCs w:val="22"/>
          <w:highlight w:val="none"/>
        </w:rPr>
      </w:pPr>
    </w:p>
    <w:p w14:paraId="768621CE">
      <w:pPr>
        <w:spacing w:line="360" w:lineRule="auto"/>
        <w:jc w:val="center"/>
        <w:rPr>
          <w:rFonts w:hint="eastAsia" w:ascii="宋体" w:hAnsi="宋体" w:cs="宋体"/>
          <w:b/>
          <w:sz w:val="32"/>
          <w:szCs w:val="22"/>
          <w:highlight w:val="none"/>
        </w:rPr>
      </w:pPr>
    </w:p>
    <w:p w14:paraId="056077EC">
      <w:pPr>
        <w:spacing w:line="360" w:lineRule="auto"/>
        <w:jc w:val="center"/>
        <w:rPr>
          <w:rFonts w:hint="eastAsia" w:ascii="宋体" w:hAnsi="宋体" w:cs="宋体"/>
          <w:b/>
          <w:sz w:val="32"/>
          <w:szCs w:val="22"/>
          <w:highlight w:val="none"/>
        </w:rPr>
      </w:pPr>
    </w:p>
    <w:p w14:paraId="2B85A3BE">
      <w:pPr>
        <w:spacing w:line="360" w:lineRule="auto"/>
        <w:jc w:val="center"/>
        <w:rPr>
          <w:rFonts w:hint="eastAsia" w:ascii="宋体" w:hAnsi="宋体" w:cs="宋体"/>
          <w:b/>
          <w:sz w:val="32"/>
          <w:szCs w:val="22"/>
          <w:highlight w:val="none"/>
        </w:rPr>
      </w:pPr>
    </w:p>
    <w:p w14:paraId="1093A458">
      <w:pPr>
        <w:spacing w:line="360" w:lineRule="auto"/>
        <w:rPr>
          <w:rFonts w:hint="eastAsia" w:ascii="宋体" w:hAnsi="宋体" w:cs="宋体"/>
          <w:b/>
          <w:sz w:val="32"/>
          <w:szCs w:val="22"/>
          <w:highlight w:val="none"/>
        </w:rPr>
      </w:pPr>
    </w:p>
    <w:p w14:paraId="0110A635">
      <w:pPr>
        <w:spacing w:after="134" w:line="460" w:lineRule="exact"/>
        <w:ind w:right="3634" w:firstLine="150" w:firstLineChars="50"/>
        <w:rPr>
          <w:rFonts w:hint="eastAsia" w:ascii="宋体" w:hAnsi="宋体" w:cs="宋体"/>
          <w:sz w:val="30"/>
          <w:szCs w:val="22"/>
          <w:highlight w:val="none"/>
        </w:rPr>
      </w:pPr>
      <w:r>
        <w:rPr>
          <w:rFonts w:hint="eastAsia" w:ascii="宋体" w:hAnsi="宋体" w:cs="宋体"/>
          <w:sz w:val="30"/>
          <w:szCs w:val="22"/>
          <w:highlight w:val="none"/>
          <w:lang w:eastAsia="zh-CN"/>
        </w:rPr>
        <w:t>供应商</w:t>
      </w:r>
      <w:r>
        <w:rPr>
          <w:rFonts w:hint="eastAsia" w:ascii="宋体" w:hAnsi="宋体" w:cs="宋体"/>
          <w:sz w:val="30"/>
          <w:szCs w:val="22"/>
          <w:highlight w:val="none"/>
        </w:rPr>
        <w:t>（</w:t>
      </w:r>
      <w:r>
        <w:rPr>
          <w:rFonts w:hint="eastAsia" w:ascii="宋体" w:hAnsi="宋体" w:cs="宋体"/>
          <w:sz w:val="30"/>
          <w:szCs w:val="22"/>
          <w:highlight w:val="none"/>
          <w:lang w:val="en-US" w:eastAsia="zh-CN"/>
        </w:rPr>
        <w:t>单位</w:t>
      </w:r>
      <w:r>
        <w:rPr>
          <w:rFonts w:hint="eastAsia" w:ascii="宋体" w:hAnsi="宋体" w:cs="宋体"/>
          <w:sz w:val="30"/>
          <w:szCs w:val="22"/>
          <w:highlight w:val="none"/>
        </w:rPr>
        <w:t xml:space="preserve">电子签章）： </w:t>
      </w:r>
    </w:p>
    <w:p w14:paraId="19FB0C5A">
      <w:pPr>
        <w:spacing w:line="360" w:lineRule="auto"/>
        <w:ind w:firstLine="150" w:firstLineChars="50"/>
        <w:jc w:val="left"/>
        <w:rPr>
          <w:rFonts w:hint="eastAsia" w:ascii="宋体" w:hAnsi="宋体" w:cs="宋体"/>
          <w:sz w:val="30"/>
          <w:szCs w:val="22"/>
          <w:highlight w:val="none"/>
        </w:rPr>
      </w:pPr>
      <w:r>
        <w:rPr>
          <w:rFonts w:hint="eastAsia" w:ascii="宋体" w:hAnsi="宋体" w:cs="宋体"/>
          <w:sz w:val="30"/>
          <w:szCs w:val="22"/>
          <w:highlight w:val="none"/>
        </w:rPr>
        <w:t>法定代表人（</w:t>
      </w:r>
      <w:r>
        <w:rPr>
          <w:rFonts w:hint="eastAsia" w:ascii="宋体" w:hAnsi="宋体" w:cs="宋体"/>
          <w:sz w:val="30"/>
          <w:szCs w:val="22"/>
          <w:highlight w:val="none"/>
          <w:lang w:val="en-US" w:eastAsia="zh-CN"/>
        </w:rPr>
        <w:t>签字或</w:t>
      </w:r>
      <w:r>
        <w:rPr>
          <w:rFonts w:hint="eastAsia" w:ascii="宋体" w:hAnsi="宋体" w:cs="宋体"/>
          <w:sz w:val="30"/>
          <w:szCs w:val="22"/>
          <w:highlight w:val="none"/>
        </w:rPr>
        <w:t>电子签章）：</w:t>
      </w:r>
    </w:p>
    <w:p w14:paraId="4F22B333">
      <w:pPr>
        <w:pStyle w:val="81"/>
        <w:ind w:left="0" w:leftChars="0" w:firstLine="0" w:firstLineChars="0"/>
        <w:rPr>
          <w:rFonts w:hint="eastAsia" w:ascii="宋体" w:hAnsi="宋体" w:eastAsia="宋体" w:cs="宋体"/>
          <w:kern w:val="2"/>
          <w:sz w:val="30"/>
          <w:szCs w:val="30"/>
          <w:highlight w:val="none"/>
        </w:rPr>
      </w:pPr>
    </w:p>
    <w:p w14:paraId="60942F86">
      <w:pPr>
        <w:pStyle w:val="81"/>
        <w:ind w:left="0" w:leftChars="0" w:firstLine="0" w:firstLineChars="0"/>
        <w:jc w:val="center"/>
        <w:rPr>
          <w:rFonts w:hint="eastAsia" w:ascii="宋体" w:hAnsi="宋体" w:eastAsia="宋体" w:cs="宋体"/>
          <w:highlight w:val="none"/>
        </w:rPr>
      </w:pPr>
      <w:r>
        <w:rPr>
          <w:rFonts w:hint="eastAsia" w:ascii="宋体" w:hAnsi="宋体" w:eastAsia="宋体" w:cs="宋体"/>
          <w:kern w:val="2"/>
          <w:sz w:val="30"/>
          <w:szCs w:val="30"/>
          <w:highlight w:val="none"/>
          <w:lang w:val="en-US" w:eastAsia="zh-CN"/>
        </w:rPr>
        <w:t xml:space="preserve">   </w:t>
      </w:r>
      <w:r>
        <w:rPr>
          <w:rFonts w:hint="eastAsia" w:ascii="宋体" w:hAnsi="宋体" w:eastAsia="宋体" w:cs="宋体"/>
          <w:kern w:val="2"/>
          <w:sz w:val="30"/>
          <w:szCs w:val="30"/>
          <w:highlight w:val="none"/>
        </w:rPr>
        <w:t>年  月  日</w:t>
      </w:r>
    </w:p>
    <w:p w14:paraId="3EC2A989">
      <w:pPr>
        <w:pStyle w:val="142"/>
        <w:ind w:firstLine="420"/>
        <w:rPr>
          <w:rFonts w:hint="eastAsia" w:ascii="宋体" w:hAnsi="宋体" w:cs="宋体"/>
          <w:highlight w:val="none"/>
        </w:rPr>
      </w:pPr>
      <w:r>
        <w:rPr>
          <w:rFonts w:hint="eastAsia" w:ascii="宋体" w:hAnsi="宋体" w:cs="宋体"/>
          <w:highlight w:val="none"/>
        </w:rPr>
        <w:br w:type="page"/>
      </w:r>
    </w:p>
    <w:p w14:paraId="7F542531">
      <w:pPr>
        <w:pStyle w:val="4"/>
        <w:numPr>
          <w:ilvl w:val="0"/>
          <w:numId w:val="0"/>
        </w:numPr>
        <w:rPr>
          <w:rFonts w:hint="eastAsia" w:ascii="宋体" w:hAnsi="宋体" w:eastAsia="宋体" w:cs="宋体"/>
          <w:highlight w:val="none"/>
        </w:rPr>
      </w:pPr>
      <w:bookmarkStart w:id="98" w:name="_资格证明文件"/>
      <w:bookmarkEnd w:id="98"/>
      <w:bookmarkStart w:id="99" w:name="_Toc497920531"/>
      <w:bookmarkEnd w:id="99"/>
      <w:bookmarkStart w:id="100" w:name="_Toc497920532"/>
      <w:bookmarkEnd w:id="100"/>
      <w:bookmarkStart w:id="101" w:name="_Toc13969"/>
      <w:bookmarkStart w:id="102" w:name="_Toc5284"/>
      <w:bookmarkStart w:id="103" w:name="_Toc22804122"/>
      <w:bookmarkStart w:id="104" w:name="_Toc22962925"/>
      <w:bookmarkStart w:id="105" w:name="_Toc22568836"/>
      <w:bookmarkStart w:id="106" w:name="_Toc497920533"/>
      <w:bookmarkStart w:id="107" w:name="_Toc22570543"/>
      <w:bookmarkStart w:id="108" w:name="_Toc32568"/>
      <w:bookmarkStart w:id="109" w:name="_Toc22953444"/>
      <w:bookmarkStart w:id="110" w:name="_Toc22724003"/>
      <w:r>
        <w:rPr>
          <w:rFonts w:hint="eastAsia" w:ascii="宋体" w:hAnsi="宋体" w:eastAsia="宋体" w:cs="宋体"/>
          <w:highlight w:val="none"/>
        </w:rPr>
        <w:t>1.投 标 书</w:t>
      </w:r>
      <w:bookmarkEnd w:id="101"/>
      <w:bookmarkEnd w:id="102"/>
      <w:bookmarkEnd w:id="103"/>
      <w:bookmarkEnd w:id="104"/>
      <w:bookmarkEnd w:id="105"/>
      <w:bookmarkEnd w:id="106"/>
      <w:bookmarkEnd w:id="107"/>
      <w:bookmarkEnd w:id="108"/>
      <w:bookmarkEnd w:id="109"/>
      <w:bookmarkEnd w:id="110"/>
    </w:p>
    <w:p w14:paraId="0D254DE8">
      <w:pPr>
        <w:rPr>
          <w:rFonts w:hint="eastAsia" w:ascii="宋体" w:hAnsi="宋体" w:cs="宋体"/>
          <w:sz w:val="24"/>
          <w:highlight w:val="none"/>
        </w:rPr>
      </w:pPr>
    </w:p>
    <w:p w14:paraId="31642AB7">
      <w:pPr>
        <w:spacing w:line="360" w:lineRule="auto"/>
        <w:rPr>
          <w:rFonts w:hint="eastAsia" w:ascii="宋体" w:hAnsi="宋体" w:cs="宋体"/>
          <w:highlight w:val="none"/>
        </w:rPr>
      </w:pPr>
      <w:r>
        <w:rPr>
          <w:rFonts w:hint="eastAsia" w:ascii="宋体" w:hAnsi="宋体" w:cs="宋体"/>
          <w:sz w:val="24"/>
          <w:highlight w:val="none"/>
        </w:rPr>
        <w:t>致：</w:t>
      </w:r>
      <w:r>
        <w:rPr>
          <w:rFonts w:hint="eastAsia" w:ascii="宋体" w:hAnsi="宋体" w:cs="宋体"/>
          <w:sz w:val="24"/>
          <w:highlight w:val="none"/>
          <w:u w:val="single"/>
          <w:lang w:eastAsia="zh-CN"/>
        </w:rPr>
        <w:t>新乡医学院第一附属医院</w:t>
      </w:r>
      <w:r>
        <w:rPr>
          <w:rFonts w:hint="eastAsia" w:ascii="宋体" w:hAnsi="宋体" w:cs="宋体"/>
          <w:sz w:val="24"/>
          <w:highlight w:val="none"/>
          <w:u w:val="single"/>
        </w:rPr>
        <w:t>（或代理公司名称）</w:t>
      </w:r>
    </w:p>
    <w:p w14:paraId="036FEA9C">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我们收到了项目编号为</w:t>
      </w:r>
      <w:r>
        <w:rPr>
          <w:rFonts w:hint="eastAsia" w:ascii="宋体" w:hAnsi="宋体" w:cs="宋体"/>
          <w:sz w:val="24"/>
          <w:highlight w:val="none"/>
          <w:u w:val="single"/>
        </w:rPr>
        <w:t xml:space="preserve">          </w:t>
      </w:r>
      <w:r>
        <w:rPr>
          <w:rFonts w:hint="eastAsia" w:ascii="宋体" w:hAnsi="宋体" w:cs="宋体"/>
          <w:sz w:val="24"/>
          <w:highlight w:val="none"/>
        </w:rPr>
        <w:t>的</w:t>
      </w:r>
      <w:r>
        <w:rPr>
          <w:rFonts w:hint="eastAsia" w:ascii="宋体" w:hAnsi="宋体" w:cs="宋体"/>
          <w:sz w:val="24"/>
          <w:highlight w:val="none"/>
          <w:u w:val="single"/>
        </w:rPr>
        <w:t xml:space="preserve">    （项目名称）的</w:t>
      </w:r>
      <w:r>
        <w:rPr>
          <w:rFonts w:hint="eastAsia" w:ascii="宋体" w:hAnsi="宋体" w:cs="宋体"/>
          <w:sz w:val="24"/>
          <w:highlight w:val="none"/>
        </w:rPr>
        <w:t>招标文件，经详细研究，我们决定参加该项目的投标活动并按要求提交投标文件。我们郑重声明以下诸点并负法律责任:</w:t>
      </w:r>
    </w:p>
    <w:p w14:paraId="009CBC46">
      <w:pPr>
        <w:pStyle w:val="27"/>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 愿按照招标文件中规定的条款和要求，提供完成招标文件规定的全部工作，投标总报价为（大写）</w:t>
      </w:r>
      <w:r>
        <w:rPr>
          <w:rFonts w:hint="eastAsia" w:ascii="宋体" w:hAnsi="宋体" w:cs="宋体"/>
          <w:sz w:val="24"/>
          <w:highlight w:val="none"/>
          <w:u w:val="single"/>
        </w:rPr>
        <w:t xml:space="preserve">         </w:t>
      </w:r>
      <w:r>
        <w:rPr>
          <w:rFonts w:hint="eastAsia" w:ascii="宋体" w:hAnsi="宋体" w:cs="宋体"/>
          <w:sz w:val="24"/>
          <w:highlight w:val="none"/>
        </w:rPr>
        <w:t>元人民币（</w:t>
      </w:r>
      <w:r>
        <w:rPr>
          <w:rFonts w:hint="eastAsia" w:ascii="宋体" w:hAnsi="宋体" w:cs="宋体"/>
          <w:highlight w:val="none"/>
        </w:rPr>
        <w:t>RMB￥：</w:t>
      </w:r>
      <w:r>
        <w:rPr>
          <w:rFonts w:hint="eastAsia" w:ascii="宋体" w:hAnsi="宋体" w:cs="宋体"/>
          <w:highlight w:val="none"/>
          <w:u w:val="single"/>
        </w:rPr>
        <w:t xml:space="preserve">             </w:t>
      </w:r>
      <w:r>
        <w:rPr>
          <w:rFonts w:hint="eastAsia" w:ascii="宋体" w:hAnsi="宋体" w:cs="宋体"/>
          <w:highlight w:val="none"/>
        </w:rPr>
        <w:t>元</w:t>
      </w:r>
      <w:r>
        <w:rPr>
          <w:rFonts w:hint="eastAsia" w:ascii="宋体" w:hAnsi="宋体" w:cs="宋体"/>
          <w:sz w:val="24"/>
          <w:highlight w:val="none"/>
        </w:rPr>
        <w:t>），项目交货期（供货期）为合同签订后</w:t>
      </w:r>
      <w:r>
        <w:rPr>
          <w:rFonts w:hint="eastAsia" w:ascii="宋体" w:hAnsi="宋体" w:cs="宋体"/>
          <w:sz w:val="24"/>
          <w:highlight w:val="none"/>
          <w:u w:val="single"/>
        </w:rPr>
        <w:t xml:space="preserve">    </w:t>
      </w:r>
      <w:r>
        <w:rPr>
          <w:rFonts w:hint="eastAsia" w:ascii="宋体" w:hAnsi="宋体" w:cs="宋体"/>
          <w:highlight w:val="none"/>
          <w:u w:val="single"/>
        </w:rPr>
        <w:t xml:space="preserve"> </w:t>
      </w:r>
      <w:r>
        <w:rPr>
          <w:rFonts w:hint="eastAsia" w:ascii="宋体" w:hAnsi="宋体" w:cs="宋体"/>
          <w:sz w:val="24"/>
          <w:highlight w:val="none"/>
        </w:rPr>
        <w:t>个日历天。</w:t>
      </w:r>
    </w:p>
    <w:p w14:paraId="62F72907">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 如果我们的投标文件被接受，我们将履行招标文件中规定的各项要求及合同文本的要求。</w:t>
      </w:r>
    </w:p>
    <w:p w14:paraId="5504135E">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 我们同意遵守本招标文件中有关投标有效期从提交投标文件的截止之日起90日的规定。</w:t>
      </w:r>
    </w:p>
    <w:p w14:paraId="65370F7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 我们愿提供招标文件中要求的所有文件资料。</w:t>
      </w:r>
    </w:p>
    <w:p w14:paraId="783ACDA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 我们已经详细审核了全部招标文件，如有需要澄清的问题，我们同意按招标文件规定的时间向采购人提出。逾期不提，我公司同意放弃对这方面有不明及误解的权利。</w:t>
      </w:r>
    </w:p>
    <w:p w14:paraId="37C9C012">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 我公司同意提供按照采购人可能要求的与其投标有关的一切数据或资料，完全理解采购人不一定接受最低价的投标或收到的任何投标。</w:t>
      </w:r>
    </w:p>
    <w:p w14:paraId="21AE2D6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(7) 我们愿按《中华人民共和国民法典》履行自己的全部责任。</w:t>
      </w:r>
    </w:p>
    <w:p w14:paraId="6A662BB8">
      <w:pPr>
        <w:spacing w:line="400" w:lineRule="exact"/>
        <w:ind w:firstLine="465"/>
        <w:rPr>
          <w:rFonts w:hint="eastAsia" w:ascii="宋体" w:hAnsi="宋体" w:cs="宋体"/>
          <w:sz w:val="24"/>
          <w:highlight w:val="none"/>
        </w:rPr>
      </w:pPr>
    </w:p>
    <w:p w14:paraId="22B8DDDD">
      <w:pPr>
        <w:pStyle w:val="33"/>
        <w:spacing w:line="500" w:lineRule="exact"/>
        <w:ind w:firstLine="720" w:firstLineChars="300"/>
        <w:rPr>
          <w:rFonts w:hint="eastAsia" w:ascii="宋体" w:hAnsi="宋体" w:eastAsia="宋体" w:cs="宋体"/>
          <w:sz w:val="24"/>
          <w:highlight w:val="none"/>
        </w:rPr>
      </w:pPr>
      <w:r>
        <w:rPr>
          <w:rFonts w:hint="eastAsia" w:ascii="宋体" w:hAnsi="宋体" w:eastAsia="宋体" w:cs="宋体"/>
          <w:sz w:val="24"/>
          <w:highlight w:val="none"/>
          <w:lang w:eastAsia="zh-CN"/>
        </w:rPr>
        <w:t>供应商（盖单位电子章）</w:t>
      </w:r>
      <w:r>
        <w:rPr>
          <w:rFonts w:hint="eastAsia" w:ascii="宋体" w:hAnsi="宋体" w:eastAsia="宋体" w:cs="宋体"/>
          <w:sz w:val="24"/>
          <w:highlight w:val="none"/>
        </w:rPr>
        <w:t>：</w:t>
      </w:r>
    </w:p>
    <w:p w14:paraId="66838E4C">
      <w:pPr>
        <w:spacing w:line="400" w:lineRule="exact"/>
        <w:ind w:left="5758" w:leftChars="342" w:hanging="5040" w:hangingChars="2100"/>
        <w:jc w:val="left"/>
        <w:rPr>
          <w:rFonts w:hint="eastAsia" w:ascii="宋体" w:hAnsi="宋体" w:cs="宋体"/>
          <w:sz w:val="24"/>
          <w:highlight w:val="none"/>
        </w:rPr>
      </w:pPr>
      <w:r>
        <w:rPr>
          <w:rFonts w:hint="eastAsia" w:ascii="宋体" w:hAnsi="宋体" w:cs="宋体"/>
          <w:kern w:val="0"/>
          <w:sz w:val="24"/>
          <w:szCs w:val="20"/>
          <w:highlight w:val="none"/>
        </w:rPr>
        <w:t>法定代表人：（签字或盖</w:t>
      </w:r>
      <w:r>
        <w:rPr>
          <w:rFonts w:hint="eastAsia" w:ascii="宋体" w:hAnsi="宋体" w:cs="宋体"/>
          <w:kern w:val="0"/>
          <w:sz w:val="24"/>
          <w:szCs w:val="20"/>
          <w:highlight w:val="none"/>
          <w:lang w:val="en-US" w:eastAsia="zh-CN"/>
        </w:rPr>
        <w:t>电子</w:t>
      </w:r>
      <w:r>
        <w:rPr>
          <w:rFonts w:hint="eastAsia" w:ascii="宋体" w:hAnsi="宋体" w:cs="宋体"/>
          <w:kern w:val="0"/>
          <w:sz w:val="24"/>
          <w:szCs w:val="20"/>
          <w:highlight w:val="none"/>
        </w:rPr>
        <w:t xml:space="preserve">章） </w:t>
      </w:r>
      <w:r>
        <w:rPr>
          <w:rFonts w:hint="eastAsia" w:ascii="宋体" w:hAnsi="宋体" w:cs="宋体"/>
          <w:sz w:val="24"/>
          <w:highlight w:val="none"/>
        </w:rPr>
        <w:t xml:space="preserve">                                                                                </w:t>
      </w:r>
    </w:p>
    <w:p w14:paraId="6B10399B">
      <w:pPr>
        <w:pStyle w:val="80"/>
        <w:spacing w:after="0"/>
        <w:ind w:firstLine="480"/>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77DFD6F">
      <w:pPr>
        <w:pStyle w:val="80"/>
        <w:spacing w:after="0"/>
        <w:ind w:firstLine="480"/>
        <w:rPr>
          <w:rFonts w:hint="eastAsia" w:ascii="宋体" w:hAnsi="宋体" w:eastAsia="宋体" w:cs="宋体"/>
          <w:sz w:val="24"/>
          <w:highlight w:val="none"/>
        </w:rPr>
      </w:pPr>
    </w:p>
    <w:p w14:paraId="1D3766C0">
      <w:pPr>
        <w:pStyle w:val="80"/>
        <w:spacing w:after="0"/>
        <w:ind w:firstLine="480"/>
        <w:rPr>
          <w:rFonts w:hint="eastAsia" w:ascii="宋体" w:hAnsi="宋体" w:eastAsia="宋体" w:cs="宋体"/>
          <w:sz w:val="24"/>
          <w:highlight w:val="none"/>
        </w:rPr>
      </w:pPr>
    </w:p>
    <w:p w14:paraId="3CD8BCF4">
      <w:pPr>
        <w:spacing w:line="440" w:lineRule="exact"/>
        <w:jc w:val="center"/>
        <w:outlineLvl w:val="1"/>
        <w:rPr>
          <w:rFonts w:ascii="宋体" w:hAnsi="宋体" w:cs="宋体"/>
          <w:b/>
          <w:bCs/>
          <w:color w:val="auto"/>
          <w:sz w:val="24"/>
          <w:highlight w:val="none"/>
        </w:rPr>
      </w:pPr>
      <w:r>
        <w:rPr>
          <w:rFonts w:hint="eastAsia" w:ascii="宋体" w:hAnsi="宋体" w:eastAsia="宋体" w:cs="宋体"/>
          <w:sz w:val="24"/>
          <w:highlight w:val="none"/>
        </w:rPr>
        <w:br w:type="page"/>
      </w:r>
      <w:r>
        <w:rPr>
          <w:rFonts w:hint="eastAsia" w:ascii="宋体" w:hAnsi="宋体" w:eastAsia="宋体" w:cs="宋体"/>
          <w:b/>
          <w:bCs/>
          <w:color w:val="auto"/>
          <w:sz w:val="28"/>
          <w:highlight w:val="none"/>
        </w:rPr>
        <w:t>开标一览表</w:t>
      </w:r>
    </w:p>
    <w:tbl>
      <w:tblPr>
        <w:tblStyle w:val="8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6129"/>
      </w:tblGrid>
      <w:tr w14:paraId="6908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393" w:type="dxa"/>
            <w:noWrap w:val="0"/>
            <w:vAlign w:val="center"/>
          </w:tcPr>
          <w:p w14:paraId="0B4C88D3">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名称</w:t>
            </w:r>
          </w:p>
        </w:tc>
        <w:tc>
          <w:tcPr>
            <w:tcW w:w="6129" w:type="dxa"/>
            <w:noWrap w:val="0"/>
            <w:vAlign w:val="center"/>
          </w:tcPr>
          <w:p w14:paraId="0411B1C5">
            <w:pPr>
              <w:spacing w:line="440" w:lineRule="exact"/>
              <w:rPr>
                <w:rFonts w:hint="eastAsia" w:ascii="宋体" w:hAnsi="宋体" w:eastAsia="宋体" w:cs="宋体"/>
                <w:color w:val="auto"/>
                <w:sz w:val="24"/>
                <w:szCs w:val="24"/>
                <w:highlight w:val="none"/>
              </w:rPr>
            </w:pPr>
          </w:p>
        </w:tc>
      </w:tr>
      <w:tr w14:paraId="4A07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2393" w:type="dxa"/>
            <w:noWrap w:val="0"/>
            <w:vAlign w:val="center"/>
          </w:tcPr>
          <w:p w14:paraId="5230BFFA">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投标总报价（大写）</w:t>
            </w:r>
          </w:p>
        </w:tc>
        <w:tc>
          <w:tcPr>
            <w:tcW w:w="6129" w:type="dxa"/>
            <w:noWrap w:val="0"/>
            <w:vAlign w:val="center"/>
          </w:tcPr>
          <w:p w14:paraId="32646B40">
            <w:pPr>
              <w:spacing w:line="440" w:lineRule="exact"/>
              <w:rPr>
                <w:rFonts w:hint="eastAsia" w:ascii="宋体" w:hAnsi="宋体" w:eastAsia="宋体" w:cs="宋体"/>
                <w:color w:val="auto"/>
                <w:sz w:val="24"/>
                <w:szCs w:val="24"/>
                <w:highlight w:val="none"/>
              </w:rPr>
            </w:pPr>
          </w:p>
        </w:tc>
      </w:tr>
      <w:tr w14:paraId="5B73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93" w:type="dxa"/>
            <w:noWrap w:val="0"/>
            <w:vAlign w:val="center"/>
          </w:tcPr>
          <w:p w14:paraId="06F7746F">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投标总报价（小写）</w:t>
            </w:r>
          </w:p>
        </w:tc>
        <w:tc>
          <w:tcPr>
            <w:tcW w:w="6129" w:type="dxa"/>
            <w:noWrap w:val="0"/>
            <w:vAlign w:val="center"/>
          </w:tcPr>
          <w:p w14:paraId="76B7E7C7">
            <w:pPr>
              <w:spacing w:line="440" w:lineRule="exact"/>
              <w:rPr>
                <w:rFonts w:hint="eastAsia" w:ascii="宋体" w:hAnsi="宋体" w:eastAsia="宋体" w:cs="宋体"/>
                <w:color w:val="auto"/>
                <w:sz w:val="24"/>
                <w:szCs w:val="24"/>
                <w:highlight w:val="none"/>
              </w:rPr>
            </w:pPr>
          </w:p>
        </w:tc>
      </w:tr>
      <w:tr w14:paraId="10C9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2393" w:type="dxa"/>
            <w:noWrap w:val="0"/>
            <w:vAlign w:val="center"/>
          </w:tcPr>
          <w:p w14:paraId="120E0692">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单项报价</w:t>
            </w:r>
            <w:r>
              <w:rPr>
                <w:rFonts w:hint="eastAsia" w:ascii="宋体" w:hAnsi="宋体" w:eastAsia="宋体" w:cs="宋体"/>
                <w:color w:val="auto"/>
                <w:sz w:val="24"/>
                <w:szCs w:val="24"/>
                <w:highlight w:val="none"/>
              </w:rPr>
              <w:t>（大写）</w:t>
            </w:r>
          </w:p>
        </w:tc>
        <w:tc>
          <w:tcPr>
            <w:tcW w:w="6129" w:type="dxa"/>
            <w:noWrap w:val="0"/>
            <w:vAlign w:val="center"/>
          </w:tcPr>
          <w:p w14:paraId="67467425">
            <w:pPr>
              <w:spacing w:line="440" w:lineRule="exact"/>
              <w:rPr>
                <w:rFonts w:hint="eastAsia" w:ascii="宋体" w:hAnsi="宋体" w:eastAsia="宋体" w:cs="宋体"/>
                <w:color w:val="auto"/>
                <w:sz w:val="24"/>
                <w:szCs w:val="24"/>
                <w:highlight w:val="none"/>
              </w:rPr>
            </w:pPr>
            <w:r>
              <w:rPr>
                <w:rFonts w:hint="eastAsia" w:ascii="宋体" w:hAnsi="宋体" w:eastAsia="宋体" w:cs="宋体"/>
                <w:sz w:val="24"/>
                <w:highlight w:val="none"/>
                <w:lang w:val="en-US" w:eastAsia="zh-CN"/>
              </w:rPr>
              <w:t>支气管镜系统</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lang w:val="en-US" w:eastAsia="zh-CN"/>
              </w:rPr>
              <w:t>元</w:t>
            </w:r>
            <w:r>
              <w:rPr>
                <w:rFonts w:hint="eastAsia" w:ascii="宋体" w:hAnsi="宋体" w:cs="宋体"/>
                <w:sz w:val="24"/>
                <w:highlight w:val="none"/>
                <w:lang w:val="en-US" w:eastAsia="zh-CN"/>
              </w:rPr>
              <w:t>/</w:t>
            </w:r>
            <w:r>
              <w:rPr>
                <w:rFonts w:hint="eastAsia" w:ascii="宋体" w:hAnsi="宋体" w:eastAsia="宋体" w:cs="宋体"/>
                <w:color w:val="auto"/>
                <w:sz w:val="24"/>
                <w:szCs w:val="24"/>
                <w:highlight w:val="none"/>
                <w:lang w:val="en-US" w:eastAsia="zh-CN"/>
              </w:rPr>
              <w:t>2套</w:t>
            </w:r>
            <w:r>
              <w:rPr>
                <w:rFonts w:hint="eastAsia" w:ascii="宋体" w:hAnsi="宋体" w:eastAsia="宋体" w:cs="宋体"/>
                <w:sz w:val="24"/>
                <w:highlight w:val="none"/>
                <w:lang w:val="en-US" w:eastAsia="zh-CN"/>
              </w:rPr>
              <w:t>、便携式支气管镜</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lang w:val="en-US" w:eastAsia="zh-CN"/>
              </w:rPr>
              <w:t>元</w:t>
            </w:r>
            <w:r>
              <w:rPr>
                <w:rFonts w:hint="eastAsia" w:ascii="宋体" w:hAnsi="宋体" w:cs="宋体"/>
                <w:sz w:val="24"/>
                <w:highlight w:val="none"/>
                <w:lang w:val="en-US" w:eastAsia="zh-CN"/>
              </w:rPr>
              <w:t>/</w:t>
            </w:r>
            <w:r>
              <w:rPr>
                <w:rFonts w:hint="eastAsia" w:ascii="宋体" w:hAnsi="宋体" w:eastAsia="宋体" w:cs="宋体"/>
                <w:color w:val="auto"/>
                <w:sz w:val="24"/>
                <w:szCs w:val="24"/>
                <w:highlight w:val="none"/>
                <w:lang w:val="en-US" w:eastAsia="zh-CN"/>
              </w:rPr>
              <w:t>2条</w:t>
            </w:r>
            <w:r>
              <w:rPr>
                <w:rFonts w:hint="eastAsia" w:ascii="宋体" w:hAnsi="宋体" w:eastAsia="宋体" w:cs="宋体"/>
                <w:sz w:val="24"/>
                <w:highlight w:val="none"/>
                <w:lang w:val="en-US" w:eastAsia="zh-CN"/>
              </w:rPr>
              <w:t>。</w:t>
            </w:r>
          </w:p>
        </w:tc>
      </w:tr>
      <w:tr w14:paraId="634A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393" w:type="dxa"/>
            <w:shd w:val="clear" w:color="auto" w:fill="auto"/>
            <w:noWrap w:val="0"/>
            <w:vAlign w:val="center"/>
          </w:tcPr>
          <w:p w14:paraId="67AAC3A3">
            <w:pPr>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单项报价</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小</w:t>
            </w:r>
            <w:r>
              <w:rPr>
                <w:rFonts w:hint="eastAsia" w:ascii="宋体" w:hAnsi="宋体" w:eastAsia="宋体" w:cs="宋体"/>
                <w:color w:val="auto"/>
                <w:sz w:val="24"/>
                <w:szCs w:val="24"/>
                <w:highlight w:val="none"/>
              </w:rPr>
              <w:t>写）</w:t>
            </w:r>
          </w:p>
        </w:tc>
        <w:tc>
          <w:tcPr>
            <w:tcW w:w="6129" w:type="dxa"/>
            <w:shd w:val="clear" w:color="auto" w:fill="auto"/>
            <w:noWrap w:val="0"/>
            <w:vAlign w:val="center"/>
          </w:tcPr>
          <w:p w14:paraId="19A03F0A">
            <w:pPr>
              <w:spacing w:line="44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highlight w:val="none"/>
                <w:lang w:val="en-US" w:eastAsia="zh-CN"/>
              </w:rPr>
              <w:t>支气管镜系统</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lang w:val="en-US" w:eastAsia="zh-CN"/>
              </w:rPr>
              <w:t>元</w:t>
            </w:r>
            <w:r>
              <w:rPr>
                <w:rFonts w:hint="eastAsia" w:ascii="宋体" w:hAnsi="宋体" w:cs="宋体"/>
                <w:sz w:val="24"/>
                <w:highlight w:val="none"/>
                <w:lang w:val="en-US" w:eastAsia="zh-CN"/>
              </w:rPr>
              <w:t>/</w:t>
            </w:r>
            <w:r>
              <w:rPr>
                <w:rFonts w:hint="eastAsia" w:ascii="宋体" w:hAnsi="宋体" w:eastAsia="宋体" w:cs="宋体"/>
                <w:color w:val="auto"/>
                <w:sz w:val="24"/>
                <w:szCs w:val="24"/>
                <w:highlight w:val="none"/>
                <w:lang w:val="en-US" w:eastAsia="zh-CN"/>
              </w:rPr>
              <w:t>2套</w:t>
            </w:r>
            <w:r>
              <w:rPr>
                <w:rFonts w:hint="eastAsia" w:ascii="宋体" w:hAnsi="宋体" w:eastAsia="宋体" w:cs="宋体"/>
                <w:sz w:val="24"/>
                <w:highlight w:val="none"/>
                <w:lang w:val="en-US" w:eastAsia="zh-CN"/>
              </w:rPr>
              <w:t>、便携式支气管镜</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lang w:val="en-US" w:eastAsia="zh-CN"/>
              </w:rPr>
              <w:t>元</w:t>
            </w:r>
            <w:r>
              <w:rPr>
                <w:rFonts w:hint="eastAsia" w:ascii="宋体" w:hAnsi="宋体" w:cs="宋体"/>
                <w:sz w:val="24"/>
                <w:highlight w:val="none"/>
                <w:lang w:val="en-US" w:eastAsia="zh-CN"/>
              </w:rPr>
              <w:t>/</w:t>
            </w:r>
            <w:r>
              <w:rPr>
                <w:rFonts w:hint="eastAsia" w:ascii="宋体" w:hAnsi="宋体" w:eastAsia="宋体" w:cs="宋体"/>
                <w:color w:val="auto"/>
                <w:sz w:val="24"/>
                <w:szCs w:val="24"/>
                <w:highlight w:val="none"/>
                <w:lang w:val="en-US" w:eastAsia="zh-CN"/>
              </w:rPr>
              <w:t>2条</w:t>
            </w:r>
            <w:r>
              <w:rPr>
                <w:rFonts w:hint="eastAsia" w:ascii="宋体" w:hAnsi="宋体" w:eastAsia="宋体" w:cs="宋体"/>
                <w:sz w:val="24"/>
                <w:highlight w:val="none"/>
                <w:lang w:val="en-US" w:eastAsia="zh-CN"/>
              </w:rPr>
              <w:t>。</w:t>
            </w:r>
          </w:p>
        </w:tc>
      </w:tr>
      <w:tr w14:paraId="3BD2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393" w:type="dxa"/>
            <w:noWrap w:val="0"/>
            <w:vAlign w:val="center"/>
          </w:tcPr>
          <w:p w14:paraId="1157FF37">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投标范围</w:t>
            </w:r>
          </w:p>
        </w:tc>
        <w:tc>
          <w:tcPr>
            <w:tcW w:w="6129" w:type="dxa"/>
            <w:noWrap w:val="0"/>
            <w:vAlign w:val="center"/>
          </w:tcPr>
          <w:p w14:paraId="3D6EFB95">
            <w:pPr>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气管镜系统、便携式支气管镜的采购、供货、运输、保险、装卸、安装、检测、调试、试运行、验收交付、培训、技术支持、软件升级、售后保修及相关伴随服务等。采购数量：支气管镜系统2套（接受进口）、便携式支气管镜2条。</w:t>
            </w:r>
          </w:p>
        </w:tc>
      </w:tr>
      <w:tr w14:paraId="572B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393" w:type="dxa"/>
            <w:noWrap w:val="0"/>
            <w:vAlign w:val="center"/>
          </w:tcPr>
          <w:p w14:paraId="4C4BEF50">
            <w:pPr>
              <w:spacing w:line="44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交货期</w:t>
            </w:r>
          </w:p>
        </w:tc>
        <w:tc>
          <w:tcPr>
            <w:tcW w:w="6129" w:type="dxa"/>
            <w:noWrap w:val="0"/>
            <w:vAlign w:val="center"/>
          </w:tcPr>
          <w:p w14:paraId="35E2E119">
            <w:pPr>
              <w:spacing w:line="4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u w:val="none"/>
                <w:lang w:val="en-US" w:eastAsia="zh-CN"/>
              </w:rPr>
              <w:t>合同签订后</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历天</w:t>
            </w:r>
          </w:p>
        </w:tc>
      </w:tr>
      <w:tr w14:paraId="627E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393" w:type="dxa"/>
            <w:noWrap w:val="0"/>
            <w:vAlign w:val="center"/>
          </w:tcPr>
          <w:p w14:paraId="1B8EA58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w:t>
            </w:r>
          </w:p>
        </w:tc>
        <w:tc>
          <w:tcPr>
            <w:tcW w:w="6129" w:type="dxa"/>
            <w:noWrap w:val="0"/>
            <w:vAlign w:val="center"/>
          </w:tcPr>
          <w:p w14:paraId="68179613">
            <w:pPr>
              <w:spacing w:line="44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新乡医学院第一附属医院指定地点</w:t>
            </w:r>
          </w:p>
        </w:tc>
      </w:tr>
      <w:tr w14:paraId="01FD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393" w:type="dxa"/>
            <w:noWrap w:val="0"/>
            <w:vAlign w:val="center"/>
          </w:tcPr>
          <w:p w14:paraId="28AC0197">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质量标准</w:t>
            </w:r>
          </w:p>
        </w:tc>
        <w:tc>
          <w:tcPr>
            <w:tcW w:w="6129" w:type="dxa"/>
            <w:noWrap w:val="0"/>
            <w:vAlign w:val="center"/>
          </w:tcPr>
          <w:p w14:paraId="378C253D">
            <w:pPr>
              <w:spacing w:line="440" w:lineRule="exact"/>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合格，符合国家、行业相关标准</w:t>
            </w:r>
          </w:p>
        </w:tc>
      </w:tr>
      <w:tr w14:paraId="66DA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393" w:type="dxa"/>
            <w:noWrap w:val="0"/>
            <w:vAlign w:val="center"/>
          </w:tcPr>
          <w:p w14:paraId="028D8A2F">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w:t>
            </w:r>
          </w:p>
        </w:tc>
        <w:tc>
          <w:tcPr>
            <w:tcW w:w="6129" w:type="dxa"/>
            <w:noWrap w:val="0"/>
            <w:vAlign w:val="center"/>
          </w:tcPr>
          <w:p w14:paraId="38A03739">
            <w:pPr>
              <w:spacing w:line="440" w:lineRule="exact"/>
              <w:jc w:val="center"/>
              <w:rPr>
                <w:rFonts w:hint="eastAsia" w:ascii="宋体" w:hAnsi="宋体" w:eastAsia="宋体" w:cs="宋体"/>
                <w:color w:val="auto"/>
                <w:kern w:val="0"/>
                <w:sz w:val="24"/>
                <w:szCs w:val="24"/>
                <w:highlight w:val="none"/>
              </w:rPr>
            </w:pPr>
            <w:r>
              <w:rPr>
                <w:rFonts w:hint="eastAsia" w:ascii="宋体" w:hAnsi="宋体" w:cs="宋体"/>
                <w:sz w:val="24"/>
                <w:highlight w:val="none"/>
                <w:lang w:val="en-US" w:eastAsia="zh-CN"/>
              </w:rPr>
              <w:t>设备自验收合格之日起，支气管镜系统原厂质保期</w:t>
            </w:r>
            <w:r>
              <w:rPr>
                <w:rFonts w:hint="eastAsia" w:ascii="宋体" w:hAnsi="宋体" w:cs="宋体"/>
                <w:sz w:val="24"/>
                <w:highlight w:val="none"/>
                <w:u w:val="single"/>
                <w:lang w:val="en-US" w:eastAsia="zh-CN"/>
              </w:rPr>
              <w:t xml:space="preserve">   </w:t>
            </w:r>
            <w:r>
              <w:rPr>
                <w:rFonts w:hint="eastAsia" w:ascii="宋体" w:hAnsi="宋体" w:cs="宋体"/>
                <w:sz w:val="24"/>
                <w:highlight w:val="none"/>
                <w:lang w:val="en-US" w:eastAsia="zh-CN"/>
              </w:rPr>
              <w:t>年，便携式支气管镜原厂质保期</w:t>
            </w:r>
            <w:r>
              <w:rPr>
                <w:rFonts w:hint="eastAsia" w:ascii="宋体" w:hAnsi="宋体" w:cs="宋体"/>
                <w:sz w:val="24"/>
                <w:highlight w:val="none"/>
                <w:u w:val="single"/>
                <w:lang w:val="en-US" w:eastAsia="zh-CN"/>
              </w:rPr>
              <w:t xml:space="preserve">   </w:t>
            </w:r>
            <w:r>
              <w:rPr>
                <w:rFonts w:hint="eastAsia" w:ascii="宋体" w:hAnsi="宋体" w:cs="宋体"/>
                <w:sz w:val="24"/>
                <w:highlight w:val="none"/>
                <w:lang w:val="en-US" w:eastAsia="zh-CN"/>
              </w:rPr>
              <w:t>年。</w:t>
            </w:r>
          </w:p>
        </w:tc>
      </w:tr>
      <w:tr w14:paraId="069D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393" w:type="dxa"/>
            <w:noWrap w:val="0"/>
            <w:vAlign w:val="center"/>
          </w:tcPr>
          <w:p w14:paraId="2AA2F9DC">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129" w:type="dxa"/>
            <w:noWrap w:val="0"/>
            <w:vAlign w:val="center"/>
          </w:tcPr>
          <w:p w14:paraId="0E79B986">
            <w:pPr>
              <w:spacing w:line="440" w:lineRule="exact"/>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日历天（投标截止之日起）</w:t>
            </w:r>
          </w:p>
        </w:tc>
      </w:tr>
      <w:tr w14:paraId="5E73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393" w:type="dxa"/>
            <w:noWrap w:val="0"/>
            <w:vAlign w:val="center"/>
          </w:tcPr>
          <w:p w14:paraId="5CD69D81">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付款方式</w:t>
            </w:r>
          </w:p>
        </w:tc>
        <w:tc>
          <w:tcPr>
            <w:tcW w:w="6129" w:type="dxa"/>
            <w:noWrap w:val="0"/>
            <w:vAlign w:val="center"/>
          </w:tcPr>
          <w:p w14:paraId="0A5531BB">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第四章 合同条款及格式”</w:t>
            </w:r>
            <w:r>
              <w:rPr>
                <w:rFonts w:hint="eastAsia" w:ascii="宋体" w:hAnsi="宋体" w:eastAsia="宋体" w:cs="宋体"/>
                <w:color w:val="auto"/>
                <w:sz w:val="24"/>
                <w:szCs w:val="24"/>
                <w:highlight w:val="none"/>
              </w:rPr>
              <w:t>要求</w:t>
            </w:r>
          </w:p>
        </w:tc>
      </w:tr>
      <w:tr w14:paraId="15BA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393" w:type="dxa"/>
            <w:noWrap w:val="0"/>
            <w:vAlign w:val="center"/>
          </w:tcPr>
          <w:p w14:paraId="1F2D025A">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其他实质性要求</w:t>
            </w:r>
          </w:p>
        </w:tc>
        <w:tc>
          <w:tcPr>
            <w:tcW w:w="6129" w:type="dxa"/>
            <w:noWrap w:val="0"/>
            <w:vAlign w:val="center"/>
          </w:tcPr>
          <w:p w14:paraId="258059EF">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规定的其他实质性响应情形</w:t>
            </w:r>
          </w:p>
        </w:tc>
      </w:tr>
      <w:tr w14:paraId="0909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8522" w:type="dxa"/>
            <w:gridSpan w:val="2"/>
            <w:noWrap w:val="0"/>
            <w:vAlign w:val="center"/>
          </w:tcPr>
          <w:p w14:paraId="3736219F">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其他声明：</w:t>
            </w:r>
          </w:p>
        </w:tc>
      </w:tr>
    </w:tbl>
    <w:p w14:paraId="1D77BC23">
      <w:pPr>
        <w:spacing w:line="480" w:lineRule="auto"/>
        <w:ind w:firstLine="720" w:firstLineChars="300"/>
        <w:rPr>
          <w:rFonts w:hint="eastAsia" w:ascii="宋体" w:hAnsi="宋体" w:eastAsia="宋体" w:cs="宋体"/>
          <w:color w:val="auto"/>
          <w:sz w:val="24"/>
          <w:szCs w:val="24"/>
          <w:highlight w:val="none"/>
          <w:lang w:eastAsia="zh-CN"/>
        </w:rPr>
      </w:pPr>
    </w:p>
    <w:p w14:paraId="58DDC47E">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（盖单位电子章）</w:t>
      </w:r>
    </w:p>
    <w:p w14:paraId="65E7D28E">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（签字或加盖电子签章）</w:t>
      </w:r>
    </w:p>
    <w:p w14:paraId="18B9CD8A">
      <w:pPr>
        <w:spacing w:line="440" w:lineRule="exact"/>
        <w:ind w:firstLine="720" w:firstLineChars="300"/>
        <w:rPr>
          <w:rFonts w:ascii="宋体" w:hAnsi="宋体" w:eastAsia="仿宋" w:cs="宋体"/>
          <w:color w:val="auto"/>
          <w:sz w:val="24"/>
          <w:szCs w:val="21"/>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1D86500">
      <w:pPr>
        <w:pStyle w:val="80"/>
        <w:spacing w:after="0"/>
        <w:ind w:firstLine="480"/>
        <w:rPr>
          <w:rFonts w:hint="eastAsia" w:ascii="宋体" w:hAnsi="宋体" w:eastAsia="宋体" w:cs="宋体"/>
          <w:sz w:val="24"/>
          <w:highlight w:val="none"/>
        </w:rPr>
      </w:pPr>
    </w:p>
    <w:p w14:paraId="58A72159">
      <w:pPr>
        <w:pStyle w:val="80"/>
        <w:spacing w:after="0"/>
        <w:ind w:left="0" w:leftChars="0" w:firstLine="0" w:firstLineChars="0"/>
        <w:rPr>
          <w:rFonts w:hint="eastAsia" w:ascii="宋体" w:hAnsi="宋体" w:eastAsia="宋体" w:cs="宋体"/>
          <w:sz w:val="24"/>
          <w:highlight w:val="none"/>
        </w:rPr>
      </w:pPr>
    </w:p>
    <w:p w14:paraId="21794A37">
      <w:pPr>
        <w:pStyle w:val="4"/>
        <w:numPr>
          <w:ilvl w:val="0"/>
          <w:numId w:val="0"/>
        </w:numPr>
        <w:jc w:val="center"/>
        <w:rPr>
          <w:rFonts w:hint="eastAsia" w:ascii="宋体" w:hAnsi="宋体" w:eastAsia="宋体" w:cs="宋体"/>
          <w:highlight w:val="none"/>
        </w:rPr>
      </w:pPr>
      <w:bookmarkStart w:id="111" w:name="_Toc22568837"/>
      <w:bookmarkStart w:id="112" w:name="_Toc22724004"/>
      <w:bookmarkStart w:id="113" w:name="_Toc497920534"/>
      <w:bookmarkStart w:id="114" w:name="_Toc22953445"/>
      <w:bookmarkStart w:id="115" w:name="_Toc22570544"/>
      <w:bookmarkStart w:id="116" w:name="_Toc30438"/>
      <w:bookmarkStart w:id="117" w:name="_Toc22804123"/>
      <w:bookmarkStart w:id="118" w:name="_Toc2787"/>
      <w:bookmarkStart w:id="119" w:name="_Toc22962926"/>
      <w:bookmarkStart w:id="120" w:name="_Toc32486"/>
      <w:r>
        <w:rPr>
          <w:rFonts w:hint="eastAsia" w:ascii="宋体" w:hAnsi="宋体" w:eastAsia="宋体" w:cs="宋体"/>
          <w:highlight w:val="none"/>
        </w:rPr>
        <w:t>2.资格证明文件</w:t>
      </w:r>
      <w:bookmarkEnd w:id="111"/>
      <w:bookmarkEnd w:id="112"/>
      <w:bookmarkEnd w:id="113"/>
      <w:bookmarkEnd w:id="114"/>
      <w:bookmarkEnd w:id="115"/>
      <w:bookmarkEnd w:id="116"/>
      <w:bookmarkEnd w:id="117"/>
      <w:bookmarkEnd w:id="118"/>
      <w:bookmarkEnd w:id="119"/>
      <w:bookmarkEnd w:id="120"/>
    </w:p>
    <w:p w14:paraId="0875626F">
      <w:pPr>
        <w:spacing w:line="360" w:lineRule="auto"/>
        <w:rPr>
          <w:rFonts w:hint="eastAsia" w:ascii="宋体" w:hAnsi="宋体" w:cs="宋体"/>
          <w:sz w:val="24"/>
          <w:highlight w:val="none"/>
        </w:rPr>
      </w:pPr>
      <w:r>
        <w:rPr>
          <w:rFonts w:hint="eastAsia" w:ascii="宋体" w:hAnsi="宋体" w:cs="宋体"/>
          <w:sz w:val="24"/>
          <w:highlight w:val="none"/>
        </w:rPr>
        <w:t>填写须知</w:t>
      </w:r>
    </w:p>
    <w:p w14:paraId="1858318B">
      <w:pPr>
        <w:numPr>
          <w:ilvl w:val="0"/>
          <w:numId w:val="35"/>
        </w:numPr>
        <w:spacing w:line="360" w:lineRule="auto"/>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应填写和提交下述规定表格以及其他有关资料。</w:t>
      </w:r>
    </w:p>
    <w:p w14:paraId="499C304C">
      <w:pPr>
        <w:numPr>
          <w:ilvl w:val="0"/>
          <w:numId w:val="35"/>
        </w:numPr>
        <w:spacing w:line="360" w:lineRule="auto"/>
        <w:rPr>
          <w:rFonts w:hint="eastAsia" w:ascii="宋体" w:hAnsi="宋体" w:cs="宋体"/>
          <w:sz w:val="24"/>
          <w:highlight w:val="none"/>
        </w:rPr>
      </w:pPr>
      <w:r>
        <w:rPr>
          <w:rFonts w:hint="eastAsia" w:ascii="宋体" w:hAnsi="宋体" w:cs="宋体"/>
          <w:sz w:val="24"/>
          <w:highlight w:val="none"/>
        </w:rPr>
        <w:t>本资格声明的签字人应保证全部声明和填写的内容是真实的和正确的。</w:t>
      </w:r>
    </w:p>
    <w:p w14:paraId="469D294B">
      <w:pPr>
        <w:numPr>
          <w:ilvl w:val="0"/>
          <w:numId w:val="35"/>
        </w:numPr>
        <w:spacing w:line="360" w:lineRule="auto"/>
        <w:rPr>
          <w:rFonts w:hint="eastAsia" w:ascii="宋体" w:hAnsi="宋体" w:cs="宋体"/>
          <w:sz w:val="24"/>
          <w:highlight w:val="none"/>
        </w:rPr>
      </w:pPr>
      <w:r>
        <w:rPr>
          <w:rFonts w:hint="eastAsia" w:ascii="宋体" w:hAnsi="宋体" w:cs="宋体"/>
          <w:sz w:val="24"/>
          <w:highlight w:val="none"/>
        </w:rPr>
        <w:t>评标将根据</w:t>
      </w:r>
      <w:r>
        <w:rPr>
          <w:rFonts w:hint="eastAsia" w:ascii="宋体" w:hAnsi="宋体" w:cs="宋体"/>
          <w:sz w:val="24"/>
          <w:highlight w:val="none"/>
          <w:lang w:eastAsia="zh-CN"/>
        </w:rPr>
        <w:t>供应商</w:t>
      </w:r>
      <w:r>
        <w:rPr>
          <w:rFonts w:hint="eastAsia" w:ascii="宋体" w:hAnsi="宋体" w:cs="宋体"/>
          <w:sz w:val="24"/>
          <w:highlight w:val="none"/>
        </w:rPr>
        <w:t>提交的资料判断其履行合同的合格性及能力。</w:t>
      </w:r>
    </w:p>
    <w:p w14:paraId="4435637B">
      <w:pPr>
        <w:numPr>
          <w:ilvl w:val="0"/>
          <w:numId w:val="35"/>
        </w:numPr>
        <w:spacing w:line="360" w:lineRule="auto"/>
        <w:rPr>
          <w:rFonts w:hint="eastAsia" w:ascii="宋体" w:hAnsi="宋体" w:cs="宋体"/>
          <w:sz w:val="24"/>
          <w:highlight w:val="none"/>
        </w:rPr>
      </w:pPr>
      <w:r>
        <w:rPr>
          <w:rFonts w:hint="eastAsia" w:ascii="宋体" w:hAnsi="宋体" w:cs="宋体"/>
          <w:sz w:val="24"/>
          <w:highlight w:val="none"/>
        </w:rPr>
        <w:t>全部文件应按规定的语言提交。</w:t>
      </w:r>
    </w:p>
    <w:p w14:paraId="08D9F1D8">
      <w:pPr>
        <w:numPr>
          <w:ilvl w:val="0"/>
          <w:numId w:val="36"/>
        </w:numPr>
        <w:tabs>
          <w:tab w:val="left" w:pos="420"/>
        </w:tabs>
        <w:spacing w:line="360" w:lineRule="auto"/>
        <w:rPr>
          <w:rFonts w:hint="default" w:ascii="宋体" w:hAnsi="宋体" w:eastAsia="宋体" w:cs="宋体"/>
          <w:b/>
          <w:sz w:val="24"/>
          <w:highlight w:val="none"/>
          <w:lang w:val="en-US" w:eastAsia="zh-CN"/>
        </w:rPr>
      </w:pPr>
      <w:r>
        <w:rPr>
          <w:rFonts w:hint="eastAsia" w:ascii="宋体" w:hAnsi="宋体" w:eastAsia="宋体" w:cs="宋体"/>
          <w:sz w:val="24"/>
          <w:highlight w:val="none"/>
          <w:lang w:val="en-US" w:eastAsia="zh-CN"/>
        </w:rPr>
        <w:t>认真阅读操作手册，并按交易系统的要求编辑、上传投标文件。</w:t>
      </w:r>
    </w:p>
    <w:p w14:paraId="12AB5D79">
      <w:pPr>
        <w:spacing w:after="312" w:afterLines="100" w:line="360" w:lineRule="auto"/>
        <w:jc w:val="center"/>
        <w:outlineLvl w:val="1"/>
        <w:rPr>
          <w:rFonts w:ascii="仿宋" w:hAnsi="仿宋" w:eastAsia="仿宋" w:cs="仿宋"/>
          <w:b/>
          <w:color w:val="auto"/>
          <w:sz w:val="30"/>
          <w:szCs w:val="30"/>
          <w:highlight w:val="none"/>
        </w:rPr>
      </w:pPr>
      <w:r>
        <w:rPr>
          <w:rFonts w:hint="eastAsia" w:ascii="宋体" w:hAnsi="宋体" w:eastAsia="宋体" w:cs="宋体"/>
          <w:sz w:val="24"/>
          <w:highlight w:val="none"/>
        </w:rPr>
        <w:br w:type="page"/>
      </w:r>
      <w:bookmarkStart w:id="121" w:name="_Toc22568835"/>
      <w:bookmarkStart w:id="122" w:name="_Toc22804121"/>
      <w:bookmarkStart w:id="123" w:name="_Toc22962924"/>
      <w:bookmarkStart w:id="124" w:name="_Toc21186"/>
      <w:bookmarkStart w:id="125" w:name="_Toc22570542"/>
      <w:bookmarkStart w:id="126" w:name="_Toc22724002"/>
      <w:bookmarkStart w:id="127" w:name="_Toc22953443"/>
      <w:bookmarkStart w:id="128" w:name="_Toc26575"/>
      <w:bookmarkStart w:id="129" w:name="_Toc497920530"/>
      <w:bookmarkStart w:id="130" w:name="_Toc20130"/>
      <w:bookmarkStart w:id="131" w:name="_Toc22804125"/>
      <w:bookmarkStart w:id="132" w:name="_Toc22953447"/>
      <w:bookmarkStart w:id="133" w:name="_Toc22570546"/>
      <w:bookmarkStart w:id="134" w:name="_Toc22962928"/>
      <w:bookmarkStart w:id="135" w:name="_Toc22724006"/>
      <w:bookmarkStart w:id="136" w:name="_Toc22568839"/>
      <w:r>
        <w:rPr>
          <w:rFonts w:hint="eastAsia" w:ascii="仿宋" w:hAnsi="仿宋" w:eastAsia="仿宋" w:cs="仿宋"/>
          <w:b/>
          <w:color w:val="auto"/>
          <w:sz w:val="30"/>
          <w:szCs w:val="30"/>
          <w:highlight w:val="none"/>
        </w:rPr>
        <w:t>2.1</w:t>
      </w:r>
      <w:bookmarkEnd w:id="121"/>
      <w:bookmarkEnd w:id="122"/>
      <w:bookmarkEnd w:id="123"/>
      <w:bookmarkEnd w:id="124"/>
      <w:bookmarkEnd w:id="125"/>
      <w:bookmarkEnd w:id="126"/>
      <w:bookmarkEnd w:id="127"/>
      <w:bookmarkEnd w:id="128"/>
      <w:bookmarkEnd w:id="129"/>
      <w:bookmarkEnd w:id="130"/>
      <w:r>
        <w:rPr>
          <w:rFonts w:hint="eastAsia" w:ascii="仿宋" w:hAnsi="仿宋" w:eastAsia="仿宋" w:cs="仿宋"/>
          <w:b/>
          <w:color w:val="auto"/>
          <w:sz w:val="30"/>
          <w:szCs w:val="30"/>
          <w:highlight w:val="none"/>
        </w:rPr>
        <w:t>法定代表人（企业负责人）身份证明</w:t>
      </w:r>
      <w:r>
        <w:rPr>
          <w:rFonts w:hint="eastAsia" w:ascii="仿宋" w:hAnsi="仿宋" w:eastAsia="仿宋" w:cs="仿宋"/>
          <w:b/>
          <w:color w:val="auto"/>
          <w:sz w:val="22"/>
          <w:szCs w:val="22"/>
          <w:highlight w:val="none"/>
        </w:rPr>
        <w:t>（实质性要求）</w:t>
      </w:r>
    </w:p>
    <w:p w14:paraId="00C09301">
      <w:pPr>
        <w:spacing w:line="440" w:lineRule="exact"/>
        <w:jc w:val="center"/>
        <w:rPr>
          <w:rFonts w:ascii="宋体" w:hAnsi="宋体" w:eastAsia="黑体" w:cs="宋体"/>
          <w:color w:val="auto"/>
          <w:sz w:val="28"/>
          <w:highlight w:val="none"/>
        </w:rPr>
      </w:pPr>
    </w:p>
    <w:p w14:paraId="0BC182C7">
      <w:pPr>
        <w:spacing w:line="48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p>
    <w:p w14:paraId="305AFF22">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单位性质：</w:t>
      </w:r>
      <w:r>
        <w:rPr>
          <w:rFonts w:hint="eastAsia" w:ascii="宋体" w:hAnsi="宋体" w:eastAsia="宋体" w:cs="宋体"/>
          <w:color w:val="auto"/>
          <w:sz w:val="24"/>
          <w:szCs w:val="24"/>
          <w:highlight w:val="none"/>
          <w:u w:val="single"/>
        </w:rPr>
        <w:t xml:space="preserve">                                   </w:t>
      </w:r>
    </w:p>
    <w:p w14:paraId="183995B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38537F65">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CE3356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经营期限：</w:t>
      </w:r>
      <w:r>
        <w:rPr>
          <w:rFonts w:hint="eastAsia" w:ascii="宋体" w:hAnsi="宋体" w:eastAsia="宋体" w:cs="宋体"/>
          <w:color w:val="auto"/>
          <w:sz w:val="24"/>
          <w:szCs w:val="24"/>
          <w:highlight w:val="none"/>
          <w:u w:val="single"/>
        </w:rPr>
        <w:t xml:space="preserve">                                 </w:t>
      </w:r>
    </w:p>
    <w:p w14:paraId="4C222E5A">
      <w:pPr>
        <w:spacing w:line="48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6AA9C335">
      <w:pPr>
        <w:spacing w:line="48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名称）的法定代表人（企业负责人）。</w:t>
      </w:r>
    </w:p>
    <w:p w14:paraId="0F0AFD07">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514991A7">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后附：法定代表人身份证扫描件</w:t>
      </w:r>
    </w:p>
    <w:p w14:paraId="3CBCC124">
      <w:pPr>
        <w:spacing w:line="480" w:lineRule="auto"/>
        <w:rPr>
          <w:rFonts w:hint="eastAsia" w:ascii="宋体" w:hAnsi="宋体" w:eastAsia="宋体" w:cs="宋体"/>
          <w:color w:val="auto"/>
          <w:sz w:val="24"/>
          <w:szCs w:val="24"/>
          <w:highlight w:val="none"/>
        </w:rPr>
      </w:pPr>
    </w:p>
    <w:p w14:paraId="57EBFC7C">
      <w:pPr>
        <w:spacing w:line="440" w:lineRule="exact"/>
        <w:rPr>
          <w:rFonts w:hint="eastAsia" w:ascii="宋体" w:hAnsi="宋体" w:eastAsia="宋体" w:cs="宋体"/>
          <w:color w:val="auto"/>
          <w:sz w:val="24"/>
          <w:szCs w:val="24"/>
          <w:highlight w:val="none"/>
        </w:rPr>
      </w:pPr>
    </w:p>
    <w:p w14:paraId="16DBF55D">
      <w:pPr>
        <w:pStyle w:val="48"/>
        <w:rPr>
          <w:rFonts w:hint="eastAsia" w:ascii="宋体" w:hAnsi="宋体" w:eastAsia="宋体" w:cs="宋体"/>
          <w:color w:val="auto"/>
          <w:sz w:val="24"/>
          <w:szCs w:val="24"/>
          <w:highlight w:val="none"/>
        </w:rPr>
      </w:pPr>
    </w:p>
    <w:p w14:paraId="75553C28">
      <w:pPr>
        <w:pStyle w:val="48"/>
        <w:rPr>
          <w:rFonts w:hint="eastAsia" w:ascii="宋体" w:hAnsi="宋体" w:eastAsia="宋体" w:cs="宋体"/>
          <w:color w:val="auto"/>
          <w:sz w:val="24"/>
          <w:szCs w:val="24"/>
          <w:highlight w:val="none"/>
        </w:rPr>
      </w:pPr>
    </w:p>
    <w:p w14:paraId="070622BC">
      <w:pPr>
        <w:spacing w:line="440" w:lineRule="exact"/>
        <w:rPr>
          <w:rFonts w:hint="eastAsia" w:ascii="宋体" w:hAnsi="宋体" w:eastAsia="宋体" w:cs="宋体"/>
          <w:color w:val="auto"/>
          <w:sz w:val="24"/>
          <w:szCs w:val="24"/>
          <w:highlight w:val="none"/>
        </w:rPr>
      </w:pPr>
    </w:p>
    <w:p w14:paraId="253A02F4">
      <w:pPr>
        <w:spacing w:line="440" w:lineRule="exact"/>
        <w:rPr>
          <w:rFonts w:hint="eastAsia" w:ascii="宋体" w:hAnsi="宋体" w:eastAsia="宋体" w:cs="宋体"/>
          <w:color w:val="auto"/>
          <w:sz w:val="24"/>
          <w:szCs w:val="24"/>
          <w:highlight w:val="none"/>
        </w:rPr>
      </w:pPr>
    </w:p>
    <w:p w14:paraId="7437F6C9">
      <w:pPr>
        <w:spacing w:line="440" w:lineRule="exact"/>
        <w:ind w:firstLine="2160" w:firstLine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盖单位电子章</w:t>
      </w:r>
      <w:r>
        <w:rPr>
          <w:rFonts w:hint="eastAsia" w:ascii="宋体" w:hAnsi="宋体" w:eastAsia="宋体" w:cs="宋体"/>
          <w:color w:val="auto"/>
          <w:sz w:val="24"/>
          <w:szCs w:val="24"/>
          <w:highlight w:val="none"/>
        </w:rPr>
        <w:t>）</w:t>
      </w:r>
    </w:p>
    <w:p w14:paraId="74D92579">
      <w:pPr>
        <w:spacing w:line="440" w:lineRule="exact"/>
        <w:ind w:firstLine="3120" w:firstLineChars="1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77705CB">
      <w:pPr>
        <w:spacing w:line="440" w:lineRule="exact"/>
        <w:jc w:val="center"/>
        <w:outlineLvl w:val="1"/>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授权委托书</w:t>
      </w:r>
    </w:p>
    <w:p w14:paraId="314474A0">
      <w:pPr>
        <w:wordWrap w:val="0"/>
        <w:spacing w:line="48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（姓名）系</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名称）的法定代表人，现委托</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（姓名）为我方代理人。代理人根据授权，以我方名义签署、澄清、说明、补正、递交、撤回、修改</w:t>
      </w:r>
      <w:r>
        <w:rPr>
          <w:rFonts w:hint="eastAsia" w:ascii="宋体" w:hAnsi="宋体" w:eastAsia="宋体" w:cs="宋体"/>
          <w:bCs/>
          <w:color w:val="auto"/>
          <w:sz w:val="24"/>
          <w:szCs w:val="24"/>
          <w:highlight w:val="none"/>
          <w:u w:val="single"/>
        </w:rPr>
        <w:t xml:space="preserve">            （项目名称）</w:t>
      </w:r>
      <w:r>
        <w:rPr>
          <w:rFonts w:hint="eastAsia" w:ascii="宋体" w:hAnsi="宋体" w:eastAsia="宋体" w:cs="宋体"/>
          <w:bCs/>
          <w:color w:val="auto"/>
          <w:sz w:val="24"/>
          <w:szCs w:val="24"/>
          <w:highlight w:val="none"/>
        </w:rPr>
        <w:t>的投标文件、签订合同和处理有关事宜，其法律后果由我方承担。</w:t>
      </w:r>
    </w:p>
    <w:p w14:paraId="270442B5">
      <w:pPr>
        <w:wordWrap w:val="0"/>
        <w:spacing w:line="48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委托期限：</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w:t>
      </w:r>
    </w:p>
    <w:p w14:paraId="1B256F33">
      <w:pPr>
        <w:wordWrap w:val="0"/>
        <w:spacing w:line="48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代理人无转委托权。</w:t>
      </w:r>
    </w:p>
    <w:p w14:paraId="45227747">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(正反面）</w:t>
      </w:r>
    </w:p>
    <w:tbl>
      <w:tblPr>
        <w:tblStyle w:val="82"/>
        <w:tblW w:w="0" w:type="auto"/>
        <w:tblInd w:w="0" w:type="dxa"/>
        <w:tblLayout w:type="fixed"/>
        <w:tblCellMar>
          <w:top w:w="0" w:type="dxa"/>
          <w:left w:w="108" w:type="dxa"/>
          <w:bottom w:w="0" w:type="dxa"/>
          <w:right w:w="108" w:type="dxa"/>
        </w:tblCellMar>
      </w:tblPr>
      <w:tblGrid>
        <w:gridCol w:w="4450"/>
        <w:gridCol w:w="4450"/>
      </w:tblGrid>
      <w:tr w14:paraId="143FEE3F">
        <w:tblPrEx>
          <w:tblCellMar>
            <w:top w:w="0" w:type="dxa"/>
            <w:left w:w="108" w:type="dxa"/>
            <w:bottom w:w="0" w:type="dxa"/>
            <w:right w:w="108" w:type="dxa"/>
          </w:tblCellMar>
        </w:tblPrEx>
        <w:trPr>
          <w:trHeight w:val="2173" w:hRule="atLeast"/>
        </w:trPr>
        <w:tc>
          <w:tcPr>
            <w:tcW w:w="4450" w:type="dxa"/>
            <w:tcBorders>
              <w:top w:val="single" w:color="auto" w:sz="4" w:space="0"/>
              <w:left w:val="single" w:color="auto" w:sz="4" w:space="0"/>
              <w:bottom w:val="single" w:color="auto" w:sz="4" w:space="0"/>
              <w:right w:val="single" w:color="auto" w:sz="4" w:space="0"/>
            </w:tcBorders>
            <w:noWrap w:val="0"/>
            <w:vAlign w:val="center"/>
          </w:tcPr>
          <w:p w14:paraId="0FBE427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法定代表人身份证</w:t>
            </w:r>
          </w:p>
        </w:tc>
        <w:tc>
          <w:tcPr>
            <w:tcW w:w="4450" w:type="dxa"/>
            <w:tcBorders>
              <w:top w:val="single" w:color="auto" w:sz="4" w:space="0"/>
              <w:left w:val="nil"/>
              <w:bottom w:val="single" w:color="auto" w:sz="4" w:space="0"/>
              <w:right w:val="single" w:color="auto" w:sz="4" w:space="0"/>
            </w:tcBorders>
            <w:noWrap w:val="0"/>
            <w:vAlign w:val="center"/>
          </w:tcPr>
          <w:p w14:paraId="7CCF246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法定代表人身份证 </w:t>
            </w:r>
          </w:p>
        </w:tc>
      </w:tr>
    </w:tbl>
    <w:p w14:paraId="4740BB3B">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tbl>
      <w:tblPr>
        <w:tblStyle w:val="82"/>
        <w:tblW w:w="0" w:type="auto"/>
        <w:tblInd w:w="0" w:type="dxa"/>
        <w:tblLayout w:type="fixed"/>
        <w:tblCellMar>
          <w:top w:w="0" w:type="dxa"/>
          <w:left w:w="108" w:type="dxa"/>
          <w:bottom w:w="0" w:type="dxa"/>
          <w:right w:w="108" w:type="dxa"/>
        </w:tblCellMar>
      </w:tblPr>
      <w:tblGrid>
        <w:gridCol w:w="4440"/>
        <w:gridCol w:w="4440"/>
      </w:tblGrid>
      <w:tr w14:paraId="58CACE2C">
        <w:tblPrEx>
          <w:tblCellMar>
            <w:top w:w="0" w:type="dxa"/>
            <w:left w:w="108" w:type="dxa"/>
            <w:bottom w:w="0" w:type="dxa"/>
            <w:right w:w="108" w:type="dxa"/>
          </w:tblCellMar>
        </w:tblPrEx>
        <w:trPr>
          <w:trHeight w:val="2460" w:hRule="atLeast"/>
        </w:trPr>
        <w:tc>
          <w:tcPr>
            <w:tcW w:w="4440" w:type="dxa"/>
            <w:tcBorders>
              <w:top w:val="single" w:color="auto" w:sz="4" w:space="0"/>
              <w:left w:val="single" w:color="auto" w:sz="4" w:space="0"/>
              <w:bottom w:val="single" w:color="auto" w:sz="4" w:space="0"/>
              <w:right w:val="single" w:color="auto" w:sz="4" w:space="0"/>
            </w:tcBorders>
            <w:noWrap w:val="0"/>
            <w:vAlign w:val="center"/>
          </w:tcPr>
          <w:p w14:paraId="74438D5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被授权人身份证 </w:t>
            </w:r>
          </w:p>
        </w:tc>
        <w:tc>
          <w:tcPr>
            <w:tcW w:w="4440" w:type="dxa"/>
            <w:tcBorders>
              <w:top w:val="single" w:color="auto" w:sz="4" w:space="0"/>
              <w:left w:val="nil"/>
              <w:bottom w:val="single" w:color="auto" w:sz="4" w:space="0"/>
              <w:right w:val="single" w:color="auto" w:sz="4" w:space="0"/>
            </w:tcBorders>
            <w:noWrap w:val="0"/>
            <w:vAlign w:val="center"/>
          </w:tcPr>
          <w:p w14:paraId="22F82E0A">
            <w:pPr>
              <w:jc w:val="center"/>
              <w:rPr>
                <w:rFonts w:hint="eastAsia" w:ascii="宋体" w:hAnsi="宋体" w:eastAsia="宋体" w:cs="宋体"/>
                <w:sz w:val="24"/>
                <w:szCs w:val="24"/>
                <w:highlight w:val="none"/>
              </w:rPr>
            </w:pPr>
            <w:bookmarkStart w:id="137" w:name="_Toc364329027"/>
            <w:r>
              <w:rPr>
                <w:rFonts w:hint="eastAsia" w:ascii="宋体" w:hAnsi="宋体" w:eastAsia="宋体" w:cs="宋体"/>
                <w:sz w:val="24"/>
                <w:szCs w:val="24"/>
                <w:highlight w:val="none"/>
              </w:rPr>
              <w:t>被授权人身份证</w:t>
            </w:r>
            <w:bookmarkEnd w:id="137"/>
            <w:r>
              <w:rPr>
                <w:rFonts w:hint="eastAsia" w:ascii="宋体" w:hAnsi="宋体" w:eastAsia="宋体" w:cs="宋体"/>
                <w:sz w:val="24"/>
                <w:szCs w:val="24"/>
                <w:highlight w:val="none"/>
              </w:rPr>
              <w:t xml:space="preserve"> </w:t>
            </w:r>
          </w:p>
        </w:tc>
      </w:tr>
    </w:tbl>
    <w:p w14:paraId="105F88C5">
      <w:pPr>
        <w:spacing w:line="48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供应商名称</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盖单位电子章</w:t>
      </w:r>
      <w:r>
        <w:rPr>
          <w:rFonts w:hint="eastAsia" w:ascii="宋体" w:hAnsi="宋体" w:eastAsia="宋体" w:cs="宋体"/>
          <w:bCs/>
          <w:color w:val="auto"/>
          <w:sz w:val="24"/>
          <w:szCs w:val="24"/>
          <w:highlight w:val="none"/>
        </w:rPr>
        <w:t>）</w:t>
      </w:r>
    </w:p>
    <w:p w14:paraId="041CC83B">
      <w:pPr>
        <w:spacing w:line="48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签字或加盖电子签章</w:t>
      </w:r>
      <w:r>
        <w:rPr>
          <w:rFonts w:hint="eastAsia" w:ascii="宋体" w:hAnsi="宋体" w:eastAsia="宋体" w:cs="宋体"/>
          <w:color w:val="auto"/>
          <w:sz w:val="24"/>
          <w:szCs w:val="24"/>
          <w:highlight w:val="none"/>
        </w:rPr>
        <w:t>）</w:t>
      </w:r>
    </w:p>
    <w:p w14:paraId="7DF5004B">
      <w:pPr>
        <w:spacing w:line="48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身份证号码：</w:t>
      </w:r>
      <w:r>
        <w:rPr>
          <w:rFonts w:hint="eastAsia" w:ascii="宋体" w:hAnsi="宋体" w:eastAsia="宋体" w:cs="宋体"/>
          <w:bCs/>
          <w:color w:val="auto"/>
          <w:sz w:val="24"/>
          <w:szCs w:val="24"/>
          <w:highlight w:val="none"/>
          <w:u w:val="single"/>
        </w:rPr>
        <w:t xml:space="preserve">                              </w:t>
      </w:r>
    </w:p>
    <w:p w14:paraId="7817B4C3">
      <w:pPr>
        <w:spacing w:line="48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委托代理人：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签字或加盖电子签章</w:t>
      </w:r>
      <w:r>
        <w:rPr>
          <w:rFonts w:hint="eastAsia" w:ascii="宋体" w:hAnsi="宋体" w:eastAsia="宋体" w:cs="宋体"/>
          <w:color w:val="auto"/>
          <w:sz w:val="24"/>
          <w:szCs w:val="24"/>
          <w:highlight w:val="none"/>
        </w:rPr>
        <w:t>）</w:t>
      </w:r>
    </w:p>
    <w:p w14:paraId="519AF05E">
      <w:pPr>
        <w:tabs>
          <w:tab w:val="left" w:pos="6510"/>
        </w:tabs>
        <w:spacing w:line="48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身份证号码：</w:t>
      </w:r>
      <w:r>
        <w:rPr>
          <w:rFonts w:hint="eastAsia" w:ascii="宋体" w:hAnsi="宋体" w:eastAsia="宋体" w:cs="宋体"/>
          <w:bCs/>
          <w:color w:val="auto"/>
          <w:sz w:val="24"/>
          <w:szCs w:val="24"/>
          <w:highlight w:val="none"/>
          <w:u w:val="single"/>
        </w:rPr>
        <w:t xml:space="preserve">                              </w:t>
      </w:r>
    </w:p>
    <w:p w14:paraId="64073A6D">
      <w:pPr>
        <w:spacing w:line="480" w:lineRule="auto"/>
        <w:ind w:firstLine="4800" w:firstLineChars="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BDFB3D7">
      <w:pPr>
        <w:autoSpaceDE w:val="0"/>
        <w:autoSpaceDN w:val="0"/>
        <w:adjustRightInd w:val="0"/>
        <w:spacing w:line="48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的法定代表人签署投标文件，则不需提交授权委托书。</w:t>
      </w:r>
    </w:p>
    <w:p w14:paraId="7A889420">
      <w:pPr>
        <w:spacing w:after="312" w:afterLines="100" w:line="360" w:lineRule="auto"/>
        <w:jc w:val="center"/>
        <w:outlineLvl w:val="1"/>
        <w:rPr>
          <w:rFonts w:hint="eastAsia" w:ascii="宋体" w:hAnsi="宋体" w:cs="宋体"/>
          <w:b/>
          <w:bCs/>
          <w:sz w:val="32"/>
          <w:highlight w:val="none"/>
        </w:rPr>
      </w:pPr>
      <w:r>
        <w:rPr>
          <w:rFonts w:hint="eastAsia" w:ascii="宋体" w:hAnsi="宋体" w:cs="宋体"/>
          <w:b/>
          <w:bCs/>
          <w:sz w:val="32"/>
          <w:highlight w:val="none"/>
        </w:rPr>
        <w:t>2.2</w:t>
      </w:r>
      <w:r>
        <w:rPr>
          <w:rFonts w:hint="eastAsia" w:ascii="宋体" w:hAnsi="宋体" w:cs="宋体"/>
          <w:b/>
          <w:bCs/>
          <w:sz w:val="32"/>
          <w:highlight w:val="none"/>
          <w:lang w:eastAsia="zh-CN"/>
        </w:rPr>
        <w:t>供应商</w:t>
      </w:r>
      <w:r>
        <w:rPr>
          <w:rFonts w:hint="eastAsia" w:ascii="宋体" w:hAnsi="宋体" w:cs="宋体"/>
          <w:b/>
          <w:bCs/>
          <w:sz w:val="32"/>
          <w:highlight w:val="none"/>
        </w:rPr>
        <w:t>资格申明</w:t>
      </w:r>
    </w:p>
    <w:p w14:paraId="6DC57C0C">
      <w:pPr>
        <w:pStyle w:val="20"/>
        <w:spacing w:line="360" w:lineRule="auto"/>
        <w:ind w:firstLine="0"/>
        <w:rPr>
          <w:rFonts w:hint="eastAsia" w:ascii="宋体" w:hAnsi="宋体" w:cs="宋体"/>
          <w:sz w:val="24"/>
          <w:highlight w:val="none"/>
        </w:rPr>
      </w:pPr>
      <w:r>
        <w:rPr>
          <w:rFonts w:hint="eastAsia" w:ascii="宋体" w:hAnsi="宋体" w:cs="宋体"/>
          <w:sz w:val="24"/>
          <w:highlight w:val="none"/>
        </w:rPr>
        <w:t xml:space="preserve"> 致：</w:t>
      </w:r>
      <w:r>
        <w:rPr>
          <w:rFonts w:hint="eastAsia" w:ascii="宋体" w:hAnsi="宋体" w:cs="宋体"/>
          <w:sz w:val="24"/>
          <w:highlight w:val="none"/>
          <w:u w:val="single"/>
          <w:lang w:eastAsia="zh-CN"/>
        </w:rPr>
        <w:t>新乡医学院第一附属医院</w:t>
      </w:r>
    </w:p>
    <w:p w14:paraId="3F770866">
      <w:pPr>
        <w:pStyle w:val="20"/>
        <w:tabs>
          <w:tab w:val="left" w:pos="420"/>
        </w:tabs>
        <w:spacing w:line="360" w:lineRule="auto"/>
        <w:jc w:val="left"/>
        <w:rPr>
          <w:rFonts w:hint="eastAsia" w:ascii="宋体" w:hAnsi="宋体" w:cs="宋体"/>
          <w:sz w:val="24"/>
          <w:highlight w:val="none"/>
        </w:rPr>
      </w:pPr>
      <w:r>
        <w:rPr>
          <w:rFonts w:hint="eastAsia" w:ascii="宋体" w:hAnsi="宋体" w:cs="宋体"/>
          <w:sz w:val="24"/>
          <w:highlight w:val="none"/>
        </w:rPr>
        <w:t>我方自愿参与（</w:t>
      </w:r>
      <w:r>
        <w:rPr>
          <w:rFonts w:hint="eastAsia" w:ascii="宋体" w:hAnsi="宋体" w:cs="宋体"/>
          <w:b/>
          <w:bCs/>
          <w:sz w:val="24"/>
          <w:highlight w:val="none"/>
        </w:rPr>
        <w:t>项目名称：</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项目编号：</w:t>
      </w:r>
      <w:r>
        <w:rPr>
          <w:rFonts w:hint="eastAsia" w:ascii="宋体" w:hAnsi="宋体" w:cs="宋体"/>
          <w:b/>
          <w:bCs/>
          <w:sz w:val="24"/>
          <w:highlight w:val="none"/>
          <w:u w:val="single"/>
        </w:rPr>
        <w:t xml:space="preserve">      </w:t>
      </w:r>
      <w:r>
        <w:rPr>
          <w:rFonts w:hint="eastAsia" w:ascii="宋体" w:hAnsi="宋体" w:cs="宋体"/>
          <w:sz w:val="24"/>
          <w:highlight w:val="none"/>
        </w:rPr>
        <w:t>）项目的投标，提供的投标文件资料均保证来源渠道合法、材料真实，若提供的材料有虚假内容，我方愿意承担一切与之项目有关的责任。</w:t>
      </w:r>
    </w:p>
    <w:p w14:paraId="6B511C76">
      <w:pPr>
        <w:pStyle w:val="20"/>
        <w:spacing w:line="360" w:lineRule="auto"/>
        <w:ind w:firstLine="0"/>
        <w:rPr>
          <w:rFonts w:hint="eastAsia" w:ascii="宋体" w:hAnsi="宋体" w:cs="宋体"/>
          <w:sz w:val="24"/>
          <w:highlight w:val="none"/>
        </w:rPr>
      </w:pPr>
    </w:p>
    <w:p w14:paraId="0F7D57D3">
      <w:pPr>
        <w:pStyle w:val="20"/>
        <w:spacing w:line="360" w:lineRule="auto"/>
        <w:ind w:firstLine="0"/>
        <w:rPr>
          <w:rFonts w:hint="eastAsia" w:ascii="宋体" w:hAnsi="宋体" w:cs="宋体"/>
          <w:sz w:val="24"/>
          <w:highlight w:val="none"/>
        </w:rPr>
      </w:pPr>
      <w:r>
        <w:rPr>
          <w:rFonts w:hint="eastAsia" w:ascii="宋体" w:hAnsi="宋体" w:cs="宋体"/>
          <w:sz w:val="24"/>
          <w:highlight w:val="none"/>
          <w:lang w:eastAsia="zh-CN"/>
        </w:rPr>
        <w:t>供应商（盖单位电子章）</w:t>
      </w:r>
      <w:r>
        <w:rPr>
          <w:rFonts w:hint="eastAsia" w:ascii="宋体" w:hAnsi="宋体" w:cs="宋体"/>
          <w:sz w:val="24"/>
          <w:highlight w:val="none"/>
        </w:rPr>
        <w:t>：</w:t>
      </w:r>
    </w:p>
    <w:p w14:paraId="45EB6375">
      <w:pPr>
        <w:pStyle w:val="20"/>
        <w:spacing w:line="360" w:lineRule="auto"/>
        <w:ind w:firstLine="0"/>
        <w:rPr>
          <w:rFonts w:hint="eastAsia" w:ascii="宋体" w:hAnsi="宋体" w:cs="宋体"/>
          <w:sz w:val="24"/>
          <w:highlight w:val="none"/>
        </w:rPr>
      </w:pPr>
      <w:r>
        <w:rPr>
          <w:rFonts w:hint="eastAsia" w:ascii="宋体" w:hAnsi="宋体" w:cs="宋体"/>
          <w:sz w:val="24"/>
          <w:highlight w:val="none"/>
        </w:rPr>
        <w:t>日期：</w:t>
      </w:r>
    </w:p>
    <w:bookmarkEnd w:id="131"/>
    <w:bookmarkEnd w:id="132"/>
    <w:bookmarkEnd w:id="133"/>
    <w:bookmarkEnd w:id="134"/>
    <w:bookmarkEnd w:id="135"/>
    <w:bookmarkEnd w:id="136"/>
    <w:p w14:paraId="06BBDD76">
      <w:pPr>
        <w:pStyle w:val="33"/>
        <w:spacing w:line="500" w:lineRule="exact"/>
        <w:ind w:firstLine="720" w:firstLineChars="300"/>
        <w:rPr>
          <w:rFonts w:hint="eastAsia" w:ascii="宋体" w:hAnsi="宋体" w:eastAsia="宋体" w:cs="宋体"/>
          <w:sz w:val="24"/>
          <w:highlight w:val="none"/>
        </w:rPr>
      </w:pPr>
    </w:p>
    <w:p w14:paraId="4AA63D07">
      <w:pPr>
        <w:spacing w:line="360" w:lineRule="auto"/>
        <w:jc w:val="center"/>
        <w:outlineLvl w:val="1"/>
        <w:rPr>
          <w:rFonts w:hint="eastAsia" w:ascii="宋体" w:hAnsi="宋体" w:cs="宋体"/>
          <w:b/>
          <w:bCs/>
          <w:sz w:val="32"/>
          <w:szCs w:val="32"/>
          <w:highlight w:val="none"/>
        </w:rPr>
      </w:pPr>
      <w:r>
        <w:rPr>
          <w:rFonts w:hint="eastAsia" w:ascii="宋体" w:hAnsi="宋体" w:cs="宋体"/>
          <w:highlight w:val="none"/>
        </w:rPr>
        <w:br w:type="page"/>
      </w:r>
      <w:r>
        <w:rPr>
          <w:rFonts w:hint="eastAsia" w:ascii="宋体" w:hAnsi="宋体" w:cs="宋体"/>
          <w:b/>
          <w:bCs/>
          <w:sz w:val="32"/>
          <w:szCs w:val="32"/>
          <w:highlight w:val="none"/>
        </w:rPr>
        <w:t>2.3营业执照</w:t>
      </w:r>
      <w:r>
        <w:rPr>
          <w:rFonts w:hint="eastAsia" w:ascii="宋体" w:hAnsi="宋体" w:cs="宋体"/>
          <w:b/>
          <w:bCs/>
          <w:sz w:val="32"/>
          <w:szCs w:val="32"/>
          <w:highlight w:val="none"/>
          <w:lang w:val="en-US" w:eastAsia="zh-CN"/>
        </w:rPr>
        <w:t>或其他有效的</w:t>
      </w:r>
      <w:r>
        <w:rPr>
          <w:rFonts w:hint="eastAsia" w:ascii="宋体" w:hAnsi="宋体" w:cs="宋体"/>
          <w:b/>
          <w:bCs/>
          <w:sz w:val="32"/>
          <w:szCs w:val="32"/>
          <w:highlight w:val="none"/>
        </w:rPr>
        <w:t>证明文件</w:t>
      </w:r>
    </w:p>
    <w:p w14:paraId="62B9709F">
      <w:pPr>
        <w:spacing w:line="360" w:lineRule="auto"/>
        <w:jc w:val="center"/>
        <w:rPr>
          <w:rFonts w:hint="eastAsia" w:ascii="宋体" w:hAnsi="宋体" w:cs="宋体"/>
          <w:b/>
          <w:bCs/>
          <w:sz w:val="32"/>
          <w:szCs w:val="32"/>
          <w:highlight w:val="none"/>
        </w:rPr>
      </w:pPr>
      <w:bookmarkStart w:id="138" w:name="_Toc395181607"/>
    </w:p>
    <w:p w14:paraId="5FA9BFF9">
      <w:pPr>
        <w:spacing w:line="360" w:lineRule="auto"/>
        <w:jc w:val="center"/>
        <w:rPr>
          <w:rFonts w:hint="eastAsia" w:ascii="宋体" w:hAnsi="宋体" w:cs="宋体"/>
          <w:b/>
          <w:bCs/>
          <w:sz w:val="32"/>
          <w:szCs w:val="32"/>
          <w:highlight w:val="none"/>
        </w:rPr>
      </w:pPr>
    </w:p>
    <w:p w14:paraId="0E00559F">
      <w:pPr>
        <w:spacing w:line="360" w:lineRule="auto"/>
        <w:rPr>
          <w:rFonts w:hint="eastAsia" w:ascii="宋体" w:hAnsi="宋体" w:cs="宋体"/>
          <w:b/>
          <w:bCs/>
          <w:sz w:val="32"/>
          <w:szCs w:val="32"/>
          <w:highlight w:val="none"/>
        </w:rPr>
      </w:pPr>
    </w:p>
    <w:p w14:paraId="4D7CA167">
      <w:pPr>
        <w:spacing w:line="360" w:lineRule="auto"/>
        <w:rPr>
          <w:rFonts w:hint="eastAsia" w:ascii="宋体" w:hAnsi="宋体" w:cs="宋体"/>
          <w:b/>
          <w:bCs/>
          <w:sz w:val="32"/>
          <w:szCs w:val="32"/>
          <w:highlight w:val="none"/>
        </w:rPr>
      </w:pPr>
    </w:p>
    <w:p w14:paraId="69B27C4B">
      <w:pPr>
        <w:spacing w:line="360" w:lineRule="auto"/>
        <w:jc w:val="center"/>
        <w:rPr>
          <w:rFonts w:hint="eastAsia" w:ascii="宋体" w:hAnsi="宋体" w:cs="宋体"/>
          <w:b/>
          <w:bCs/>
          <w:sz w:val="32"/>
          <w:szCs w:val="32"/>
          <w:highlight w:val="none"/>
        </w:rPr>
      </w:pPr>
    </w:p>
    <w:p w14:paraId="4CC70EFA">
      <w:pPr>
        <w:spacing w:line="360" w:lineRule="auto"/>
        <w:jc w:val="center"/>
        <w:rPr>
          <w:rFonts w:hint="eastAsia" w:ascii="宋体" w:hAnsi="宋体" w:cs="宋体"/>
          <w:b/>
          <w:bCs/>
          <w:sz w:val="32"/>
          <w:szCs w:val="32"/>
          <w:highlight w:val="none"/>
        </w:rPr>
      </w:pPr>
    </w:p>
    <w:p w14:paraId="52EC6DDF">
      <w:pPr>
        <w:spacing w:line="360" w:lineRule="auto"/>
        <w:jc w:val="center"/>
        <w:rPr>
          <w:rFonts w:hint="eastAsia" w:ascii="宋体" w:hAnsi="宋体" w:cs="宋体"/>
          <w:b/>
          <w:bCs/>
          <w:sz w:val="32"/>
          <w:szCs w:val="32"/>
          <w:highlight w:val="none"/>
        </w:rPr>
      </w:pPr>
    </w:p>
    <w:p w14:paraId="34D43C67">
      <w:pPr>
        <w:spacing w:line="360" w:lineRule="auto"/>
        <w:jc w:val="center"/>
        <w:rPr>
          <w:rFonts w:hint="eastAsia" w:ascii="宋体" w:hAnsi="宋体" w:cs="宋体"/>
          <w:b/>
          <w:bCs/>
          <w:sz w:val="32"/>
          <w:szCs w:val="32"/>
          <w:highlight w:val="none"/>
        </w:rPr>
      </w:pPr>
    </w:p>
    <w:p w14:paraId="4E968176">
      <w:pPr>
        <w:spacing w:line="360" w:lineRule="auto"/>
        <w:jc w:val="center"/>
        <w:rPr>
          <w:rFonts w:hint="eastAsia" w:ascii="宋体" w:hAnsi="宋体" w:cs="宋体"/>
          <w:b/>
          <w:bCs/>
          <w:sz w:val="32"/>
          <w:szCs w:val="32"/>
          <w:highlight w:val="none"/>
        </w:rPr>
      </w:pPr>
    </w:p>
    <w:p w14:paraId="49232623">
      <w:pPr>
        <w:spacing w:line="360" w:lineRule="auto"/>
        <w:jc w:val="center"/>
        <w:rPr>
          <w:rFonts w:hint="eastAsia" w:ascii="宋体" w:hAnsi="宋体" w:cs="宋体"/>
          <w:b/>
          <w:bCs/>
          <w:sz w:val="32"/>
          <w:szCs w:val="32"/>
          <w:highlight w:val="none"/>
        </w:rPr>
      </w:pPr>
    </w:p>
    <w:p w14:paraId="71871A00">
      <w:pPr>
        <w:spacing w:line="360" w:lineRule="auto"/>
        <w:jc w:val="center"/>
        <w:rPr>
          <w:rFonts w:hint="eastAsia" w:ascii="宋体" w:hAnsi="宋体" w:cs="宋体"/>
          <w:b/>
          <w:bCs/>
          <w:sz w:val="32"/>
          <w:szCs w:val="32"/>
          <w:highlight w:val="none"/>
        </w:rPr>
      </w:pPr>
    </w:p>
    <w:p w14:paraId="26718D64">
      <w:pPr>
        <w:spacing w:line="360" w:lineRule="auto"/>
        <w:jc w:val="center"/>
        <w:rPr>
          <w:rFonts w:hint="eastAsia" w:ascii="宋体" w:hAnsi="宋体" w:cs="宋体"/>
          <w:b/>
          <w:bCs/>
          <w:sz w:val="32"/>
          <w:szCs w:val="32"/>
          <w:highlight w:val="none"/>
        </w:rPr>
      </w:pPr>
    </w:p>
    <w:p w14:paraId="0F41DDAF">
      <w:pPr>
        <w:spacing w:line="360" w:lineRule="auto"/>
        <w:jc w:val="center"/>
        <w:rPr>
          <w:rFonts w:hint="eastAsia" w:ascii="宋体" w:hAnsi="宋体" w:cs="宋体"/>
          <w:b/>
          <w:bCs/>
          <w:sz w:val="32"/>
          <w:szCs w:val="32"/>
          <w:highlight w:val="none"/>
        </w:rPr>
      </w:pPr>
    </w:p>
    <w:p w14:paraId="05CEFD3F">
      <w:pPr>
        <w:spacing w:line="360" w:lineRule="auto"/>
        <w:jc w:val="center"/>
        <w:rPr>
          <w:rFonts w:hint="eastAsia" w:ascii="宋体" w:hAnsi="宋体" w:cs="宋体"/>
          <w:b/>
          <w:bCs/>
          <w:sz w:val="32"/>
          <w:szCs w:val="32"/>
          <w:highlight w:val="none"/>
        </w:rPr>
      </w:pPr>
    </w:p>
    <w:p w14:paraId="3811AA64">
      <w:pPr>
        <w:spacing w:line="360" w:lineRule="auto"/>
        <w:jc w:val="center"/>
        <w:rPr>
          <w:rFonts w:hint="eastAsia" w:ascii="宋体" w:hAnsi="宋体" w:cs="宋体"/>
          <w:b/>
          <w:bCs/>
          <w:sz w:val="32"/>
          <w:szCs w:val="32"/>
          <w:highlight w:val="none"/>
        </w:rPr>
      </w:pPr>
    </w:p>
    <w:p w14:paraId="1456DDDE">
      <w:pPr>
        <w:spacing w:line="360" w:lineRule="auto"/>
        <w:jc w:val="center"/>
        <w:rPr>
          <w:rFonts w:hint="eastAsia" w:ascii="宋体" w:hAnsi="宋体" w:cs="宋体"/>
          <w:b/>
          <w:bCs/>
          <w:sz w:val="32"/>
          <w:szCs w:val="32"/>
          <w:highlight w:val="none"/>
        </w:rPr>
      </w:pPr>
    </w:p>
    <w:p w14:paraId="41FBF229">
      <w:pPr>
        <w:spacing w:line="360" w:lineRule="auto"/>
        <w:jc w:val="center"/>
        <w:rPr>
          <w:rFonts w:hint="eastAsia" w:ascii="宋体" w:hAnsi="宋体" w:cs="宋体"/>
          <w:b/>
          <w:bCs/>
          <w:sz w:val="32"/>
          <w:szCs w:val="32"/>
          <w:highlight w:val="none"/>
        </w:rPr>
      </w:pPr>
    </w:p>
    <w:p w14:paraId="267A2803">
      <w:pPr>
        <w:spacing w:line="360" w:lineRule="auto"/>
        <w:jc w:val="center"/>
        <w:rPr>
          <w:rFonts w:hint="eastAsia" w:ascii="宋体" w:hAnsi="宋体" w:cs="宋体"/>
          <w:b/>
          <w:bCs/>
          <w:sz w:val="32"/>
          <w:szCs w:val="32"/>
          <w:highlight w:val="none"/>
        </w:rPr>
      </w:pPr>
    </w:p>
    <w:p w14:paraId="1D47CE3D">
      <w:pPr>
        <w:spacing w:line="360" w:lineRule="auto"/>
        <w:jc w:val="center"/>
        <w:rPr>
          <w:rFonts w:hint="eastAsia" w:ascii="宋体" w:hAnsi="宋体" w:cs="宋体"/>
          <w:b/>
          <w:bCs/>
          <w:sz w:val="32"/>
          <w:szCs w:val="32"/>
          <w:highlight w:val="none"/>
        </w:rPr>
      </w:pPr>
    </w:p>
    <w:p w14:paraId="5DEC0791">
      <w:pPr>
        <w:spacing w:line="360" w:lineRule="auto"/>
        <w:jc w:val="center"/>
        <w:outlineLvl w:val="1"/>
        <w:rPr>
          <w:rFonts w:hint="eastAsia" w:ascii="宋体" w:hAnsi="宋体" w:cs="宋体"/>
          <w:b/>
          <w:bCs/>
          <w:sz w:val="32"/>
          <w:szCs w:val="32"/>
          <w:highlight w:val="none"/>
        </w:rPr>
      </w:pPr>
      <w:r>
        <w:rPr>
          <w:rFonts w:hint="eastAsia" w:ascii="宋体" w:hAnsi="宋体" w:cs="宋体"/>
          <w:b/>
          <w:bCs/>
          <w:sz w:val="32"/>
          <w:szCs w:val="32"/>
          <w:highlight w:val="none"/>
        </w:rPr>
        <w:br w:type="page"/>
      </w:r>
      <w:r>
        <w:rPr>
          <w:rFonts w:hint="eastAsia" w:ascii="宋体" w:hAnsi="宋体" w:cs="宋体"/>
          <w:b/>
          <w:bCs/>
          <w:sz w:val="32"/>
          <w:szCs w:val="32"/>
          <w:highlight w:val="none"/>
        </w:rPr>
        <w:t>2.4反商业贿赂承诺书</w:t>
      </w:r>
      <w:bookmarkEnd w:id="138"/>
    </w:p>
    <w:p w14:paraId="6B9052F4">
      <w:pPr>
        <w:spacing w:line="360" w:lineRule="auto"/>
        <w:rPr>
          <w:rFonts w:hint="eastAsia" w:ascii="宋体" w:hAnsi="宋体" w:cs="宋体"/>
          <w:sz w:val="24"/>
          <w:highlight w:val="none"/>
        </w:rPr>
      </w:pPr>
      <w:r>
        <w:rPr>
          <w:rFonts w:hint="eastAsia" w:ascii="宋体" w:hAnsi="宋体" w:cs="宋体"/>
          <w:sz w:val="24"/>
          <w:highlight w:val="none"/>
        </w:rPr>
        <w:t>我公司承诺：</w:t>
      </w:r>
    </w:p>
    <w:p w14:paraId="510A5E6C">
      <w:pPr>
        <w:spacing w:line="360" w:lineRule="auto"/>
        <w:ind w:firstLine="540"/>
        <w:rPr>
          <w:rFonts w:hint="eastAsia" w:ascii="宋体" w:hAnsi="宋体" w:cs="宋体"/>
          <w:sz w:val="24"/>
          <w:highlight w:val="none"/>
        </w:rPr>
      </w:pPr>
      <w:r>
        <w:rPr>
          <w:rFonts w:hint="eastAsia" w:ascii="宋体" w:hAnsi="宋体" w:cs="宋体"/>
          <w:sz w:val="24"/>
          <w:highlight w:val="none"/>
        </w:rPr>
        <w:t>在 （投标项目名称）招标活动中，我公司保证做到：</w:t>
      </w:r>
    </w:p>
    <w:p w14:paraId="1C817EC8">
      <w:pPr>
        <w:spacing w:line="360" w:lineRule="auto"/>
        <w:ind w:firstLine="540"/>
        <w:rPr>
          <w:rFonts w:hint="eastAsia" w:ascii="宋体" w:hAnsi="宋体" w:cs="宋体"/>
          <w:sz w:val="24"/>
          <w:highlight w:val="none"/>
        </w:rPr>
      </w:pPr>
      <w:r>
        <w:rPr>
          <w:rFonts w:hint="eastAsia" w:ascii="宋体" w:hAnsi="宋体" w:cs="宋体"/>
          <w:sz w:val="24"/>
          <w:highlight w:val="none"/>
        </w:rPr>
        <w:t>一、公平竞争参加本次招标活动。</w:t>
      </w:r>
    </w:p>
    <w:p w14:paraId="4129A6A7">
      <w:pPr>
        <w:spacing w:line="360" w:lineRule="auto"/>
        <w:ind w:firstLine="540"/>
        <w:rPr>
          <w:rFonts w:hint="eastAsia" w:ascii="宋体" w:hAnsi="宋体" w:cs="宋体"/>
          <w:sz w:val="24"/>
          <w:highlight w:val="none"/>
        </w:rPr>
      </w:pPr>
      <w:r>
        <w:rPr>
          <w:rFonts w:hint="eastAsia" w:ascii="宋体" w:hAnsi="宋体" w:cs="宋体"/>
          <w:sz w:val="24"/>
          <w:highlight w:val="none"/>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1B979EFC">
      <w:pPr>
        <w:spacing w:line="360" w:lineRule="auto"/>
        <w:ind w:firstLine="540"/>
        <w:rPr>
          <w:rFonts w:hint="eastAsia" w:ascii="宋体" w:hAnsi="宋体" w:cs="宋体"/>
          <w:sz w:val="24"/>
          <w:highlight w:val="none"/>
        </w:rPr>
      </w:pPr>
      <w:r>
        <w:rPr>
          <w:rFonts w:hint="eastAsia" w:ascii="宋体" w:hAnsi="宋体" w:cs="宋体"/>
          <w:sz w:val="24"/>
          <w:highlight w:val="none"/>
        </w:rPr>
        <w:t>三、若出现上述行为，我公司及参与投标的工作人员愿意接受按照国家法律法规等有关规定给予的处罚。</w:t>
      </w:r>
    </w:p>
    <w:p w14:paraId="073B8BC1">
      <w:pPr>
        <w:spacing w:line="360" w:lineRule="auto"/>
        <w:ind w:firstLine="540"/>
        <w:rPr>
          <w:rFonts w:hint="eastAsia" w:ascii="宋体" w:hAnsi="宋体" w:cs="宋体"/>
          <w:sz w:val="24"/>
          <w:highlight w:val="none"/>
        </w:rPr>
      </w:pPr>
    </w:p>
    <w:p w14:paraId="5152A883">
      <w:pPr>
        <w:spacing w:line="360" w:lineRule="auto"/>
        <w:ind w:firstLine="540"/>
        <w:rPr>
          <w:rFonts w:hint="eastAsia" w:ascii="宋体" w:hAnsi="宋体" w:cs="宋体"/>
          <w:sz w:val="24"/>
          <w:highlight w:val="none"/>
        </w:rPr>
      </w:pPr>
      <w:r>
        <w:rPr>
          <w:rFonts w:hint="eastAsia" w:ascii="宋体" w:hAnsi="宋体" w:cs="宋体"/>
          <w:sz w:val="24"/>
          <w:highlight w:val="none"/>
        </w:rPr>
        <w:t xml:space="preserve">                                      </w:t>
      </w:r>
    </w:p>
    <w:p w14:paraId="36F6027F">
      <w:pPr>
        <w:spacing w:line="360" w:lineRule="auto"/>
        <w:ind w:firstLine="480" w:firstLineChars="200"/>
        <w:rPr>
          <w:rFonts w:hint="eastAsia" w:ascii="宋体" w:hAnsi="宋体" w:cs="宋体"/>
          <w:sz w:val="24"/>
          <w:highlight w:val="none"/>
        </w:rPr>
      </w:pPr>
    </w:p>
    <w:p w14:paraId="39CD2D9C">
      <w:pPr>
        <w:pStyle w:val="33"/>
        <w:spacing w:line="500" w:lineRule="exact"/>
        <w:ind w:firstLine="720" w:firstLineChars="300"/>
        <w:rPr>
          <w:rFonts w:hint="eastAsia" w:ascii="宋体" w:hAnsi="宋体" w:eastAsia="宋体" w:cs="宋体"/>
          <w:sz w:val="24"/>
          <w:highlight w:val="none"/>
        </w:rPr>
      </w:pPr>
    </w:p>
    <w:p w14:paraId="2AF01A3C">
      <w:pPr>
        <w:pStyle w:val="20"/>
        <w:spacing w:line="360" w:lineRule="auto"/>
        <w:ind w:firstLine="0"/>
        <w:rPr>
          <w:rFonts w:hint="eastAsia" w:ascii="宋体" w:hAnsi="宋体" w:cs="宋体"/>
          <w:sz w:val="24"/>
          <w:highlight w:val="none"/>
        </w:rPr>
      </w:pPr>
      <w:r>
        <w:rPr>
          <w:rFonts w:hint="eastAsia" w:ascii="宋体" w:hAnsi="宋体" w:cs="宋体"/>
          <w:sz w:val="24"/>
          <w:highlight w:val="none"/>
          <w:lang w:eastAsia="zh-CN"/>
        </w:rPr>
        <w:t>供应商（盖单位电子章）</w:t>
      </w:r>
      <w:r>
        <w:rPr>
          <w:rFonts w:hint="eastAsia" w:ascii="宋体" w:hAnsi="宋体" w:cs="宋体"/>
          <w:sz w:val="24"/>
          <w:highlight w:val="none"/>
        </w:rPr>
        <w:t>：</w:t>
      </w:r>
    </w:p>
    <w:p w14:paraId="41A451CD">
      <w:pPr>
        <w:spacing w:line="360" w:lineRule="auto"/>
        <w:rPr>
          <w:rFonts w:hint="eastAsia" w:ascii="宋体" w:hAnsi="宋体" w:cs="宋体"/>
          <w:sz w:val="24"/>
          <w:highlight w:val="none"/>
        </w:rPr>
      </w:pPr>
      <w:r>
        <w:rPr>
          <w:rFonts w:hint="eastAsia" w:ascii="宋体" w:hAnsi="宋体" w:cs="宋体"/>
          <w:sz w:val="24"/>
          <w:highlight w:val="none"/>
        </w:rPr>
        <w:t>日期：</w:t>
      </w:r>
    </w:p>
    <w:p w14:paraId="3BA74830">
      <w:pPr>
        <w:spacing w:line="360" w:lineRule="auto"/>
        <w:rPr>
          <w:rFonts w:hint="eastAsia" w:ascii="宋体" w:hAnsi="宋体" w:cs="宋体"/>
          <w:sz w:val="24"/>
          <w:highlight w:val="none"/>
        </w:rPr>
      </w:pPr>
    </w:p>
    <w:p w14:paraId="69B57B87">
      <w:pPr>
        <w:spacing w:line="360" w:lineRule="auto"/>
        <w:rPr>
          <w:rFonts w:hint="eastAsia" w:ascii="宋体" w:hAnsi="宋体" w:cs="宋体"/>
          <w:sz w:val="24"/>
          <w:highlight w:val="none"/>
        </w:rPr>
      </w:pPr>
    </w:p>
    <w:p w14:paraId="4AEDA384">
      <w:pPr>
        <w:spacing w:line="360" w:lineRule="auto"/>
        <w:rPr>
          <w:rFonts w:hint="eastAsia" w:ascii="宋体" w:hAnsi="宋体" w:cs="宋体"/>
          <w:sz w:val="24"/>
          <w:highlight w:val="none"/>
        </w:rPr>
      </w:pPr>
    </w:p>
    <w:p w14:paraId="5E95245D">
      <w:pPr>
        <w:spacing w:line="360" w:lineRule="auto"/>
        <w:rPr>
          <w:rFonts w:hint="eastAsia" w:ascii="宋体" w:hAnsi="宋体" w:cs="宋体"/>
          <w:sz w:val="24"/>
          <w:highlight w:val="none"/>
        </w:rPr>
      </w:pPr>
    </w:p>
    <w:p w14:paraId="6ABF6106">
      <w:pPr>
        <w:spacing w:line="360" w:lineRule="auto"/>
        <w:rPr>
          <w:rFonts w:hint="eastAsia" w:ascii="宋体" w:hAnsi="宋体" w:cs="宋体"/>
          <w:sz w:val="24"/>
          <w:highlight w:val="none"/>
        </w:rPr>
        <w:sectPr>
          <w:headerReference r:id="rId12" w:type="default"/>
          <w:footerReference r:id="rId13" w:type="default"/>
          <w:pgSz w:w="11906" w:h="16838"/>
          <w:pgMar w:top="1440" w:right="1274" w:bottom="1440" w:left="1800" w:header="851" w:footer="992" w:gutter="0"/>
          <w:pgNumType w:fmt="decimal"/>
          <w:cols w:space="720" w:num="1"/>
          <w:docGrid w:type="lines" w:linePitch="312" w:charSpace="0"/>
        </w:sectPr>
      </w:pPr>
    </w:p>
    <w:p w14:paraId="6835F93D">
      <w:pPr>
        <w:spacing w:line="360" w:lineRule="auto"/>
        <w:jc w:val="center"/>
        <w:outlineLvl w:val="1"/>
        <w:rPr>
          <w:rFonts w:hint="eastAsia" w:ascii="宋体" w:hAnsi="宋体" w:cs="宋体"/>
          <w:b/>
          <w:bCs/>
          <w:sz w:val="32"/>
          <w:szCs w:val="32"/>
          <w:highlight w:val="none"/>
        </w:rPr>
      </w:pPr>
      <w:r>
        <w:rPr>
          <w:rFonts w:hint="eastAsia" w:ascii="宋体" w:hAnsi="宋体" w:cs="宋体"/>
          <w:b/>
          <w:bCs/>
          <w:sz w:val="32"/>
          <w:szCs w:val="32"/>
          <w:highlight w:val="none"/>
        </w:rPr>
        <w:t>2.5无重大违法记录声明函</w:t>
      </w:r>
    </w:p>
    <w:p w14:paraId="11D9DDC0">
      <w:pPr>
        <w:rPr>
          <w:rFonts w:hint="eastAsia" w:ascii="宋体" w:hAnsi="宋体" w:cs="宋体"/>
          <w:highlight w:val="none"/>
        </w:rPr>
      </w:pPr>
    </w:p>
    <w:p w14:paraId="7D7CF018">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lang w:eastAsia="zh-CN"/>
        </w:rPr>
        <w:t>新乡医学院第一附属医院</w:t>
      </w:r>
    </w:p>
    <w:p w14:paraId="26A8E11A">
      <w:pPr>
        <w:spacing w:line="360" w:lineRule="auto"/>
        <w:ind w:firstLine="480" w:firstLineChars="200"/>
        <w:rPr>
          <w:rFonts w:hint="eastAsia" w:ascii="宋体" w:hAnsi="宋体" w:cs="宋体"/>
          <w:highlight w:val="none"/>
        </w:rPr>
      </w:pPr>
      <w:r>
        <w:rPr>
          <w:rFonts w:hint="eastAsia" w:ascii="宋体" w:hAnsi="宋体" w:cs="宋体"/>
          <w:sz w:val="24"/>
          <w:highlight w:val="none"/>
        </w:rPr>
        <w:t>我公司声明参加本次政府采购活动前三年内在中华人民共和国境内经营活动中未因重大违法、违纪经营受到刑事处罚或者责令停产停业、吊销许可证或者执照、较大数额罚款等行政处罚。</w:t>
      </w:r>
    </w:p>
    <w:p w14:paraId="2D18E3DD">
      <w:pPr>
        <w:spacing w:line="360" w:lineRule="auto"/>
        <w:rPr>
          <w:rFonts w:hint="eastAsia" w:ascii="宋体" w:hAnsi="宋体" w:cs="宋体"/>
          <w:b/>
          <w:sz w:val="24"/>
          <w:highlight w:val="none"/>
        </w:rPr>
      </w:pPr>
      <w:r>
        <w:rPr>
          <w:rFonts w:hint="eastAsia" w:ascii="宋体" w:hAnsi="宋体" w:cs="宋体"/>
          <w:b/>
          <w:sz w:val="24"/>
          <w:highlight w:val="none"/>
        </w:rPr>
        <w:t xml:space="preserve">                                                  </w:t>
      </w:r>
      <w:r>
        <w:rPr>
          <w:rFonts w:hint="eastAsia" w:ascii="宋体" w:hAnsi="宋体" w:cs="宋体"/>
          <w:bCs/>
          <w:sz w:val="24"/>
          <w:highlight w:val="none"/>
        </w:rPr>
        <w:t xml:space="preserve">   </w:t>
      </w:r>
    </w:p>
    <w:p w14:paraId="185951A4">
      <w:pPr>
        <w:spacing w:line="360" w:lineRule="auto"/>
        <w:rPr>
          <w:rFonts w:hint="eastAsia" w:ascii="宋体" w:hAnsi="宋体" w:cs="宋体"/>
          <w:b/>
          <w:sz w:val="24"/>
          <w:highlight w:val="none"/>
        </w:rPr>
      </w:pPr>
    </w:p>
    <w:p w14:paraId="681B44C3">
      <w:pPr>
        <w:spacing w:line="360" w:lineRule="auto"/>
        <w:rPr>
          <w:rFonts w:hint="eastAsia" w:ascii="宋体" w:hAnsi="宋体" w:cs="宋体"/>
          <w:b/>
          <w:sz w:val="24"/>
          <w:highlight w:val="none"/>
        </w:rPr>
      </w:pPr>
    </w:p>
    <w:p w14:paraId="7A6C29BE">
      <w:pPr>
        <w:spacing w:line="360" w:lineRule="auto"/>
        <w:rPr>
          <w:rFonts w:hint="eastAsia" w:ascii="宋体" w:hAnsi="宋体" w:cs="宋体"/>
          <w:b/>
          <w:sz w:val="24"/>
          <w:highlight w:val="none"/>
        </w:rPr>
      </w:pPr>
    </w:p>
    <w:p w14:paraId="02E9605E">
      <w:pPr>
        <w:pStyle w:val="20"/>
        <w:spacing w:line="360" w:lineRule="auto"/>
        <w:ind w:firstLine="0"/>
        <w:rPr>
          <w:rFonts w:hint="eastAsia" w:ascii="宋体" w:hAnsi="宋体" w:cs="宋体"/>
          <w:sz w:val="24"/>
          <w:highlight w:val="none"/>
        </w:rPr>
      </w:pPr>
      <w:r>
        <w:rPr>
          <w:rFonts w:hint="eastAsia" w:ascii="宋体" w:hAnsi="宋体" w:cs="宋体"/>
          <w:sz w:val="24"/>
          <w:highlight w:val="none"/>
          <w:lang w:eastAsia="zh-CN"/>
        </w:rPr>
        <w:t>供应商（盖单位电子章）</w:t>
      </w:r>
      <w:r>
        <w:rPr>
          <w:rFonts w:hint="eastAsia" w:ascii="宋体" w:hAnsi="宋体" w:cs="宋体"/>
          <w:sz w:val="24"/>
          <w:highlight w:val="none"/>
        </w:rPr>
        <w:t>：</w:t>
      </w:r>
    </w:p>
    <w:p w14:paraId="78104D56">
      <w:pPr>
        <w:spacing w:line="480" w:lineRule="auto"/>
        <w:rPr>
          <w:rFonts w:hint="eastAsia" w:ascii="宋体" w:hAnsi="宋体" w:cs="宋体"/>
          <w:sz w:val="24"/>
          <w:highlight w:val="none"/>
        </w:rPr>
      </w:pPr>
      <w:r>
        <w:rPr>
          <w:rFonts w:hint="eastAsia" w:ascii="宋体" w:hAnsi="宋体" w:cs="宋体"/>
          <w:sz w:val="24"/>
          <w:highlight w:val="none"/>
        </w:rPr>
        <w:t>日期：</w:t>
      </w:r>
    </w:p>
    <w:p w14:paraId="0204E4E6">
      <w:pPr>
        <w:spacing w:line="360" w:lineRule="auto"/>
        <w:ind w:firstLine="720" w:firstLineChars="300"/>
        <w:rPr>
          <w:rFonts w:hint="eastAsia" w:ascii="宋体" w:hAnsi="宋体" w:cs="宋体"/>
          <w:sz w:val="24"/>
          <w:highlight w:val="none"/>
        </w:rPr>
      </w:pPr>
    </w:p>
    <w:p w14:paraId="40ACFE09">
      <w:pPr>
        <w:spacing w:line="360" w:lineRule="auto"/>
        <w:rPr>
          <w:rFonts w:hint="eastAsia" w:ascii="宋体" w:hAnsi="宋体" w:cs="宋体"/>
          <w:sz w:val="24"/>
          <w:highlight w:val="none"/>
        </w:rPr>
      </w:pPr>
    </w:p>
    <w:p w14:paraId="6018AAFF">
      <w:pPr>
        <w:spacing w:line="360" w:lineRule="auto"/>
        <w:rPr>
          <w:rFonts w:hint="eastAsia" w:ascii="宋体" w:hAnsi="宋体" w:cs="宋体"/>
          <w:sz w:val="24"/>
          <w:highlight w:val="none"/>
        </w:rPr>
      </w:pPr>
    </w:p>
    <w:p w14:paraId="1283EEEB">
      <w:pPr>
        <w:spacing w:line="360" w:lineRule="auto"/>
        <w:rPr>
          <w:rFonts w:hint="eastAsia" w:ascii="宋体" w:hAnsi="宋体" w:cs="宋体"/>
          <w:b/>
          <w:sz w:val="24"/>
          <w:highlight w:val="none"/>
        </w:rPr>
      </w:pPr>
    </w:p>
    <w:p w14:paraId="4CC18F82">
      <w:pPr>
        <w:spacing w:line="360" w:lineRule="auto"/>
        <w:rPr>
          <w:rFonts w:hint="eastAsia" w:ascii="宋体" w:hAnsi="宋体" w:cs="宋体"/>
          <w:b/>
          <w:sz w:val="24"/>
          <w:highlight w:val="none"/>
        </w:rPr>
        <w:sectPr>
          <w:pgSz w:w="11906" w:h="16838"/>
          <w:pgMar w:top="1440" w:right="1800" w:bottom="1440" w:left="1800" w:header="851" w:footer="992" w:gutter="0"/>
          <w:pgNumType w:fmt="decimal"/>
          <w:cols w:space="720" w:num="1"/>
          <w:docGrid w:type="lines" w:linePitch="312" w:charSpace="0"/>
        </w:sectPr>
      </w:pPr>
    </w:p>
    <w:p w14:paraId="283AD819">
      <w:pPr>
        <w:spacing w:line="360" w:lineRule="auto"/>
        <w:jc w:val="center"/>
        <w:rPr>
          <w:rFonts w:hint="eastAsia" w:ascii="宋体" w:hAnsi="宋体" w:cs="宋体"/>
          <w:b/>
          <w:bCs/>
          <w:sz w:val="32"/>
          <w:szCs w:val="32"/>
          <w:highlight w:val="none"/>
        </w:rPr>
      </w:pPr>
      <w:r>
        <w:rPr>
          <w:rFonts w:hint="eastAsia" w:ascii="宋体" w:hAnsi="宋体" w:cs="宋体"/>
          <w:b/>
          <w:bCs/>
          <w:sz w:val="32"/>
          <w:szCs w:val="32"/>
          <w:highlight w:val="none"/>
        </w:rPr>
        <w:t>2.6纳税及社保缴纳证明</w:t>
      </w:r>
    </w:p>
    <w:p w14:paraId="19F9AC81">
      <w:pPr>
        <w:spacing w:line="360" w:lineRule="auto"/>
        <w:jc w:val="left"/>
        <w:rPr>
          <w:rFonts w:hint="eastAsia" w:ascii="宋体" w:hAnsi="宋体" w:cs="宋体"/>
          <w:b/>
          <w:bCs/>
          <w:sz w:val="24"/>
          <w:highlight w:val="none"/>
          <w:shd w:val="clear" w:color="auto" w:fill="FFFFFF"/>
        </w:rPr>
      </w:pPr>
      <w:r>
        <w:rPr>
          <w:rFonts w:hint="eastAsia" w:ascii="宋体" w:hAnsi="宋体" w:cs="宋体"/>
          <w:b/>
          <w:bCs/>
          <w:sz w:val="24"/>
          <w:highlight w:val="none"/>
          <w:shd w:val="clear" w:color="auto" w:fill="FFFFFF"/>
        </w:rPr>
        <w:t>【附：税款所属期202</w:t>
      </w:r>
      <w:r>
        <w:rPr>
          <w:rFonts w:hint="eastAsia" w:ascii="宋体" w:hAnsi="宋体" w:cs="宋体"/>
          <w:b/>
          <w:bCs/>
          <w:sz w:val="24"/>
          <w:highlight w:val="none"/>
          <w:shd w:val="clear" w:color="auto" w:fill="FFFFFF"/>
          <w:lang w:val="en-US" w:eastAsia="zh-CN"/>
        </w:rPr>
        <w:t>5</w:t>
      </w:r>
      <w:r>
        <w:rPr>
          <w:rFonts w:hint="eastAsia" w:ascii="宋体" w:hAnsi="宋体" w:cs="宋体"/>
          <w:b/>
          <w:bCs/>
          <w:sz w:val="24"/>
          <w:highlight w:val="none"/>
          <w:shd w:val="clear" w:color="auto" w:fill="FFFFFF"/>
        </w:rPr>
        <w:t>年</w:t>
      </w:r>
      <w:r>
        <w:rPr>
          <w:rFonts w:hint="eastAsia" w:ascii="宋体" w:hAnsi="宋体" w:cs="宋体"/>
          <w:b/>
          <w:bCs/>
          <w:sz w:val="24"/>
          <w:highlight w:val="none"/>
          <w:shd w:val="clear" w:color="auto" w:fill="FFFFFF"/>
          <w:lang w:val="en-US" w:eastAsia="zh-CN"/>
        </w:rPr>
        <w:t>1</w:t>
      </w:r>
      <w:r>
        <w:rPr>
          <w:rFonts w:hint="eastAsia" w:ascii="宋体" w:hAnsi="宋体" w:cs="宋体"/>
          <w:b/>
          <w:bCs/>
          <w:sz w:val="24"/>
          <w:highlight w:val="none"/>
          <w:shd w:val="clear" w:color="auto" w:fill="FFFFFF"/>
        </w:rPr>
        <w:t>月1日以来</w:t>
      </w:r>
      <w:r>
        <w:rPr>
          <w:rFonts w:hint="eastAsia" w:ascii="宋体" w:hAnsi="宋体" w:cs="宋体"/>
          <w:b/>
          <w:bCs/>
          <w:sz w:val="24"/>
          <w:highlight w:val="none"/>
          <w:shd w:val="clear" w:color="auto" w:fill="FFFFFF"/>
          <w:lang w:val="en-US" w:eastAsia="zh-CN"/>
        </w:rPr>
        <w:t>任意1</w:t>
      </w:r>
      <w:r>
        <w:rPr>
          <w:rFonts w:hint="eastAsia" w:ascii="宋体" w:hAnsi="宋体" w:cs="宋体"/>
          <w:b/>
          <w:bCs/>
          <w:sz w:val="24"/>
          <w:highlight w:val="none"/>
          <w:shd w:val="clear" w:color="auto" w:fill="FFFFFF"/>
        </w:rPr>
        <w:t>个月的纳税证明及缴纳的社保证明】</w:t>
      </w:r>
    </w:p>
    <w:p w14:paraId="649C7587">
      <w:pPr>
        <w:spacing w:line="360" w:lineRule="auto"/>
        <w:jc w:val="left"/>
        <w:rPr>
          <w:rFonts w:hint="eastAsia" w:ascii="宋体" w:hAnsi="宋体" w:cs="宋体"/>
          <w:b/>
          <w:bCs/>
          <w:sz w:val="32"/>
          <w:szCs w:val="32"/>
          <w:highlight w:val="none"/>
        </w:rPr>
      </w:pPr>
      <w:r>
        <w:rPr>
          <w:rFonts w:hint="eastAsia" w:ascii="宋体" w:hAnsi="宋体" w:cs="宋体"/>
          <w:b/>
          <w:bCs/>
          <w:sz w:val="24"/>
          <w:highlight w:val="none"/>
          <w:shd w:val="clear" w:color="auto" w:fill="FFFFFF"/>
        </w:rPr>
        <w:t>注：依法免税或不需要缴纳社会保障资金的</w:t>
      </w:r>
      <w:r>
        <w:rPr>
          <w:rFonts w:hint="eastAsia" w:ascii="宋体" w:hAnsi="宋体" w:cs="宋体"/>
          <w:b/>
          <w:bCs/>
          <w:sz w:val="24"/>
          <w:highlight w:val="none"/>
          <w:shd w:val="clear" w:color="auto" w:fill="FFFFFF"/>
          <w:lang w:eastAsia="zh-CN"/>
        </w:rPr>
        <w:t>供应商</w:t>
      </w:r>
      <w:r>
        <w:rPr>
          <w:rFonts w:hint="eastAsia" w:ascii="宋体" w:hAnsi="宋体" w:cs="宋体"/>
          <w:b/>
          <w:bCs/>
          <w:sz w:val="24"/>
          <w:highlight w:val="none"/>
          <w:shd w:val="clear" w:color="auto" w:fill="FFFFFF"/>
        </w:rPr>
        <w:t>，应提供相应文件证明其依法免税或不需要缴纳社会保障资金。</w:t>
      </w:r>
      <w:r>
        <w:rPr>
          <w:rFonts w:hint="eastAsia" w:ascii="宋体" w:hAnsi="宋体" w:cs="宋体"/>
          <w:b/>
          <w:bCs/>
          <w:sz w:val="32"/>
          <w:szCs w:val="32"/>
          <w:highlight w:val="none"/>
        </w:rPr>
        <w:t xml:space="preserve"> </w:t>
      </w:r>
    </w:p>
    <w:p w14:paraId="0A25DCB7">
      <w:pPr>
        <w:rPr>
          <w:rFonts w:hint="eastAsia" w:ascii="宋体" w:hAnsi="宋体" w:cs="宋体"/>
          <w:b/>
          <w:bCs/>
          <w:sz w:val="32"/>
          <w:szCs w:val="32"/>
          <w:highlight w:val="none"/>
        </w:rPr>
      </w:pPr>
    </w:p>
    <w:p w14:paraId="7974CFC2">
      <w:pPr>
        <w:rPr>
          <w:rFonts w:hint="eastAsia" w:ascii="宋体" w:hAnsi="宋体" w:cs="宋体"/>
          <w:highlight w:val="none"/>
        </w:rPr>
      </w:pPr>
    </w:p>
    <w:p w14:paraId="0CE2556C">
      <w:pPr>
        <w:rPr>
          <w:rFonts w:hint="eastAsia" w:ascii="宋体" w:hAnsi="宋体" w:cs="宋体"/>
          <w:highlight w:val="none"/>
        </w:rPr>
      </w:pPr>
    </w:p>
    <w:p w14:paraId="38BDC2C4">
      <w:pPr>
        <w:rPr>
          <w:rFonts w:hint="eastAsia" w:ascii="宋体" w:hAnsi="宋体" w:cs="宋体"/>
          <w:highlight w:val="none"/>
        </w:rPr>
      </w:pPr>
    </w:p>
    <w:p w14:paraId="3BED726C">
      <w:pPr>
        <w:spacing w:line="360" w:lineRule="auto"/>
        <w:jc w:val="center"/>
        <w:rPr>
          <w:rFonts w:hint="eastAsia" w:ascii="宋体" w:hAnsi="宋体" w:cs="宋体"/>
          <w:b/>
          <w:bCs/>
          <w:sz w:val="32"/>
          <w:szCs w:val="32"/>
          <w:highlight w:val="none"/>
        </w:rPr>
      </w:pPr>
    </w:p>
    <w:p w14:paraId="25B39FA1">
      <w:pPr>
        <w:spacing w:line="360" w:lineRule="auto"/>
        <w:jc w:val="center"/>
        <w:rPr>
          <w:rFonts w:hint="eastAsia" w:ascii="宋体" w:hAnsi="宋体" w:cs="宋体"/>
          <w:b/>
          <w:bCs/>
          <w:sz w:val="32"/>
          <w:szCs w:val="32"/>
          <w:highlight w:val="none"/>
        </w:rPr>
      </w:pPr>
    </w:p>
    <w:p w14:paraId="3F47F50E">
      <w:pPr>
        <w:spacing w:line="360" w:lineRule="auto"/>
        <w:jc w:val="center"/>
        <w:rPr>
          <w:rFonts w:hint="eastAsia" w:ascii="宋体" w:hAnsi="宋体" w:cs="宋体"/>
          <w:b/>
          <w:bCs/>
          <w:sz w:val="32"/>
          <w:szCs w:val="32"/>
          <w:highlight w:val="none"/>
        </w:rPr>
      </w:pPr>
    </w:p>
    <w:p w14:paraId="39790642">
      <w:pPr>
        <w:spacing w:line="360" w:lineRule="auto"/>
        <w:jc w:val="center"/>
        <w:rPr>
          <w:rFonts w:hint="eastAsia" w:ascii="宋体" w:hAnsi="宋体" w:cs="宋体"/>
          <w:b/>
          <w:bCs/>
          <w:sz w:val="32"/>
          <w:szCs w:val="32"/>
          <w:highlight w:val="none"/>
        </w:rPr>
      </w:pPr>
    </w:p>
    <w:p w14:paraId="75C3C8F8">
      <w:pPr>
        <w:spacing w:line="360" w:lineRule="auto"/>
        <w:jc w:val="center"/>
        <w:rPr>
          <w:rFonts w:hint="eastAsia" w:ascii="宋体" w:hAnsi="宋体" w:cs="宋体"/>
          <w:b/>
          <w:bCs/>
          <w:sz w:val="32"/>
          <w:szCs w:val="32"/>
          <w:highlight w:val="none"/>
        </w:rPr>
      </w:pPr>
    </w:p>
    <w:p w14:paraId="44DA6C2E">
      <w:pPr>
        <w:spacing w:line="360" w:lineRule="auto"/>
        <w:jc w:val="center"/>
        <w:rPr>
          <w:rFonts w:hint="eastAsia" w:ascii="宋体" w:hAnsi="宋体" w:cs="宋体"/>
          <w:b/>
          <w:bCs/>
          <w:sz w:val="32"/>
          <w:szCs w:val="32"/>
          <w:highlight w:val="none"/>
        </w:rPr>
      </w:pPr>
    </w:p>
    <w:p w14:paraId="0E450378">
      <w:pPr>
        <w:spacing w:line="360" w:lineRule="auto"/>
        <w:jc w:val="center"/>
        <w:rPr>
          <w:rFonts w:hint="eastAsia" w:ascii="宋体" w:hAnsi="宋体" w:cs="宋体"/>
          <w:b/>
          <w:bCs/>
          <w:sz w:val="32"/>
          <w:szCs w:val="32"/>
          <w:highlight w:val="none"/>
        </w:rPr>
      </w:pPr>
    </w:p>
    <w:p w14:paraId="7409E1DE">
      <w:pPr>
        <w:spacing w:line="360" w:lineRule="auto"/>
        <w:jc w:val="center"/>
        <w:rPr>
          <w:rFonts w:hint="eastAsia" w:ascii="宋体" w:hAnsi="宋体" w:cs="宋体"/>
          <w:b/>
          <w:bCs/>
          <w:sz w:val="32"/>
          <w:szCs w:val="32"/>
          <w:highlight w:val="none"/>
        </w:rPr>
      </w:pPr>
    </w:p>
    <w:p w14:paraId="39DAA3C7">
      <w:pPr>
        <w:spacing w:line="360" w:lineRule="auto"/>
        <w:jc w:val="center"/>
        <w:rPr>
          <w:rFonts w:hint="eastAsia" w:ascii="宋体" w:hAnsi="宋体" w:cs="宋体"/>
          <w:b/>
          <w:bCs/>
          <w:sz w:val="32"/>
          <w:szCs w:val="32"/>
          <w:highlight w:val="none"/>
        </w:rPr>
      </w:pPr>
    </w:p>
    <w:p w14:paraId="79EB4274">
      <w:pPr>
        <w:spacing w:line="360" w:lineRule="auto"/>
        <w:jc w:val="center"/>
        <w:rPr>
          <w:rFonts w:hint="eastAsia" w:ascii="宋体" w:hAnsi="宋体" w:cs="宋体"/>
          <w:b/>
          <w:bCs/>
          <w:sz w:val="32"/>
          <w:szCs w:val="32"/>
          <w:highlight w:val="none"/>
        </w:rPr>
      </w:pPr>
    </w:p>
    <w:p w14:paraId="669AD597">
      <w:pPr>
        <w:spacing w:line="360" w:lineRule="auto"/>
        <w:jc w:val="center"/>
        <w:rPr>
          <w:rFonts w:hint="eastAsia" w:ascii="宋体" w:hAnsi="宋体" w:cs="宋体"/>
          <w:b/>
          <w:bCs/>
          <w:sz w:val="32"/>
          <w:szCs w:val="32"/>
          <w:highlight w:val="none"/>
        </w:rPr>
      </w:pPr>
    </w:p>
    <w:p w14:paraId="3A91CC16">
      <w:pPr>
        <w:spacing w:line="360" w:lineRule="auto"/>
        <w:jc w:val="center"/>
        <w:rPr>
          <w:rFonts w:hint="eastAsia" w:ascii="宋体" w:hAnsi="宋体" w:cs="宋体"/>
          <w:b/>
          <w:bCs/>
          <w:sz w:val="32"/>
          <w:szCs w:val="32"/>
          <w:highlight w:val="none"/>
        </w:rPr>
      </w:pPr>
    </w:p>
    <w:p w14:paraId="36AF0063">
      <w:pPr>
        <w:spacing w:line="360" w:lineRule="auto"/>
        <w:jc w:val="center"/>
        <w:rPr>
          <w:rFonts w:hint="eastAsia" w:ascii="宋体" w:hAnsi="宋体" w:cs="宋体"/>
          <w:b/>
          <w:bCs/>
          <w:sz w:val="32"/>
          <w:szCs w:val="32"/>
          <w:highlight w:val="none"/>
        </w:rPr>
      </w:pPr>
    </w:p>
    <w:p w14:paraId="0D4E330C">
      <w:pPr>
        <w:spacing w:line="360" w:lineRule="auto"/>
        <w:jc w:val="center"/>
        <w:rPr>
          <w:rFonts w:hint="eastAsia" w:ascii="宋体" w:hAnsi="宋体" w:cs="宋体"/>
          <w:b/>
          <w:bCs/>
          <w:sz w:val="32"/>
          <w:szCs w:val="32"/>
          <w:highlight w:val="none"/>
        </w:rPr>
      </w:pPr>
    </w:p>
    <w:p w14:paraId="68B0C0FB">
      <w:pPr>
        <w:spacing w:line="360" w:lineRule="auto"/>
        <w:jc w:val="center"/>
        <w:outlineLvl w:val="1"/>
        <w:rPr>
          <w:rFonts w:hint="eastAsia" w:ascii="宋体" w:hAnsi="宋体" w:cs="宋体"/>
          <w:b/>
          <w:bCs/>
          <w:sz w:val="32"/>
          <w:szCs w:val="32"/>
          <w:highlight w:val="none"/>
        </w:rPr>
      </w:pPr>
      <w:r>
        <w:rPr>
          <w:rFonts w:hint="eastAsia" w:ascii="宋体" w:hAnsi="宋体" w:cs="宋体"/>
          <w:b/>
          <w:bCs/>
          <w:sz w:val="32"/>
          <w:szCs w:val="32"/>
          <w:highlight w:val="none"/>
        </w:rPr>
        <w:br w:type="page"/>
      </w:r>
      <w:r>
        <w:rPr>
          <w:rFonts w:hint="eastAsia" w:ascii="宋体" w:hAnsi="宋体" w:cs="宋体"/>
          <w:b/>
          <w:bCs/>
          <w:sz w:val="32"/>
          <w:szCs w:val="32"/>
          <w:highlight w:val="none"/>
        </w:rPr>
        <w:t>2.7</w:t>
      </w:r>
      <w:r>
        <w:rPr>
          <w:rFonts w:hint="eastAsia" w:ascii="宋体" w:hAnsi="宋体" w:cs="宋体"/>
          <w:b/>
          <w:bCs/>
          <w:sz w:val="32"/>
          <w:szCs w:val="32"/>
          <w:highlight w:val="none"/>
          <w:lang w:val="en-US" w:eastAsia="zh-CN"/>
        </w:rPr>
        <w:t xml:space="preserve"> 2023年度或2024年度</w:t>
      </w:r>
      <w:r>
        <w:rPr>
          <w:rFonts w:hint="eastAsia" w:ascii="宋体" w:hAnsi="宋体" w:cs="宋体"/>
          <w:b/>
          <w:bCs/>
          <w:sz w:val="32"/>
          <w:szCs w:val="32"/>
          <w:highlight w:val="none"/>
        </w:rPr>
        <w:t>财务状况报告或银行开具的资信证明</w:t>
      </w:r>
    </w:p>
    <w:p w14:paraId="5CDB5BD8">
      <w:pPr>
        <w:pStyle w:val="20"/>
        <w:spacing w:line="360" w:lineRule="auto"/>
        <w:ind w:firstLine="472" w:firstLineChars="196"/>
        <w:rPr>
          <w:rFonts w:hint="eastAsia" w:ascii="宋体" w:hAnsi="宋体" w:cs="宋体"/>
          <w:b/>
          <w:bCs/>
          <w:sz w:val="24"/>
          <w:szCs w:val="24"/>
          <w:highlight w:val="none"/>
          <w:shd w:val="clear" w:color="auto" w:fill="FFFFFF"/>
        </w:rPr>
      </w:pPr>
      <w:r>
        <w:rPr>
          <w:rFonts w:hint="eastAsia" w:ascii="宋体" w:hAnsi="宋体" w:cs="宋体"/>
          <w:b/>
          <w:bCs/>
          <w:sz w:val="24"/>
          <w:szCs w:val="24"/>
          <w:highlight w:val="none"/>
          <w:shd w:val="clear" w:color="auto" w:fill="FFFFFF"/>
        </w:rPr>
        <w:t>注：</w:t>
      </w:r>
    </w:p>
    <w:p w14:paraId="109CB4F9">
      <w:pPr>
        <w:pStyle w:val="20"/>
        <w:spacing w:line="360" w:lineRule="auto"/>
        <w:ind w:left="851" w:firstLine="0"/>
        <w:rPr>
          <w:rFonts w:hint="eastAsia" w:ascii="宋体" w:hAnsi="宋体" w:cs="宋体"/>
          <w:b/>
          <w:bCs/>
          <w:sz w:val="24"/>
          <w:szCs w:val="24"/>
          <w:highlight w:val="none"/>
          <w:shd w:val="clear" w:color="auto" w:fill="FFFFFF"/>
        </w:rPr>
      </w:pPr>
      <w:r>
        <w:rPr>
          <w:rFonts w:hint="eastAsia" w:ascii="宋体" w:hAnsi="宋体" w:cs="宋体"/>
          <w:b/>
          <w:bCs/>
          <w:sz w:val="24"/>
          <w:szCs w:val="24"/>
          <w:highlight w:val="none"/>
          <w:shd w:val="clear" w:color="auto" w:fill="FFFFFF"/>
        </w:rPr>
        <w:t>参考《财政部关于注册会计师在审计报告上签名盖章有关问题的通知》（财会【2001】1035号）规定，审计报告应当由两名具备相关业务资格的注册会计师签名盖章并经会计师事务所盖章方为有效；</w:t>
      </w:r>
    </w:p>
    <w:p w14:paraId="04380728">
      <w:pPr>
        <w:pStyle w:val="20"/>
        <w:spacing w:line="360" w:lineRule="auto"/>
        <w:ind w:left="709" w:firstLine="0"/>
        <w:rPr>
          <w:rFonts w:hint="eastAsia" w:ascii="宋体" w:hAnsi="宋体" w:cs="宋体"/>
          <w:b/>
          <w:bCs/>
          <w:sz w:val="24"/>
          <w:szCs w:val="24"/>
          <w:highlight w:val="none"/>
          <w:shd w:val="clear" w:color="auto" w:fill="FFFFFF"/>
        </w:rPr>
      </w:pPr>
    </w:p>
    <w:p w14:paraId="3FB24E5B">
      <w:pPr>
        <w:pStyle w:val="144"/>
        <w:numPr>
          <w:ilvl w:val="0"/>
          <w:numId w:val="0"/>
        </w:numPr>
        <w:jc w:val="both"/>
        <w:rPr>
          <w:rFonts w:hint="eastAsia" w:ascii="宋体" w:hAnsi="宋体" w:cs="宋体"/>
          <w:b/>
          <w:bCs/>
          <w:sz w:val="24"/>
          <w:highlight w:val="none"/>
        </w:rPr>
      </w:pPr>
    </w:p>
    <w:p w14:paraId="0F544344">
      <w:pPr>
        <w:pStyle w:val="144"/>
        <w:numPr>
          <w:ilvl w:val="0"/>
          <w:numId w:val="0"/>
        </w:numPr>
        <w:rPr>
          <w:rFonts w:hint="eastAsia" w:ascii="宋体" w:hAnsi="宋体" w:cs="宋体"/>
          <w:b/>
          <w:bCs/>
          <w:sz w:val="24"/>
          <w:highlight w:val="none"/>
        </w:rPr>
      </w:pPr>
    </w:p>
    <w:p w14:paraId="127943B9">
      <w:pPr>
        <w:pStyle w:val="144"/>
        <w:numPr>
          <w:ilvl w:val="0"/>
          <w:numId w:val="0"/>
        </w:numPr>
        <w:rPr>
          <w:rFonts w:hint="eastAsia" w:ascii="宋体" w:hAnsi="宋体" w:cs="宋体"/>
          <w:b/>
          <w:bCs/>
          <w:sz w:val="24"/>
          <w:highlight w:val="none"/>
        </w:rPr>
      </w:pPr>
    </w:p>
    <w:p w14:paraId="606A18E6">
      <w:pPr>
        <w:spacing w:line="360" w:lineRule="auto"/>
        <w:jc w:val="left"/>
        <w:rPr>
          <w:rFonts w:hint="eastAsia" w:ascii="宋体" w:hAnsi="宋体" w:eastAsia="宋体" w:cs="宋体"/>
          <w:b/>
          <w:bCs/>
          <w:sz w:val="24"/>
          <w:highlight w:val="none"/>
          <w:shd w:val="clear" w:color="auto" w:fill="FFFFFF"/>
        </w:rPr>
      </w:pPr>
      <w:r>
        <w:rPr>
          <w:rFonts w:hint="eastAsia" w:ascii="宋体" w:hAnsi="宋体" w:eastAsia="宋体" w:cs="宋体"/>
          <w:b/>
          <w:bCs/>
          <w:sz w:val="24"/>
          <w:highlight w:val="none"/>
          <w:shd w:val="clear" w:color="auto" w:fill="FFFFFF"/>
        </w:rPr>
        <w:t>2.8具有履行合同所必需的设备和专业技术能力的证明文件（格式自拟）</w:t>
      </w:r>
    </w:p>
    <w:p w14:paraId="731E714F">
      <w:pPr>
        <w:spacing w:line="360" w:lineRule="auto"/>
        <w:jc w:val="left"/>
        <w:rPr>
          <w:rFonts w:hint="eastAsia" w:ascii="宋体" w:hAnsi="宋体" w:eastAsia="宋体" w:cs="宋体"/>
          <w:b/>
          <w:bCs/>
          <w:sz w:val="24"/>
          <w:highlight w:val="none"/>
          <w:shd w:val="clear" w:color="auto" w:fill="FFFFFF"/>
        </w:rPr>
      </w:pPr>
    </w:p>
    <w:p w14:paraId="6C970D07">
      <w:pPr>
        <w:spacing w:line="360" w:lineRule="auto"/>
        <w:jc w:val="left"/>
        <w:rPr>
          <w:rFonts w:hint="eastAsia" w:ascii="宋体" w:hAnsi="宋体" w:eastAsia="宋体" w:cs="宋体"/>
          <w:b/>
          <w:bCs/>
          <w:sz w:val="24"/>
          <w:highlight w:val="none"/>
          <w:shd w:val="clear" w:color="auto" w:fill="FFFFFF"/>
        </w:rPr>
      </w:pPr>
    </w:p>
    <w:p w14:paraId="45620BAF">
      <w:pPr>
        <w:spacing w:line="360" w:lineRule="auto"/>
        <w:jc w:val="left"/>
        <w:rPr>
          <w:rFonts w:hint="eastAsia" w:ascii="宋体" w:hAnsi="宋体" w:eastAsia="宋体" w:cs="宋体"/>
          <w:b/>
          <w:bCs/>
          <w:sz w:val="24"/>
          <w:highlight w:val="none"/>
          <w:shd w:val="clear" w:color="auto" w:fill="FFFFFF"/>
        </w:rPr>
      </w:pPr>
    </w:p>
    <w:p w14:paraId="6E979F55">
      <w:pPr>
        <w:spacing w:line="360" w:lineRule="auto"/>
        <w:jc w:val="left"/>
        <w:rPr>
          <w:rFonts w:hint="eastAsia" w:ascii="宋体" w:hAnsi="宋体" w:eastAsia="宋体" w:cs="宋体"/>
          <w:b/>
          <w:bCs/>
          <w:sz w:val="24"/>
          <w:highlight w:val="none"/>
          <w:shd w:val="clear" w:color="auto" w:fill="FFFFFF"/>
        </w:rPr>
      </w:pPr>
    </w:p>
    <w:p w14:paraId="23AD5332">
      <w:pPr>
        <w:spacing w:line="360" w:lineRule="auto"/>
        <w:jc w:val="left"/>
        <w:rPr>
          <w:b/>
          <w:bCs/>
          <w:color w:val="auto"/>
          <w:sz w:val="24"/>
          <w:szCs w:val="24"/>
          <w:highlight w:val="none"/>
        </w:rPr>
      </w:pPr>
      <w:r>
        <w:rPr>
          <w:rFonts w:hint="eastAsia" w:ascii="宋体" w:hAnsi="宋体" w:eastAsia="宋体" w:cs="宋体"/>
          <w:b/>
          <w:bCs/>
          <w:sz w:val="24"/>
          <w:highlight w:val="none"/>
          <w:shd w:val="clear" w:color="auto" w:fill="FFFFFF"/>
          <w:lang w:val="en-US" w:eastAsia="zh-CN"/>
        </w:rPr>
        <w:t>2.9单位负责人为同一人或者存在直接控股、管理关系的不同供应商，不得参加同一合同项下的政府采购活动；提供投标供应商在“国家企业信用信息公示系统”中公示的公司基本信息、股东及出资信息、主要人员信息的截图</w:t>
      </w:r>
      <w:r>
        <w:rPr>
          <w:rFonts w:hint="eastAsia" w:ascii="宋体" w:hAnsi="宋体" w:eastAsia="宋体" w:cs="宋体"/>
          <w:b/>
          <w:bCs/>
          <w:sz w:val="24"/>
          <w:highlight w:val="none"/>
          <w:shd w:val="clear" w:color="auto" w:fill="FFFFFF"/>
        </w:rPr>
        <w:t>（网页截图并加盖投标单位</w:t>
      </w:r>
      <w:r>
        <w:rPr>
          <w:rFonts w:hint="eastAsia" w:ascii="宋体" w:hAnsi="宋体" w:eastAsia="宋体" w:cs="宋体"/>
          <w:b/>
          <w:bCs/>
          <w:sz w:val="24"/>
          <w:highlight w:val="none"/>
          <w:shd w:val="clear" w:color="auto" w:fill="FFFFFF"/>
          <w:lang w:val="en-US" w:eastAsia="zh-CN"/>
        </w:rPr>
        <w:t>电子章</w:t>
      </w:r>
      <w:r>
        <w:rPr>
          <w:rFonts w:hint="eastAsia" w:ascii="宋体" w:hAnsi="宋体" w:eastAsia="宋体" w:cs="宋体"/>
          <w:b/>
          <w:bCs/>
          <w:sz w:val="24"/>
          <w:highlight w:val="none"/>
          <w:shd w:val="clear" w:color="auto" w:fill="FFFFFF"/>
        </w:rPr>
        <w:t>，供应商若为事业单位无法在该公示系统查询的，则针对此项做出书面承诺，格式自拟并加盖</w:t>
      </w:r>
      <w:r>
        <w:rPr>
          <w:rFonts w:hint="eastAsia" w:ascii="宋体" w:hAnsi="宋体" w:eastAsia="宋体" w:cs="宋体"/>
          <w:b/>
          <w:bCs/>
          <w:sz w:val="24"/>
          <w:highlight w:val="none"/>
          <w:shd w:val="clear" w:color="auto" w:fill="FFFFFF"/>
          <w:lang w:val="en-US" w:eastAsia="zh-CN"/>
        </w:rPr>
        <w:t>电子</w:t>
      </w:r>
      <w:r>
        <w:rPr>
          <w:rFonts w:hint="eastAsia" w:ascii="宋体" w:hAnsi="宋体" w:eastAsia="宋体" w:cs="宋体"/>
          <w:b/>
          <w:bCs/>
          <w:sz w:val="24"/>
          <w:highlight w:val="none"/>
          <w:shd w:val="clear" w:color="auto" w:fill="FFFFFF"/>
        </w:rPr>
        <w:t>章）</w:t>
      </w:r>
    </w:p>
    <w:p w14:paraId="7DC5D046">
      <w:pPr>
        <w:spacing w:line="360" w:lineRule="auto"/>
        <w:jc w:val="center"/>
        <w:outlineLvl w:val="1"/>
        <w:rPr>
          <w:rFonts w:hint="eastAsia" w:ascii="宋体" w:hAnsi="宋体" w:cs="宋体"/>
          <w:b/>
          <w:bCs/>
          <w:sz w:val="32"/>
          <w:szCs w:val="32"/>
          <w:highlight w:val="none"/>
        </w:rPr>
      </w:pPr>
      <w:r>
        <w:rPr>
          <w:rFonts w:hint="eastAsia" w:ascii="宋体" w:hAnsi="宋体" w:cs="宋体"/>
          <w:b/>
          <w:bCs/>
          <w:sz w:val="24"/>
          <w:highlight w:val="none"/>
        </w:rPr>
        <w:br w:type="page"/>
      </w:r>
      <w:r>
        <w:rPr>
          <w:rFonts w:hint="eastAsia" w:ascii="宋体" w:hAnsi="宋体" w:cs="宋体"/>
          <w:b/>
          <w:bCs/>
          <w:sz w:val="32"/>
          <w:szCs w:val="32"/>
          <w:highlight w:val="none"/>
        </w:rPr>
        <w:t>2.10信用查询承诺</w:t>
      </w:r>
    </w:p>
    <w:p w14:paraId="59B03BCB">
      <w:pPr>
        <w:pStyle w:val="75"/>
        <w:spacing w:line="360" w:lineRule="auto"/>
        <w:rPr>
          <w:rFonts w:hint="eastAsia"/>
          <w:kern w:val="2"/>
          <w:highlight w:val="none"/>
        </w:rPr>
      </w:pPr>
      <w:r>
        <w:rPr>
          <w:rFonts w:hint="eastAsia"/>
          <w:kern w:val="2"/>
          <w:highlight w:val="none"/>
        </w:rPr>
        <w:t>致：</w:t>
      </w:r>
      <w:r>
        <w:rPr>
          <w:rFonts w:hint="eastAsia"/>
          <w:highlight w:val="none"/>
          <w:u w:val="single"/>
          <w:lang w:eastAsia="zh-CN"/>
        </w:rPr>
        <w:t>新乡医学院第一附属医院</w:t>
      </w:r>
    </w:p>
    <w:p w14:paraId="5D29898D">
      <w:pPr>
        <w:pStyle w:val="75"/>
        <w:spacing w:line="360" w:lineRule="auto"/>
        <w:ind w:firstLine="480" w:firstLineChars="200"/>
        <w:rPr>
          <w:rFonts w:hint="eastAsia"/>
          <w:kern w:val="2"/>
          <w:highlight w:val="none"/>
        </w:rPr>
      </w:pPr>
      <w:r>
        <w:rPr>
          <w:rFonts w:hint="eastAsia"/>
          <w:kern w:val="2"/>
          <w:highlight w:val="none"/>
        </w:rPr>
        <w:t>根据本项目</w:t>
      </w:r>
      <w:r>
        <w:rPr>
          <w:rFonts w:hint="eastAsia"/>
          <w:kern w:val="2"/>
          <w:highlight w:val="none"/>
          <w:u w:val="single"/>
        </w:rPr>
        <w:t xml:space="preserve">          （项目名称</w:t>
      </w:r>
      <w:r>
        <w:rPr>
          <w:rFonts w:hint="eastAsia"/>
          <w:kern w:val="2"/>
          <w:highlight w:val="none"/>
          <w:u w:val="single"/>
          <w:lang w:eastAsia="zh-CN"/>
        </w:rPr>
        <w:t>、</w:t>
      </w:r>
      <w:r>
        <w:rPr>
          <w:rFonts w:hint="eastAsia"/>
          <w:kern w:val="2"/>
          <w:highlight w:val="none"/>
          <w:u w:val="single"/>
        </w:rPr>
        <w:t>项目编号）</w:t>
      </w:r>
      <w:r>
        <w:rPr>
          <w:rFonts w:hint="eastAsia"/>
          <w:kern w:val="2"/>
          <w:highlight w:val="none"/>
        </w:rPr>
        <w:t>招标文件的要求，从发布公告之日至投标截止时间内, 通过</w:t>
      </w:r>
      <w:r>
        <w:rPr>
          <w:rFonts w:hint="eastAsia"/>
          <w:highlight w:val="none"/>
        </w:rPr>
        <w:t xml:space="preserve"> “信用中国”网站及其跳转网站、“中国政府采购网”查询相关主体信用记录。查询内容为在“信用中国”网站及其跳转网站中查询“失信被执行人”和“重大税收违法失信主体”，在“中国政府采购网”查询“政府采购严重违法失信行为记录名单”，</w:t>
      </w:r>
      <w:r>
        <w:rPr>
          <w:rFonts w:hint="eastAsia"/>
          <w:kern w:val="2"/>
          <w:highlight w:val="none"/>
        </w:rPr>
        <w:t>我公司未列入“政府采购严重违法失信行为记录名单”。</w:t>
      </w:r>
    </w:p>
    <w:p w14:paraId="3D10CF87">
      <w:pPr>
        <w:pStyle w:val="75"/>
        <w:spacing w:line="360" w:lineRule="auto"/>
        <w:ind w:firstLine="480" w:firstLineChars="200"/>
        <w:rPr>
          <w:rFonts w:hint="eastAsia"/>
          <w:kern w:val="2"/>
          <w:highlight w:val="none"/>
        </w:rPr>
      </w:pPr>
      <w:r>
        <w:rPr>
          <w:rFonts w:hint="eastAsia"/>
          <w:kern w:val="2"/>
          <w:highlight w:val="none"/>
        </w:rPr>
        <w:t xml:space="preserve">特此告知。     </w:t>
      </w:r>
    </w:p>
    <w:p w14:paraId="7720F0C4">
      <w:pPr>
        <w:pStyle w:val="75"/>
        <w:spacing w:line="360" w:lineRule="auto"/>
        <w:ind w:firstLine="480" w:firstLineChars="200"/>
        <w:rPr>
          <w:rFonts w:hint="eastAsia"/>
          <w:kern w:val="2"/>
          <w:highlight w:val="none"/>
        </w:rPr>
      </w:pPr>
      <w:r>
        <w:rPr>
          <w:rFonts w:hint="eastAsia"/>
          <w:kern w:val="2"/>
          <w:highlight w:val="none"/>
        </w:rPr>
        <w:t>我公司声明以上内容属实，如若不实则承担因我方就此弄虚作假所引起的一切法律后果。</w:t>
      </w:r>
    </w:p>
    <w:p w14:paraId="28387D93">
      <w:pPr>
        <w:pStyle w:val="20"/>
        <w:spacing w:line="360" w:lineRule="auto"/>
        <w:ind w:firstLine="0"/>
        <w:rPr>
          <w:rFonts w:hint="eastAsia" w:ascii="宋体" w:hAnsi="宋体" w:cs="宋体"/>
          <w:sz w:val="24"/>
          <w:highlight w:val="none"/>
        </w:rPr>
      </w:pPr>
      <w:r>
        <w:rPr>
          <w:rFonts w:hint="eastAsia" w:ascii="宋体" w:hAnsi="宋体" w:cs="宋体"/>
          <w:sz w:val="24"/>
          <w:highlight w:val="none"/>
          <w:lang w:eastAsia="zh-CN"/>
        </w:rPr>
        <w:t>供应商（盖单位电子章）</w:t>
      </w:r>
      <w:r>
        <w:rPr>
          <w:rFonts w:hint="eastAsia" w:ascii="宋体" w:hAnsi="宋体" w:cs="宋体"/>
          <w:sz w:val="24"/>
          <w:highlight w:val="none"/>
        </w:rPr>
        <w:t>：</w:t>
      </w:r>
    </w:p>
    <w:p w14:paraId="7FB9E1BF">
      <w:pPr>
        <w:pStyle w:val="33"/>
        <w:spacing w:line="500" w:lineRule="exact"/>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b/>
          <w:highlight w:val="none"/>
        </w:rPr>
        <w:t xml:space="preserve">                                             </w:t>
      </w:r>
      <w:r>
        <w:rPr>
          <w:rFonts w:hint="eastAsia" w:ascii="宋体" w:hAnsi="宋体" w:eastAsia="宋体" w:cs="宋体"/>
          <w:sz w:val="24"/>
          <w:highlight w:val="none"/>
        </w:rPr>
        <w:t xml:space="preserve">                               </w:t>
      </w:r>
    </w:p>
    <w:p w14:paraId="303C74A6">
      <w:pPr>
        <w:pStyle w:val="75"/>
        <w:spacing w:line="360" w:lineRule="auto"/>
        <w:ind w:firstLine="480" w:firstLineChars="200"/>
        <w:rPr>
          <w:rFonts w:hint="eastAsia"/>
          <w:highlight w:val="none"/>
        </w:rPr>
      </w:pPr>
    </w:p>
    <w:p w14:paraId="0EE70755">
      <w:pPr>
        <w:spacing w:line="360" w:lineRule="auto"/>
        <w:jc w:val="center"/>
        <w:rPr>
          <w:rFonts w:hint="eastAsia" w:ascii="宋体" w:hAnsi="宋体" w:cs="宋体"/>
          <w:b/>
          <w:bCs/>
          <w:sz w:val="32"/>
          <w:szCs w:val="32"/>
          <w:highlight w:val="none"/>
        </w:rPr>
      </w:pPr>
    </w:p>
    <w:p w14:paraId="60E0FF57">
      <w:pPr>
        <w:spacing w:line="360" w:lineRule="auto"/>
        <w:jc w:val="center"/>
        <w:rPr>
          <w:rFonts w:hint="eastAsia" w:ascii="宋体" w:hAnsi="宋体" w:cs="宋体"/>
          <w:b/>
          <w:bCs/>
          <w:sz w:val="32"/>
          <w:szCs w:val="32"/>
          <w:highlight w:val="none"/>
        </w:rPr>
      </w:pPr>
    </w:p>
    <w:p w14:paraId="3E67D69D">
      <w:pPr>
        <w:spacing w:line="360" w:lineRule="auto"/>
        <w:jc w:val="center"/>
        <w:rPr>
          <w:rFonts w:hint="eastAsia" w:ascii="宋体" w:hAnsi="宋体" w:cs="宋体"/>
          <w:b/>
          <w:bCs/>
          <w:sz w:val="32"/>
          <w:szCs w:val="32"/>
          <w:highlight w:val="none"/>
        </w:rPr>
      </w:pPr>
    </w:p>
    <w:p w14:paraId="57836B03">
      <w:pPr>
        <w:spacing w:line="360" w:lineRule="auto"/>
        <w:jc w:val="center"/>
        <w:rPr>
          <w:rFonts w:hint="eastAsia" w:ascii="宋体" w:hAnsi="宋体" w:cs="宋体"/>
          <w:b/>
          <w:bCs/>
          <w:sz w:val="32"/>
          <w:szCs w:val="32"/>
          <w:highlight w:val="none"/>
        </w:rPr>
      </w:pPr>
    </w:p>
    <w:p w14:paraId="6CA7F5B6">
      <w:pPr>
        <w:spacing w:line="360" w:lineRule="auto"/>
        <w:jc w:val="center"/>
        <w:rPr>
          <w:rFonts w:hint="eastAsia" w:ascii="宋体" w:hAnsi="宋体" w:cs="宋体"/>
          <w:b/>
          <w:bCs/>
          <w:sz w:val="32"/>
          <w:szCs w:val="32"/>
          <w:highlight w:val="none"/>
        </w:rPr>
      </w:pPr>
    </w:p>
    <w:p w14:paraId="4F06296A">
      <w:pPr>
        <w:rPr>
          <w:rFonts w:hint="eastAsia" w:ascii="宋体" w:hAnsi="宋体" w:cs="宋体"/>
          <w:b/>
          <w:bCs/>
          <w:sz w:val="32"/>
          <w:szCs w:val="32"/>
          <w:highlight w:val="none"/>
        </w:rPr>
      </w:pPr>
      <w:r>
        <w:rPr>
          <w:rFonts w:hint="eastAsia" w:ascii="宋体" w:hAnsi="宋体" w:cs="宋体"/>
          <w:b/>
          <w:bCs/>
          <w:sz w:val="32"/>
          <w:szCs w:val="32"/>
          <w:highlight w:val="none"/>
        </w:rPr>
        <w:br w:type="page"/>
      </w:r>
    </w:p>
    <w:p w14:paraId="29AE859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根据《关于在政府采购活动中查询及使用信用记录有关问题的通知》(财库(2016)125号)的要求，对列入失信被执行人、重大税收违法失信主体、政府采购严重违法失信行为记录名单的供应商，拒绝参与本项目政府采购活动。【查询渠道：“信用中国网站跳转至中国执行信息公开( http://zxgk.court.gov.cn/ )-失信被执行人”“信用中国网站 ；(https://www.creditchina.gov.cn/)-重大税收违法失信主体”“中国政府采购网(http://www.ccgp.gov.cn/)-政府采购严重违法失信行为记录名单”】</w:t>
      </w:r>
    </w:p>
    <w:p w14:paraId="5E5045BF">
      <w:pPr>
        <w:pStyle w:val="101"/>
        <w:rPr>
          <w:rFonts w:hint="eastAsia"/>
          <w:highlight w:val="none"/>
        </w:rPr>
      </w:pPr>
    </w:p>
    <w:p w14:paraId="254896D5">
      <w:pPr>
        <w:spacing w:line="360" w:lineRule="auto"/>
        <w:rPr>
          <w:rFonts w:hint="eastAsia" w:ascii="宋体" w:hAnsi="宋体" w:cs="宋体"/>
          <w:b/>
          <w:bCs/>
          <w:sz w:val="32"/>
          <w:szCs w:val="32"/>
          <w:highlight w:val="none"/>
        </w:rPr>
      </w:pPr>
      <w:r>
        <w:rPr>
          <w:rFonts w:hint="eastAsia" w:ascii="宋体" w:hAnsi="宋体" w:cs="宋体"/>
          <w:b/>
          <w:bCs/>
          <w:sz w:val="32"/>
          <w:szCs w:val="32"/>
          <w:highlight w:val="none"/>
        </w:rPr>
        <w:br w:type="page"/>
      </w:r>
    </w:p>
    <w:p w14:paraId="0FE8C9BC">
      <w:pPr>
        <w:spacing w:line="360" w:lineRule="auto"/>
        <w:jc w:val="center"/>
        <w:outlineLvl w:val="1"/>
        <w:rPr>
          <w:rFonts w:hint="eastAsia" w:ascii="宋体" w:hAnsi="宋体" w:cs="宋体"/>
          <w:b/>
          <w:bCs/>
          <w:sz w:val="32"/>
          <w:szCs w:val="32"/>
          <w:highlight w:val="none"/>
        </w:rPr>
      </w:pPr>
      <w:r>
        <w:rPr>
          <w:rFonts w:hint="eastAsia" w:ascii="宋体" w:hAnsi="宋体" w:cs="宋体"/>
          <w:b/>
          <w:bCs/>
          <w:sz w:val="32"/>
          <w:szCs w:val="32"/>
          <w:highlight w:val="none"/>
        </w:rPr>
        <w:t>2.11投标承诺函（格式）</w:t>
      </w:r>
    </w:p>
    <w:p w14:paraId="3A6D72FB">
      <w:pPr>
        <w:jc w:val="center"/>
        <w:rPr>
          <w:rFonts w:hint="eastAsia" w:ascii="宋体" w:hAnsi="宋体" w:cs="宋体"/>
          <w:sz w:val="28"/>
          <w:szCs w:val="28"/>
          <w:highlight w:val="none"/>
        </w:rPr>
      </w:pPr>
      <w:r>
        <w:rPr>
          <w:rFonts w:hint="eastAsia" w:ascii="宋体" w:hAnsi="宋体" w:cs="宋体"/>
          <w:sz w:val="28"/>
          <w:szCs w:val="28"/>
          <w:highlight w:val="none"/>
        </w:rPr>
        <w:t>投标承诺函</w:t>
      </w:r>
    </w:p>
    <w:p w14:paraId="024ACA87">
      <w:pPr>
        <w:jc w:val="center"/>
        <w:rPr>
          <w:rFonts w:hint="eastAsia" w:ascii="宋体" w:hAnsi="宋体" w:cs="宋体"/>
          <w:sz w:val="36"/>
          <w:szCs w:val="36"/>
          <w:highlight w:val="none"/>
        </w:rPr>
      </w:pPr>
    </w:p>
    <w:p w14:paraId="7EED94D1">
      <w:pPr>
        <w:spacing w:line="480" w:lineRule="auto"/>
        <w:rPr>
          <w:rFonts w:hint="eastAsia" w:ascii="宋体" w:hAnsi="宋体" w:cs="宋体"/>
          <w:highlight w:val="none"/>
        </w:rPr>
      </w:pPr>
      <w:r>
        <w:rPr>
          <w:rFonts w:hint="eastAsia" w:ascii="宋体" w:hAnsi="宋体" w:cs="宋体"/>
          <w:sz w:val="24"/>
          <w:highlight w:val="none"/>
        </w:rPr>
        <w:t>致：</w:t>
      </w:r>
      <w:r>
        <w:rPr>
          <w:rFonts w:hint="eastAsia" w:ascii="宋体" w:hAnsi="宋体" w:cs="宋体"/>
          <w:sz w:val="24"/>
          <w:highlight w:val="none"/>
          <w:u w:val="single"/>
          <w:lang w:eastAsia="zh-CN"/>
        </w:rPr>
        <w:t>新乡医学院第一附属医院</w:t>
      </w:r>
    </w:p>
    <w:p w14:paraId="7FBDFBA0">
      <w:pPr>
        <w:spacing w:line="480" w:lineRule="auto"/>
        <w:ind w:firstLine="480" w:firstLineChars="200"/>
        <w:rPr>
          <w:rFonts w:hint="eastAsia" w:ascii="宋体" w:hAnsi="宋体" w:cs="宋体"/>
          <w:sz w:val="24"/>
          <w:highlight w:val="none"/>
        </w:rPr>
      </w:pPr>
      <w:r>
        <w:rPr>
          <w:rFonts w:hint="eastAsia" w:ascii="宋体" w:hAnsi="宋体" w:cs="宋体"/>
          <w:sz w:val="24"/>
          <w:highlight w:val="none"/>
        </w:rPr>
        <w:t>我们收到了项目编号为</w:t>
      </w:r>
      <w:r>
        <w:rPr>
          <w:rFonts w:hint="eastAsia" w:ascii="宋体" w:hAnsi="宋体" w:cs="宋体"/>
          <w:sz w:val="24"/>
          <w:highlight w:val="none"/>
          <w:u w:val="single"/>
        </w:rPr>
        <w:t xml:space="preserve">          </w:t>
      </w:r>
      <w:r>
        <w:rPr>
          <w:rFonts w:hint="eastAsia" w:ascii="宋体" w:hAnsi="宋体" w:cs="宋体"/>
          <w:sz w:val="24"/>
          <w:highlight w:val="none"/>
        </w:rPr>
        <w:t>的</w:t>
      </w:r>
      <w:r>
        <w:rPr>
          <w:rFonts w:hint="eastAsia" w:ascii="宋体" w:hAnsi="宋体" w:cs="宋体"/>
          <w:sz w:val="24"/>
          <w:highlight w:val="none"/>
          <w:u w:val="single"/>
        </w:rPr>
        <w:t xml:space="preserve">    （项目名称）  的</w:t>
      </w:r>
      <w:r>
        <w:rPr>
          <w:rFonts w:hint="eastAsia" w:ascii="宋体" w:hAnsi="宋体" w:cs="宋体"/>
          <w:sz w:val="24"/>
          <w:highlight w:val="none"/>
        </w:rPr>
        <w:t>招标文件，已详细审查全部内容（含补遗文件，如有），我们完全理解并同意放弃对上述文件有不明及误解的权利。我方在此郑重承诺，如果我方在本次投标过程存在下述任一行为：</w:t>
      </w:r>
    </w:p>
    <w:p w14:paraId="5441C40B">
      <w:pPr>
        <w:pStyle w:val="64"/>
        <w:numPr>
          <w:ilvl w:val="2"/>
          <w:numId w:val="37"/>
        </w:numPr>
        <w:tabs>
          <w:tab w:val="left" w:pos="1260"/>
        </w:tabs>
        <w:spacing w:line="360" w:lineRule="auto"/>
        <w:ind w:left="1077" w:hanging="357"/>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在招标文件规定的投标有效期内撤回其投标；</w:t>
      </w:r>
    </w:p>
    <w:p w14:paraId="0246CDCD">
      <w:pPr>
        <w:pStyle w:val="64"/>
        <w:numPr>
          <w:ilvl w:val="2"/>
          <w:numId w:val="37"/>
        </w:numPr>
        <w:tabs>
          <w:tab w:val="left" w:pos="1260"/>
        </w:tabs>
        <w:spacing w:line="360" w:lineRule="auto"/>
        <w:ind w:hanging="765"/>
        <w:rPr>
          <w:rFonts w:hint="eastAsia" w:ascii="宋体" w:hAnsi="宋体" w:eastAsia="宋体" w:cs="宋体"/>
          <w:b/>
          <w:sz w:val="24"/>
          <w:highlight w:val="none"/>
        </w:rPr>
      </w:pPr>
      <w:r>
        <w:rPr>
          <w:rFonts w:hint="eastAsia" w:ascii="宋体" w:hAnsi="宋体" w:eastAsia="宋体" w:cs="宋体"/>
          <w:sz w:val="24"/>
          <w:highlight w:val="none"/>
        </w:rPr>
        <w:t>在投标文件中提供虚假材料；</w:t>
      </w:r>
    </w:p>
    <w:p w14:paraId="6550DB69">
      <w:pPr>
        <w:pStyle w:val="64"/>
        <w:numPr>
          <w:ilvl w:val="2"/>
          <w:numId w:val="37"/>
        </w:numPr>
        <w:tabs>
          <w:tab w:val="left" w:pos="1260"/>
        </w:tabs>
        <w:spacing w:line="360" w:lineRule="auto"/>
        <w:ind w:hanging="765"/>
        <w:rPr>
          <w:rFonts w:hint="eastAsia" w:ascii="宋体" w:hAnsi="宋体" w:eastAsia="宋体" w:cs="宋体"/>
          <w:sz w:val="24"/>
          <w:highlight w:val="none"/>
        </w:rPr>
      </w:pPr>
      <w:r>
        <w:rPr>
          <w:rFonts w:hint="eastAsia" w:ascii="宋体" w:hAnsi="宋体" w:eastAsia="宋体" w:cs="宋体"/>
          <w:sz w:val="24"/>
          <w:highlight w:val="none"/>
        </w:rPr>
        <w:t>供应商与采购人、其他供应商或者采购代理机构恶意串通的</w:t>
      </w:r>
    </w:p>
    <w:p w14:paraId="1E4CCAA7">
      <w:pPr>
        <w:pStyle w:val="64"/>
        <w:numPr>
          <w:ilvl w:val="2"/>
          <w:numId w:val="37"/>
        </w:numPr>
        <w:tabs>
          <w:tab w:val="left" w:pos="1260"/>
        </w:tabs>
        <w:spacing w:line="360" w:lineRule="auto"/>
        <w:ind w:hanging="765"/>
        <w:rPr>
          <w:rFonts w:hint="eastAsia" w:ascii="宋体" w:hAnsi="宋体" w:eastAsia="宋体" w:cs="宋体"/>
          <w:sz w:val="24"/>
          <w:highlight w:val="none"/>
        </w:rPr>
      </w:pPr>
      <w:r>
        <w:rPr>
          <w:rFonts w:hint="eastAsia" w:ascii="宋体" w:hAnsi="宋体" w:eastAsia="宋体" w:cs="宋体"/>
          <w:sz w:val="24"/>
          <w:highlight w:val="none"/>
        </w:rPr>
        <w:t>中标人除因不可抗力未在法律规定时间内签订合同；</w:t>
      </w:r>
    </w:p>
    <w:p w14:paraId="4DAD1990">
      <w:pPr>
        <w:pStyle w:val="64"/>
        <w:numPr>
          <w:ilvl w:val="2"/>
          <w:numId w:val="37"/>
        </w:numPr>
        <w:tabs>
          <w:tab w:val="left" w:pos="1260"/>
        </w:tabs>
        <w:spacing w:line="360" w:lineRule="auto"/>
        <w:ind w:left="1276" w:hanging="567"/>
        <w:rPr>
          <w:rFonts w:hint="eastAsia" w:ascii="宋体" w:hAnsi="宋体" w:eastAsia="宋体" w:cs="宋体"/>
          <w:b/>
          <w:sz w:val="24"/>
          <w:highlight w:val="none"/>
        </w:rPr>
      </w:pPr>
      <w:r>
        <w:rPr>
          <w:rFonts w:hint="eastAsia" w:ascii="宋体" w:hAnsi="宋体" w:eastAsia="宋体" w:cs="宋体"/>
          <w:sz w:val="24"/>
          <w:highlight w:val="none"/>
        </w:rPr>
        <w:t>将中标项目转让给他人，或者在投标文件中未说明，且未经采购人同意，将中标项目分包给他人的；</w:t>
      </w:r>
    </w:p>
    <w:p w14:paraId="0C346A4C">
      <w:pPr>
        <w:pStyle w:val="64"/>
        <w:numPr>
          <w:ilvl w:val="2"/>
          <w:numId w:val="37"/>
        </w:numPr>
        <w:tabs>
          <w:tab w:val="left" w:pos="1260"/>
        </w:tabs>
        <w:spacing w:line="360" w:lineRule="auto"/>
        <w:ind w:hanging="765"/>
        <w:rPr>
          <w:rFonts w:hint="eastAsia" w:ascii="宋体" w:hAnsi="宋体" w:eastAsia="宋体" w:cs="宋体"/>
          <w:b/>
          <w:sz w:val="24"/>
          <w:highlight w:val="none"/>
        </w:rPr>
      </w:pPr>
      <w:r>
        <w:rPr>
          <w:rFonts w:hint="eastAsia" w:ascii="宋体" w:hAnsi="宋体" w:eastAsia="宋体" w:cs="宋体"/>
          <w:sz w:val="24"/>
          <w:highlight w:val="none"/>
        </w:rPr>
        <w:t>未按招标文件规定按时向采购代理机构交纳代理服务费；</w:t>
      </w:r>
    </w:p>
    <w:p w14:paraId="27CCE011">
      <w:pPr>
        <w:spacing w:line="480" w:lineRule="auto"/>
        <w:ind w:firstLine="720" w:firstLineChars="300"/>
        <w:rPr>
          <w:rFonts w:hint="eastAsia" w:ascii="宋体" w:hAnsi="宋体" w:cs="宋体"/>
          <w:sz w:val="24"/>
          <w:highlight w:val="none"/>
        </w:rPr>
      </w:pPr>
      <w:r>
        <w:rPr>
          <w:rFonts w:hint="eastAsia" w:ascii="宋体" w:hAnsi="宋体" w:cs="宋体"/>
          <w:sz w:val="24"/>
          <w:highlight w:val="none"/>
        </w:rPr>
        <w:t>(7) 其他违反法律法规的情形。</w:t>
      </w:r>
    </w:p>
    <w:p w14:paraId="35C4D050">
      <w:pPr>
        <w:spacing w:line="480" w:lineRule="auto"/>
        <w:ind w:firstLine="480" w:firstLineChars="200"/>
        <w:rPr>
          <w:rFonts w:hint="eastAsia" w:ascii="宋体" w:hAnsi="宋体" w:cs="宋体"/>
          <w:sz w:val="24"/>
          <w:highlight w:val="none"/>
        </w:rPr>
      </w:pPr>
      <w:r>
        <w:rPr>
          <w:rFonts w:hint="eastAsia" w:ascii="宋体" w:hAnsi="宋体" w:cs="宋体"/>
          <w:sz w:val="24"/>
          <w:highlight w:val="none"/>
        </w:rPr>
        <w:t>我方将承担相关责任和后果，并按照采购项目预算金额的2%支付给采购人或采购代理机构，以弥补对其造成的损失，不足部分我方将另行承担。同时，我方完全了解上述行为可能导致被记入失信或不良行为记录。</w:t>
      </w:r>
    </w:p>
    <w:p w14:paraId="456DEEB7">
      <w:pPr>
        <w:spacing w:line="480" w:lineRule="auto"/>
        <w:ind w:firstLine="480" w:firstLineChars="200"/>
        <w:rPr>
          <w:rFonts w:hint="eastAsia" w:ascii="宋体" w:hAnsi="宋体" w:cs="宋体"/>
          <w:highlight w:val="none"/>
        </w:rPr>
      </w:pPr>
      <w:r>
        <w:rPr>
          <w:rFonts w:hint="eastAsia" w:ascii="宋体" w:hAnsi="宋体" w:cs="宋体"/>
          <w:sz w:val="24"/>
          <w:highlight w:val="none"/>
        </w:rPr>
        <w:t>特此承诺。</w:t>
      </w:r>
    </w:p>
    <w:p w14:paraId="02608BAE">
      <w:pPr>
        <w:pStyle w:val="20"/>
        <w:spacing w:line="360" w:lineRule="auto"/>
        <w:ind w:firstLine="0"/>
        <w:rPr>
          <w:rFonts w:hint="eastAsia" w:ascii="宋体" w:hAnsi="宋体" w:cs="宋体"/>
          <w:sz w:val="24"/>
          <w:highlight w:val="none"/>
        </w:rPr>
      </w:pPr>
      <w:r>
        <w:rPr>
          <w:rFonts w:hint="eastAsia" w:ascii="宋体" w:hAnsi="宋体" w:cs="宋体"/>
          <w:sz w:val="24"/>
          <w:highlight w:val="none"/>
          <w:lang w:eastAsia="zh-CN"/>
        </w:rPr>
        <w:t>供应商（盖单位电子章）</w:t>
      </w:r>
      <w:r>
        <w:rPr>
          <w:rFonts w:hint="eastAsia" w:ascii="宋体" w:hAnsi="宋体" w:cs="宋体"/>
          <w:sz w:val="24"/>
          <w:highlight w:val="none"/>
        </w:rPr>
        <w:t>：</w:t>
      </w:r>
    </w:p>
    <w:p w14:paraId="2A36B61F">
      <w:pPr>
        <w:rPr>
          <w:rFonts w:hint="eastAsia" w:ascii="宋体" w:hAnsi="宋体" w:cs="宋体"/>
          <w:highlight w:val="none"/>
        </w:rPr>
      </w:pPr>
      <w:r>
        <w:rPr>
          <w:rFonts w:hint="eastAsia" w:ascii="宋体" w:hAnsi="宋体" w:cs="宋体"/>
          <w:sz w:val="24"/>
          <w:highlight w:val="none"/>
        </w:rPr>
        <w:t xml:space="preserve">日期： </w:t>
      </w:r>
    </w:p>
    <w:p w14:paraId="25E2A309">
      <w:pPr>
        <w:pStyle w:val="75"/>
        <w:spacing w:line="360" w:lineRule="auto"/>
        <w:ind w:firstLine="480" w:firstLineChars="200"/>
        <w:rPr>
          <w:rFonts w:hint="eastAsia"/>
          <w:highlight w:val="none"/>
        </w:rPr>
      </w:pPr>
    </w:p>
    <w:p w14:paraId="47050D4B">
      <w:pPr>
        <w:pStyle w:val="4"/>
        <w:numPr>
          <w:ilvl w:val="2"/>
          <w:numId w:val="0"/>
        </w:numPr>
        <w:tabs>
          <w:tab w:val="left" w:pos="3780"/>
          <w:tab w:val="clear" w:pos="840"/>
        </w:tabs>
        <w:jc w:val="center"/>
        <w:rPr>
          <w:rFonts w:hint="eastAsia" w:ascii="宋体" w:hAnsi="宋体" w:eastAsia="宋体" w:cs="宋体"/>
          <w:sz w:val="30"/>
          <w:szCs w:val="30"/>
          <w:highlight w:val="none"/>
        </w:rPr>
      </w:pPr>
      <w:bookmarkStart w:id="139" w:name="_Toc28146"/>
      <w:bookmarkStart w:id="140" w:name="_Toc19177"/>
      <w:r>
        <w:rPr>
          <w:rFonts w:hint="eastAsia" w:ascii="宋体" w:hAnsi="宋体" w:eastAsia="宋体" w:cs="宋体"/>
          <w:sz w:val="30"/>
          <w:szCs w:val="30"/>
          <w:highlight w:val="none"/>
        </w:rPr>
        <w:t>2.12制造商授权书（进口产品适用）</w:t>
      </w:r>
      <w:bookmarkEnd w:id="139"/>
      <w:bookmarkEnd w:id="140"/>
    </w:p>
    <w:p w14:paraId="26AC3C9D">
      <w:pPr>
        <w:pStyle w:val="20"/>
        <w:ind w:firstLine="0"/>
        <w:jc w:val="center"/>
        <w:rPr>
          <w:rFonts w:hint="eastAsia" w:ascii="宋体" w:hAnsi="宋体" w:cs="宋体"/>
          <w:szCs w:val="21"/>
          <w:highlight w:val="none"/>
        </w:rPr>
      </w:pPr>
    </w:p>
    <w:p w14:paraId="19D7DE95">
      <w:pPr>
        <w:pStyle w:val="20"/>
        <w:spacing w:line="420" w:lineRule="auto"/>
        <w:ind w:firstLine="0"/>
        <w:rPr>
          <w:rFonts w:hint="eastAsia" w:ascii="宋体" w:hAnsi="宋体" w:cs="宋体"/>
          <w:sz w:val="24"/>
          <w:szCs w:val="24"/>
          <w:highlight w:val="none"/>
        </w:rPr>
      </w:pPr>
      <w:r>
        <w:rPr>
          <w:rFonts w:hint="eastAsia" w:ascii="宋体" w:hAnsi="宋体" w:cs="宋体"/>
          <w:sz w:val="24"/>
          <w:szCs w:val="24"/>
          <w:highlight w:val="none"/>
        </w:rPr>
        <w:t>敬启者：</w:t>
      </w:r>
    </w:p>
    <w:p w14:paraId="0B463DB8">
      <w:pPr>
        <w:pStyle w:val="20"/>
        <w:spacing w:line="420" w:lineRule="auto"/>
        <w:ind w:firstLine="540"/>
        <w:rPr>
          <w:rFonts w:hint="eastAsia" w:ascii="宋体" w:hAnsi="宋体" w:cs="宋体"/>
          <w:sz w:val="24"/>
          <w:szCs w:val="24"/>
          <w:highlight w:val="none"/>
        </w:rPr>
      </w:pPr>
      <w:r>
        <w:rPr>
          <w:rFonts w:hint="eastAsia" w:ascii="宋体" w:hAnsi="宋体" w:cs="宋体"/>
          <w:sz w:val="24"/>
          <w:szCs w:val="24"/>
          <w:highlight w:val="none"/>
        </w:rPr>
        <w:t>我们（</w:t>
      </w:r>
      <w:r>
        <w:rPr>
          <w:rFonts w:hint="eastAsia" w:ascii="宋体" w:hAnsi="宋体" w:cs="宋体"/>
          <w:sz w:val="24"/>
          <w:szCs w:val="24"/>
          <w:highlight w:val="none"/>
          <w:u w:val="single"/>
        </w:rPr>
        <w:t>生产厂家/公司或指定代理名称</w:t>
      </w:r>
      <w:r>
        <w:rPr>
          <w:rFonts w:hint="eastAsia" w:ascii="宋体" w:hAnsi="宋体" w:cs="宋体"/>
          <w:sz w:val="24"/>
          <w:szCs w:val="24"/>
          <w:highlight w:val="none"/>
        </w:rPr>
        <w:t>）是</w:t>
      </w:r>
      <w:r>
        <w:rPr>
          <w:rFonts w:hint="eastAsia" w:ascii="宋体" w:hAnsi="宋体" w:cs="宋体"/>
          <w:sz w:val="24"/>
          <w:szCs w:val="24"/>
          <w:highlight w:val="none"/>
          <w:u w:val="single"/>
        </w:rPr>
        <w:t>（国家名称）</w:t>
      </w:r>
      <w:r>
        <w:rPr>
          <w:rFonts w:hint="eastAsia" w:ascii="宋体" w:hAnsi="宋体" w:cs="宋体"/>
          <w:sz w:val="24"/>
          <w:szCs w:val="24"/>
          <w:highlight w:val="none"/>
        </w:rPr>
        <w:t>的法定制造/总代理商，商业总部设在</w:t>
      </w:r>
      <w:r>
        <w:rPr>
          <w:rFonts w:hint="eastAsia" w:ascii="宋体" w:hAnsi="宋体" w:cs="宋体"/>
          <w:sz w:val="24"/>
          <w:szCs w:val="24"/>
          <w:highlight w:val="none"/>
          <w:u w:val="single"/>
        </w:rPr>
        <w:t>（地址）</w:t>
      </w:r>
      <w:r>
        <w:rPr>
          <w:rFonts w:hint="eastAsia" w:ascii="宋体" w:hAnsi="宋体" w:cs="宋体"/>
          <w:sz w:val="24"/>
          <w:szCs w:val="24"/>
          <w:highlight w:val="none"/>
        </w:rPr>
        <w:t>，委托依国法律设立的商业总部设在</w:t>
      </w:r>
      <w:r>
        <w:rPr>
          <w:rFonts w:hint="eastAsia" w:ascii="宋体" w:hAnsi="宋体" w:cs="宋体"/>
          <w:sz w:val="24"/>
          <w:szCs w:val="24"/>
          <w:highlight w:val="none"/>
          <w:u w:val="single"/>
        </w:rPr>
        <w:t>（地址）</w:t>
      </w:r>
      <w:r>
        <w:rPr>
          <w:rFonts w:hint="eastAsia" w:ascii="宋体" w:hAnsi="宋体" w:cs="宋体"/>
          <w:sz w:val="24"/>
          <w:szCs w:val="24"/>
          <w:highlight w:val="none"/>
        </w:rPr>
        <w:t>的</w:t>
      </w:r>
      <w:r>
        <w:rPr>
          <w:rFonts w:hint="eastAsia" w:ascii="宋体" w:hAnsi="宋体" w:cs="宋体"/>
          <w:sz w:val="24"/>
          <w:szCs w:val="24"/>
          <w:highlight w:val="none"/>
          <w:u w:val="single"/>
        </w:rPr>
        <w:t>（经销商名称）</w:t>
      </w:r>
      <w:r>
        <w:rPr>
          <w:rFonts w:hint="eastAsia" w:ascii="宋体" w:hAnsi="宋体" w:cs="宋体"/>
          <w:sz w:val="24"/>
          <w:szCs w:val="24"/>
          <w:highlight w:val="none"/>
        </w:rPr>
        <w:t>，作为我方真实的合法代理人进行下列有效活动：</w:t>
      </w:r>
    </w:p>
    <w:p w14:paraId="5F2801CD">
      <w:pPr>
        <w:pStyle w:val="20"/>
        <w:numPr>
          <w:ilvl w:val="0"/>
          <w:numId w:val="38"/>
        </w:numPr>
        <w:tabs>
          <w:tab w:val="left" w:pos="0"/>
          <w:tab w:val="left" w:pos="900"/>
          <w:tab w:val="clear" w:pos="1140"/>
        </w:tabs>
        <w:spacing w:line="420" w:lineRule="auto"/>
        <w:ind w:left="0" w:firstLine="540"/>
        <w:rPr>
          <w:rFonts w:hint="eastAsia" w:ascii="宋体" w:hAnsi="宋体" w:cs="宋体"/>
          <w:sz w:val="24"/>
          <w:szCs w:val="24"/>
          <w:highlight w:val="none"/>
        </w:rPr>
      </w:pPr>
      <w:r>
        <w:rPr>
          <w:rFonts w:hint="eastAsia" w:ascii="宋体" w:hAnsi="宋体" w:cs="宋体"/>
          <w:sz w:val="24"/>
          <w:szCs w:val="24"/>
          <w:highlight w:val="none"/>
        </w:rPr>
        <w:t>代表我方应项目编号-***招标文件要求，用我方提供的</w:t>
      </w:r>
      <w:r>
        <w:rPr>
          <w:rFonts w:hint="eastAsia" w:ascii="宋体" w:hAnsi="宋体" w:cs="宋体"/>
          <w:sz w:val="24"/>
          <w:szCs w:val="24"/>
          <w:highlight w:val="none"/>
          <w:u w:val="single"/>
        </w:rPr>
        <w:t>（货物名称）</w:t>
      </w:r>
      <w:r>
        <w:rPr>
          <w:rFonts w:hint="eastAsia" w:ascii="宋体" w:hAnsi="宋体" w:cs="宋体"/>
          <w:sz w:val="24"/>
          <w:szCs w:val="24"/>
          <w:highlight w:val="none"/>
        </w:rPr>
        <w:t>参加投标，并对我方具有约束力。</w:t>
      </w:r>
    </w:p>
    <w:p w14:paraId="2F64F744">
      <w:pPr>
        <w:pStyle w:val="20"/>
        <w:numPr>
          <w:ilvl w:val="0"/>
          <w:numId w:val="38"/>
        </w:numPr>
        <w:tabs>
          <w:tab w:val="left" w:pos="0"/>
          <w:tab w:val="clear" w:pos="1140"/>
        </w:tabs>
        <w:spacing w:line="420" w:lineRule="auto"/>
        <w:ind w:left="0" w:firstLine="540"/>
        <w:rPr>
          <w:rFonts w:hint="eastAsia" w:ascii="宋体" w:hAnsi="宋体" w:cs="宋体"/>
          <w:sz w:val="24"/>
          <w:szCs w:val="24"/>
          <w:highlight w:val="none"/>
        </w:rPr>
      </w:pPr>
      <w:r>
        <w:rPr>
          <w:rFonts w:hint="eastAsia" w:ascii="宋体" w:hAnsi="宋体" w:cs="宋体"/>
          <w:sz w:val="24"/>
          <w:szCs w:val="24"/>
          <w:highlight w:val="none"/>
        </w:rPr>
        <w:t>作为制造商/指定总代理，我方保证以投标合作者来约束自己，并对该次投标共同和分别承担招标文件中所规定的义务。</w:t>
      </w:r>
    </w:p>
    <w:p w14:paraId="3B29D3A5">
      <w:pPr>
        <w:pStyle w:val="20"/>
        <w:numPr>
          <w:ilvl w:val="0"/>
          <w:numId w:val="38"/>
        </w:numPr>
        <w:tabs>
          <w:tab w:val="left" w:pos="0"/>
          <w:tab w:val="clear" w:pos="1140"/>
        </w:tabs>
        <w:spacing w:line="420" w:lineRule="auto"/>
        <w:ind w:left="0" w:firstLine="540"/>
        <w:rPr>
          <w:rFonts w:hint="eastAsia" w:ascii="宋体" w:hAnsi="宋体" w:cs="宋体"/>
          <w:sz w:val="24"/>
          <w:szCs w:val="24"/>
          <w:highlight w:val="none"/>
        </w:rPr>
      </w:pPr>
      <w:r>
        <w:rPr>
          <w:rFonts w:hint="eastAsia" w:ascii="宋体" w:hAnsi="宋体" w:cs="宋体"/>
          <w:sz w:val="24"/>
          <w:szCs w:val="24"/>
          <w:highlight w:val="none"/>
        </w:rPr>
        <w:t>我们兹授予</w:t>
      </w:r>
      <w:r>
        <w:rPr>
          <w:rFonts w:hint="eastAsia" w:ascii="宋体" w:hAnsi="宋体" w:cs="宋体"/>
          <w:sz w:val="24"/>
          <w:szCs w:val="24"/>
          <w:highlight w:val="none"/>
          <w:u w:val="single"/>
        </w:rPr>
        <w:t>（经销商名称）</w:t>
      </w:r>
      <w:r>
        <w:rPr>
          <w:rFonts w:hint="eastAsia" w:ascii="宋体" w:hAnsi="宋体" w:cs="宋体"/>
          <w:sz w:val="24"/>
          <w:szCs w:val="24"/>
          <w:highlight w:val="none"/>
        </w:rPr>
        <w:t>全权办理和履行上述我方为完成上述各所必须的事宜，具有撤销或替换的全权。兹确认</w:t>
      </w:r>
      <w:r>
        <w:rPr>
          <w:rFonts w:hint="eastAsia" w:ascii="宋体" w:hAnsi="宋体" w:cs="宋体"/>
          <w:sz w:val="24"/>
          <w:szCs w:val="24"/>
          <w:highlight w:val="none"/>
          <w:u w:val="single"/>
        </w:rPr>
        <w:t>（经销商名称）</w:t>
      </w:r>
      <w:r>
        <w:rPr>
          <w:rFonts w:hint="eastAsia" w:ascii="宋体" w:hAnsi="宋体" w:cs="宋体"/>
          <w:sz w:val="24"/>
          <w:szCs w:val="24"/>
          <w:highlight w:val="none"/>
        </w:rPr>
        <w:t>或其正式授权代表依此合法地办理一切事宜。</w:t>
      </w:r>
    </w:p>
    <w:p w14:paraId="4A35AD15">
      <w:pPr>
        <w:pStyle w:val="20"/>
        <w:spacing w:line="420" w:lineRule="auto"/>
        <w:rPr>
          <w:rFonts w:hint="eastAsia" w:ascii="宋体" w:hAnsi="宋体" w:cs="宋体"/>
          <w:sz w:val="24"/>
          <w:szCs w:val="24"/>
          <w:highlight w:val="none"/>
        </w:rPr>
      </w:pPr>
    </w:p>
    <w:p w14:paraId="14F93C08">
      <w:pPr>
        <w:pStyle w:val="20"/>
        <w:spacing w:line="420" w:lineRule="auto"/>
        <w:rPr>
          <w:rFonts w:hint="eastAsia" w:ascii="宋体" w:hAnsi="宋体" w:cs="宋体"/>
          <w:sz w:val="24"/>
          <w:szCs w:val="24"/>
          <w:highlight w:val="none"/>
        </w:rPr>
      </w:pPr>
      <w:r>
        <w:rPr>
          <w:rFonts w:hint="eastAsia" w:ascii="宋体" w:hAnsi="宋体" w:cs="宋体"/>
          <w:sz w:val="24"/>
          <w:szCs w:val="24"/>
          <w:highlight w:val="none"/>
        </w:rPr>
        <w:t>我们于年月日签署本文以资证明。</w:t>
      </w:r>
    </w:p>
    <w:p w14:paraId="3D641D09">
      <w:pPr>
        <w:pStyle w:val="20"/>
        <w:spacing w:line="360" w:lineRule="auto"/>
        <w:rPr>
          <w:rFonts w:hint="eastAsia" w:ascii="宋体" w:hAnsi="宋体" w:cs="宋体"/>
          <w:sz w:val="24"/>
          <w:szCs w:val="24"/>
          <w:highlight w:val="none"/>
        </w:rPr>
      </w:pPr>
    </w:p>
    <w:p w14:paraId="77702FB4">
      <w:pPr>
        <w:pStyle w:val="20"/>
        <w:spacing w:line="360" w:lineRule="auto"/>
        <w:rPr>
          <w:rFonts w:hint="eastAsia" w:ascii="宋体" w:hAnsi="宋体" w:cs="宋体"/>
          <w:sz w:val="24"/>
          <w:szCs w:val="24"/>
          <w:highlight w:val="none"/>
        </w:rPr>
      </w:pPr>
    </w:p>
    <w:p w14:paraId="0DB0D904">
      <w:pPr>
        <w:pStyle w:val="20"/>
        <w:spacing w:line="360" w:lineRule="auto"/>
        <w:ind w:firstLine="0"/>
        <w:rPr>
          <w:rFonts w:hint="eastAsia" w:ascii="宋体" w:hAnsi="宋体" w:cs="宋体"/>
          <w:sz w:val="24"/>
          <w:szCs w:val="24"/>
          <w:highlight w:val="none"/>
          <w:u w:val="single"/>
        </w:rPr>
      </w:pPr>
      <w:r>
        <w:rPr>
          <w:rFonts w:hint="eastAsia" w:ascii="宋体" w:hAnsi="宋体" w:cs="宋体"/>
          <w:sz w:val="24"/>
          <w:szCs w:val="24"/>
          <w:highlight w:val="none"/>
        </w:rPr>
        <w:t>授权方名称（盖章）</w:t>
      </w:r>
      <w:r>
        <w:rPr>
          <w:rFonts w:hint="eastAsia" w:ascii="宋体" w:hAnsi="宋体" w:cs="宋体"/>
          <w:sz w:val="24"/>
          <w:szCs w:val="24"/>
          <w:highlight w:val="none"/>
          <w:u w:val="single"/>
        </w:rPr>
        <w:t>　　　　　　　　　</w:t>
      </w:r>
      <w:r>
        <w:rPr>
          <w:rFonts w:hint="eastAsia" w:ascii="宋体" w:hAnsi="宋体" w:cs="宋体"/>
          <w:sz w:val="24"/>
          <w:szCs w:val="24"/>
          <w:highlight w:val="none"/>
        </w:rPr>
        <w:t>　 被授权方名称（盖章）</w:t>
      </w:r>
      <w:r>
        <w:rPr>
          <w:rFonts w:hint="eastAsia" w:ascii="宋体" w:hAnsi="宋体" w:cs="宋体"/>
          <w:sz w:val="24"/>
          <w:szCs w:val="24"/>
          <w:highlight w:val="none"/>
          <w:u w:val="single"/>
        </w:rPr>
        <w:t>　　　　　　　　　</w:t>
      </w:r>
    </w:p>
    <w:p w14:paraId="682627D7">
      <w:pPr>
        <w:pStyle w:val="20"/>
        <w:spacing w:line="360" w:lineRule="auto"/>
        <w:ind w:firstLine="0"/>
        <w:rPr>
          <w:rFonts w:hint="eastAsia" w:ascii="宋体" w:hAnsi="宋体" w:cs="宋体"/>
          <w:szCs w:val="21"/>
          <w:highlight w:val="none"/>
          <w:u w:val="single"/>
        </w:rPr>
      </w:pPr>
      <w:r>
        <w:rPr>
          <w:rFonts w:hint="eastAsia" w:ascii="宋体" w:hAnsi="宋体" w:cs="宋体"/>
          <w:sz w:val="24"/>
          <w:szCs w:val="24"/>
          <w:highlight w:val="none"/>
        </w:rPr>
        <w:t>法人或授权代表人姓名（签字）</w:t>
      </w:r>
      <w:r>
        <w:rPr>
          <w:rFonts w:hint="eastAsia" w:ascii="宋体" w:hAnsi="宋体" w:cs="宋体"/>
          <w:sz w:val="24"/>
          <w:szCs w:val="24"/>
          <w:highlight w:val="none"/>
          <w:u w:val="single"/>
        </w:rPr>
        <w:t>　　</w:t>
      </w:r>
      <w:r>
        <w:rPr>
          <w:rFonts w:hint="eastAsia" w:ascii="宋体" w:hAnsi="宋体" w:cs="宋体"/>
          <w:sz w:val="24"/>
          <w:szCs w:val="24"/>
          <w:highlight w:val="none"/>
        </w:rPr>
        <w:t xml:space="preserve">   法人或授权代表人姓名（签字）</w:t>
      </w:r>
      <w:r>
        <w:rPr>
          <w:rFonts w:hint="eastAsia" w:ascii="宋体" w:hAnsi="宋体" w:cs="宋体"/>
          <w:sz w:val="24"/>
          <w:szCs w:val="24"/>
          <w:highlight w:val="none"/>
          <w:u w:val="single"/>
        </w:rPr>
        <w:t>　  　</w:t>
      </w:r>
      <w:r>
        <w:rPr>
          <w:rFonts w:hint="eastAsia" w:ascii="宋体" w:hAnsi="宋体" w:cs="宋体"/>
          <w:szCs w:val="21"/>
          <w:highlight w:val="none"/>
          <w:u w:val="single"/>
        </w:rPr>
        <w:t>　　　　　　　</w:t>
      </w:r>
    </w:p>
    <w:p w14:paraId="7655F999">
      <w:pPr>
        <w:pStyle w:val="20"/>
        <w:spacing w:line="360" w:lineRule="auto"/>
        <w:ind w:firstLine="0"/>
        <w:rPr>
          <w:rFonts w:hint="eastAsia" w:ascii="宋体" w:hAnsi="宋体" w:cs="宋体"/>
          <w:szCs w:val="21"/>
          <w:highlight w:val="none"/>
          <w:u w:val="single"/>
        </w:rPr>
      </w:pPr>
      <w:r>
        <w:rPr>
          <w:rFonts w:hint="eastAsia" w:ascii="宋体" w:hAnsi="宋体" w:cs="宋体"/>
          <w:szCs w:val="21"/>
          <w:highlight w:val="none"/>
        </w:rPr>
        <w:t>　</w:t>
      </w:r>
    </w:p>
    <w:p w14:paraId="7AAF436F">
      <w:pPr>
        <w:pStyle w:val="20"/>
        <w:spacing w:line="360" w:lineRule="auto"/>
        <w:rPr>
          <w:rFonts w:hint="eastAsia" w:ascii="宋体" w:hAnsi="宋体" w:cs="宋体"/>
          <w:szCs w:val="21"/>
          <w:highlight w:val="none"/>
        </w:rPr>
      </w:pPr>
    </w:p>
    <w:p w14:paraId="67E5338D">
      <w:pPr>
        <w:pStyle w:val="20"/>
        <w:spacing w:line="360" w:lineRule="auto"/>
        <w:rPr>
          <w:rFonts w:hint="eastAsia" w:ascii="宋体" w:hAnsi="宋体" w:cs="宋体"/>
          <w:szCs w:val="21"/>
          <w:highlight w:val="none"/>
        </w:rPr>
      </w:pPr>
    </w:p>
    <w:p w14:paraId="7397EF23">
      <w:pPr>
        <w:pStyle w:val="20"/>
        <w:spacing w:line="360" w:lineRule="auto"/>
        <w:ind w:firstLine="0"/>
        <w:rPr>
          <w:rFonts w:hint="eastAsia" w:ascii="宋体" w:hAnsi="宋体" w:cs="宋体"/>
          <w:szCs w:val="21"/>
          <w:highlight w:val="none"/>
        </w:rPr>
      </w:pPr>
      <w:r>
        <w:rPr>
          <w:rFonts w:hint="eastAsia" w:ascii="宋体" w:hAnsi="宋体" w:cs="宋体"/>
          <w:sz w:val="28"/>
          <w:szCs w:val="28"/>
          <w:highlight w:val="none"/>
        </w:rPr>
        <w:t>注：本授权书可采用投标单位自有的既定格式，不受规定格式限制。</w:t>
      </w:r>
    </w:p>
    <w:p w14:paraId="7D8D7DC0">
      <w:pPr>
        <w:spacing w:line="360" w:lineRule="auto"/>
        <w:jc w:val="left"/>
        <w:rPr>
          <w:rFonts w:hint="eastAsia" w:ascii="宋体" w:hAnsi="宋体" w:cs="宋体"/>
          <w:b/>
          <w:bCs/>
          <w:sz w:val="32"/>
          <w:szCs w:val="32"/>
          <w:highlight w:val="none"/>
        </w:rPr>
      </w:pPr>
    </w:p>
    <w:p w14:paraId="333041B2">
      <w:pPr>
        <w:pStyle w:val="81"/>
        <w:ind w:firstLine="402"/>
        <w:rPr>
          <w:rFonts w:hint="eastAsia" w:ascii="宋体" w:hAnsi="宋体" w:eastAsia="宋体" w:cs="宋体"/>
          <w:kern w:val="0"/>
          <w:sz w:val="20"/>
          <w:highlight w:val="none"/>
        </w:rPr>
      </w:pPr>
    </w:p>
    <w:p w14:paraId="075D612C">
      <w:pPr>
        <w:spacing w:line="360" w:lineRule="auto"/>
        <w:rPr>
          <w:rFonts w:hint="eastAsia" w:ascii="宋体" w:hAnsi="宋体" w:cs="宋体"/>
          <w:kern w:val="0"/>
          <w:sz w:val="20"/>
          <w:szCs w:val="20"/>
          <w:highlight w:val="none"/>
        </w:rPr>
      </w:pPr>
    </w:p>
    <w:p w14:paraId="6FEA6DE6">
      <w:pPr>
        <w:spacing w:line="360" w:lineRule="auto"/>
        <w:jc w:val="center"/>
        <w:outlineLvl w:val="1"/>
        <w:rPr>
          <w:rFonts w:hint="eastAsia" w:ascii="宋体" w:hAnsi="宋体" w:cs="宋体"/>
          <w:b/>
          <w:bCs/>
          <w:sz w:val="32"/>
          <w:szCs w:val="32"/>
          <w:highlight w:val="none"/>
          <w:lang w:val="en-US" w:eastAsia="zh-CN"/>
        </w:rPr>
      </w:pPr>
      <w:r>
        <w:rPr>
          <w:rFonts w:hint="eastAsia" w:ascii="宋体" w:hAnsi="宋体" w:cs="宋体"/>
          <w:b/>
          <w:bCs/>
          <w:sz w:val="32"/>
          <w:szCs w:val="32"/>
          <w:highlight w:val="none"/>
        </w:rPr>
        <w:t>2.13</w:t>
      </w:r>
      <w:r>
        <w:rPr>
          <w:rFonts w:hint="eastAsia" w:ascii="宋体" w:hAnsi="宋体" w:cs="宋体"/>
          <w:b/>
          <w:bCs/>
          <w:sz w:val="32"/>
          <w:szCs w:val="32"/>
          <w:highlight w:val="none"/>
          <w:lang w:val="en-US" w:eastAsia="zh-CN"/>
        </w:rPr>
        <w:t>投标产品的医疗器械注册证或相关备案凭证</w:t>
      </w:r>
    </w:p>
    <w:p w14:paraId="4072838A">
      <w:pPr>
        <w:pStyle w:val="48"/>
        <w:rPr>
          <w:rFonts w:hint="eastAsia"/>
          <w:highlight w:val="none"/>
          <w:lang w:val="en-US" w:eastAsia="zh-CN"/>
        </w:rPr>
      </w:pPr>
    </w:p>
    <w:p w14:paraId="5668C0CA">
      <w:pPr>
        <w:pStyle w:val="20"/>
        <w:spacing w:line="360" w:lineRule="auto"/>
        <w:ind w:firstLine="0"/>
        <w:rPr>
          <w:rFonts w:hint="eastAsia" w:ascii="宋体" w:hAnsi="宋体" w:cs="宋体"/>
          <w:b/>
          <w:bCs/>
          <w:sz w:val="32"/>
          <w:szCs w:val="32"/>
          <w:highlight w:val="none"/>
          <w:lang w:val="en-US" w:eastAsia="zh-CN"/>
        </w:rPr>
      </w:pPr>
    </w:p>
    <w:p w14:paraId="60F83916">
      <w:pPr>
        <w:shd w:val="clear" w:color="auto" w:fill="FFFFFF"/>
        <w:wordWrap w:val="0"/>
        <w:spacing w:line="360" w:lineRule="auto"/>
        <w:ind w:firstLine="480" w:firstLineChars="200"/>
        <w:jc w:val="left"/>
        <w:rPr>
          <w:rFonts w:hint="eastAsia" w:ascii="宋体" w:hAnsi="宋体" w:eastAsia="宋体" w:cs="宋体"/>
          <w:sz w:val="24"/>
          <w:highlight w:val="none"/>
          <w:lang w:eastAsia="zh-CN"/>
        </w:rPr>
      </w:pPr>
      <w:r>
        <w:rPr>
          <w:rFonts w:hint="eastAsia" w:ascii="宋体" w:hAnsi="宋体" w:cs="宋体"/>
          <w:sz w:val="24"/>
          <w:highlight w:val="none"/>
        </w:rPr>
        <w:t>投标货物须符合中华人民共和国国务院令第 739 号《医疗器械监督管理条例》 相关规定，取得医疗器械注册证或医疗器械产品相关备案凭证；</w:t>
      </w:r>
      <w:r>
        <w:rPr>
          <w:rFonts w:hint="eastAsia" w:ascii="宋体" w:hAnsi="宋体" w:cs="宋体"/>
          <w:color w:val="000000" w:themeColor="text1"/>
          <w:sz w:val="24"/>
          <w:highlight w:val="none"/>
          <w14:textFill>
            <w14:solidFill>
              <w14:schemeClr w14:val="tx1"/>
            </w14:solidFill>
          </w14:textFill>
        </w:rPr>
        <w:t>如为</w:t>
      </w:r>
      <w:r>
        <w:rPr>
          <w:rFonts w:hint="eastAsia" w:ascii="宋体" w:hAnsi="宋体" w:cs="宋体"/>
          <w:color w:val="000000" w:themeColor="text1"/>
          <w:sz w:val="24"/>
          <w:highlight w:val="none"/>
          <w:lang w:val="en-US" w:eastAsia="zh-CN"/>
          <w14:textFill>
            <w14:solidFill>
              <w14:schemeClr w14:val="tx1"/>
            </w14:solidFill>
          </w14:textFill>
        </w:rPr>
        <w:t>进口</w:t>
      </w:r>
      <w:r>
        <w:rPr>
          <w:rFonts w:hint="eastAsia" w:ascii="宋体" w:hAnsi="宋体" w:cs="宋体"/>
          <w:color w:val="000000" w:themeColor="text1"/>
          <w:sz w:val="24"/>
          <w:highlight w:val="none"/>
          <w14:textFill>
            <w14:solidFill>
              <w14:schemeClr w14:val="tx1"/>
            </w14:solidFill>
          </w14:textFill>
        </w:rPr>
        <w:t>产品，供应商须同时提供制造商或总经销商认可的产品授权书（有完整的授权链）</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sz w:val="24"/>
          <w:highlight w:val="none"/>
          <w:lang w:val="en-US" w:eastAsia="zh-CN"/>
        </w:rPr>
        <w:t>（注：非医疗器械可不提供）</w:t>
      </w:r>
    </w:p>
    <w:p w14:paraId="21A674C7">
      <w:pPr>
        <w:pStyle w:val="20"/>
        <w:numPr>
          <w:ilvl w:val="0"/>
          <w:numId w:val="0"/>
        </w:numPr>
        <w:spacing w:line="360" w:lineRule="auto"/>
        <w:ind w:firstLine="480" w:firstLineChars="200"/>
        <w:rPr>
          <w:rFonts w:hint="eastAsia" w:ascii="宋体" w:hAnsi="宋体" w:cs="宋体"/>
          <w:kern w:val="2"/>
          <w:sz w:val="24"/>
          <w:szCs w:val="24"/>
          <w:highlight w:val="none"/>
          <w:lang w:val="en-US" w:eastAsia="zh-CN" w:bidi="ar-SA"/>
        </w:rPr>
      </w:pPr>
    </w:p>
    <w:p w14:paraId="1B14C964">
      <w:pPr>
        <w:pStyle w:val="20"/>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请参照第五章采购需求中所需设备，按下列顺序提供医疗器械注册证或医疗器械产品相关备案凭证。</w:t>
      </w:r>
    </w:p>
    <w:p w14:paraId="77ADD452">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超声内镜图像处理装置</w:t>
      </w:r>
    </w:p>
    <w:p w14:paraId="529CD378">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）超声支气管镜</w:t>
      </w:r>
    </w:p>
    <w:p w14:paraId="1BD5A223">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）高清图像处理装置</w:t>
      </w:r>
    </w:p>
    <w:p w14:paraId="30AE3821">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）内窥镜冷光源</w:t>
      </w:r>
    </w:p>
    <w:p w14:paraId="0A26758C">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5</w:t>
      </w:r>
      <w:r>
        <w:rPr>
          <w:rFonts w:hint="eastAsia" w:ascii="宋体" w:hAnsi="宋体" w:eastAsia="宋体" w:cs="宋体"/>
          <w:kern w:val="2"/>
          <w:sz w:val="24"/>
          <w:szCs w:val="24"/>
          <w:highlight w:val="none"/>
          <w:lang w:val="en-US" w:eastAsia="zh-CN" w:bidi="ar-SA"/>
        </w:rPr>
        <w:t>）治疗型电子支气管镜</w:t>
      </w:r>
    </w:p>
    <w:p w14:paraId="5A68530F">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w:t>
      </w:r>
      <w:r>
        <w:rPr>
          <w:rFonts w:hint="eastAsia" w:ascii="宋体" w:hAnsi="宋体" w:eastAsia="宋体" w:cs="宋体"/>
          <w:kern w:val="2"/>
          <w:sz w:val="24"/>
          <w:szCs w:val="24"/>
          <w:highlight w:val="none"/>
          <w:lang w:val="en-US" w:eastAsia="zh-CN" w:bidi="ar-SA"/>
        </w:rPr>
        <w:t xml:space="preserve">）细型电子支气管镜 </w:t>
      </w:r>
    </w:p>
    <w:p w14:paraId="280DDDD1">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7</w:t>
      </w:r>
      <w:r>
        <w:rPr>
          <w:rFonts w:hint="eastAsia" w:ascii="宋体" w:hAnsi="宋体" w:eastAsia="宋体" w:cs="宋体"/>
          <w:kern w:val="2"/>
          <w:sz w:val="24"/>
          <w:szCs w:val="24"/>
          <w:highlight w:val="none"/>
          <w:lang w:val="en-US" w:eastAsia="zh-CN" w:bidi="ar-SA"/>
        </w:rPr>
        <w:t>）超细型电子支气管镜</w:t>
      </w:r>
    </w:p>
    <w:p w14:paraId="07A76AF0">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8</w:t>
      </w:r>
      <w:r>
        <w:rPr>
          <w:rFonts w:hint="eastAsia" w:ascii="宋体" w:hAnsi="宋体" w:eastAsia="宋体" w:cs="宋体"/>
          <w:kern w:val="2"/>
          <w:sz w:val="24"/>
          <w:szCs w:val="24"/>
          <w:highlight w:val="none"/>
          <w:lang w:val="en-US" w:eastAsia="zh-CN" w:bidi="ar-SA"/>
        </w:rPr>
        <w:t xml:space="preserve">）内镜用超声探头 </w:t>
      </w:r>
    </w:p>
    <w:p w14:paraId="6A56470B">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9</w:t>
      </w:r>
      <w:r>
        <w:rPr>
          <w:rFonts w:hint="eastAsia" w:ascii="宋体" w:hAnsi="宋体" w:eastAsia="宋体" w:cs="宋体"/>
          <w:kern w:val="2"/>
          <w:sz w:val="24"/>
          <w:szCs w:val="24"/>
          <w:highlight w:val="none"/>
          <w:lang w:val="en-US" w:eastAsia="zh-CN" w:bidi="ar-SA"/>
        </w:rPr>
        <w:t xml:space="preserve">）冷冻治疗机   </w:t>
      </w:r>
    </w:p>
    <w:p w14:paraId="70614319">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10</w:t>
      </w:r>
      <w:r>
        <w:rPr>
          <w:rFonts w:hint="eastAsia" w:ascii="宋体" w:hAnsi="宋体" w:eastAsia="宋体" w:cs="宋体"/>
          <w:kern w:val="2"/>
          <w:sz w:val="24"/>
          <w:szCs w:val="24"/>
          <w:highlight w:val="none"/>
          <w:lang w:val="en-US" w:eastAsia="zh-CN" w:bidi="ar-SA"/>
        </w:rPr>
        <w:t>）麻醉机</w:t>
      </w:r>
    </w:p>
    <w:p w14:paraId="23DB3197">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11</w:t>
      </w:r>
      <w:r>
        <w:rPr>
          <w:rFonts w:hint="eastAsia" w:ascii="宋体" w:hAnsi="宋体" w:eastAsia="宋体" w:cs="宋体"/>
          <w:kern w:val="2"/>
          <w:sz w:val="24"/>
          <w:szCs w:val="24"/>
          <w:highlight w:val="none"/>
          <w:lang w:val="en-US" w:eastAsia="zh-CN" w:bidi="ar-SA"/>
        </w:rPr>
        <w:t>）心电监护仪</w:t>
      </w:r>
    </w:p>
    <w:p w14:paraId="1708D1A1">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12</w:t>
      </w:r>
      <w:r>
        <w:rPr>
          <w:rFonts w:hint="eastAsia" w:ascii="宋体" w:hAnsi="宋体" w:eastAsia="宋体" w:cs="宋体"/>
          <w:kern w:val="2"/>
          <w:sz w:val="24"/>
          <w:szCs w:val="24"/>
          <w:highlight w:val="none"/>
          <w:lang w:val="en-US" w:eastAsia="zh-CN" w:bidi="ar-SA"/>
        </w:rPr>
        <w:t>）氩气刀系统</w:t>
      </w:r>
    </w:p>
    <w:p w14:paraId="1D3EE246">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13</w:t>
      </w:r>
      <w:r>
        <w:rPr>
          <w:rFonts w:hint="eastAsia" w:ascii="宋体" w:hAnsi="宋体" w:eastAsia="宋体" w:cs="宋体"/>
          <w:kern w:val="2"/>
          <w:sz w:val="24"/>
          <w:szCs w:val="24"/>
          <w:highlight w:val="none"/>
          <w:lang w:val="en-US" w:eastAsia="zh-CN" w:bidi="ar-SA"/>
        </w:rPr>
        <w:t>）内镜专用台车</w:t>
      </w:r>
    </w:p>
    <w:p w14:paraId="30B22C96">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14</w:t>
      </w:r>
      <w:r>
        <w:rPr>
          <w:rFonts w:hint="eastAsia" w:ascii="宋体" w:hAnsi="宋体" w:eastAsia="宋体" w:cs="宋体"/>
          <w:kern w:val="2"/>
          <w:sz w:val="24"/>
          <w:szCs w:val="24"/>
          <w:highlight w:val="none"/>
          <w:lang w:val="en-US" w:eastAsia="zh-CN" w:bidi="ar-SA"/>
        </w:rPr>
        <w:t>）内镜专用高清监视器</w:t>
      </w:r>
    </w:p>
    <w:p w14:paraId="3C20060C">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15</w:t>
      </w:r>
      <w:r>
        <w:rPr>
          <w:rFonts w:hint="eastAsia" w:ascii="宋体" w:hAnsi="宋体" w:eastAsia="宋体" w:cs="宋体"/>
          <w:kern w:val="2"/>
          <w:sz w:val="24"/>
          <w:szCs w:val="24"/>
          <w:highlight w:val="none"/>
          <w:lang w:val="en-US" w:eastAsia="zh-CN" w:bidi="ar-SA"/>
        </w:rPr>
        <w:t xml:space="preserve">）图文工作站（含配套桌椅）    </w:t>
      </w:r>
    </w:p>
    <w:p w14:paraId="1BF2CFFF">
      <w:pPr>
        <w:pStyle w:val="20"/>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16）</w:t>
      </w:r>
      <w:r>
        <w:rPr>
          <w:rFonts w:hint="eastAsia" w:ascii="宋体" w:hAnsi="宋体" w:eastAsia="宋体" w:cs="宋体"/>
          <w:kern w:val="2"/>
          <w:sz w:val="24"/>
          <w:szCs w:val="24"/>
          <w:highlight w:val="none"/>
          <w:lang w:val="en-US" w:eastAsia="zh-CN" w:bidi="ar-SA"/>
        </w:rPr>
        <w:t xml:space="preserve">便携式支气管镜     </w:t>
      </w:r>
    </w:p>
    <w:p w14:paraId="2E0A3CC4">
      <w:pPr>
        <w:pStyle w:val="20"/>
        <w:spacing w:line="360" w:lineRule="auto"/>
        <w:ind w:firstLine="0"/>
        <w:rPr>
          <w:rFonts w:hint="eastAsia" w:ascii="宋体" w:hAnsi="宋体" w:cs="宋体"/>
          <w:b/>
          <w:bCs/>
          <w:sz w:val="32"/>
          <w:szCs w:val="32"/>
          <w:highlight w:val="none"/>
          <w:lang w:val="en-US" w:eastAsia="zh-CN"/>
        </w:rPr>
      </w:pPr>
    </w:p>
    <w:p w14:paraId="3A8A6C9D">
      <w:pPr>
        <w:pStyle w:val="20"/>
        <w:spacing w:line="360" w:lineRule="auto"/>
        <w:ind w:firstLine="0"/>
        <w:rPr>
          <w:rFonts w:hint="eastAsia" w:ascii="宋体" w:hAnsi="宋体" w:cs="宋体"/>
          <w:b/>
          <w:bCs/>
          <w:sz w:val="32"/>
          <w:szCs w:val="32"/>
          <w:highlight w:val="none"/>
          <w:lang w:val="en-US" w:eastAsia="zh-CN"/>
        </w:rPr>
      </w:pPr>
    </w:p>
    <w:p w14:paraId="626A20CE">
      <w:pPr>
        <w:pStyle w:val="20"/>
        <w:spacing w:line="360" w:lineRule="auto"/>
        <w:ind w:firstLine="0"/>
        <w:rPr>
          <w:rFonts w:hint="eastAsia" w:ascii="宋体" w:hAnsi="宋体" w:cs="宋体"/>
          <w:b/>
          <w:bCs/>
          <w:sz w:val="32"/>
          <w:szCs w:val="32"/>
          <w:highlight w:val="none"/>
          <w:lang w:val="en-US" w:eastAsia="zh-CN"/>
        </w:rPr>
      </w:pPr>
    </w:p>
    <w:p w14:paraId="4E18478B">
      <w:pPr>
        <w:spacing w:line="360" w:lineRule="auto"/>
        <w:ind w:firstLine="643" w:firstLineChars="200"/>
        <w:jc w:val="left"/>
        <w:outlineLvl w:val="1"/>
        <w:rPr>
          <w:rFonts w:hint="default" w:ascii="宋体" w:hAnsi="宋体" w:cs="宋体"/>
          <w:b/>
          <w:bCs/>
          <w:sz w:val="32"/>
          <w:szCs w:val="32"/>
          <w:highlight w:val="none"/>
          <w:lang w:val="en-US" w:eastAsia="zh-CN"/>
        </w:rPr>
      </w:pPr>
      <w:r>
        <w:rPr>
          <w:rFonts w:hint="eastAsia" w:ascii="宋体" w:hAnsi="宋体" w:cs="宋体"/>
          <w:b/>
          <w:bCs/>
          <w:sz w:val="32"/>
          <w:szCs w:val="32"/>
          <w:highlight w:val="none"/>
          <w:lang w:val="en-US" w:eastAsia="zh-CN"/>
        </w:rPr>
        <w:t>2.14 医疗器械生产许可证或医疗器械经营许可证或医疗器械经营备案凭证</w:t>
      </w:r>
    </w:p>
    <w:p w14:paraId="1C3EB7FA">
      <w:pPr>
        <w:spacing w:line="360" w:lineRule="auto"/>
        <w:ind w:firstLine="643" w:firstLineChars="200"/>
        <w:jc w:val="left"/>
        <w:outlineLvl w:val="1"/>
        <w:rPr>
          <w:rFonts w:hint="eastAsia" w:ascii="宋体" w:hAnsi="宋体" w:cs="宋体"/>
          <w:b/>
          <w:bCs/>
          <w:sz w:val="32"/>
          <w:szCs w:val="32"/>
          <w:highlight w:val="none"/>
          <w:lang w:val="en-US" w:eastAsia="zh-CN"/>
        </w:rPr>
      </w:pPr>
    </w:p>
    <w:p w14:paraId="16908CA0">
      <w:pPr>
        <w:shd w:val="clear" w:color="auto" w:fill="FFFFFF"/>
        <w:wordWrap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为代理商或经销商投标时须具有医疗器械经营许可证或医疗器械经营备案凭证（从事第一类医疗器械经营活动的除外）；</w:t>
      </w:r>
      <w:r>
        <w:rPr>
          <w:rFonts w:hint="eastAsia" w:ascii="宋体" w:hAnsi="宋体" w:cs="宋体"/>
          <w:sz w:val="24"/>
          <w:highlight w:val="none"/>
          <w:lang w:eastAsia="zh-CN"/>
        </w:rPr>
        <w:t>供应商</w:t>
      </w:r>
      <w:r>
        <w:rPr>
          <w:rFonts w:hint="eastAsia" w:ascii="宋体" w:hAnsi="宋体" w:cs="宋体"/>
          <w:sz w:val="24"/>
          <w:highlight w:val="none"/>
        </w:rPr>
        <w:t>为境内生产企业投标时须具有医疗器械生产许可证，医疗器械注册人、备案人经营其注册、备案的医疗器械，无需提供医疗器械经营许可或者备案相关资料，但应当符合医疗器械监督管理条例规定的经营条件；</w:t>
      </w:r>
      <w:r>
        <w:rPr>
          <w:rFonts w:hint="eastAsia" w:ascii="宋体" w:hAnsi="宋体" w:cs="宋体"/>
          <w:sz w:val="24"/>
          <w:highlight w:val="none"/>
          <w:lang w:val="en-US" w:eastAsia="zh-CN"/>
        </w:rPr>
        <w:t>（注：非医疗器械可不提供）</w:t>
      </w:r>
    </w:p>
    <w:p w14:paraId="2E060C34">
      <w:pPr>
        <w:pStyle w:val="48"/>
        <w:ind w:left="0" w:leftChars="0" w:firstLine="0" w:firstLineChars="0"/>
        <w:rPr>
          <w:rFonts w:hint="eastAsia" w:ascii="宋体" w:hAnsi="宋体" w:cs="宋体"/>
          <w:b/>
          <w:bCs/>
          <w:sz w:val="32"/>
          <w:szCs w:val="32"/>
          <w:highlight w:val="none"/>
          <w:lang w:val="en-US" w:eastAsia="zh-CN"/>
        </w:rPr>
      </w:pPr>
    </w:p>
    <w:p w14:paraId="69E41DF7">
      <w:pPr>
        <w:pStyle w:val="48"/>
        <w:ind w:left="0" w:leftChars="0" w:firstLine="0" w:firstLineChars="0"/>
        <w:rPr>
          <w:rFonts w:hint="eastAsia" w:ascii="宋体" w:hAnsi="宋体" w:cs="宋体"/>
          <w:b/>
          <w:bCs/>
          <w:sz w:val="32"/>
          <w:szCs w:val="32"/>
          <w:highlight w:val="none"/>
          <w:lang w:val="en-US" w:eastAsia="zh-CN"/>
        </w:rPr>
      </w:pPr>
    </w:p>
    <w:p w14:paraId="006C6F27">
      <w:pPr>
        <w:spacing w:line="360" w:lineRule="auto"/>
        <w:jc w:val="center"/>
        <w:outlineLvl w:val="1"/>
        <w:rPr>
          <w:rFonts w:hint="eastAsia" w:ascii="宋体" w:hAnsi="宋体" w:cs="宋体"/>
          <w:b/>
          <w:bCs/>
          <w:sz w:val="32"/>
          <w:szCs w:val="32"/>
          <w:highlight w:val="none"/>
        </w:rPr>
      </w:pPr>
      <w:r>
        <w:rPr>
          <w:rFonts w:hint="eastAsia" w:ascii="宋体" w:hAnsi="宋体" w:cs="宋体"/>
          <w:b/>
          <w:bCs/>
          <w:sz w:val="32"/>
          <w:szCs w:val="32"/>
          <w:highlight w:val="none"/>
          <w:lang w:val="en-US" w:eastAsia="zh-CN"/>
        </w:rPr>
        <w:t>2.15</w:t>
      </w:r>
      <w:r>
        <w:rPr>
          <w:rFonts w:hint="eastAsia" w:ascii="宋体" w:hAnsi="宋体" w:cs="宋体"/>
          <w:b/>
          <w:bCs/>
          <w:sz w:val="32"/>
          <w:szCs w:val="32"/>
          <w:highlight w:val="none"/>
        </w:rPr>
        <w:t>其他证明文件</w:t>
      </w:r>
    </w:p>
    <w:p w14:paraId="6A049E50">
      <w:pPr>
        <w:spacing w:line="620" w:lineRule="exact"/>
        <w:ind w:left="420"/>
        <w:rPr>
          <w:rFonts w:hint="eastAsia" w:ascii="宋体" w:hAnsi="宋体" w:eastAsia="宋体" w:cs="宋体"/>
          <w:b/>
          <w:bCs/>
          <w:sz w:val="32"/>
          <w:szCs w:val="32"/>
          <w:highlight w:val="none"/>
        </w:rPr>
      </w:pPr>
      <w:r>
        <w:rPr>
          <w:rStyle w:val="102"/>
          <w:rFonts w:hint="eastAsia" w:ascii="宋体" w:hAnsi="宋体" w:eastAsia="宋体" w:cs="宋体"/>
          <w:b w:val="0"/>
          <w:bCs/>
          <w:highlight w:val="none"/>
          <w:lang w:val="en-US" w:eastAsia="zh-CN"/>
        </w:rPr>
        <w:t>注：供应商可按照招标文件第一章 招标公告：“二、申请人资格要求”，对认为有必要的内容进行补充。</w:t>
      </w:r>
      <w:r>
        <w:rPr>
          <w:rFonts w:hint="eastAsia" w:ascii="宋体" w:hAnsi="宋体" w:eastAsia="宋体" w:cs="宋体"/>
          <w:b/>
          <w:bCs/>
          <w:kern w:val="2"/>
          <w:sz w:val="32"/>
          <w:szCs w:val="32"/>
          <w:highlight w:val="none"/>
          <w:lang w:val="en-US" w:eastAsia="zh-CN" w:bidi="ar-SA"/>
        </w:rPr>
        <w:br w:type="page"/>
      </w:r>
      <w:bookmarkStart w:id="141" w:name="_Toc22962933"/>
      <w:bookmarkStart w:id="142" w:name="_Toc497920535"/>
      <w:bookmarkStart w:id="143" w:name="_Toc22804130"/>
      <w:bookmarkStart w:id="144" w:name="_Toc1805"/>
      <w:bookmarkStart w:id="145" w:name="_Toc14330"/>
      <w:bookmarkStart w:id="146" w:name="_Toc22953452"/>
      <w:bookmarkStart w:id="147" w:name="_Toc11269"/>
      <w:r>
        <w:rPr>
          <w:rFonts w:hint="eastAsia" w:ascii="宋体" w:hAnsi="宋体" w:eastAsia="宋体" w:cs="宋体"/>
          <w:b/>
          <w:bCs/>
          <w:sz w:val="32"/>
          <w:szCs w:val="32"/>
          <w:highlight w:val="none"/>
        </w:rPr>
        <w:t>3.投标报价表格</w:t>
      </w:r>
      <w:bookmarkEnd w:id="141"/>
      <w:bookmarkEnd w:id="142"/>
      <w:bookmarkEnd w:id="143"/>
      <w:bookmarkEnd w:id="144"/>
      <w:bookmarkEnd w:id="145"/>
      <w:bookmarkEnd w:id="146"/>
      <w:bookmarkEnd w:id="147"/>
    </w:p>
    <w:p w14:paraId="6A246096">
      <w:pPr>
        <w:spacing w:line="360" w:lineRule="auto"/>
        <w:ind w:left="420"/>
        <w:jc w:val="center"/>
        <w:outlineLvl w:val="1"/>
        <w:rPr>
          <w:rFonts w:hint="eastAsia" w:ascii="宋体" w:hAnsi="宋体" w:cs="宋体"/>
          <w:b/>
          <w:sz w:val="32"/>
          <w:szCs w:val="32"/>
          <w:highlight w:val="none"/>
        </w:rPr>
      </w:pPr>
      <w:r>
        <w:rPr>
          <w:rFonts w:hint="eastAsia" w:ascii="宋体" w:hAnsi="宋体" w:cs="宋体"/>
          <w:b/>
          <w:sz w:val="32"/>
          <w:szCs w:val="32"/>
          <w:highlight w:val="none"/>
        </w:rPr>
        <w:t>3.1开标一览表</w:t>
      </w:r>
    </w:p>
    <w:tbl>
      <w:tblPr>
        <w:tblStyle w:val="8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707"/>
        <w:gridCol w:w="986"/>
        <w:gridCol w:w="708"/>
        <w:gridCol w:w="709"/>
        <w:gridCol w:w="818"/>
        <w:gridCol w:w="768"/>
        <w:gridCol w:w="768"/>
        <w:gridCol w:w="768"/>
        <w:gridCol w:w="768"/>
        <w:gridCol w:w="767"/>
        <w:gridCol w:w="1013"/>
        <w:gridCol w:w="1276"/>
        <w:gridCol w:w="783"/>
      </w:tblGrid>
      <w:tr w14:paraId="4184E7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689" w:hRule="atLeast"/>
          <w:jc w:val="center"/>
        </w:trPr>
        <w:tc>
          <w:tcPr>
            <w:tcW w:w="707" w:type="dxa"/>
            <w:noWrap w:val="0"/>
            <w:tcMar>
              <w:top w:w="15" w:type="dxa"/>
              <w:left w:w="15" w:type="dxa"/>
              <w:bottom w:w="0" w:type="dxa"/>
              <w:right w:w="15" w:type="dxa"/>
            </w:tcMar>
            <w:vAlign w:val="center"/>
          </w:tcPr>
          <w:p w14:paraId="4EE2F01F">
            <w:pPr>
              <w:spacing w:line="400" w:lineRule="exact"/>
              <w:ind w:left="28"/>
              <w:jc w:val="left"/>
              <w:rPr>
                <w:rFonts w:hint="eastAsia" w:ascii="宋体" w:hAnsi="宋体" w:eastAsia="宋体" w:cs="宋体"/>
                <w:b/>
                <w:bCs/>
                <w:szCs w:val="21"/>
                <w:highlight w:val="none"/>
                <w:lang w:eastAsia="zh-CN"/>
              </w:rPr>
            </w:pPr>
            <w:r>
              <w:rPr>
                <w:rFonts w:hint="eastAsia" w:ascii="宋体" w:hAnsi="宋体" w:cs="宋体"/>
                <w:b/>
                <w:bCs/>
                <w:szCs w:val="21"/>
                <w:highlight w:val="none"/>
                <w:lang w:val="en-US" w:eastAsia="zh-CN"/>
              </w:rPr>
              <w:t>序号</w:t>
            </w:r>
          </w:p>
        </w:tc>
        <w:tc>
          <w:tcPr>
            <w:tcW w:w="986" w:type="dxa"/>
            <w:noWrap w:val="0"/>
            <w:tcMar>
              <w:top w:w="15" w:type="dxa"/>
              <w:left w:w="15" w:type="dxa"/>
              <w:bottom w:w="0" w:type="dxa"/>
              <w:right w:w="15" w:type="dxa"/>
            </w:tcMar>
            <w:vAlign w:val="center"/>
          </w:tcPr>
          <w:p w14:paraId="377CEAE7">
            <w:pPr>
              <w:spacing w:line="400" w:lineRule="exact"/>
              <w:ind w:left="28"/>
              <w:jc w:val="left"/>
              <w:rPr>
                <w:rFonts w:hint="eastAsia" w:ascii="宋体" w:hAnsi="宋体" w:cs="宋体"/>
                <w:b/>
                <w:bCs/>
                <w:szCs w:val="21"/>
                <w:highlight w:val="none"/>
              </w:rPr>
            </w:pPr>
            <w:r>
              <w:rPr>
                <w:rFonts w:hint="eastAsia" w:ascii="宋体" w:hAnsi="宋体" w:cs="宋体"/>
                <w:b/>
                <w:bCs/>
                <w:szCs w:val="21"/>
                <w:highlight w:val="none"/>
              </w:rPr>
              <w:t>1.投标产品名称</w:t>
            </w:r>
          </w:p>
        </w:tc>
        <w:tc>
          <w:tcPr>
            <w:tcW w:w="708" w:type="dxa"/>
            <w:noWrap w:val="0"/>
            <w:tcMar>
              <w:top w:w="15" w:type="dxa"/>
              <w:left w:w="15" w:type="dxa"/>
              <w:bottom w:w="0" w:type="dxa"/>
              <w:right w:w="15" w:type="dxa"/>
            </w:tcMar>
            <w:vAlign w:val="center"/>
          </w:tcPr>
          <w:p w14:paraId="179BADA6">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2.品牌</w:t>
            </w:r>
          </w:p>
        </w:tc>
        <w:tc>
          <w:tcPr>
            <w:tcW w:w="709" w:type="dxa"/>
            <w:noWrap w:val="0"/>
            <w:tcMar>
              <w:top w:w="15" w:type="dxa"/>
              <w:left w:w="15" w:type="dxa"/>
              <w:bottom w:w="0" w:type="dxa"/>
              <w:right w:w="15" w:type="dxa"/>
            </w:tcMar>
            <w:vAlign w:val="center"/>
          </w:tcPr>
          <w:p w14:paraId="381F4C93">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3.规格型号</w:t>
            </w:r>
          </w:p>
        </w:tc>
        <w:tc>
          <w:tcPr>
            <w:tcW w:w="818" w:type="dxa"/>
            <w:noWrap w:val="0"/>
            <w:tcMar>
              <w:top w:w="15" w:type="dxa"/>
              <w:left w:w="15" w:type="dxa"/>
              <w:bottom w:w="0" w:type="dxa"/>
              <w:right w:w="15" w:type="dxa"/>
            </w:tcMar>
            <w:vAlign w:val="center"/>
          </w:tcPr>
          <w:p w14:paraId="42916E2C">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4.数量</w:t>
            </w:r>
          </w:p>
        </w:tc>
        <w:tc>
          <w:tcPr>
            <w:tcW w:w="768" w:type="dxa"/>
            <w:noWrap w:val="0"/>
            <w:tcMar>
              <w:top w:w="15" w:type="dxa"/>
              <w:left w:w="15" w:type="dxa"/>
              <w:bottom w:w="0" w:type="dxa"/>
              <w:right w:w="15" w:type="dxa"/>
            </w:tcMar>
            <w:vAlign w:val="center"/>
          </w:tcPr>
          <w:p w14:paraId="24A8E39A">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5.单位</w:t>
            </w:r>
          </w:p>
        </w:tc>
        <w:tc>
          <w:tcPr>
            <w:tcW w:w="768" w:type="dxa"/>
            <w:noWrap w:val="0"/>
            <w:tcMar>
              <w:top w:w="15" w:type="dxa"/>
              <w:left w:w="15" w:type="dxa"/>
              <w:bottom w:w="0" w:type="dxa"/>
              <w:right w:w="15" w:type="dxa"/>
            </w:tcMar>
            <w:vAlign w:val="center"/>
          </w:tcPr>
          <w:p w14:paraId="3AFB0B0F">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6.产地</w:t>
            </w:r>
          </w:p>
        </w:tc>
        <w:tc>
          <w:tcPr>
            <w:tcW w:w="768" w:type="dxa"/>
            <w:noWrap w:val="0"/>
            <w:tcMar>
              <w:top w:w="15" w:type="dxa"/>
              <w:left w:w="15" w:type="dxa"/>
              <w:bottom w:w="0" w:type="dxa"/>
              <w:right w:w="15" w:type="dxa"/>
            </w:tcMar>
            <w:vAlign w:val="center"/>
          </w:tcPr>
          <w:p w14:paraId="6842FA8C">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7.交货期及交货地点</w:t>
            </w:r>
          </w:p>
        </w:tc>
        <w:tc>
          <w:tcPr>
            <w:tcW w:w="768" w:type="dxa"/>
            <w:noWrap w:val="0"/>
            <w:tcMar>
              <w:top w:w="15" w:type="dxa"/>
              <w:left w:w="15" w:type="dxa"/>
              <w:bottom w:w="0" w:type="dxa"/>
              <w:right w:w="15" w:type="dxa"/>
            </w:tcMar>
            <w:vAlign w:val="center"/>
          </w:tcPr>
          <w:p w14:paraId="0BEED694">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8.质保期</w:t>
            </w:r>
          </w:p>
        </w:tc>
        <w:tc>
          <w:tcPr>
            <w:tcW w:w="767" w:type="dxa"/>
            <w:noWrap w:val="0"/>
            <w:vAlign w:val="center"/>
          </w:tcPr>
          <w:p w14:paraId="16BC62F5">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9.投标有效期</w:t>
            </w:r>
          </w:p>
        </w:tc>
        <w:tc>
          <w:tcPr>
            <w:tcW w:w="1013" w:type="dxa"/>
            <w:noWrap w:val="0"/>
            <w:vAlign w:val="center"/>
          </w:tcPr>
          <w:p w14:paraId="2F5EB707">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10.投标产品单价</w:t>
            </w:r>
          </w:p>
        </w:tc>
        <w:tc>
          <w:tcPr>
            <w:tcW w:w="1276" w:type="dxa"/>
            <w:noWrap w:val="0"/>
            <w:vAlign w:val="center"/>
          </w:tcPr>
          <w:p w14:paraId="41F5BA36">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11.产品总价（11=4×10）</w:t>
            </w:r>
          </w:p>
        </w:tc>
        <w:tc>
          <w:tcPr>
            <w:tcW w:w="783" w:type="dxa"/>
            <w:noWrap w:val="0"/>
            <w:vAlign w:val="center"/>
          </w:tcPr>
          <w:p w14:paraId="57460967">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其他</w:t>
            </w:r>
          </w:p>
          <w:p w14:paraId="4E723DB4">
            <w:pPr>
              <w:spacing w:line="400" w:lineRule="exact"/>
              <w:ind w:left="28"/>
              <w:jc w:val="center"/>
              <w:rPr>
                <w:rFonts w:hint="eastAsia" w:ascii="宋体" w:hAnsi="宋体" w:cs="宋体"/>
                <w:b/>
                <w:bCs/>
                <w:szCs w:val="21"/>
                <w:highlight w:val="none"/>
              </w:rPr>
            </w:pPr>
            <w:r>
              <w:rPr>
                <w:rFonts w:hint="eastAsia" w:ascii="宋体" w:hAnsi="宋体" w:cs="宋体"/>
                <w:b/>
                <w:bCs/>
                <w:szCs w:val="21"/>
                <w:highlight w:val="none"/>
              </w:rPr>
              <w:t>声明</w:t>
            </w:r>
          </w:p>
        </w:tc>
      </w:tr>
      <w:tr w14:paraId="2D1516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707" w:type="dxa"/>
            <w:noWrap w:val="0"/>
            <w:tcMar>
              <w:top w:w="15" w:type="dxa"/>
              <w:left w:w="15" w:type="dxa"/>
              <w:bottom w:w="0" w:type="dxa"/>
              <w:right w:w="15" w:type="dxa"/>
            </w:tcMar>
            <w:vAlign w:val="center"/>
          </w:tcPr>
          <w:p w14:paraId="0847608E">
            <w:pPr>
              <w:spacing w:line="400" w:lineRule="exact"/>
              <w:ind w:left="28"/>
              <w:jc w:val="left"/>
              <w:rPr>
                <w:rFonts w:hint="eastAsia" w:ascii="宋体" w:hAnsi="宋体" w:cs="宋体"/>
                <w:szCs w:val="21"/>
                <w:highlight w:val="none"/>
              </w:rPr>
            </w:pPr>
          </w:p>
        </w:tc>
        <w:tc>
          <w:tcPr>
            <w:tcW w:w="986" w:type="dxa"/>
            <w:noWrap w:val="0"/>
            <w:tcMar>
              <w:top w:w="15" w:type="dxa"/>
              <w:left w:w="15" w:type="dxa"/>
              <w:bottom w:w="0" w:type="dxa"/>
              <w:right w:w="15" w:type="dxa"/>
            </w:tcMar>
            <w:vAlign w:val="center"/>
          </w:tcPr>
          <w:p w14:paraId="55DEF352">
            <w:pPr>
              <w:spacing w:line="400" w:lineRule="exact"/>
              <w:ind w:left="28"/>
              <w:jc w:val="left"/>
              <w:rPr>
                <w:rFonts w:hint="eastAsia" w:ascii="宋体" w:hAnsi="宋体" w:cs="宋体"/>
                <w:szCs w:val="21"/>
                <w:highlight w:val="none"/>
              </w:rPr>
            </w:pPr>
          </w:p>
        </w:tc>
        <w:tc>
          <w:tcPr>
            <w:tcW w:w="708" w:type="dxa"/>
            <w:noWrap w:val="0"/>
            <w:tcMar>
              <w:top w:w="15" w:type="dxa"/>
              <w:left w:w="15" w:type="dxa"/>
              <w:bottom w:w="0" w:type="dxa"/>
              <w:right w:w="15" w:type="dxa"/>
            </w:tcMar>
            <w:vAlign w:val="center"/>
          </w:tcPr>
          <w:p w14:paraId="2A88655D">
            <w:pPr>
              <w:spacing w:line="400" w:lineRule="exact"/>
              <w:ind w:left="28"/>
              <w:jc w:val="center"/>
              <w:rPr>
                <w:rFonts w:hint="eastAsia" w:ascii="宋体" w:hAnsi="宋体" w:cs="宋体"/>
                <w:szCs w:val="21"/>
                <w:highlight w:val="none"/>
              </w:rPr>
            </w:pPr>
          </w:p>
        </w:tc>
        <w:tc>
          <w:tcPr>
            <w:tcW w:w="709" w:type="dxa"/>
            <w:noWrap w:val="0"/>
            <w:tcMar>
              <w:top w:w="15" w:type="dxa"/>
              <w:left w:w="15" w:type="dxa"/>
              <w:bottom w:w="0" w:type="dxa"/>
              <w:right w:w="15" w:type="dxa"/>
            </w:tcMar>
            <w:vAlign w:val="center"/>
          </w:tcPr>
          <w:p w14:paraId="41ED638E">
            <w:pPr>
              <w:spacing w:line="400" w:lineRule="exact"/>
              <w:ind w:left="28"/>
              <w:jc w:val="center"/>
              <w:rPr>
                <w:rFonts w:hint="eastAsia" w:ascii="宋体" w:hAnsi="宋体" w:cs="宋体"/>
                <w:szCs w:val="21"/>
                <w:highlight w:val="none"/>
              </w:rPr>
            </w:pPr>
          </w:p>
        </w:tc>
        <w:tc>
          <w:tcPr>
            <w:tcW w:w="818" w:type="dxa"/>
            <w:noWrap w:val="0"/>
            <w:tcMar>
              <w:top w:w="15" w:type="dxa"/>
              <w:left w:w="15" w:type="dxa"/>
              <w:bottom w:w="0" w:type="dxa"/>
              <w:right w:w="15" w:type="dxa"/>
            </w:tcMar>
            <w:vAlign w:val="center"/>
          </w:tcPr>
          <w:p w14:paraId="653BC144">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2259220D">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638BCBD3">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26D1C423">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6B5DDE35">
            <w:pPr>
              <w:spacing w:line="400" w:lineRule="exact"/>
              <w:ind w:left="28"/>
              <w:jc w:val="center"/>
              <w:rPr>
                <w:rFonts w:hint="eastAsia" w:ascii="宋体" w:hAnsi="宋体" w:cs="宋体"/>
                <w:szCs w:val="21"/>
                <w:highlight w:val="none"/>
              </w:rPr>
            </w:pPr>
          </w:p>
        </w:tc>
        <w:tc>
          <w:tcPr>
            <w:tcW w:w="767" w:type="dxa"/>
            <w:noWrap w:val="0"/>
            <w:vAlign w:val="center"/>
          </w:tcPr>
          <w:p w14:paraId="13ED0257">
            <w:pPr>
              <w:spacing w:line="400" w:lineRule="exact"/>
              <w:ind w:left="28"/>
              <w:jc w:val="center"/>
              <w:rPr>
                <w:rFonts w:hint="eastAsia" w:ascii="宋体" w:hAnsi="宋体" w:cs="宋体"/>
                <w:szCs w:val="21"/>
                <w:highlight w:val="none"/>
              </w:rPr>
            </w:pPr>
          </w:p>
        </w:tc>
        <w:tc>
          <w:tcPr>
            <w:tcW w:w="1013" w:type="dxa"/>
            <w:noWrap w:val="0"/>
            <w:vAlign w:val="center"/>
          </w:tcPr>
          <w:p w14:paraId="448F1EAF">
            <w:pPr>
              <w:spacing w:line="400" w:lineRule="exact"/>
              <w:ind w:left="28"/>
              <w:jc w:val="center"/>
              <w:rPr>
                <w:rFonts w:hint="eastAsia" w:ascii="宋体" w:hAnsi="宋体" w:cs="宋体"/>
                <w:szCs w:val="21"/>
                <w:highlight w:val="none"/>
              </w:rPr>
            </w:pPr>
          </w:p>
        </w:tc>
        <w:tc>
          <w:tcPr>
            <w:tcW w:w="1276" w:type="dxa"/>
            <w:noWrap w:val="0"/>
            <w:vAlign w:val="center"/>
          </w:tcPr>
          <w:p w14:paraId="617D7377">
            <w:pPr>
              <w:spacing w:line="400" w:lineRule="exact"/>
              <w:ind w:left="28"/>
              <w:jc w:val="center"/>
              <w:rPr>
                <w:rFonts w:hint="eastAsia" w:ascii="宋体" w:hAnsi="宋体" w:cs="宋体"/>
                <w:szCs w:val="21"/>
                <w:highlight w:val="none"/>
              </w:rPr>
            </w:pPr>
          </w:p>
        </w:tc>
        <w:tc>
          <w:tcPr>
            <w:tcW w:w="783" w:type="dxa"/>
            <w:noWrap w:val="0"/>
            <w:vAlign w:val="center"/>
          </w:tcPr>
          <w:p w14:paraId="5D4502E3">
            <w:pPr>
              <w:spacing w:line="400" w:lineRule="exact"/>
              <w:ind w:left="28"/>
              <w:jc w:val="center"/>
              <w:rPr>
                <w:rFonts w:hint="eastAsia" w:ascii="宋体" w:hAnsi="宋体" w:cs="宋体"/>
                <w:szCs w:val="21"/>
                <w:highlight w:val="none"/>
              </w:rPr>
            </w:pPr>
          </w:p>
        </w:tc>
      </w:tr>
      <w:tr w14:paraId="5BED1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707" w:type="dxa"/>
            <w:noWrap w:val="0"/>
            <w:tcMar>
              <w:top w:w="15" w:type="dxa"/>
              <w:left w:w="15" w:type="dxa"/>
              <w:bottom w:w="0" w:type="dxa"/>
              <w:right w:w="15" w:type="dxa"/>
            </w:tcMar>
            <w:vAlign w:val="center"/>
          </w:tcPr>
          <w:p w14:paraId="4012E061">
            <w:pPr>
              <w:spacing w:line="400" w:lineRule="exact"/>
              <w:ind w:left="28"/>
              <w:jc w:val="left"/>
              <w:rPr>
                <w:rFonts w:hint="eastAsia" w:ascii="宋体" w:hAnsi="宋体" w:cs="宋体"/>
                <w:szCs w:val="21"/>
                <w:highlight w:val="none"/>
              </w:rPr>
            </w:pPr>
          </w:p>
        </w:tc>
        <w:tc>
          <w:tcPr>
            <w:tcW w:w="986" w:type="dxa"/>
            <w:noWrap w:val="0"/>
            <w:tcMar>
              <w:top w:w="15" w:type="dxa"/>
              <w:left w:w="15" w:type="dxa"/>
              <w:bottom w:w="0" w:type="dxa"/>
              <w:right w:w="15" w:type="dxa"/>
            </w:tcMar>
            <w:vAlign w:val="center"/>
          </w:tcPr>
          <w:p w14:paraId="099E830E">
            <w:pPr>
              <w:spacing w:line="400" w:lineRule="exact"/>
              <w:ind w:left="28"/>
              <w:jc w:val="left"/>
              <w:rPr>
                <w:rFonts w:hint="eastAsia" w:ascii="宋体" w:hAnsi="宋体" w:cs="宋体"/>
                <w:szCs w:val="21"/>
                <w:highlight w:val="none"/>
              </w:rPr>
            </w:pPr>
          </w:p>
        </w:tc>
        <w:tc>
          <w:tcPr>
            <w:tcW w:w="708" w:type="dxa"/>
            <w:noWrap w:val="0"/>
            <w:tcMar>
              <w:top w:w="15" w:type="dxa"/>
              <w:left w:w="15" w:type="dxa"/>
              <w:bottom w:w="0" w:type="dxa"/>
              <w:right w:w="15" w:type="dxa"/>
            </w:tcMar>
            <w:vAlign w:val="center"/>
          </w:tcPr>
          <w:p w14:paraId="141FC5C3">
            <w:pPr>
              <w:spacing w:line="400" w:lineRule="exact"/>
              <w:ind w:left="28"/>
              <w:jc w:val="center"/>
              <w:rPr>
                <w:rFonts w:hint="eastAsia" w:ascii="宋体" w:hAnsi="宋体" w:cs="宋体"/>
                <w:szCs w:val="21"/>
                <w:highlight w:val="none"/>
              </w:rPr>
            </w:pPr>
          </w:p>
        </w:tc>
        <w:tc>
          <w:tcPr>
            <w:tcW w:w="709" w:type="dxa"/>
            <w:tcBorders>
              <w:right w:val="single" w:color="auto" w:sz="4" w:space="0"/>
            </w:tcBorders>
            <w:noWrap w:val="0"/>
            <w:tcMar>
              <w:top w:w="15" w:type="dxa"/>
              <w:left w:w="15" w:type="dxa"/>
              <w:bottom w:w="0" w:type="dxa"/>
              <w:right w:w="15" w:type="dxa"/>
            </w:tcMar>
            <w:vAlign w:val="center"/>
          </w:tcPr>
          <w:p w14:paraId="530803A7">
            <w:pPr>
              <w:spacing w:line="400" w:lineRule="exact"/>
              <w:ind w:left="28"/>
              <w:jc w:val="center"/>
              <w:rPr>
                <w:rFonts w:hint="eastAsia" w:ascii="宋体" w:hAnsi="宋体" w:cs="宋体"/>
                <w:szCs w:val="21"/>
                <w:highlight w:val="none"/>
              </w:rPr>
            </w:pPr>
          </w:p>
        </w:tc>
        <w:tc>
          <w:tcPr>
            <w:tcW w:w="818" w:type="dxa"/>
            <w:tcBorders>
              <w:left w:val="single" w:color="auto" w:sz="4" w:space="0"/>
            </w:tcBorders>
            <w:noWrap w:val="0"/>
            <w:tcMar>
              <w:top w:w="15" w:type="dxa"/>
              <w:left w:w="15" w:type="dxa"/>
              <w:bottom w:w="0" w:type="dxa"/>
              <w:right w:w="15" w:type="dxa"/>
            </w:tcMar>
            <w:vAlign w:val="center"/>
          </w:tcPr>
          <w:p w14:paraId="76FFEF50">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31E99931">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6C7D2C82">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6D5555CC">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71905241">
            <w:pPr>
              <w:spacing w:line="400" w:lineRule="exact"/>
              <w:ind w:left="28"/>
              <w:jc w:val="center"/>
              <w:rPr>
                <w:rFonts w:hint="eastAsia" w:ascii="宋体" w:hAnsi="宋体" w:cs="宋体"/>
                <w:szCs w:val="21"/>
                <w:highlight w:val="none"/>
              </w:rPr>
            </w:pPr>
          </w:p>
        </w:tc>
        <w:tc>
          <w:tcPr>
            <w:tcW w:w="767" w:type="dxa"/>
            <w:noWrap w:val="0"/>
            <w:vAlign w:val="center"/>
          </w:tcPr>
          <w:p w14:paraId="4A42A72E">
            <w:pPr>
              <w:spacing w:line="400" w:lineRule="exact"/>
              <w:ind w:left="28"/>
              <w:jc w:val="center"/>
              <w:rPr>
                <w:rFonts w:hint="eastAsia" w:ascii="宋体" w:hAnsi="宋体" w:cs="宋体"/>
                <w:szCs w:val="21"/>
                <w:highlight w:val="none"/>
              </w:rPr>
            </w:pPr>
          </w:p>
        </w:tc>
        <w:tc>
          <w:tcPr>
            <w:tcW w:w="1013" w:type="dxa"/>
            <w:noWrap w:val="0"/>
            <w:vAlign w:val="center"/>
          </w:tcPr>
          <w:p w14:paraId="3E9307F4">
            <w:pPr>
              <w:spacing w:line="400" w:lineRule="exact"/>
              <w:ind w:left="28"/>
              <w:jc w:val="center"/>
              <w:rPr>
                <w:rFonts w:hint="eastAsia" w:ascii="宋体" w:hAnsi="宋体" w:cs="宋体"/>
                <w:szCs w:val="21"/>
                <w:highlight w:val="none"/>
              </w:rPr>
            </w:pPr>
          </w:p>
        </w:tc>
        <w:tc>
          <w:tcPr>
            <w:tcW w:w="1276" w:type="dxa"/>
            <w:noWrap w:val="0"/>
            <w:vAlign w:val="center"/>
          </w:tcPr>
          <w:p w14:paraId="5D92E8E8">
            <w:pPr>
              <w:spacing w:line="400" w:lineRule="exact"/>
              <w:ind w:left="28"/>
              <w:jc w:val="center"/>
              <w:rPr>
                <w:rFonts w:hint="eastAsia" w:ascii="宋体" w:hAnsi="宋体" w:cs="宋体"/>
                <w:szCs w:val="21"/>
                <w:highlight w:val="none"/>
              </w:rPr>
            </w:pPr>
          </w:p>
        </w:tc>
        <w:tc>
          <w:tcPr>
            <w:tcW w:w="783" w:type="dxa"/>
            <w:noWrap w:val="0"/>
            <w:vAlign w:val="center"/>
          </w:tcPr>
          <w:p w14:paraId="6099C1C6">
            <w:pPr>
              <w:spacing w:line="400" w:lineRule="exact"/>
              <w:ind w:left="28"/>
              <w:jc w:val="center"/>
              <w:rPr>
                <w:rFonts w:hint="eastAsia" w:ascii="宋体" w:hAnsi="宋体" w:cs="宋体"/>
                <w:szCs w:val="21"/>
                <w:highlight w:val="none"/>
              </w:rPr>
            </w:pPr>
          </w:p>
        </w:tc>
      </w:tr>
      <w:tr w14:paraId="22FE72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707" w:type="dxa"/>
            <w:noWrap w:val="0"/>
            <w:tcMar>
              <w:top w:w="15" w:type="dxa"/>
              <w:left w:w="15" w:type="dxa"/>
              <w:bottom w:w="0" w:type="dxa"/>
              <w:right w:w="15" w:type="dxa"/>
            </w:tcMar>
            <w:vAlign w:val="center"/>
          </w:tcPr>
          <w:p w14:paraId="19B0145A">
            <w:pPr>
              <w:spacing w:line="400" w:lineRule="exact"/>
              <w:ind w:left="28"/>
              <w:jc w:val="left"/>
              <w:rPr>
                <w:rFonts w:hint="eastAsia" w:ascii="宋体" w:hAnsi="宋体" w:cs="宋体"/>
                <w:szCs w:val="21"/>
                <w:highlight w:val="none"/>
              </w:rPr>
            </w:pPr>
          </w:p>
        </w:tc>
        <w:tc>
          <w:tcPr>
            <w:tcW w:w="986" w:type="dxa"/>
            <w:noWrap w:val="0"/>
            <w:tcMar>
              <w:top w:w="15" w:type="dxa"/>
              <w:left w:w="15" w:type="dxa"/>
              <w:bottom w:w="0" w:type="dxa"/>
              <w:right w:w="15" w:type="dxa"/>
            </w:tcMar>
            <w:vAlign w:val="center"/>
          </w:tcPr>
          <w:p w14:paraId="554CD8A7">
            <w:pPr>
              <w:spacing w:line="400" w:lineRule="exact"/>
              <w:ind w:left="28"/>
              <w:jc w:val="left"/>
              <w:rPr>
                <w:rFonts w:hint="eastAsia" w:ascii="宋体" w:hAnsi="宋体" w:cs="宋体"/>
                <w:szCs w:val="21"/>
                <w:highlight w:val="none"/>
              </w:rPr>
            </w:pPr>
          </w:p>
        </w:tc>
        <w:tc>
          <w:tcPr>
            <w:tcW w:w="708" w:type="dxa"/>
            <w:noWrap w:val="0"/>
            <w:tcMar>
              <w:top w:w="15" w:type="dxa"/>
              <w:left w:w="15" w:type="dxa"/>
              <w:bottom w:w="0" w:type="dxa"/>
              <w:right w:w="15" w:type="dxa"/>
            </w:tcMar>
            <w:vAlign w:val="center"/>
          </w:tcPr>
          <w:p w14:paraId="42EB1E15">
            <w:pPr>
              <w:spacing w:line="400" w:lineRule="exact"/>
              <w:ind w:left="28"/>
              <w:jc w:val="center"/>
              <w:rPr>
                <w:rFonts w:hint="eastAsia" w:ascii="宋体" w:hAnsi="宋体" w:cs="宋体"/>
                <w:szCs w:val="21"/>
                <w:highlight w:val="none"/>
              </w:rPr>
            </w:pPr>
          </w:p>
        </w:tc>
        <w:tc>
          <w:tcPr>
            <w:tcW w:w="709" w:type="dxa"/>
            <w:noWrap w:val="0"/>
            <w:tcMar>
              <w:top w:w="15" w:type="dxa"/>
              <w:left w:w="15" w:type="dxa"/>
              <w:bottom w:w="0" w:type="dxa"/>
              <w:right w:w="15" w:type="dxa"/>
            </w:tcMar>
            <w:vAlign w:val="center"/>
          </w:tcPr>
          <w:p w14:paraId="67CB1C28">
            <w:pPr>
              <w:spacing w:line="400" w:lineRule="exact"/>
              <w:ind w:left="28"/>
              <w:jc w:val="center"/>
              <w:rPr>
                <w:rFonts w:hint="eastAsia" w:ascii="宋体" w:hAnsi="宋体" w:cs="宋体"/>
                <w:szCs w:val="21"/>
                <w:highlight w:val="none"/>
              </w:rPr>
            </w:pPr>
          </w:p>
        </w:tc>
        <w:tc>
          <w:tcPr>
            <w:tcW w:w="818" w:type="dxa"/>
            <w:noWrap w:val="0"/>
            <w:tcMar>
              <w:top w:w="15" w:type="dxa"/>
              <w:left w:w="15" w:type="dxa"/>
              <w:bottom w:w="0" w:type="dxa"/>
              <w:right w:w="15" w:type="dxa"/>
            </w:tcMar>
            <w:vAlign w:val="center"/>
          </w:tcPr>
          <w:p w14:paraId="62C71631">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65842E54">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460613B8">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3E651B79">
            <w:pPr>
              <w:spacing w:line="400" w:lineRule="exact"/>
              <w:ind w:left="28"/>
              <w:jc w:val="center"/>
              <w:rPr>
                <w:rFonts w:hint="eastAsia" w:ascii="宋体" w:hAnsi="宋体" w:cs="宋体"/>
                <w:szCs w:val="21"/>
                <w:highlight w:val="none"/>
              </w:rPr>
            </w:pPr>
          </w:p>
        </w:tc>
        <w:tc>
          <w:tcPr>
            <w:tcW w:w="768" w:type="dxa"/>
            <w:noWrap w:val="0"/>
            <w:tcMar>
              <w:top w:w="15" w:type="dxa"/>
              <w:left w:w="15" w:type="dxa"/>
              <w:bottom w:w="0" w:type="dxa"/>
              <w:right w:w="15" w:type="dxa"/>
            </w:tcMar>
            <w:vAlign w:val="center"/>
          </w:tcPr>
          <w:p w14:paraId="6BA628C9">
            <w:pPr>
              <w:spacing w:line="400" w:lineRule="exact"/>
              <w:ind w:left="28"/>
              <w:jc w:val="center"/>
              <w:rPr>
                <w:rFonts w:hint="eastAsia" w:ascii="宋体" w:hAnsi="宋体" w:cs="宋体"/>
                <w:szCs w:val="21"/>
                <w:highlight w:val="none"/>
              </w:rPr>
            </w:pPr>
          </w:p>
        </w:tc>
        <w:tc>
          <w:tcPr>
            <w:tcW w:w="767" w:type="dxa"/>
            <w:noWrap w:val="0"/>
            <w:vAlign w:val="center"/>
          </w:tcPr>
          <w:p w14:paraId="7B56FA7B">
            <w:pPr>
              <w:spacing w:line="400" w:lineRule="exact"/>
              <w:ind w:left="28"/>
              <w:jc w:val="center"/>
              <w:rPr>
                <w:rFonts w:hint="eastAsia" w:ascii="宋体" w:hAnsi="宋体" w:cs="宋体"/>
                <w:szCs w:val="21"/>
                <w:highlight w:val="none"/>
              </w:rPr>
            </w:pPr>
          </w:p>
        </w:tc>
        <w:tc>
          <w:tcPr>
            <w:tcW w:w="1013" w:type="dxa"/>
            <w:noWrap w:val="0"/>
            <w:vAlign w:val="center"/>
          </w:tcPr>
          <w:p w14:paraId="7B198C90">
            <w:pPr>
              <w:spacing w:line="400" w:lineRule="exact"/>
              <w:ind w:left="28"/>
              <w:jc w:val="center"/>
              <w:rPr>
                <w:rFonts w:hint="eastAsia" w:ascii="宋体" w:hAnsi="宋体" w:cs="宋体"/>
                <w:szCs w:val="21"/>
                <w:highlight w:val="none"/>
              </w:rPr>
            </w:pPr>
          </w:p>
        </w:tc>
        <w:tc>
          <w:tcPr>
            <w:tcW w:w="1276" w:type="dxa"/>
            <w:noWrap w:val="0"/>
            <w:vAlign w:val="center"/>
          </w:tcPr>
          <w:p w14:paraId="5E015D85">
            <w:pPr>
              <w:spacing w:line="400" w:lineRule="exact"/>
              <w:ind w:left="28"/>
              <w:jc w:val="center"/>
              <w:rPr>
                <w:rFonts w:hint="eastAsia" w:ascii="宋体" w:hAnsi="宋体" w:cs="宋体"/>
                <w:szCs w:val="21"/>
                <w:highlight w:val="none"/>
              </w:rPr>
            </w:pPr>
          </w:p>
        </w:tc>
        <w:tc>
          <w:tcPr>
            <w:tcW w:w="783" w:type="dxa"/>
            <w:noWrap w:val="0"/>
            <w:vAlign w:val="center"/>
          </w:tcPr>
          <w:p w14:paraId="0A7C366E">
            <w:pPr>
              <w:spacing w:line="400" w:lineRule="exact"/>
              <w:ind w:left="28"/>
              <w:jc w:val="center"/>
              <w:rPr>
                <w:rFonts w:hint="eastAsia" w:ascii="宋体" w:hAnsi="宋体" w:cs="宋体"/>
                <w:szCs w:val="21"/>
                <w:highlight w:val="none"/>
              </w:rPr>
            </w:pPr>
          </w:p>
        </w:tc>
      </w:tr>
      <w:tr w14:paraId="3F1C3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1693" w:type="dxa"/>
            <w:gridSpan w:val="2"/>
            <w:vMerge w:val="restart"/>
            <w:noWrap w:val="0"/>
            <w:tcMar>
              <w:top w:w="15" w:type="dxa"/>
              <w:left w:w="15" w:type="dxa"/>
              <w:bottom w:w="0" w:type="dxa"/>
              <w:right w:w="15" w:type="dxa"/>
            </w:tcMar>
            <w:vAlign w:val="center"/>
          </w:tcPr>
          <w:p w14:paraId="04623855">
            <w:pPr>
              <w:spacing w:line="400" w:lineRule="exact"/>
              <w:ind w:left="28"/>
              <w:jc w:val="left"/>
              <w:rPr>
                <w:rFonts w:hint="eastAsia" w:ascii="宋体" w:hAnsi="宋体" w:cs="宋体"/>
                <w:b/>
                <w:bCs/>
                <w:szCs w:val="21"/>
                <w:highlight w:val="none"/>
              </w:rPr>
            </w:pPr>
            <w:r>
              <w:rPr>
                <w:rFonts w:hint="eastAsia" w:ascii="宋体" w:hAnsi="宋体" w:cs="宋体"/>
                <w:b/>
                <w:szCs w:val="21"/>
                <w:highlight w:val="none"/>
              </w:rPr>
              <w:t>投标总报价</w:t>
            </w:r>
          </w:p>
        </w:tc>
        <w:tc>
          <w:tcPr>
            <w:tcW w:w="1417" w:type="dxa"/>
            <w:gridSpan w:val="2"/>
            <w:tcBorders>
              <w:right w:val="single" w:color="auto" w:sz="4" w:space="0"/>
            </w:tcBorders>
            <w:noWrap w:val="0"/>
            <w:vAlign w:val="center"/>
          </w:tcPr>
          <w:p w14:paraId="0650A266">
            <w:pPr>
              <w:spacing w:line="400" w:lineRule="exact"/>
              <w:ind w:left="28"/>
              <w:jc w:val="center"/>
              <w:rPr>
                <w:rFonts w:hint="eastAsia" w:ascii="宋体" w:hAnsi="宋体" w:cs="宋体"/>
                <w:szCs w:val="21"/>
                <w:highlight w:val="none"/>
              </w:rPr>
            </w:pPr>
            <w:r>
              <w:rPr>
                <w:rFonts w:hint="eastAsia" w:ascii="宋体" w:hAnsi="宋体" w:cs="宋体"/>
                <w:b/>
                <w:szCs w:val="21"/>
                <w:highlight w:val="none"/>
              </w:rPr>
              <w:t>金额小写</w:t>
            </w:r>
          </w:p>
        </w:tc>
        <w:tc>
          <w:tcPr>
            <w:tcW w:w="7729" w:type="dxa"/>
            <w:gridSpan w:val="9"/>
            <w:tcBorders>
              <w:left w:val="single" w:color="auto" w:sz="4" w:space="0"/>
            </w:tcBorders>
            <w:noWrap w:val="0"/>
            <w:vAlign w:val="center"/>
          </w:tcPr>
          <w:p w14:paraId="2B12C97A">
            <w:pPr>
              <w:spacing w:line="400" w:lineRule="exact"/>
              <w:ind w:left="28"/>
              <w:jc w:val="center"/>
              <w:rPr>
                <w:rFonts w:hint="eastAsia" w:ascii="宋体" w:hAnsi="宋体" w:cs="宋体"/>
                <w:szCs w:val="21"/>
                <w:highlight w:val="none"/>
              </w:rPr>
            </w:pPr>
          </w:p>
        </w:tc>
      </w:tr>
      <w:tr w14:paraId="425A17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68" w:hRule="atLeast"/>
          <w:jc w:val="center"/>
        </w:trPr>
        <w:tc>
          <w:tcPr>
            <w:tcW w:w="1693" w:type="dxa"/>
            <w:gridSpan w:val="2"/>
            <w:vMerge w:val="continue"/>
            <w:noWrap w:val="0"/>
            <w:tcMar>
              <w:top w:w="15" w:type="dxa"/>
              <w:left w:w="15" w:type="dxa"/>
              <w:bottom w:w="0" w:type="dxa"/>
              <w:right w:w="15" w:type="dxa"/>
            </w:tcMar>
            <w:vAlign w:val="center"/>
          </w:tcPr>
          <w:p w14:paraId="72B33344">
            <w:pPr>
              <w:spacing w:line="400" w:lineRule="exact"/>
              <w:ind w:left="28"/>
              <w:jc w:val="center"/>
              <w:rPr>
                <w:rFonts w:hint="eastAsia" w:ascii="宋体" w:hAnsi="宋体" w:cs="宋体"/>
                <w:szCs w:val="21"/>
                <w:highlight w:val="none"/>
              </w:rPr>
            </w:pPr>
          </w:p>
        </w:tc>
        <w:tc>
          <w:tcPr>
            <w:tcW w:w="1417" w:type="dxa"/>
            <w:gridSpan w:val="2"/>
            <w:tcBorders>
              <w:right w:val="single" w:color="auto" w:sz="4" w:space="0"/>
            </w:tcBorders>
            <w:noWrap w:val="0"/>
            <w:vAlign w:val="center"/>
          </w:tcPr>
          <w:p w14:paraId="69A04BD0">
            <w:pPr>
              <w:spacing w:line="400" w:lineRule="exact"/>
              <w:ind w:left="28"/>
              <w:jc w:val="center"/>
              <w:rPr>
                <w:rFonts w:hint="eastAsia" w:ascii="宋体" w:hAnsi="宋体" w:cs="宋体"/>
                <w:szCs w:val="21"/>
                <w:highlight w:val="none"/>
              </w:rPr>
            </w:pPr>
            <w:r>
              <w:rPr>
                <w:rFonts w:hint="eastAsia" w:ascii="宋体" w:hAnsi="宋体" w:cs="宋体"/>
                <w:b/>
                <w:szCs w:val="21"/>
                <w:highlight w:val="none"/>
              </w:rPr>
              <w:t>金额大写</w:t>
            </w:r>
          </w:p>
        </w:tc>
        <w:tc>
          <w:tcPr>
            <w:tcW w:w="7729" w:type="dxa"/>
            <w:gridSpan w:val="9"/>
            <w:tcBorders>
              <w:left w:val="single" w:color="auto" w:sz="4" w:space="0"/>
            </w:tcBorders>
            <w:noWrap w:val="0"/>
            <w:vAlign w:val="center"/>
          </w:tcPr>
          <w:p w14:paraId="12721EA0">
            <w:pPr>
              <w:spacing w:line="400" w:lineRule="exact"/>
              <w:ind w:left="28"/>
              <w:jc w:val="center"/>
              <w:rPr>
                <w:rFonts w:hint="eastAsia" w:ascii="宋体" w:hAnsi="宋体" w:cs="宋体"/>
                <w:szCs w:val="21"/>
                <w:highlight w:val="none"/>
              </w:rPr>
            </w:pPr>
          </w:p>
        </w:tc>
      </w:tr>
    </w:tbl>
    <w:p w14:paraId="4D12FD99">
      <w:pPr>
        <w:spacing w:line="400" w:lineRule="exact"/>
        <w:ind w:left="420"/>
        <w:jc w:val="left"/>
        <w:rPr>
          <w:rFonts w:hint="eastAsia" w:ascii="宋体" w:hAnsi="宋体" w:cs="宋体"/>
          <w:b/>
          <w:sz w:val="24"/>
          <w:szCs w:val="20"/>
          <w:highlight w:val="none"/>
        </w:rPr>
      </w:pPr>
      <w:r>
        <w:rPr>
          <w:rFonts w:hint="eastAsia" w:ascii="宋体" w:hAnsi="宋体" w:cs="宋体"/>
          <w:b/>
          <w:sz w:val="24"/>
          <w:szCs w:val="20"/>
          <w:highlight w:val="none"/>
        </w:rPr>
        <w:t>备注：所投产品若有注册证，开标一览表中规格或型号、产地等信息若与注册证不一致，以投标产品注册证信息为准。</w:t>
      </w:r>
    </w:p>
    <w:p w14:paraId="61AB7705">
      <w:pPr>
        <w:spacing w:line="620" w:lineRule="exact"/>
        <w:ind w:left="420"/>
        <w:rPr>
          <w:rFonts w:hint="eastAsia" w:ascii="宋体" w:hAnsi="宋体" w:cs="宋体"/>
          <w:sz w:val="24"/>
          <w:szCs w:val="20"/>
          <w:highlight w:val="none"/>
          <w:u w:val="single"/>
        </w:rPr>
      </w:pPr>
      <w:r>
        <w:rPr>
          <w:rFonts w:hint="eastAsia" w:ascii="宋体" w:hAnsi="宋体" w:cs="宋体"/>
          <w:sz w:val="24"/>
          <w:szCs w:val="20"/>
          <w:highlight w:val="none"/>
          <w:lang w:eastAsia="zh-CN"/>
        </w:rPr>
        <w:t>供应商</w:t>
      </w:r>
      <w:r>
        <w:rPr>
          <w:rFonts w:hint="eastAsia" w:ascii="宋体" w:hAnsi="宋体" w:cs="宋体"/>
          <w:sz w:val="24"/>
          <w:szCs w:val="20"/>
          <w:highlight w:val="none"/>
        </w:rPr>
        <w:t>：</w:t>
      </w:r>
      <w:r>
        <w:rPr>
          <w:rFonts w:hint="eastAsia" w:ascii="宋体" w:hAnsi="宋体" w:cs="宋体"/>
          <w:sz w:val="24"/>
          <w:szCs w:val="20"/>
          <w:highlight w:val="none"/>
          <w:u w:val="single"/>
        </w:rPr>
        <w:t>（</w:t>
      </w:r>
      <w:r>
        <w:rPr>
          <w:rFonts w:hint="eastAsia" w:ascii="宋体" w:hAnsi="宋体" w:cs="宋体"/>
          <w:sz w:val="24"/>
          <w:szCs w:val="20"/>
          <w:highlight w:val="none"/>
          <w:u w:val="single"/>
          <w:lang w:eastAsia="zh-CN"/>
        </w:rPr>
        <w:t>盖单位电子章</w:t>
      </w:r>
      <w:r>
        <w:rPr>
          <w:rFonts w:hint="eastAsia" w:ascii="宋体" w:hAnsi="宋体" w:cs="宋体"/>
          <w:sz w:val="24"/>
          <w:szCs w:val="20"/>
          <w:highlight w:val="none"/>
          <w:u w:val="single"/>
        </w:rPr>
        <w:t xml:space="preserve">）          </w:t>
      </w:r>
    </w:p>
    <w:p w14:paraId="78195423">
      <w:pPr>
        <w:spacing w:line="620" w:lineRule="exact"/>
        <w:ind w:left="420"/>
        <w:rPr>
          <w:rFonts w:hint="eastAsia" w:ascii="宋体" w:hAnsi="宋体" w:cs="宋体"/>
          <w:sz w:val="24"/>
          <w:szCs w:val="20"/>
          <w:highlight w:val="none"/>
          <w:u w:val="single"/>
        </w:rPr>
      </w:pPr>
      <w:r>
        <w:rPr>
          <w:rFonts w:hint="eastAsia" w:ascii="宋体" w:hAnsi="宋体" w:cs="宋体"/>
          <w:sz w:val="24"/>
          <w:szCs w:val="20"/>
          <w:highlight w:val="none"/>
        </w:rPr>
        <w:t>法定代表人或其委托代理人：</w:t>
      </w:r>
      <w:r>
        <w:rPr>
          <w:rFonts w:hint="eastAsia" w:ascii="宋体" w:hAnsi="宋体" w:cs="宋体"/>
          <w:sz w:val="24"/>
          <w:szCs w:val="20"/>
          <w:highlight w:val="none"/>
          <w:u w:val="single"/>
        </w:rPr>
        <w:t>（签字或盖</w:t>
      </w:r>
      <w:r>
        <w:rPr>
          <w:rFonts w:hint="eastAsia" w:ascii="宋体" w:hAnsi="宋体" w:cs="宋体"/>
          <w:sz w:val="24"/>
          <w:szCs w:val="20"/>
          <w:highlight w:val="none"/>
          <w:u w:val="single"/>
          <w:lang w:val="en-US" w:eastAsia="zh-CN"/>
        </w:rPr>
        <w:t>电子</w:t>
      </w:r>
      <w:r>
        <w:rPr>
          <w:rFonts w:hint="eastAsia" w:ascii="宋体" w:hAnsi="宋体" w:cs="宋体"/>
          <w:sz w:val="24"/>
          <w:szCs w:val="20"/>
          <w:highlight w:val="none"/>
          <w:u w:val="single"/>
        </w:rPr>
        <w:t xml:space="preserve">章）            </w:t>
      </w:r>
    </w:p>
    <w:p w14:paraId="3AD2A47F">
      <w:pPr>
        <w:spacing w:line="620" w:lineRule="exact"/>
        <w:ind w:left="420"/>
        <w:rPr>
          <w:rFonts w:hint="eastAsia" w:ascii="宋体" w:hAnsi="宋体" w:cs="宋体"/>
          <w:sz w:val="24"/>
          <w:szCs w:val="20"/>
          <w:highlight w:val="none"/>
        </w:rPr>
      </w:pPr>
      <w:r>
        <w:rPr>
          <w:rFonts w:hint="eastAsia" w:ascii="宋体" w:hAnsi="宋体" w:cs="宋体"/>
          <w:sz w:val="24"/>
          <w:szCs w:val="20"/>
          <w:highlight w:val="none"/>
        </w:rPr>
        <w:t>日期：</w:t>
      </w:r>
      <w:r>
        <w:rPr>
          <w:rFonts w:hint="eastAsia" w:ascii="宋体" w:hAnsi="宋体" w:cs="宋体"/>
          <w:sz w:val="24"/>
          <w:szCs w:val="20"/>
          <w:highlight w:val="none"/>
          <w:u w:val="single"/>
        </w:rPr>
        <w:tab/>
      </w:r>
      <w:r>
        <w:rPr>
          <w:rFonts w:hint="eastAsia" w:ascii="宋体" w:hAnsi="宋体" w:cs="宋体"/>
          <w:sz w:val="24"/>
          <w:szCs w:val="20"/>
          <w:highlight w:val="none"/>
          <w:u w:val="single"/>
        </w:rPr>
        <w:t xml:space="preserve">    </w:t>
      </w:r>
      <w:r>
        <w:rPr>
          <w:rFonts w:hint="eastAsia" w:ascii="宋体" w:hAnsi="宋体" w:cs="宋体"/>
          <w:sz w:val="24"/>
          <w:szCs w:val="20"/>
          <w:highlight w:val="none"/>
        </w:rPr>
        <w:t>年</w:t>
      </w:r>
      <w:r>
        <w:rPr>
          <w:rFonts w:hint="eastAsia" w:ascii="宋体" w:hAnsi="宋体" w:cs="宋体"/>
          <w:sz w:val="24"/>
          <w:szCs w:val="20"/>
          <w:highlight w:val="none"/>
          <w:u w:val="single"/>
        </w:rPr>
        <w:tab/>
      </w:r>
      <w:r>
        <w:rPr>
          <w:rFonts w:hint="eastAsia" w:ascii="宋体" w:hAnsi="宋体" w:cs="宋体"/>
          <w:sz w:val="24"/>
          <w:szCs w:val="20"/>
          <w:highlight w:val="none"/>
          <w:u w:val="single"/>
        </w:rPr>
        <w:t xml:space="preserve">  </w:t>
      </w:r>
      <w:r>
        <w:rPr>
          <w:rFonts w:hint="eastAsia" w:ascii="宋体" w:hAnsi="宋体" w:cs="宋体"/>
          <w:sz w:val="24"/>
          <w:szCs w:val="20"/>
          <w:highlight w:val="none"/>
        </w:rPr>
        <w:t>月</w:t>
      </w:r>
      <w:r>
        <w:rPr>
          <w:rFonts w:hint="eastAsia" w:ascii="宋体" w:hAnsi="宋体" w:cs="宋体"/>
          <w:sz w:val="24"/>
          <w:szCs w:val="20"/>
          <w:highlight w:val="none"/>
          <w:u w:val="single"/>
        </w:rPr>
        <w:t xml:space="preserve">   </w:t>
      </w:r>
      <w:r>
        <w:rPr>
          <w:rFonts w:hint="eastAsia" w:ascii="宋体" w:hAnsi="宋体" w:cs="宋体"/>
          <w:sz w:val="24"/>
          <w:szCs w:val="20"/>
          <w:highlight w:val="none"/>
        </w:rPr>
        <w:t>日</w:t>
      </w:r>
    </w:p>
    <w:p w14:paraId="7F18A422">
      <w:pPr>
        <w:spacing w:line="620" w:lineRule="exact"/>
        <w:ind w:firstLine="480" w:firstLineChars="200"/>
        <w:rPr>
          <w:rFonts w:hint="eastAsia" w:ascii="宋体" w:hAnsi="宋体" w:cs="宋体"/>
          <w:sz w:val="24"/>
          <w:szCs w:val="20"/>
          <w:highlight w:val="none"/>
        </w:rPr>
      </w:pPr>
      <w:r>
        <w:rPr>
          <w:rFonts w:hint="eastAsia" w:ascii="宋体" w:hAnsi="宋体" w:cs="宋体"/>
          <w:sz w:val="24"/>
          <w:szCs w:val="20"/>
          <w:highlight w:val="none"/>
        </w:rPr>
        <w:t>联系电话：</w:t>
      </w:r>
    </w:p>
    <w:p w14:paraId="2D0F197F">
      <w:pPr>
        <w:spacing w:line="360" w:lineRule="auto"/>
        <w:ind w:left="420"/>
        <w:jc w:val="center"/>
        <w:outlineLvl w:val="1"/>
        <w:rPr>
          <w:rFonts w:hint="eastAsia" w:ascii="宋体" w:hAnsi="宋体" w:cs="宋体"/>
          <w:b/>
          <w:bCs/>
          <w:sz w:val="32"/>
          <w:szCs w:val="20"/>
          <w:highlight w:val="none"/>
        </w:rPr>
      </w:pPr>
      <w:r>
        <w:rPr>
          <w:rFonts w:hint="eastAsia" w:ascii="宋体" w:hAnsi="宋体" w:cs="宋体"/>
          <w:b/>
          <w:sz w:val="32"/>
          <w:szCs w:val="32"/>
          <w:highlight w:val="none"/>
        </w:rPr>
        <w:br w:type="page"/>
      </w:r>
      <w:r>
        <w:rPr>
          <w:rFonts w:hint="eastAsia" w:ascii="宋体" w:hAnsi="宋体" w:cs="宋体"/>
          <w:b/>
          <w:sz w:val="32"/>
          <w:szCs w:val="32"/>
          <w:highlight w:val="none"/>
        </w:rPr>
        <w:t>3.2</w:t>
      </w:r>
      <w:r>
        <w:rPr>
          <w:rFonts w:hint="eastAsia" w:ascii="宋体" w:hAnsi="宋体" w:cs="宋体"/>
          <w:b/>
          <w:bCs/>
          <w:sz w:val="32"/>
          <w:szCs w:val="20"/>
          <w:highlight w:val="none"/>
        </w:rPr>
        <w:t>投标产品配置清单报价一览表</w:t>
      </w:r>
    </w:p>
    <w:p w14:paraId="0526FEF6">
      <w:pPr>
        <w:spacing w:line="400" w:lineRule="exact"/>
        <w:ind w:left="420"/>
        <w:rPr>
          <w:rFonts w:hint="eastAsia" w:ascii="宋体" w:hAnsi="宋体" w:cs="宋体"/>
          <w:b/>
          <w:sz w:val="32"/>
          <w:szCs w:val="20"/>
          <w:highlight w:val="none"/>
          <w:u w:val="single"/>
        </w:rPr>
      </w:pPr>
    </w:p>
    <w:p w14:paraId="13A42596">
      <w:pPr>
        <w:spacing w:line="400" w:lineRule="exact"/>
        <w:ind w:left="420"/>
        <w:rPr>
          <w:rFonts w:hint="eastAsia" w:ascii="宋体" w:hAnsi="宋体" w:cs="宋体"/>
          <w:bCs/>
          <w:sz w:val="24"/>
          <w:szCs w:val="20"/>
          <w:highlight w:val="none"/>
        </w:rPr>
      </w:pPr>
      <w:r>
        <w:rPr>
          <w:rFonts w:hint="eastAsia" w:ascii="宋体" w:hAnsi="宋体" w:cs="宋体"/>
          <w:bCs/>
          <w:sz w:val="24"/>
          <w:szCs w:val="20"/>
          <w:highlight w:val="none"/>
        </w:rPr>
        <w:t>产品名称：                                     单位：人民币元</w:t>
      </w:r>
    </w:p>
    <w:tbl>
      <w:tblPr>
        <w:tblStyle w:val="8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gridCol w:w="1328"/>
      </w:tblGrid>
      <w:tr w14:paraId="3AD7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7ECB3ECB">
            <w:pPr>
              <w:spacing w:line="400" w:lineRule="exact"/>
              <w:jc w:val="center"/>
              <w:rPr>
                <w:rFonts w:hint="eastAsia" w:ascii="宋体" w:hAnsi="宋体" w:cs="宋体"/>
                <w:b/>
                <w:bCs/>
                <w:sz w:val="24"/>
                <w:szCs w:val="20"/>
                <w:highlight w:val="none"/>
              </w:rPr>
            </w:pPr>
            <w:r>
              <w:rPr>
                <w:rFonts w:hint="eastAsia" w:ascii="宋体" w:hAnsi="宋体" w:cs="宋体"/>
                <w:b/>
                <w:bCs/>
                <w:sz w:val="24"/>
                <w:szCs w:val="20"/>
                <w:highlight w:val="none"/>
              </w:rPr>
              <w:t>序号</w:t>
            </w:r>
          </w:p>
        </w:tc>
        <w:tc>
          <w:tcPr>
            <w:tcW w:w="2268" w:type="dxa"/>
            <w:noWrap w:val="0"/>
            <w:vAlign w:val="center"/>
          </w:tcPr>
          <w:p w14:paraId="0F461B5F">
            <w:pPr>
              <w:spacing w:line="400" w:lineRule="exact"/>
              <w:jc w:val="center"/>
              <w:rPr>
                <w:rFonts w:hint="eastAsia" w:ascii="宋体" w:hAnsi="宋体" w:cs="宋体"/>
                <w:b/>
                <w:bCs/>
                <w:sz w:val="24"/>
                <w:szCs w:val="20"/>
                <w:highlight w:val="none"/>
              </w:rPr>
            </w:pPr>
            <w:r>
              <w:rPr>
                <w:rFonts w:hint="eastAsia" w:ascii="宋体" w:hAnsi="宋体" w:cs="宋体"/>
                <w:b/>
                <w:bCs/>
                <w:sz w:val="24"/>
                <w:szCs w:val="20"/>
                <w:highlight w:val="none"/>
              </w:rPr>
              <w:t>货物名称</w:t>
            </w:r>
          </w:p>
        </w:tc>
        <w:tc>
          <w:tcPr>
            <w:tcW w:w="1134" w:type="dxa"/>
            <w:noWrap w:val="0"/>
            <w:vAlign w:val="center"/>
          </w:tcPr>
          <w:p w14:paraId="6EDA910A">
            <w:pPr>
              <w:spacing w:line="400" w:lineRule="exact"/>
              <w:jc w:val="center"/>
              <w:rPr>
                <w:rFonts w:hint="eastAsia" w:ascii="宋体" w:hAnsi="宋体" w:cs="宋体"/>
                <w:b/>
                <w:bCs/>
                <w:sz w:val="24"/>
                <w:szCs w:val="20"/>
                <w:highlight w:val="none"/>
              </w:rPr>
            </w:pPr>
            <w:r>
              <w:rPr>
                <w:rFonts w:hint="eastAsia" w:ascii="宋体" w:hAnsi="宋体" w:cs="宋体"/>
                <w:b/>
                <w:bCs/>
                <w:sz w:val="24"/>
                <w:szCs w:val="20"/>
                <w:highlight w:val="none"/>
              </w:rPr>
              <w:t>品牌</w:t>
            </w:r>
          </w:p>
        </w:tc>
        <w:tc>
          <w:tcPr>
            <w:tcW w:w="992" w:type="dxa"/>
            <w:noWrap w:val="0"/>
            <w:vAlign w:val="center"/>
          </w:tcPr>
          <w:p w14:paraId="55AA7700">
            <w:pPr>
              <w:spacing w:line="400" w:lineRule="exact"/>
              <w:jc w:val="center"/>
              <w:rPr>
                <w:rFonts w:hint="eastAsia" w:ascii="宋体" w:hAnsi="宋体" w:cs="宋体"/>
                <w:b/>
                <w:bCs/>
                <w:sz w:val="24"/>
                <w:szCs w:val="20"/>
                <w:highlight w:val="none"/>
              </w:rPr>
            </w:pPr>
            <w:r>
              <w:rPr>
                <w:rFonts w:hint="eastAsia" w:ascii="宋体" w:hAnsi="宋体" w:cs="宋体"/>
                <w:b/>
                <w:bCs/>
                <w:sz w:val="24"/>
                <w:szCs w:val="20"/>
                <w:highlight w:val="none"/>
              </w:rPr>
              <w:t>产地</w:t>
            </w:r>
          </w:p>
        </w:tc>
        <w:tc>
          <w:tcPr>
            <w:tcW w:w="1417" w:type="dxa"/>
            <w:noWrap w:val="0"/>
            <w:vAlign w:val="center"/>
          </w:tcPr>
          <w:p w14:paraId="14D4C985">
            <w:pPr>
              <w:spacing w:line="400" w:lineRule="exact"/>
              <w:jc w:val="center"/>
              <w:rPr>
                <w:rFonts w:hint="eastAsia" w:ascii="宋体" w:hAnsi="宋体" w:cs="宋体"/>
                <w:b/>
                <w:bCs/>
                <w:sz w:val="24"/>
                <w:szCs w:val="20"/>
                <w:highlight w:val="none"/>
              </w:rPr>
            </w:pPr>
            <w:r>
              <w:rPr>
                <w:rFonts w:hint="eastAsia" w:ascii="宋体" w:hAnsi="宋体" w:cs="宋体"/>
                <w:b/>
                <w:bCs/>
                <w:sz w:val="24"/>
                <w:szCs w:val="20"/>
                <w:highlight w:val="none"/>
              </w:rPr>
              <w:t>型号规格</w:t>
            </w:r>
          </w:p>
        </w:tc>
        <w:tc>
          <w:tcPr>
            <w:tcW w:w="1560" w:type="dxa"/>
            <w:noWrap w:val="0"/>
            <w:vAlign w:val="center"/>
          </w:tcPr>
          <w:p w14:paraId="0C93A44B">
            <w:pPr>
              <w:spacing w:line="400" w:lineRule="exact"/>
              <w:jc w:val="center"/>
              <w:rPr>
                <w:rFonts w:hint="eastAsia" w:ascii="宋体" w:hAnsi="宋体" w:cs="宋体"/>
                <w:b/>
                <w:bCs/>
                <w:sz w:val="24"/>
                <w:szCs w:val="20"/>
                <w:highlight w:val="none"/>
              </w:rPr>
            </w:pPr>
            <w:r>
              <w:rPr>
                <w:rFonts w:hint="eastAsia" w:ascii="宋体" w:hAnsi="宋体" w:cs="宋体"/>
                <w:b/>
                <w:bCs/>
                <w:sz w:val="24"/>
                <w:szCs w:val="20"/>
                <w:highlight w:val="none"/>
              </w:rPr>
              <w:t>数量、单位</w:t>
            </w:r>
          </w:p>
        </w:tc>
        <w:tc>
          <w:tcPr>
            <w:tcW w:w="1328" w:type="dxa"/>
            <w:noWrap w:val="0"/>
            <w:vAlign w:val="center"/>
          </w:tcPr>
          <w:p w14:paraId="554C5510">
            <w:pPr>
              <w:spacing w:line="400" w:lineRule="exact"/>
              <w:jc w:val="center"/>
              <w:rPr>
                <w:rFonts w:hint="eastAsia" w:ascii="宋体" w:hAnsi="宋体" w:cs="宋体"/>
                <w:b/>
                <w:bCs/>
                <w:sz w:val="24"/>
                <w:szCs w:val="20"/>
                <w:highlight w:val="none"/>
              </w:rPr>
            </w:pPr>
            <w:r>
              <w:rPr>
                <w:rFonts w:hint="eastAsia" w:ascii="宋体" w:hAnsi="宋体" w:cs="宋体"/>
                <w:b/>
                <w:bCs/>
                <w:sz w:val="24"/>
                <w:szCs w:val="20"/>
                <w:highlight w:val="none"/>
              </w:rPr>
              <w:t>投标报价</w:t>
            </w:r>
          </w:p>
        </w:tc>
      </w:tr>
      <w:tr w14:paraId="4A20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0C3AD56D">
            <w:pPr>
              <w:jc w:val="center"/>
              <w:rPr>
                <w:rFonts w:hint="eastAsia" w:ascii="宋体" w:hAnsi="宋体" w:cs="宋体"/>
                <w:sz w:val="24"/>
                <w:highlight w:val="none"/>
              </w:rPr>
            </w:pPr>
          </w:p>
        </w:tc>
        <w:tc>
          <w:tcPr>
            <w:tcW w:w="2268" w:type="dxa"/>
            <w:noWrap w:val="0"/>
            <w:vAlign w:val="center"/>
          </w:tcPr>
          <w:p w14:paraId="1B187287">
            <w:pPr>
              <w:jc w:val="center"/>
              <w:rPr>
                <w:rFonts w:hint="eastAsia" w:ascii="宋体" w:hAnsi="宋体" w:cs="宋体"/>
                <w:sz w:val="24"/>
                <w:highlight w:val="none"/>
              </w:rPr>
            </w:pPr>
          </w:p>
        </w:tc>
        <w:tc>
          <w:tcPr>
            <w:tcW w:w="1134" w:type="dxa"/>
            <w:noWrap w:val="0"/>
            <w:vAlign w:val="center"/>
          </w:tcPr>
          <w:p w14:paraId="0C14EECA">
            <w:pPr>
              <w:jc w:val="center"/>
              <w:rPr>
                <w:rFonts w:hint="eastAsia" w:ascii="宋体" w:hAnsi="宋体" w:cs="宋体"/>
                <w:sz w:val="24"/>
                <w:highlight w:val="none"/>
              </w:rPr>
            </w:pPr>
          </w:p>
        </w:tc>
        <w:tc>
          <w:tcPr>
            <w:tcW w:w="992" w:type="dxa"/>
            <w:noWrap w:val="0"/>
            <w:vAlign w:val="center"/>
          </w:tcPr>
          <w:p w14:paraId="1CFB1B08">
            <w:pPr>
              <w:jc w:val="center"/>
              <w:rPr>
                <w:rFonts w:hint="eastAsia" w:ascii="宋体" w:hAnsi="宋体" w:cs="宋体"/>
                <w:sz w:val="24"/>
                <w:highlight w:val="none"/>
              </w:rPr>
            </w:pPr>
          </w:p>
        </w:tc>
        <w:tc>
          <w:tcPr>
            <w:tcW w:w="1417" w:type="dxa"/>
            <w:noWrap w:val="0"/>
            <w:vAlign w:val="center"/>
          </w:tcPr>
          <w:p w14:paraId="30E3972C">
            <w:pPr>
              <w:jc w:val="center"/>
              <w:rPr>
                <w:rFonts w:hint="eastAsia" w:ascii="宋体" w:hAnsi="宋体" w:cs="宋体"/>
                <w:sz w:val="24"/>
                <w:highlight w:val="none"/>
              </w:rPr>
            </w:pPr>
          </w:p>
        </w:tc>
        <w:tc>
          <w:tcPr>
            <w:tcW w:w="1560" w:type="dxa"/>
            <w:noWrap w:val="0"/>
            <w:vAlign w:val="center"/>
          </w:tcPr>
          <w:p w14:paraId="45534C9A">
            <w:pPr>
              <w:jc w:val="center"/>
              <w:rPr>
                <w:rFonts w:hint="eastAsia" w:ascii="宋体" w:hAnsi="宋体" w:cs="宋体"/>
                <w:sz w:val="24"/>
                <w:highlight w:val="none"/>
              </w:rPr>
            </w:pPr>
          </w:p>
        </w:tc>
        <w:tc>
          <w:tcPr>
            <w:tcW w:w="1328" w:type="dxa"/>
            <w:noWrap w:val="0"/>
            <w:vAlign w:val="center"/>
          </w:tcPr>
          <w:p w14:paraId="5E946C86">
            <w:pPr>
              <w:jc w:val="center"/>
              <w:rPr>
                <w:rFonts w:hint="eastAsia" w:ascii="宋体" w:hAnsi="宋体" w:cs="宋体"/>
                <w:sz w:val="24"/>
                <w:highlight w:val="none"/>
              </w:rPr>
            </w:pPr>
          </w:p>
        </w:tc>
      </w:tr>
      <w:tr w14:paraId="4348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66106457">
            <w:pPr>
              <w:jc w:val="center"/>
              <w:rPr>
                <w:rFonts w:hint="eastAsia" w:ascii="宋体" w:hAnsi="宋体" w:cs="宋体"/>
                <w:sz w:val="24"/>
                <w:highlight w:val="none"/>
              </w:rPr>
            </w:pPr>
          </w:p>
        </w:tc>
        <w:tc>
          <w:tcPr>
            <w:tcW w:w="2268" w:type="dxa"/>
            <w:noWrap w:val="0"/>
            <w:vAlign w:val="center"/>
          </w:tcPr>
          <w:p w14:paraId="5CD1CBC8">
            <w:pPr>
              <w:jc w:val="center"/>
              <w:rPr>
                <w:rFonts w:hint="eastAsia" w:ascii="宋体" w:hAnsi="宋体" w:cs="宋体"/>
                <w:sz w:val="24"/>
                <w:highlight w:val="none"/>
              </w:rPr>
            </w:pPr>
          </w:p>
        </w:tc>
        <w:tc>
          <w:tcPr>
            <w:tcW w:w="1134" w:type="dxa"/>
            <w:noWrap w:val="0"/>
            <w:vAlign w:val="center"/>
          </w:tcPr>
          <w:p w14:paraId="4848617F">
            <w:pPr>
              <w:jc w:val="center"/>
              <w:rPr>
                <w:rFonts w:hint="eastAsia" w:ascii="宋体" w:hAnsi="宋体" w:cs="宋体"/>
                <w:sz w:val="24"/>
                <w:highlight w:val="none"/>
              </w:rPr>
            </w:pPr>
          </w:p>
        </w:tc>
        <w:tc>
          <w:tcPr>
            <w:tcW w:w="992" w:type="dxa"/>
            <w:noWrap w:val="0"/>
            <w:vAlign w:val="center"/>
          </w:tcPr>
          <w:p w14:paraId="7C991113">
            <w:pPr>
              <w:jc w:val="center"/>
              <w:rPr>
                <w:rFonts w:hint="eastAsia" w:ascii="宋体" w:hAnsi="宋体" w:cs="宋体"/>
                <w:sz w:val="24"/>
                <w:highlight w:val="none"/>
              </w:rPr>
            </w:pPr>
          </w:p>
        </w:tc>
        <w:tc>
          <w:tcPr>
            <w:tcW w:w="1417" w:type="dxa"/>
            <w:noWrap w:val="0"/>
            <w:vAlign w:val="center"/>
          </w:tcPr>
          <w:p w14:paraId="3F4823E8">
            <w:pPr>
              <w:jc w:val="center"/>
              <w:rPr>
                <w:rFonts w:hint="eastAsia" w:ascii="宋体" w:hAnsi="宋体" w:cs="宋体"/>
                <w:sz w:val="24"/>
                <w:highlight w:val="none"/>
              </w:rPr>
            </w:pPr>
          </w:p>
        </w:tc>
        <w:tc>
          <w:tcPr>
            <w:tcW w:w="1560" w:type="dxa"/>
            <w:noWrap w:val="0"/>
            <w:vAlign w:val="center"/>
          </w:tcPr>
          <w:p w14:paraId="39056ED3">
            <w:pPr>
              <w:jc w:val="center"/>
              <w:rPr>
                <w:rFonts w:hint="eastAsia" w:ascii="宋体" w:hAnsi="宋体" w:cs="宋体"/>
                <w:sz w:val="24"/>
                <w:highlight w:val="none"/>
              </w:rPr>
            </w:pPr>
          </w:p>
        </w:tc>
        <w:tc>
          <w:tcPr>
            <w:tcW w:w="1328" w:type="dxa"/>
            <w:noWrap w:val="0"/>
            <w:vAlign w:val="center"/>
          </w:tcPr>
          <w:p w14:paraId="5E6BB832">
            <w:pPr>
              <w:jc w:val="center"/>
              <w:rPr>
                <w:rFonts w:hint="eastAsia" w:ascii="宋体" w:hAnsi="宋体" w:cs="宋体"/>
                <w:sz w:val="24"/>
                <w:highlight w:val="none"/>
              </w:rPr>
            </w:pPr>
          </w:p>
        </w:tc>
      </w:tr>
      <w:tr w14:paraId="3059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5DEF473D">
            <w:pPr>
              <w:jc w:val="center"/>
              <w:rPr>
                <w:rFonts w:hint="eastAsia" w:ascii="宋体" w:hAnsi="宋体" w:cs="宋体"/>
                <w:sz w:val="24"/>
                <w:highlight w:val="none"/>
              </w:rPr>
            </w:pPr>
          </w:p>
        </w:tc>
        <w:tc>
          <w:tcPr>
            <w:tcW w:w="2268" w:type="dxa"/>
            <w:noWrap w:val="0"/>
            <w:vAlign w:val="center"/>
          </w:tcPr>
          <w:p w14:paraId="0E5E1069">
            <w:pPr>
              <w:jc w:val="center"/>
              <w:rPr>
                <w:rFonts w:hint="eastAsia" w:ascii="宋体" w:hAnsi="宋体" w:cs="宋体"/>
                <w:sz w:val="24"/>
                <w:highlight w:val="none"/>
              </w:rPr>
            </w:pPr>
          </w:p>
        </w:tc>
        <w:tc>
          <w:tcPr>
            <w:tcW w:w="1134" w:type="dxa"/>
            <w:noWrap w:val="0"/>
            <w:vAlign w:val="center"/>
          </w:tcPr>
          <w:p w14:paraId="540F986F">
            <w:pPr>
              <w:jc w:val="center"/>
              <w:rPr>
                <w:rFonts w:hint="eastAsia" w:ascii="宋体" w:hAnsi="宋体" w:cs="宋体"/>
                <w:sz w:val="24"/>
                <w:highlight w:val="none"/>
              </w:rPr>
            </w:pPr>
          </w:p>
        </w:tc>
        <w:tc>
          <w:tcPr>
            <w:tcW w:w="992" w:type="dxa"/>
            <w:noWrap w:val="0"/>
            <w:vAlign w:val="center"/>
          </w:tcPr>
          <w:p w14:paraId="3C39226D">
            <w:pPr>
              <w:jc w:val="center"/>
              <w:rPr>
                <w:rFonts w:hint="eastAsia" w:ascii="宋体" w:hAnsi="宋体" w:cs="宋体"/>
                <w:sz w:val="24"/>
                <w:highlight w:val="none"/>
              </w:rPr>
            </w:pPr>
          </w:p>
        </w:tc>
        <w:tc>
          <w:tcPr>
            <w:tcW w:w="1417" w:type="dxa"/>
            <w:noWrap w:val="0"/>
            <w:vAlign w:val="center"/>
          </w:tcPr>
          <w:p w14:paraId="163B4384">
            <w:pPr>
              <w:jc w:val="center"/>
              <w:rPr>
                <w:rFonts w:hint="eastAsia" w:ascii="宋体" w:hAnsi="宋体" w:cs="宋体"/>
                <w:sz w:val="24"/>
                <w:highlight w:val="none"/>
              </w:rPr>
            </w:pPr>
          </w:p>
        </w:tc>
        <w:tc>
          <w:tcPr>
            <w:tcW w:w="1560" w:type="dxa"/>
            <w:noWrap w:val="0"/>
            <w:vAlign w:val="center"/>
          </w:tcPr>
          <w:p w14:paraId="5EC845BF">
            <w:pPr>
              <w:jc w:val="center"/>
              <w:rPr>
                <w:rFonts w:hint="eastAsia" w:ascii="宋体" w:hAnsi="宋体" w:cs="宋体"/>
                <w:sz w:val="24"/>
                <w:highlight w:val="none"/>
              </w:rPr>
            </w:pPr>
          </w:p>
        </w:tc>
        <w:tc>
          <w:tcPr>
            <w:tcW w:w="1328" w:type="dxa"/>
            <w:noWrap w:val="0"/>
            <w:vAlign w:val="center"/>
          </w:tcPr>
          <w:p w14:paraId="1BCBCDDC">
            <w:pPr>
              <w:jc w:val="center"/>
              <w:rPr>
                <w:rFonts w:hint="eastAsia" w:ascii="宋体" w:hAnsi="宋体" w:cs="宋体"/>
                <w:sz w:val="24"/>
                <w:highlight w:val="none"/>
              </w:rPr>
            </w:pPr>
          </w:p>
        </w:tc>
      </w:tr>
      <w:tr w14:paraId="3DD3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7DA1909D">
            <w:pPr>
              <w:jc w:val="center"/>
              <w:rPr>
                <w:rFonts w:hint="eastAsia" w:ascii="宋体" w:hAnsi="宋体" w:cs="宋体"/>
                <w:sz w:val="24"/>
                <w:highlight w:val="none"/>
              </w:rPr>
            </w:pPr>
          </w:p>
          <w:p w14:paraId="5A58FA31">
            <w:pPr>
              <w:jc w:val="center"/>
              <w:rPr>
                <w:rFonts w:hint="eastAsia" w:ascii="宋体" w:hAnsi="宋体" w:cs="宋体"/>
                <w:sz w:val="24"/>
                <w:highlight w:val="none"/>
              </w:rPr>
            </w:pPr>
          </w:p>
        </w:tc>
        <w:tc>
          <w:tcPr>
            <w:tcW w:w="2268" w:type="dxa"/>
            <w:noWrap w:val="0"/>
            <w:vAlign w:val="center"/>
          </w:tcPr>
          <w:p w14:paraId="6B4A4392">
            <w:pPr>
              <w:jc w:val="center"/>
              <w:rPr>
                <w:rFonts w:hint="eastAsia" w:ascii="宋体" w:hAnsi="宋体" w:cs="宋体"/>
                <w:sz w:val="24"/>
                <w:highlight w:val="none"/>
              </w:rPr>
            </w:pPr>
          </w:p>
        </w:tc>
        <w:tc>
          <w:tcPr>
            <w:tcW w:w="1134" w:type="dxa"/>
            <w:noWrap w:val="0"/>
            <w:vAlign w:val="center"/>
          </w:tcPr>
          <w:p w14:paraId="425C5C0C">
            <w:pPr>
              <w:jc w:val="center"/>
              <w:rPr>
                <w:rFonts w:hint="eastAsia" w:ascii="宋体" w:hAnsi="宋体" w:cs="宋体"/>
                <w:sz w:val="24"/>
                <w:highlight w:val="none"/>
              </w:rPr>
            </w:pPr>
          </w:p>
        </w:tc>
        <w:tc>
          <w:tcPr>
            <w:tcW w:w="992" w:type="dxa"/>
            <w:noWrap w:val="0"/>
            <w:vAlign w:val="center"/>
          </w:tcPr>
          <w:p w14:paraId="5BCC45B1">
            <w:pPr>
              <w:jc w:val="center"/>
              <w:rPr>
                <w:rFonts w:hint="eastAsia" w:ascii="宋体" w:hAnsi="宋体" w:cs="宋体"/>
                <w:sz w:val="24"/>
                <w:highlight w:val="none"/>
              </w:rPr>
            </w:pPr>
          </w:p>
        </w:tc>
        <w:tc>
          <w:tcPr>
            <w:tcW w:w="1417" w:type="dxa"/>
            <w:noWrap w:val="0"/>
            <w:vAlign w:val="center"/>
          </w:tcPr>
          <w:p w14:paraId="7ED4DA84">
            <w:pPr>
              <w:jc w:val="center"/>
              <w:rPr>
                <w:rFonts w:hint="eastAsia" w:ascii="宋体" w:hAnsi="宋体" w:cs="宋体"/>
                <w:sz w:val="24"/>
                <w:highlight w:val="none"/>
              </w:rPr>
            </w:pPr>
          </w:p>
        </w:tc>
        <w:tc>
          <w:tcPr>
            <w:tcW w:w="1560" w:type="dxa"/>
            <w:noWrap w:val="0"/>
            <w:vAlign w:val="center"/>
          </w:tcPr>
          <w:p w14:paraId="474BF0EA">
            <w:pPr>
              <w:jc w:val="center"/>
              <w:rPr>
                <w:rFonts w:hint="eastAsia" w:ascii="宋体" w:hAnsi="宋体" w:cs="宋体"/>
                <w:sz w:val="24"/>
                <w:highlight w:val="none"/>
              </w:rPr>
            </w:pPr>
          </w:p>
        </w:tc>
        <w:tc>
          <w:tcPr>
            <w:tcW w:w="1328" w:type="dxa"/>
            <w:noWrap w:val="0"/>
            <w:vAlign w:val="center"/>
          </w:tcPr>
          <w:p w14:paraId="5FB72FD5">
            <w:pPr>
              <w:jc w:val="center"/>
              <w:rPr>
                <w:rFonts w:hint="eastAsia" w:ascii="宋体" w:hAnsi="宋体" w:cs="宋体"/>
                <w:sz w:val="24"/>
                <w:highlight w:val="none"/>
              </w:rPr>
            </w:pPr>
          </w:p>
        </w:tc>
      </w:tr>
      <w:tr w14:paraId="4AAB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4260204">
            <w:pPr>
              <w:jc w:val="center"/>
              <w:rPr>
                <w:rFonts w:hint="eastAsia" w:ascii="宋体" w:hAnsi="宋体" w:cs="宋体"/>
                <w:sz w:val="24"/>
                <w:highlight w:val="none"/>
              </w:rPr>
            </w:pPr>
          </w:p>
        </w:tc>
        <w:tc>
          <w:tcPr>
            <w:tcW w:w="2268" w:type="dxa"/>
            <w:noWrap w:val="0"/>
            <w:vAlign w:val="center"/>
          </w:tcPr>
          <w:p w14:paraId="22AB3B80">
            <w:pPr>
              <w:jc w:val="center"/>
              <w:rPr>
                <w:rFonts w:hint="eastAsia" w:ascii="宋体" w:hAnsi="宋体" w:cs="宋体"/>
                <w:sz w:val="24"/>
                <w:highlight w:val="none"/>
              </w:rPr>
            </w:pPr>
          </w:p>
        </w:tc>
        <w:tc>
          <w:tcPr>
            <w:tcW w:w="1134" w:type="dxa"/>
            <w:noWrap w:val="0"/>
            <w:vAlign w:val="center"/>
          </w:tcPr>
          <w:p w14:paraId="12D0C430">
            <w:pPr>
              <w:jc w:val="center"/>
              <w:rPr>
                <w:rFonts w:hint="eastAsia" w:ascii="宋体" w:hAnsi="宋体" w:cs="宋体"/>
                <w:sz w:val="24"/>
                <w:highlight w:val="none"/>
              </w:rPr>
            </w:pPr>
          </w:p>
        </w:tc>
        <w:tc>
          <w:tcPr>
            <w:tcW w:w="992" w:type="dxa"/>
            <w:noWrap w:val="0"/>
            <w:vAlign w:val="center"/>
          </w:tcPr>
          <w:p w14:paraId="55BD9BCD">
            <w:pPr>
              <w:jc w:val="center"/>
              <w:rPr>
                <w:rFonts w:hint="eastAsia" w:ascii="宋体" w:hAnsi="宋体" w:cs="宋体"/>
                <w:sz w:val="24"/>
                <w:highlight w:val="none"/>
              </w:rPr>
            </w:pPr>
          </w:p>
        </w:tc>
        <w:tc>
          <w:tcPr>
            <w:tcW w:w="1417" w:type="dxa"/>
            <w:noWrap w:val="0"/>
            <w:vAlign w:val="center"/>
          </w:tcPr>
          <w:p w14:paraId="0F9F82F3">
            <w:pPr>
              <w:jc w:val="center"/>
              <w:rPr>
                <w:rFonts w:hint="eastAsia" w:ascii="宋体" w:hAnsi="宋体" w:cs="宋体"/>
                <w:sz w:val="24"/>
                <w:highlight w:val="none"/>
              </w:rPr>
            </w:pPr>
          </w:p>
        </w:tc>
        <w:tc>
          <w:tcPr>
            <w:tcW w:w="1560" w:type="dxa"/>
            <w:noWrap w:val="0"/>
            <w:vAlign w:val="center"/>
          </w:tcPr>
          <w:p w14:paraId="6F84085B">
            <w:pPr>
              <w:jc w:val="center"/>
              <w:rPr>
                <w:rFonts w:hint="eastAsia" w:ascii="宋体" w:hAnsi="宋体" w:cs="宋体"/>
                <w:sz w:val="24"/>
                <w:highlight w:val="none"/>
              </w:rPr>
            </w:pPr>
          </w:p>
        </w:tc>
        <w:tc>
          <w:tcPr>
            <w:tcW w:w="1328" w:type="dxa"/>
            <w:noWrap w:val="0"/>
            <w:vAlign w:val="center"/>
          </w:tcPr>
          <w:p w14:paraId="43C94453">
            <w:pPr>
              <w:jc w:val="center"/>
              <w:rPr>
                <w:rFonts w:hint="eastAsia" w:ascii="宋体" w:hAnsi="宋体" w:cs="宋体"/>
                <w:sz w:val="24"/>
                <w:highlight w:val="none"/>
              </w:rPr>
            </w:pPr>
          </w:p>
        </w:tc>
      </w:tr>
      <w:tr w14:paraId="168B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52916080">
            <w:pPr>
              <w:jc w:val="center"/>
              <w:rPr>
                <w:rFonts w:hint="eastAsia" w:ascii="宋体" w:hAnsi="宋体" w:cs="宋体"/>
                <w:sz w:val="24"/>
                <w:highlight w:val="none"/>
              </w:rPr>
            </w:pPr>
          </w:p>
          <w:p w14:paraId="74D0E76F">
            <w:pPr>
              <w:jc w:val="center"/>
              <w:rPr>
                <w:rFonts w:hint="eastAsia" w:ascii="宋体" w:hAnsi="宋体" w:cs="宋体"/>
                <w:sz w:val="24"/>
                <w:highlight w:val="none"/>
              </w:rPr>
            </w:pPr>
          </w:p>
        </w:tc>
        <w:tc>
          <w:tcPr>
            <w:tcW w:w="2268" w:type="dxa"/>
            <w:noWrap w:val="0"/>
            <w:vAlign w:val="center"/>
          </w:tcPr>
          <w:p w14:paraId="51FE161D">
            <w:pPr>
              <w:jc w:val="center"/>
              <w:rPr>
                <w:rFonts w:hint="eastAsia" w:ascii="宋体" w:hAnsi="宋体" w:cs="宋体"/>
                <w:sz w:val="24"/>
                <w:highlight w:val="none"/>
              </w:rPr>
            </w:pPr>
          </w:p>
        </w:tc>
        <w:tc>
          <w:tcPr>
            <w:tcW w:w="1134" w:type="dxa"/>
            <w:noWrap w:val="0"/>
            <w:vAlign w:val="center"/>
          </w:tcPr>
          <w:p w14:paraId="0882BE79">
            <w:pPr>
              <w:jc w:val="center"/>
              <w:rPr>
                <w:rFonts w:hint="eastAsia" w:ascii="宋体" w:hAnsi="宋体" w:cs="宋体"/>
                <w:sz w:val="24"/>
                <w:highlight w:val="none"/>
              </w:rPr>
            </w:pPr>
          </w:p>
        </w:tc>
        <w:tc>
          <w:tcPr>
            <w:tcW w:w="992" w:type="dxa"/>
            <w:noWrap w:val="0"/>
            <w:vAlign w:val="center"/>
          </w:tcPr>
          <w:p w14:paraId="542698C0">
            <w:pPr>
              <w:jc w:val="center"/>
              <w:rPr>
                <w:rFonts w:hint="eastAsia" w:ascii="宋体" w:hAnsi="宋体" w:cs="宋体"/>
                <w:sz w:val="24"/>
                <w:highlight w:val="none"/>
              </w:rPr>
            </w:pPr>
          </w:p>
        </w:tc>
        <w:tc>
          <w:tcPr>
            <w:tcW w:w="1417" w:type="dxa"/>
            <w:noWrap w:val="0"/>
            <w:vAlign w:val="center"/>
          </w:tcPr>
          <w:p w14:paraId="456444EE">
            <w:pPr>
              <w:jc w:val="center"/>
              <w:rPr>
                <w:rFonts w:hint="eastAsia" w:ascii="宋体" w:hAnsi="宋体" w:cs="宋体"/>
                <w:sz w:val="24"/>
                <w:highlight w:val="none"/>
              </w:rPr>
            </w:pPr>
          </w:p>
        </w:tc>
        <w:tc>
          <w:tcPr>
            <w:tcW w:w="1560" w:type="dxa"/>
            <w:noWrap w:val="0"/>
            <w:vAlign w:val="center"/>
          </w:tcPr>
          <w:p w14:paraId="6B6CEC15">
            <w:pPr>
              <w:jc w:val="center"/>
              <w:rPr>
                <w:rFonts w:hint="eastAsia" w:ascii="宋体" w:hAnsi="宋体" w:cs="宋体"/>
                <w:sz w:val="24"/>
                <w:highlight w:val="none"/>
              </w:rPr>
            </w:pPr>
          </w:p>
        </w:tc>
        <w:tc>
          <w:tcPr>
            <w:tcW w:w="1328" w:type="dxa"/>
            <w:noWrap w:val="0"/>
            <w:vAlign w:val="center"/>
          </w:tcPr>
          <w:p w14:paraId="3C1992E7">
            <w:pPr>
              <w:jc w:val="center"/>
              <w:rPr>
                <w:rFonts w:hint="eastAsia" w:ascii="宋体" w:hAnsi="宋体" w:cs="宋体"/>
                <w:sz w:val="24"/>
                <w:highlight w:val="none"/>
              </w:rPr>
            </w:pPr>
          </w:p>
        </w:tc>
      </w:tr>
      <w:tr w14:paraId="63EC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74B5107C">
            <w:pPr>
              <w:jc w:val="center"/>
              <w:rPr>
                <w:rFonts w:hint="eastAsia" w:ascii="宋体" w:hAnsi="宋体" w:cs="宋体"/>
                <w:sz w:val="24"/>
                <w:highlight w:val="none"/>
              </w:rPr>
            </w:pPr>
          </w:p>
        </w:tc>
        <w:tc>
          <w:tcPr>
            <w:tcW w:w="2268" w:type="dxa"/>
            <w:noWrap w:val="0"/>
            <w:vAlign w:val="center"/>
          </w:tcPr>
          <w:p w14:paraId="21D62F05">
            <w:pPr>
              <w:jc w:val="center"/>
              <w:rPr>
                <w:rFonts w:hint="eastAsia" w:ascii="宋体" w:hAnsi="宋体" w:cs="宋体"/>
                <w:sz w:val="24"/>
                <w:highlight w:val="none"/>
              </w:rPr>
            </w:pPr>
          </w:p>
        </w:tc>
        <w:tc>
          <w:tcPr>
            <w:tcW w:w="1134" w:type="dxa"/>
            <w:noWrap w:val="0"/>
            <w:vAlign w:val="center"/>
          </w:tcPr>
          <w:p w14:paraId="4A419239">
            <w:pPr>
              <w:jc w:val="center"/>
              <w:rPr>
                <w:rFonts w:hint="eastAsia" w:ascii="宋体" w:hAnsi="宋体" w:cs="宋体"/>
                <w:sz w:val="24"/>
                <w:highlight w:val="none"/>
              </w:rPr>
            </w:pPr>
          </w:p>
        </w:tc>
        <w:tc>
          <w:tcPr>
            <w:tcW w:w="992" w:type="dxa"/>
            <w:noWrap w:val="0"/>
            <w:vAlign w:val="center"/>
          </w:tcPr>
          <w:p w14:paraId="1CAE81B1">
            <w:pPr>
              <w:jc w:val="center"/>
              <w:rPr>
                <w:rFonts w:hint="eastAsia" w:ascii="宋体" w:hAnsi="宋体" w:cs="宋体"/>
                <w:sz w:val="24"/>
                <w:highlight w:val="none"/>
              </w:rPr>
            </w:pPr>
          </w:p>
        </w:tc>
        <w:tc>
          <w:tcPr>
            <w:tcW w:w="1417" w:type="dxa"/>
            <w:noWrap w:val="0"/>
            <w:vAlign w:val="center"/>
          </w:tcPr>
          <w:p w14:paraId="545A7745">
            <w:pPr>
              <w:jc w:val="center"/>
              <w:rPr>
                <w:rFonts w:hint="eastAsia" w:ascii="宋体" w:hAnsi="宋体" w:cs="宋体"/>
                <w:sz w:val="24"/>
                <w:highlight w:val="none"/>
              </w:rPr>
            </w:pPr>
          </w:p>
        </w:tc>
        <w:tc>
          <w:tcPr>
            <w:tcW w:w="1560" w:type="dxa"/>
            <w:noWrap w:val="0"/>
            <w:vAlign w:val="center"/>
          </w:tcPr>
          <w:p w14:paraId="21BEDBA0">
            <w:pPr>
              <w:jc w:val="center"/>
              <w:rPr>
                <w:rFonts w:hint="eastAsia" w:ascii="宋体" w:hAnsi="宋体" w:cs="宋体"/>
                <w:sz w:val="24"/>
                <w:highlight w:val="none"/>
              </w:rPr>
            </w:pPr>
          </w:p>
        </w:tc>
        <w:tc>
          <w:tcPr>
            <w:tcW w:w="1328" w:type="dxa"/>
            <w:noWrap w:val="0"/>
            <w:vAlign w:val="center"/>
          </w:tcPr>
          <w:p w14:paraId="2039C9C2">
            <w:pPr>
              <w:jc w:val="center"/>
              <w:rPr>
                <w:rFonts w:hint="eastAsia" w:ascii="宋体" w:hAnsi="宋体" w:cs="宋体"/>
                <w:sz w:val="24"/>
                <w:highlight w:val="none"/>
              </w:rPr>
            </w:pPr>
          </w:p>
        </w:tc>
      </w:tr>
      <w:tr w14:paraId="1B10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516DEF53">
            <w:pPr>
              <w:jc w:val="center"/>
              <w:rPr>
                <w:rFonts w:hint="eastAsia" w:ascii="宋体" w:hAnsi="宋体" w:cs="宋体"/>
                <w:sz w:val="24"/>
                <w:highlight w:val="none"/>
              </w:rPr>
            </w:pPr>
          </w:p>
        </w:tc>
        <w:tc>
          <w:tcPr>
            <w:tcW w:w="2268" w:type="dxa"/>
            <w:noWrap w:val="0"/>
            <w:vAlign w:val="center"/>
          </w:tcPr>
          <w:p w14:paraId="1F29BABD">
            <w:pPr>
              <w:jc w:val="center"/>
              <w:rPr>
                <w:rFonts w:hint="eastAsia" w:ascii="宋体" w:hAnsi="宋体" w:cs="宋体"/>
                <w:sz w:val="24"/>
                <w:highlight w:val="none"/>
              </w:rPr>
            </w:pPr>
          </w:p>
        </w:tc>
        <w:tc>
          <w:tcPr>
            <w:tcW w:w="1134" w:type="dxa"/>
            <w:noWrap w:val="0"/>
            <w:vAlign w:val="center"/>
          </w:tcPr>
          <w:p w14:paraId="76E74FBC">
            <w:pPr>
              <w:jc w:val="center"/>
              <w:rPr>
                <w:rFonts w:hint="eastAsia" w:ascii="宋体" w:hAnsi="宋体" w:cs="宋体"/>
                <w:sz w:val="24"/>
                <w:highlight w:val="none"/>
              </w:rPr>
            </w:pPr>
          </w:p>
        </w:tc>
        <w:tc>
          <w:tcPr>
            <w:tcW w:w="992" w:type="dxa"/>
            <w:noWrap w:val="0"/>
            <w:vAlign w:val="center"/>
          </w:tcPr>
          <w:p w14:paraId="2C4AC8CE">
            <w:pPr>
              <w:jc w:val="center"/>
              <w:rPr>
                <w:rFonts w:hint="eastAsia" w:ascii="宋体" w:hAnsi="宋体" w:cs="宋体"/>
                <w:sz w:val="24"/>
                <w:highlight w:val="none"/>
              </w:rPr>
            </w:pPr>
          </w:p>
        </w:tc>
        <w:tc>
          <w:tcPr>
            <w:tcW w:w="1417" w:type="dxa"/>
            <w:noWrap w:val="0"/>
            <w:vAlign w:val="center"/>
          </w:tcPr>
          <w:p w14:paraId="7083C573">
            <w:pPr>
              <w:jc w:val="center"/>
              <w:rPr>
                <w:rFonts w:hint="eastAsia" w:ascii="宋体" w:hAnsi="宋体" w:cs="宋体"/>
                <w:sz w:val="24"/>
                <w:highlight w:val="none"/>
              </w:rPr>
            </w:pPr>
          </w:p>
        </w:tc>
        <w:tc>
          <w:tcPr>
            <w:tcW w:w="1560" w:type="dxa"/>
            <w:noWrap w:val="0"/>
            <w:vAlign w:val="center"/>
          </w:tcPr>
          <w:p w14:paraId="7CC1BF67">
            <w:pPr>
              <w:jc w:val="center"/>
              <w:rPr>
                <w:rFonts w:hint="eastAsia" w:ascii="宋体" w:hAnsi="宋体" w:cs="宋体"/>
                <w:sz w:val="24"/>
                <w:highlight w:val="none"/>
              </w:rPr>
            </w:pPr>
          </w:p>
        </w:tc>
        <w:tc>
          <w:tcPr>
            <w:tcW w:w="1328" w:type="dxa"/>
            <w:noWrap w:val="0"/>
            <w:vAlign w:val="center"/>
          </w:tcPr>
          <w:p w14:paraId="28F1A074">
            <w:pPr>
              <w:jc w:val="center"/>
              <w:rPr>
                <w:rFonts w:hint="eastAsia" w:ascii="宋体" w:hAnsi="宋体" w:cs="宋体"/>
                <w:sz w:val="24"/>
                <w:highlight w:val="none"/>
              </w:rPr>
            </w:pPr>
          </w:p>
        </w:tc>
      </w:tr>
    </w:tbl>
    <w:p w14:paraId="402A749B">
      <w:pPr>
        <w:spacing w:line="620" w:lineRule="exact"/>
        <w:ind w:left="1625" w:leftChars="200" w:hanging="1205" w:hangingChars="500"/>
        <w:rPr>
          <w:rFonts w:hint="eastAsia" w:ascii="宋体" w:hAnsi="宋体" w:cs="宋体"/>
          <w:b/>
          <w:sz w:val="24"/>
          <w:szCs w:val="20"/>
          <w:highlight w:val="none"/>
        </w:rPr>
      </w:pPr>
      <w:r>
        <w:rPr>
          <w:rFonts w:hint="eastAsia" w:ascii="宋体" w:hAnsi="宋体" w:cs="宋体"/>
          <w:b/>
          <w:sz w:val="24"/>
          <w:szCs w:val="20"/>
          <w:highlight w:val="none"/>
        </w:rPr>
        <w:t>备注：1、请填写正确的品牌、型号、产地，以铭牌为准；</w:t>
      </w:r>
    </w:p>
    <w:p w14:paraId="10BE063F">
      <w:pPr>
        <w:spacing w:line="620" w:lineRule="exact"/>
        <w:ind w:left="1379" w:leftChars="542" w:hanging="241" w:hangingChars="100"/>
        <w:rPr>
          <w:rFonts w:hint="eastAsia" w:ascii="宋体" w:hAnsi="宋体" w:cs="宋体"/>
          <w:b/>
          <w:sz w:val="24"/>
          <w:szCs w:val="20"/>
          <w:highlight w:val="none"/>
        </w:rPr>
      </w:pPr>
      <w:r>
        <w:rPr>
          <w:rFonts w:hint="eastAsia" w:ascii="宋体" w:hAnsi="宋体" w:cs="宋体"/>
          <w:b/>
          <w:sz w:val="24"/>
          <w:szCs w:val="20"/>
          <w:highlight w:val="none"/>
        </w:rPr>
        <w:t>2、所投产品若有注册证，开标一览表中规格或型号、产地等信息若与注册证不一致，以投标产品注册证信息为准。</w:t>
      </w:r>
    </w:p>
    <w:p w14:paraId="2DE41B8F">
      <w:pPr>
        <w:spacing w:line="620" w:lineRule="exact"/>
        <w:ind w:left="420"/>
        <w:rPr>
          <w:rFonts w:hint="eastAsia" w:ascii="宋体" w:hAnsi="宋体" w:cs="宋体"/>
          <w:sz w:val="24"/>
          <w:szCs w:val="20"/>
          <w:highlight w:val="none"/>
          <w:u w:val="single"/>
        </w:rPr>
      </w:pPr>
      <w:r>
        <w:rPr>
          <w:rFonts w:hint="eastAsia" w:ascii="宋体" w:hAnsi="宋体" w:cs="宋体"/>
          <w:sz w:val="24"/>
          <w:szCs w:val="20"/>
          <w:highlight w:val="none"/>
          <w:lang w:eastAsia="zh-CN"/>
        </w:rPr>
        <w:t>供应商</w:t>
      </w:r>
      <w:r>
        <w:rPr>
          <w:rFonts w:hint="eastAsia" w:ascii="宋体" w:hAnsi="宋体" w:cs="宋体"/>
          <w:sz w:val="24"/>
          <w:szCs w:val="20"/>
          <w:highlight w:val="none"/>
        </w:rPr>
        <w:t>：</w:t>
      </w:r>
      <w:r>
        <w:rPr>
          <w:rFonts w:hint="eastAsia" w:ascii="宋体" w:hAnsi="宋体" w:cs="宋体"/>
          <w:sz w:val="24"/>
          <w:szCs w:val="20"/>
          <w:highlight w:val="none"/>
          <w:u w:val="single"/>
        </w:rPr>
        <w:t>（</w:t>
      </w:r>
      <w:r>
        <w:rPr>
          <w:rFonts w:hint="eastAsia" w:ascii="宋体" w:hAnsi="宋体" w:cs="宋体"/>
          <w:sz w:val="24"/>
          <w:szCs w:val="20"/>
          <w:highlight w:val="none"/>
          <w:u w:val="single"/>
          <w:lang w:eastAsia="zh-CN"/>
        </w:rPr>
        <w:t>盖单位电子章</w:t>
      </w:r>
      <w:r>
        <w:rPr>
          <w:rFonts w:hint="eastAsia" w:ascii="宋体" w:hAnsi="宋体" w:cs="宋体"/>
          <w:sz w:val="24"/>
          <w:szCs w:val="20"/>
          <w:highlight w:val="none"/>
          <w:u w:val="single"/>
        </w:rPr>
        <w:t xml:space="preserve">）          </w:t>
      </w:r>
    </w:p>
    <w:p w14:paraId="47853C50">
      <w:pPr>
        <w:spacing w:line="620" w:lineRule="exact"/>
        <w:ind w:left="420"/>
        <w:rPr>
          <w:rFonts w:hint="eastAsia" w:ascii="宋体" w:hAnsi="宋体" w:cs="宋体"/>
          <w:sz w:val="24"/>
          <w:szCs w:val="20"/>
          <w:highlight w:val="none"/>
          <w:u w:val="single"/>
        </w:rPr>
      </w:pPr>
      <w:r>
        <w:rPr>
          <w:rFonts w:hint="eastAsia" w:ascii="宋体" w:hAnsi="宋体" w:cs="宋体"/>
          <w:sz w:val="24"/>
          <w:szCs w:val="20"/>
          <w:highlight w:val="none"/>
        </w:rPr>
        <w:t>法定代表人或其委托代理人：</w:t>
      </w:r>
      <w:r>
        <w:rPr>
          <w:rFonts w:hint="eastAsia" w:ascii="宋体" w:hAnsi="宋体" w:cs="宋体"/>
          <w:sz w:val="24"/>
          <w:szCs w:val="20"/>
          <w:highlight w:val="none"/>
          <w:u w:val="single"/>
        </w:rPr>
        <w:t>（签字或盖</w:t>
      </w:r>
      <w:r>
        <w:rPr>
          <w:rFonts w:hint="eastAsia" w:ascii="宋体" w:hAnsi="宋体" w:cs="宋体"/>
          <w:sz w:val="24"/>
          <w:szCs w:val="20"/>
          <w:highlight w:val="none"/>
          <w:u w:val="single"/>
          <w:lang w:val="en-US" w:eastAsia="zh-CN"/>
        </w:rPr>
        <w:t>电子</w:t>
      </w:r>
      <w:r>
        <w:rPr>
          <w:rFonts w:hint="eastAsia" w:ascii="宋体" w:hAnsi="宋体" w:cs="宋体"/>
          <w:sz w:val="24"/>
          <w:szCs w:val="20"/>
          <w:highlight w:val="none"/>
          <w:u w:val="single"/>
        </w:rPr>
        <w:t xml:space="preserve">章）            </w:t>
      </w:r>
    </w:p>
    <w:p w14:paraId="55CCD951">
      <w:pPr>
        <w:spacing w:line="620" w:lineRule="exact"/>
        <w:ind w:left="420"/>
        <w:rPr>
          <w:rFonts w:hint="eastAsia" w:ascii="宋体" w:hAnsi="宋体" w:cs="宋体"/>
          <w:sz w:val="24"/>
          <w:szCs w:val="20"/>
          <w:highlight w:val="none"/>
        </w:rPr>
      </w:pPr>
      <w:r>
        <w:rPr>
          <w:rFonts w:hint="eastAsia" w:ascii="宋体" w:hAnsi="宋体" w:cs="宋体"/>
          <w:sz w:val="24"/>
          <w:szCs w:val="20"/>
          <w:highlight w:val="none"/>
        </w:rPr>
        <w:t>日期：</w:t>
      </w:r>
      <w:r>
        <w:rPr>
          <w:rFonts w:hint="eastAsia" w:ascii="宋体" w:hAnsi="宋体" w:cs="宋体"/>
          <w:sz w:val="24"/>
          <w:szCs w:val="20"/>
          <w:highlight w:val="none"/>
          <w:u w:val="single"/>
        </w:rPr>
        <w:tab/>
      </w:r>
      <w:r>
        <w:rPr>
          <w:rFonts w:hint="eastAsia" w:ascii="宋体" w:hAnsi="宋体" w:cs="宋体"/>
          <w:sz w:val="24"/>
          <w:szCs w:val="20"/>
          <w:highlight w:val="none"/>
          <w:u w:val="single"/>
        </w:rPr>
        <w:t xml:space="preserve">    </w:t>
      </w:r>
      <w:r>
        <w:rPr>
          <w:rFonts w:hint="eastAsia" w:ascii="宋体" w:hAnsi="宋体" w:cs="宋体"/>
          <w:sz w:val="24"/>
          <w:szCs w:val="20"/>
          <w:highlight w:val="none"/>
        </w:rPr>
        <w:t>年</w:t>
      </w:r>
      <w:r>
        <w:rPr>
          <w:rFonts w:hint="eastAsia" w:ascii="宋体" w:hAnsi="宋体" w:cs="宋体"/>
          <w:sz w:val="24"/>
          <w:szCs w:val="20"/>
          <w:highlight w:val="none"/>
          <w:u w:val="single"/>
        </w:rPr>
        <w:tab/>
      </w:r>
      <w:r>
        <w:rPr>
          <w:rFonts w:hint="eastAsia" w:ascii="宋体" w:hAnsi="宋体" w:cs="宋体"/>
          <w:sz w:val="24"/>
          <w:szCs w:val="20"/>
          <w:highlight w:val="none"/>
          <w:u w:val="single"/>
        </w:rPr>
        <w:t xml:space="preserve">  </w:t>
      </w:r>
      <w:r>
        <w:rPr>
          <w:rFonts w:hint="eastAsia" w:ascii="宋体" w:hAnsi="宋体" w:cs="宋体"/>
          <w:sz w:val="24"/>
          <w:szCs w:val="20"/>
          <w:highlight w:val="none"/>
        </w:rPr>
        <w:t>月</w:t>
      </w:r>
      <w:r>
        <w:rPr>
          <w:rFonts w:hint="eastAsia" w:ascii="宋体" w:hAnsi="宋体" w:cs="宋体"/>
          <w:sz w:val="24"/>
          <w:szCs w:val="20"/>
          <w:highlight w:val="none"/>
          <w:u w:val="single"/>
        </w:rPr>
        <w:t xml:space="preserve">   </w:t>
      </w:r>
      <w:r>
        <w:rPr>
          <w:rFonts w:hint="eastAsia" w:ascii="宋体" w:hAnsi="宋体" w:cs="宋体"/>
          <w:sz w:val="24"/>
          <w:szCs w:val="20"/>
          <w:highlight w:val="none"/>
        </w:rPr>
        <w:t>日</w:t>
      </w:r>
    </w:p>
    <w:p w14:paraId="213C2E08">
      <w:pPr>
        <w:adjustRightInd w:val="0"/>
        <w:ind w:left="420" w:right="240"/>
        <w:jc w:val="right"/>
        <w:textAlignment w:val="baseline"/>
        <w:rPr>
          <w:rFonts w:hint="eastAsia" w:ascii="宋体" w:hAnsi="宋体" w:cs="宋体"/>
          <w:kern w:val="0"/>
          <w:sz w:val="24"/>
          <w:szCs w:val="20"/>
          <w:highlight w:val="none"/>
        </w:rPr>
      </w:pPr>
    </w:p>
    <w:p w14:paraId="33F81600">
      <w:pPr>
        <w:rPr>
          <w:rFonts w:hint="eastAsia" w:ascii="宋体" w:hAnsi="宋体" w:cs="宋体"/>
          <w:kern w:val="0"/>
          <w:sz w:val="24"/>
          <w:szCs w:val="20"/>
          <w:highlight w:val="none"/>
        </w:rPr>
      </w:pPr>
      <w:r>
        <w:rPr>
          <w:rFonts w:hint="eastAsia" w:ascii="宋体" w:hAnsi="宋体" w:cs="宋体"/>
          <w:kern w:val="0"/>
          <w:sz w:val="24"/>
          <w:szCs w:val="20"/>
          <w:highlight w:val="none"/>
        </w:rPr>
        <w:br w:type="page"/>
      </w:r>
    </w:p>
    <w:p w14:paraId="50E61B5F">
      <w:pPr>
        <w:adjustRightInd w:val="0"/>
        <w:snapToGrid w:val="0"/>
        <w:spacing w:line="360" w:lineRule="auto"/>
        <w:ind w:right="420"/>
        <w:jc w:val="center"/>
        <w:rPr>
          <w:rFonts w:hint="default" w:ascii="宋体" w:hAnsi="宋体" w:eastAsia="宋体" w:cs="宋体"/>
          <w:b/>
          <w:bCs/>
          <w:color w:val="auto"/>
          <w:sz w:val="32"/>
          <w:szCs w:val="32"/>
          <w:highlight w:val="none"/>
          <w:lang w:val="en-US" w:eastAsia="zh-CN"/>
        </w:rPr>
      </w:pPr>
      <w:r>
        <w:rPr>
          <w:rFonts w:hint="eastAsia" w:ascii="宋体" w:hAnsi="宋体" w:cs="宋体"/>
          <w:b/>
          <w:sz w:val="32"/>
          <w:szCs w:val="32"/>
          <w:highlight w:val="none"/>
        </w:rPr>
        <w:t>3.3</w:t>
      </w:r>
      <w:r>
        <w:rPr>
          <w:rFonts w:hint="eastAsia" w:ascii="宋体" w:hAnsi="宋体" w:eastAsia="宋体" w:cs="宋体"/>
          <w:b/>
          <w:bCs/>
          <w:color w:val="auto"/>
          <w:sz w:val="32"/>
          <w:szCs w:val="32"/>
          <w:highlight w:val="none"/>
          <w:lang w:val="en-US" w:eastAsia="zh-CN"/>
        </w:rPr>
        <w:t>专用耗材、易损件报价及承诺函</w:t>
      </w:r>
    </w:p>
    <w:tbl>
      <w:tblPr>
        <w:tblStyle w:val="82"/>
        <w:tblpPr w:leftFromText="180" w:rightFromText="180" w:vertAnchor="page" w:horzAnchor="page" w:tblpX="1150" w:tblpY="2737"/>
        <w:tblW w:w="99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5"/>
        <w:gridCol w:w="710"/>
        <w:gridCol w:w="532"/>
        <w:gridCol w:w="665"/>
        <w:gridCol w:w="496"/>
        <w:gridCol w:w="771"/>
        <w:gridCol w:w="540"/>
        <w:gridCol w:w="551"/>
        <w:gridCol w:w="772"/>
        <w:gridCol w:w="575"/>
        <w:gridCol w:w="1226"/>
        <w:gridCol w:w="594"/>
        <w:gridCol w:w="927"/>
        <w:gridCol w:w="734"/>
      </w:tblGrid>
      <w:tr w14:paraId="38E51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59" w:hRule="atLeast"/>
        </w:trPr>
        <w:tc>
          <w:tcPr>
            <w:tcW w:w="885" w:type="dxa"/>
            <w:noWrap w:val="0"/>
            <w:vAlign w:val="center"/>
          </w:tcPr>
          <w:p w14:paraId="79FEB5A7">
            <w:pPr>
              <w:ind w:right="-153" w:rightChars="-73"/>
              <w:jc w:val="center"/>
              <w:rPr>
                <w:rFonts w:ascii="宋体" w:hAnsi="宋体"/>
                <w:color w:val="auto"/>
                <w:kern w:val="0"/>
                <w:szCs w:val="21"/>
                <w:highlight w:val="none"/>
              </w:rPr>
            </w:pPr>
            <w:r>
              <w:rPr>
                <w:rFonts w:hint="eastAsia" w:ascii="宋体" w:hAnsi="宋体"/>
                <w:color w:val="auto"/>
                <w:kern w:val="0"/>
                <w:szCs w:val="21"/>
                <w:highlight w:val="none"/>
              </w:rPr>
              <w:t>序号</w:t>
            </w:r>
          </w:p>
        </w:tc>
        <w:tc>
          <w:tcPr>
            <w:tcW w:w="710" w:type="dxa"/>
            <w:noWrap w:val="0"/>
            <w:vAlign w:val="center"/>
          </w:tcPr>
          <w:p w14:paraId="091701AF">
            <w:pPr>
              <w:jc w:val="center"/>
              <w:rPr>
                <w:rFonts w:ascii="宋体" w:hAnsi="宋体"/>
                <w:color w:val="auto"/>
                <w:szCs w:val="21"/>
                <w:highlight w:val="none"/>
              </w:rPr>
            </w:pPr>
            <w:r>
              <w:rPr>
                <w:rFonts w:hint="eastAsia" w:ascii="宋体" w:hAnsi="宋体"/>
                <w:color w:val="auto"/>
                <w:szCs w:val="21"/>
                <w:highlight w:val="none"/>
              </w:rPr>
              <w:t>投标产品注册证名称</w:t>
            </w:r>
          </w:p>
        </w:tc>
        <w:tc>
          <w:tcPr>
            <w:tcW w:w="532" w:type="dxa"/>
            <w:noWrap w:val="0"/>
            <w:vAlign w:val="center"/>
          </w:tcPr>
          <w:p w14:paraId="501A7A17">
            <w:pPr>
              <w:jc w:val="center"/>
              <w:rPr>
                <w:rFonts w:ascii="宋体" w:hAnsi="宋体" w:cs="宋体"/>
                <w:color w:val="auto"/>
                <w:szCs w:val="21"/>
                <w:highlight w:val="none"/>
              </w:rPr>
            </w:pPr>
            <w:r>
              <w:rPr>
                <w:rFonts w:hint="eastAsia" w:ascii="宋体" w:hAnsi="宋体"/>
                <w:color w:val="auto"/>
                <w:szCs w:val="21"/>
                <w:highlight w:val="none"/>
              </w:rPr>
              <w:t>品牌</w:t>
            </w:r>
          </w:p>
        </w:tc>
        <w:tc>
          <w:tcPr>
            <w:tcW w:w="665" w:type="dxa"/>
            <w:noWrap w:val="0"/>
            <w:vAlign w:val="center"/>
          </w:tcPr>
          <w:p w14:paraId="0A863451">
            <w:pPr>
              <w:jc w:val="center"/>
              <w:rPr>
                <w:rFonts w:ascii="宋体" w:hAnsi="宋体" w:cs="宋体"/>
                <w:color w:val="auto"/>
                <w:szCs w:val="21"/>
                <w:highlight w:val="none"/>
              </w:rPr>
            </w:pPr>
            <w:r>
              <w:rPr>
                <w:rFonts w:hint="eastAsia" w:ascii="宋体" w:hAnsi="宋体"/>
                <w:color w:val="auto"/>
                <w:szCs w:val="21"/>
                <w:highlight w:val="none"/>
              </w:rPr>
              <w:t>规格型号</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按注册证规格型号填写</w:t>
            </w:r>
            <w:r>
              <w:rPr>
                <w:rFonts w:hint="eastAsia" w:ascii="宋体" w:hAnsi="宋体" w:cs="宋体"/>
                <w:color w:val="auto"/>
                <w:kern w:val="0"/>
                <w:szCs w:val="21"/>
                <w:highlight w:val="none"/>
                <w:lang w:eastAsia="zh-CN"/>
              </w:rPr>
              <w:t>）</w:t>
            </w:r>
          </w:p>
        </w:tc>
        <w:tc>
          <w:tcPr>
            <w:tcW w:w="496" w:type="dxa"/>
            <w:noWrap w:val="0"/>
            <w:vAlign w:val="center"/>
          </w:tcPr>
          <w:p w14:paraId="7A404835">
            <w:pPr>
              <w:jc w:val="center"/>
              <w:rPr>
                <w:rFonts w:ascii="宋体" w:hAnsi="宋体"/>
                <w:color w:val="auto"/>
                <w:szCs w:val="21"/>
                <w:highlight w:val="none"/>
              </w:rPr>
            </w:pPr>
            <w:r>
              <w:rPr>
                <w:rFonts w:hint="eastAsia" w:ascii="宋体" w:hAnsi="宋体"/>
                <w:color w:val="auto"/>
                <w:szCs w:val="21"/>
                <w:highlight w:val="none"/>
              </w:rPr>
              <w:t>计价</w:t>
            </w:r>
          </w:p>
          <w:p w14:paraId="2AABAADB">
            <w:pPr>
              <w:spacing w:line="360" w:lineRule="auto"/>
              <w:jc w:val="center"/>
              <w:rPr>
                <w:rFonts w:ascii="宋体" w:hAnsi="宋体" w:cs="宋体"/>
                <w:color w:val="auto"/>
                <w:szCs w:val="21"/>
                <w:highlight w:val="none"/>
              </w:rPr>
            </w:pPr>
            <w:r>
              <w:rPr>
                <w:rFonts w:hint="eastAsia" w:ascii="宋体" w:hAnsi="宋体"/>
                <w:color w:val="auto"/>
                <w:szCs w:val="21"/>
                <w:highlight w:val="none"/>
              </w:rPr>
              <w:t>单位</w:t>
            </w:r>
          </w:p>
        </w:tc>
        <w:tc>
          <w:tcPr>
            <w:tcW w:w="771" w:type="dxa"/>
            <w:noWrap w:val="0"/>
            <w:vAlign w:val="center"/>
          </w:tcPr>
          <w:p w14:paraId="422C9A54">
            <w:pPr>
              <w:jc w:val="center"/>
              <w:rPr>
                <w:rFonts w:ascii="宋体" w:hAnsi="宋体"/>
                <w:color w:val="auto"/>
                <w:szCs w:val="21"/>
                <w:highlight w:val="none"/>
              </w:rPr>
            </w:pPr>
            <w:r>
              <w:rPr>
                <w:rFonts w:hint="eastAsia" w:ascii="宋体" w:hAnsi="宋体"/>
                <w:color w:val="auto"/>
                <w:szCs w:val="21"/>
                <w:highlight w:val="none"/>
              </w:rPr>
              <w:t>投标报价</w:t>
            </w:r>
          </w:p>
          <w:p w14:paraId="1A280272">
            <w:pPr>
              <w:spacing w:line="360" w:lineRule="auto"/>
              <w:jc w:val="center"/>
              <w:rPr>
                <w:rFonts w:ascii="宋体" w:hAnsi="宋体" w:cs="宋体"/>
                <w:color w:val="auto"/>
                <w:szCs w:val="21"/>
                <w:highlight w:val="none"/>
              </w:rPr>
            </w:pPr>
            <w:r>
              <w:rPr>
                <w:rFonts w:hint="eastAsia" w:ascii="宋体" w:hAnsi="宋体"/>
                <w:color w:val="auto"/>
                <w:szCs w:val="21"/>
                <w:highlight w:val="none"/>
              </w:rPr>
              <w:t>（元/单位）</w:t>
            </w:r>
          </w:p>
        </w:tc>
        <w:tc>
          <w:tcPr>
            <w:tcW w:w="540" w:type="dxa"/>
            <w:noWrap w:val="0"/>
            <w:vAlign w:val="center"/>
          </w:tcPr>
          <w:p w14:paraId="19A1EF4F">
            <w:pPr>
              <w:jc w:val="center"/>
              <w:rPr>
                <w:rFonts w:ascii="宋体" w:hAnsi="宋体" w:cs="宋体"/>
                <w:color w:val="auto"/>
                <w:szCs w:val="21"/>
                <w:highlight w:val="none"/>
              </w:rPr>
            </w:pPr>
            <w:r>
              <w:rPr>
                <w:rFonts w:hint="eastAsia" w:ascii="宋体" w:hAnsi="宋体"/>
                <w:color w:val="auto"/>
                <w:szCs w:val="21"/>
                <w:highlight w:val="none"/>
              </w:rPr>
              <w:t>产地</w:t>
            </w:r>
          </w:p>
        </w:tc>
        <w:tc>
          <w:tcPr>
            <w:tcW w:w="551" w:type="dxa"/>
            <w:noWrap w:val="0"/>
            <w:vAlign w:val="center"/>
          </w:tcPr>
          <w:p w14:paraId="088924BC">
            <w:pPr>
              <w:jc w:val="center"/>
              <w:rPr>
                <w:rFonts w:ascii="宋体" w:hAnsi="宋体" w:cs="宋体"/>
                <w:color w:val="auto"/>
                <w:szCs w:val="21"/>
                <w:highlight w:val="none"/>
              </w:rPr>
            </w:pPr>
            <w:r>
              <w:rPr>
                <w:rFonts w:hint="eastAsia" w:ascii="宋体" w:hAnsi="宋体" w:cs="宋体"/>
                <w:color w:val="auto"/>
                <w:szCs w:val="21"/>
                <w:highlight w:val="none"/>
              </w:rPr>
              <w:t>生产企业</w:t>
            </w:r>
          </w:p>
        </w:tc>
        <w:tc>
          <w:tcPr>
            <w:tcW w:w="772" w:type="dxa"/>
            <w:noWrap w:val="0"/>
            <w:vAlign w:val="center"/>
          </w:tcPr>
          <w:p w14:paraId="7840EF4A">
            <w:pPr>
              <w:jc w:val="center"/>
              <w:rPr>
                <w:rFonts w:ascii="宋体" w:hAnsi="宋体"/>
                <w:color w:val="auto"/>
                <w:szCs w:val="21"/>
                <w:highlight w:val="none"/>
              </w:rPr>
            </w:pPr>
            <w:r>
              <w:rPr>
                <w:rFonts w:hint="eastAsia" w:ascii="宋体" w:hAnsi="宋体"/>
                <w:color w:val="auto"/>
                <w:szCs w:val="21"/>
                <w:highlight w:val="none"/>
              </w:rPr>
              <w:t>注册证号</w:t>
            </w:r>
          </w:p>
        </w:tc>
        <w:tc>
          <w:tcPr>
            <w:tcW w:w="575" w:type="dxa"/>
            <w:noWrap w:val="0"/>
            <w:vAlign w:val="center"/>
          </w:tcPr>
          <w:p w14:paraId="6E966C30">
            <w:pPr>
              <w:jc w:val="center"/>
              <w:rPr>
                <w:rFonts w:ascii="宋体" w:hAnsi="宋体"/>
                <w:color w:val="auto"/>
                <w:szCs w:val="21"/>
                <w:highlight w:val="none"/>
              </w:rPr>
            </w:pPr>
            <w:r>
              <w:rPr>
                <w:rFonts w:hint="eastAsia" w:ascii="宋体" w:hAnsi="宋体"/>
                <w:color w:val="auto"/>
                <w:szCs w:val="21"/>
                <w:highlight w:val="none"/>
              </w:rPr>
              <w:t>注册证有效期</w:t>
            </w:r>
          </w:p>
        </w:tc>
        <w:tc>
          <w:tcPr>
            <w:tcW w:w="1226" w:type="dxa"/>
            <w:noWrap w:val="0"/>
            <w:vAlign w:val="center"/>
          </w:tcPr>
          <w:p w14:paraId="37FF8B71">
            <w:pPr>
              <w:jc w:val="center"/>
              <w:rPr>
                <w:rFonts w:ascii="Calibri" w:hAnsi="宋体"/>
                <w:color w:val="auto"/>
                <w:szCs w:val="21"/>
                <w:highlight w:val="none"/>
              </w:rPr>
            </w:pPr>
            <w:r>
              <w:rPr>
                <w:rFonts w:hint="eastAsia" w:ascii="Calibri" w:hAnsi="宋体"/>
                <w:color w:val="auto"/>
                <w:szCs w:val="21"/>
                <w:highlight w:val="none"/>
              </w:rPr>
              <w:t>收费</w:t>
            </w:r>
            <w:r>
              <w:rPr>
                <w:rFonts w:hint="eastAsia" w:ascii="Calibri" w:hAnsi="宋体"/>
                <w:color w:val="auto"/>
                <w:szCs w:val="21"/>
                <w:highlight w:val="none"/>
                <w:lang w:val="en-US" w:eastAsia="zh-CN"/>
              </w:rPr>
              <w:t>项目</w:t>
            </w:r>
            <w:r>
              <w:rPr>
                <w:rFonts w:hint="eastAsia" w:ascii="Calibri" w:hAnsi="宋体"/>
                <w:color w:val="auto"/>
                <w:szCs w:val="21"/>
                <w:highlight w:val="none"/>
              </w:rPr>
              <w:t xml:space="preserve">           编码</w:t>
            </w:r>
          </w:p>
        </w:tc>
        <w:tc>
          <w:tcPr>
            <w:tcW w:w="594" w:type="dxa"/>
            <w:noWrap w:val="0"/>
            <w:vAlign w:val="center"/>
          </w:tcPr>
          <w:p w14:paraId="5F068FD7">
            <w:pPr>
              <w:jc w:val="center"/>
              <w:rPr>
                <w:rFonts w:ascii="Calibri" w:hAnsi="宋体"/>
                <w:color w:val="auto"/>
                <w:szCs w:val="21"/>
                <w:highlight w:val="none"/>
              </w:rPr>
            </w:pPr>
            <w:r>
              <w:rPr>
                <w:rFonts w:hint="eastAsia" w:ascii="Calibri" w:hAnsi="宋体"/>
                <w:color w:val="auto"/>
                <w:szCs w:val="21"/>
                <w:highlight w:val="none"/>
              </w:rPr>
              <w:t>27位医保编码</w:t>
            </w:r>
          </w:p>
        </w:tc>
        <w:tc>
          <w:tcPr>
            <w:tcW w:w="927" w:type="dxa"/>
            <w:noWrap w:val="0"/>
            <w:vAlign w:val="center"/>
          </w:tcPr>
          <w:p w14:paraId="6A929FAE">
            <w:pPr>
              <w:jc w:val="center"/>
              <w:rPr>
                <w:rFonts w:ascii="Calibri" w:hAnsi="宋体"/>
                <w:color w:val="auto"/>
                <w:szCs w:val="21"/>
                <w:highlight w:val="none"/>
              </w:rPr>
            </w:pPr>
            <w:r>
              <w:rPr>
                <w:rFonts w:hint="eastAsia" w:ascii="Calibri" w:hAnsi="宋体"/>
                <w:color w:val="auto"/>
                <w:szCs w:val="21"/>
                <w:highlight w:val="none"/>
              </w:rPr>
              <w:t>是否在省标</w:t>
            </w:r>
          </w:p>
          <w:p w14:paraId="626C61E0">
            <w:pPr>
              <w:jc w:val="center"/>
              <w:rPr>
                <w:rFonts w:ascii="Calibri" w:hAnsi="宋体"/>
                <w:color w:val="auto"/>
                <w:szCs w:val="21"/>
                <w:highlight w:val="none"/>
              </w:rPr>
            </w:pPr>
            <w:r>
              <w:rPr>
                <w:rFonts w:hint="eastAsia" w:ascii="Calibri" w:hAnsi="宋体"/>
                <w:color w:val="auto"/>
                <w:szCs w:val="21"/>
                <w:highlight w:val="none"/>
              </w:rPr>
              <w:t>如在请备注编码</w:t>
            </w:r>
          </w:p>
        </w:tc>
        <w:tc>
          <w:tcPr>
            <w:tcW w:w="734" w:type="dxa"/>
            <w:noWrap w:val="0"/>
            <w:vAlign w:val="center"/>
          </w:tcPr>
          <w:p w14:paraId="7F580152">
            <w:pPr>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备注</w:t>
            </w:r>
          </w:p>
        </w:tc>
      </w:tr>
      <w:tr w14:paraId="031A5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978" w:type="dxa"/>
            <w:gridSpan w:val="14"/>
            <w:noWrap w:val="0"/>
            <w:vAlign w:val="center"/>
          </w:tcPr>
          <w:p w14:paraId="0FB8D1AC">
            <w:pPr>
              <w:ind w:right="-153" w:rightChars="-73"/>
              <w:jc w:val="center"/>
              <w:rPr>
                <w:rFonts w:ascii="宋体" w:hAnsi="宋体"/>
                <w:color w:val="auto"/>
                <w:kern w:val="0"/>
                <w:szCs w:val="21"/>
                <w:highlight w:val="none"/>
              </w:rPr>
            </w:pPr>
            <w:r>
              <w:rPr>
                <w:rFonts w:hint="eastAsia" w:ascii="宋体" w:hAnsi="宋体"/>
                <w:bCs/>
                <w:color w:val="auto"/>
                <w:kern w:val="0"/>
                <w:szCs w:val="21"/>
                <w:highlight w:val="none"/>
                <w:lang w:eastAsia="zh-CN"/>
              </w:rPr>
              <w:t>（</w:t>
            </w:r>
            <w:r>
              <w:rPr>
                <w:rFonts w:hint="eastAsia" w:ascii="宋体" w:hAnsi="宋体"/>
                <w:bCs/>
                <w:color w:val="auto"/>
                <w:kern w:val="0"/>
                <w:szCs w:val="21"/>
                <w:highlight w:val="none"/>
                <w:lang w:val="en-US" w:eastAsia="zh-CN"/>
              </w:rPr>
              <w:t>一</w:t>
            </w:r>
            <w:r>
              <w:rPr>
                <w:rFonts w:hint="eastAsia" w:ascii="宋体" w:hAnsi="宋体"/>
                <w:bCs/>
                <w:color w:val="auto"/>
                <w:kern w:val="0"/>
                <w:szCs w:val="21"/>
                <w:highlight w:val="none"/>
                <w:lang w:eastAsia="zh-CN"/>
              </w:rPr>
              <w:t>）</w:t>
            </w:r>
          </w:p>
        </w:tc>
      </w:tr>
      <w:tr w14:paraId="717E4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885" w:type="dxa"/>
            <w:noWrap w:val="0"/>
            <w:vAlign w:val="center"/>
          </w:tcPr>
          <w:p w14:paraId="1D75BC5A">
            <w:pPr>
              <w:spacing w:line="360" w:lineRule="auto"/>
              <w:ind w:right="-153" w:rightChars="-73"/>
              <w:jc w:val="center"/>
              <w:rPr>
                <w:rFonts w:ascii="宋体" w:hAnsi="宋体"/>
                <w:b/>
                <w:color w:val="auto"/>
                <w:kern w:val="0"/>
                <w:szCs w:val="21"/>
                <w:highlight w:val="none"/>
              </w:rPr>
            </w:pPr>
            <w:r>
              <w:rPr>
                <w:rFonts w:hint="eastAsia" w:ascii="宋体" w:hAnsi="宋体"/>
                <w:bCs/>
                <w:color w:val="auto"/>
                <w:kern w:val="0"/>
                <w:szCs w:val="21"/>
                <w:highlight w:val="none"/>
              </w:rPr>
              <w:t>1</w:t>
            </w:r>
          </w:p>
        </w:tc>
        <w:tc>
          <w:tcPr>
            <w:tcW w:w="710" w:type="dxa"/>
            <w:noWrap w:val="0"/>
            <w:vAlign w:val="center"/>
          </w:tcPr>
          <w:p w14:paraId="5D3FAA02">
            <w:pPr>
              <w:spacing w:line="360" w:lineRule="auto"/>
              <w:jc w:val="both"/>
              <w:rPr>
                <w:rFonts w:ascii="宋体" w:hAnsi="宋体" w:cs="宋体"/>
                <w:color w:val="auto"/>
                <w:szCs w:val="21"/>
                <w:highlight w:val="none"/>
              </w:rPr>
            </w:pPr>
          </w:p>
        </w:tc>
        <w:tc>
          <w:tcPr>
            <w:tcW w:w="532" w:type="dxa"/>
            <w:noWrap w:val="0"/>
            <w:vAlign w:val="center"/>
          </w:tcPr>
          <w:p w14:paraId="37A37B9C">
            <w:pPr>
              <w:spacing w:line="360" w:lineRule="auto"/>
              <w:jc w:val="both"/>
              <w:rPr>
                <w:rFonts w:ascii="宋体" w:hAnsi="宋体" w:cs="宋体"/>
                <w:color w:val="auto"/>
                <w:szCs w:val="21"/>
                <w:highlight w:val="none"/>
              </w:rPr>
            </w:pPr>
          </w:p>
        </w:tc>
        <w:tc>
          <w:tcPr>
            <w:tcW w:w="665" w:type="dxa"/>
            <w:noWrap w:val="0"/>
            <w:vAlign w:val="center"/>
          </w:tcPr>
          <w:p w14:paraId="36149901">
            <w:pPr>
              <w:spacing w:line="360" w:lineRule="auto"/>
              <w:jc w:val="center"/>
              <w:rPr>
                <w:rFonts w:hint="eastAsia" w:ascii="宋体" w:hAnsi="宋体" w:eastAsia="宋体" w:cs="宋体"/>
                <w:color w:val="auto"/>
                <w:szCs w:val="21"/>
                <w:highlight w:val="none"/>
                <w:lang w:eastAsia="zh-CN"/>
              </w:rPr>
            </w:pPr>
          </w:p>
        </w:tc>
        <w:tc>
          <w:tcPr>
            <w:tcW w:w="496" w:type="dxa"/>
            <w:noWrap w:val="0"/>
            <w:vAlign w:val="center"/>
          </w:tcPr>
          <w:p w14:paraId="7B1F7518">
            <w:pPr>
              <w:spacing w:line="360" w:lineRule="auto"/>
              <w:jc w:val="center"/>
              <w:rPr>
                <w:rFonts w:ascii="宋体" w:hAnsi="宋体" w:cs="宋体"/>
                <w:color w:val="auto"/>
                <w:szCs w:val="21"/>
                <w:highlight w:val="none"/>
              </w:rPr>
            </w:pPr>
          </w:p>
        </w:tc>
        <w:tc>
          <w:tcPr>
            <w:tcW w:w="771" w:type="dxa"/>
            <w:noWrap w:val="0"/>
            <w:vAlign w:val="center"/>
          </w:tcPr>
          <w:p w14:paraId="61BEEF61">
            <w:pPr>
              <w:spacing w:line="360" w:lineRule="auto"/>
              <w:jc w:val="center"/>
              <w:rPr>
                <w:rFonts w:ascii="宋体" w:hAnsi="宋体" w:cs="宋体"/>
                <w:color w:val="auto"/>
                <w:szCs w:val="21"/>
                <w:highlight w:val="none"/>
              </w:rPr>
            </w:pPr>
          </w:p>
        </w:tc>
        <w:tc>
          <w:tcPr>
            <w:tcW w:w="540" w:type="dxa"/>
            <w:noWrap w:val="0"/>
            <w:vAlign w:val="center"/>
          </w:tcPr>
          <w:p w14:paraId="1A146D93">
            <w:pPr>
              <w:spacing w:line="360" w:lineRule="auto"/>
              <w:jc w:val="center"/>
              <w:rPr>
                <w:rFonts w:ascii="宋体" w:hAnsi="宋体" w:cs="宋体"/>
                <w:color w:val="auto"/>
                <w:szCs w:val="21"/>
                <w:highlight w:val="none"/>
              </w:rPr>
            </w:pPr>
          </w:p>
        </w:tc>
        <w:tc>
          <w:tcPr>
            <w:tcW w:w="551" w:type="dxa"/>
            <w:noWrap w:val="0"/>
            <w:vAlign w:val="center"/>
          </w:tcPr>
          <w:p w14:paraId="5A391301">
            <w:pPr>
              <w:spacing w:line="360" w:lineRule="auto"/>
              <w:jc w:val="center"/>
              <w:rPr>
                <w:rFonts w:ascii="宋体" w:hAnsi="宋体" w:cs="宋体"/>
                <w:color w:val="auto"/>
                <w:szCs w:val="21"/>
                <w:highlight w:val="none"/>
              </w:rPr>
            </w:pPr>
          </w:p>
        </w:tc>
        <w:tc>
          <w:tcPr>
            <w:tcW w:w="772" w:type="dxa"/>
            <w:noWrap w:val="0"/>
            <w:vAlign w:val="center"/>
          </w:tcPr>
          <w:p w14:paraId="10540A30">
            <w:pPr>
              <w:spacing w:line="360" w:lineRule="auto"/>
              <w:jc w:val="center"/>
              <w:rPr>
                <w:rFonts w:ascii="宋体" w:hAnsi="宋体" w:cs="宋体"/>
                <w:color w:val="auto"/>
                <w:szCs w:val="21"/>
                <w:highlight w:val="none"/>
              </w:rPr>
            </w:pPr>
          </w:p>
        </w:tc>
        <w:tc>
          <w:tcPr>
            <w:tcW w:w="575" w:type="dxa"/>
            <w:noWrap w:val="0"/>
            <w:vAlign w:val="center"/>
          </w:tcPr>
          <w:p w14:paraId="45D0982D">
            <w:pPr>
              <w:ind w:right="-153" w:rightChars="-73"/>
              <w:jc w:val="center"/>
              <w:rPr>
                <w:rFonts w:ascii="宋体" w:hAnsi="宋体"/>
                <w:b/>
                <w:color w:val="auto"/>
                <w:kern w:val="0"/>
                <w:szCs w:val="21"/>
                <w:highlight w:val="none"/>
              </w:rPr>
            </w:pPr>
          </w:p>
        </w:tc>
        <w:tc>
          <w:tcPr>
            <w:tcW w:w="1226" w:type="dxa"/>
            <w:noWrap w:val="0"/>
            <w:vAlign w:val="center"/>
          </w:tcPr>
          <w:p w14:paraId="521756E5">
            <w:pPr>
              <w:jc w:val="center"/>
              <w:rPr>
                <w:rFonts w:ascii="Calibri" w:hAnsi="Calibri"/>
                <w:color w:val="auto"/>
                <w:szCs w:val="21"/>
                <w:highlight w:val="none"/>
              </w:rPr>
            </w:pPr>
          </w:p>
        </w:tc>
        <w:tc>
          <w:tcPr>
            <w:tcW w:w="594" w:type="dxa"/>
            <w:noWrap w:val="0"/>
            <w:vAlign w:val="center"/>
          </w:tcPr>
          <w:p w14:paraId="26A50AD9">
            <w:pPr>
              <w:jc w:val="center"/>
              <w:rPr>
                <w:rFonts w:ascii="Calibri" w:hAnsi="Calibri"/>
                <w:color w:val="auto"/>
                <w:szCs w:val="21"/>
                <w:highlight w:val="none"/>
              </w:rPr>
            </w:pPr>
          </w:p>
        </w:tc>
        <w:tc>
          <w:tcPr>
            <w:tcW w:w="927" w:type="dxa"/>
            <w:noWrap w:val="0"/>
            <w:vAlign w:val="center"/>
          </w:tcPr>
          <w:p w14:paraId="37D959E6">
            <w:pPr>
              <w:jc w:val="center"/>
              <w:rPr>
                <w:rFonts w:ascii="Calibri" w:hAnsi="Calibri"/>
                <w:color w:val="auto"/>
                <w:szCs w:val="21"/>
                <w:highlight w:val="none"/>
              </w:rPr>
            </w:pPr>
          </w:p>
        </w:tc>
        <w:tc>
          <w:tcPr>
            <w:tcW w:w="734" w:type="dxa"/>
            <w:noWrap w:val="0"/>
            <w:vAlign w:val="center"/>
          </w:tcPr>
          <w:p w14:paraId="260A644A">
            <w:pPr>
              <w:ind w:right="-153" w:rightChars="-73"/>
              <w:jc w:val="center"/>
              <w:rPr>
                <w:rFonts w:ascii="宋体" w:hAnsi="宋体"/>
                <w:color w:val="auto"/>
                <w:kern w:val="0"/>
                <w:szCs w:val="21"/>
                <w:highlight w:val="none"/>
              </w:rPr>
            </w:pPr>
          </w:p>
        </w:tc>
      </w:tr>
      <w:tr w14:paraId="29BBC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885" w:type="dxa"/>
            <w:noWrap w:val="0"/>
            <w:vAlign w:val="center"/>
          </w:tcPr>
          <w:p w14:paraId="56B79ABA">
            <w:pPr>
              <w:spacing w:line="360" w:lineRule="auto"/>
              <w:ind w:right="-153" w:rightChars="-73"/>
              <w:jc w:val="center"/>
              <w:rPr>
                <w:rFonts w:hint="eastAsia"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2</w:t>
            </w:r>
          </w:p>
        </w:tc>
        <w:tc>
          <w:tcPr>
            <w:tcW w:w="710" w:type="dxa"/>
            <w:noWrap w:val="0"/>
            <w:vAlign w:val="center"/>
          </w:tcPr>
          <w:p w14:paraId="001D5532">
            <w:pPr>
              <w:spacing w:line="360" w:lineRule="auto"/>
              <w:jc w:val="both"/>
              <w:rPr>
                <w:rFonts w:ascii="宋体" w:hAnsi="宋体" w:cs="宋体"/>
                <w:color w:val="auto"/>
                <w:szCs w:val="21"/>
                <w:highlight w:val="none"/>
              </w:rPr>
            </w:pPr>
          </w:p>
        </w:tc>
        <w:tc>
          <w:tcPr>
            <w:tcW w:w="532" w:type="dxa"/>
            <w:noWrap w:val="0"/>
            <w:vAlign w:val="center"/>
          </w:tcPr>
          <w:p w14:paraId="7A5A0289">
            <w:pPr>
              <w:spacing w:line="360" w:lineRule="auto"/>
              <w:jc w:val="both"/>
              <w:rPr>
                <w:rFonts w:ascii="宋体" w:hAnsi="宋体" w:cs="宋体"/>
                <w:color w:val="auto"/>
                <w:szCs w:val="21"/>
                <w:highlight w:val="none"/>
              </w:rPr>
            </w:pPr>
          </w:p>
        </w:tc>
        <w:tc>
          <w:tcPr>
            <w:tcW w:w="665" w:type="dxa"/>
            <w:noWrap w:val="0"/>
            <w:vAlign w:val="center"/>
          </w:tcPr>
          <w:p w14:paraId="54990E1F">
            <w:pPr>
              <w:spacing w:line="360" w:lineRule="auto"/>
              <w:jc w:val="center"/>
              <w:rPr>
                <w:rFonts w:hint="eastAsia" w:ascii="宋体" w:hAnsi="宋体" w:eastAsia="宋体" w:cs="宋体"/>
                <w:color w:val="auto"/>
                <w:szCs w:val="21"/>
                <w:highlight w:val="none"/>
                <w:lang w:eastAsia="zh-CN"/>
              </w:rPr>
            </w:pPr>
          </w:p>
        </w:tc>
        <w:tc>
          <w:tcPr>
            <w:tcW w:w="496" w:type="dxa"/>
            <w:noWrap w:val="0"/>
            <w:vAlign w:val="center"/>
          </w:tcPr>
          <w:p w14:paraId="0AA17CC4">
            <w:pPr>
              <w:spacing w:line="360" w:lineRule="auto"/>
              <w:jc w:val="center"/>
              <w:rPr>
                <w:rFonts w:ascii="宋体" w:hAnsi="宋体" w:cs="宋体"/>
                <w:color w:val="auto"/>
                <w:szCs w:val="21"/>
                <w:highlight w:val="none"/>
              </w:rPr>
            </w:pPr>
          </w:p>
        </w:tc>
        <w:tc>
          <w:tcPr>
            <w:tcW w:w="771" w:type="dxa"/>
            <w:noWrap w:val="0"/>
            <w:vAlign w:val="center"/>
          </w:tcPr>
          <w:p w14:paraId="734E71F6">
            <w:pPr>
              <w:spacing w:line="360" w:lineRule="auto"/>
              <w:jc w:val="center"/>
              <w:rPr>
                <w:rFonts w:ascii="宋体" w:hAnsi="宋体" w:cs="宋体"/>
                <w:color w:val="auto"/>
                <w:szCs w:val="21"/>
                <w:highlight w:val="none"/>
              </w:rPr>
            </w:pPr>
          </w:p>
        </w:tc>
        <w:tc>
          <w:tcPr>
            <w:tcW w:w="540" w:type="dxa"/>
            <w:noWrap w:val="0"/>
            <w:vAlign w:val="center"/>
          </w:tcPr>
          <w:p w14:paraId="039204A9">
            <w:pPr>
              <w:spacing w:line="360" w:lineRule="auto"/>
              <w:jc w:val="center"/>
              <w:rPr>
                <w:rFonts w:ascii="宋体" w:hAnsi="宋体" w:cs="宋体"/>
                <w:color w:val="auto"/>
                <w:szCs w:val="21"/>
                <w:highlight w:val="none"/>
              </w:rPr>
            </w:pPr>
          </w:p>
        </w:tc>
        <w:tc>
          <w:tcPr>
            <w:tcW w:w="551" w:type="dxa"/>
            <w:noWrap w:val="0"/>
            <w:vAlign w:val="center"/>
          </w:tcPr>
          <w:p w14:paraId="48A6D835">
            <w:pPr>
              <w:spacing w:line="360" w:lineRule="auto"/>
              <w:jc w:val="center"/>
              <w:rPr>
                <w:rFonts w:ascii="宋体" w:hAnsi="宋体" w:cs="宋体"/>
                <w:color w:val="auto"/>
                <w:szCs w:val="21"/>
                <w:highlight w:val="none"/>
              </w:rPr>
            </w:pPr>
          </w:p>
        </w:tc>
        <w:tc>
          <w:tcPr>
            <w:tcW w:w="772" w:type="dxa"/>
            <w:noWrap w:val="0"/>
            <w:vAlign w:val="center"/>
          </w:tcPr>
          <w:p w14:paraId="611770EB">
            <w:pPr>
              <w:spacing w:line="360" w:lineRule="auto"/>
              <w:jc w:val="center"/>
              <w:rPr>
                <w:rFonts w:ascii="宋体" w:hAnsi="宋体" w:cs="宋体"/>
                <w:color w:val="auto"/>
                <w:szCs w:val="21"/>
                <w:highlight w:val="none"/>
              </w:rPr>
            </w:pPr>
          </w:p>
        </w:tc>
        <w:tc>
          <w:tcPr>
            <w:tcW w:w="575" w:type="dxa"/>
            <w:noWrap w:val="0"/>
            <w:vAlign w:val="center"/>
          </w:tcPr>
          <w:p w14:paraId="71635467">
            <w:pPr>
              <w:ind w:right="-153" w:rightChars="-73"/>
              <w:jc w:val="center"/>
              <w:rPr>
                <w:rFonts w:ascii="宋体" w:hAnsi="宋体"/>
                <w:b/>
                <w:color w:val="auto"/>
                <w:kern w:val="0"/>
                <w:szCs w:val="21"/>
                <w:highlight w:val="none"/>
              </w:rPr>
            </w:pPr>
          </w:p>
        </w:tc>
        <w:tc>
          <w:tcPr>
            <w:tcW w:w="1226" w:type="dxa"/>
            <w:noWrap w:val="0"/>
            <w:vAlign w:val="center"/>
          </w:tcPr>
          <w:p w14:paraId="24DDBF64">
            <w:pPr>
              <w:jc w:val="center"/>
              <w:rPr>
                <w:rFonts w:ascii="Calibri" w:hAnsi="Calibri"/>
                <w:color w:val="auto"/>
                <w:szCs w:val="21"/>
                <w:highlight w:val="none"/>
              </w:rPr>
            </w:pPr>
          </w:p>
        </w:tc>
        <w:tc>
          <w:tcPr>
            <w:tcW w:w="594" w:type="dxa"/>
            <w:noWrap w:val="0"/>
            <w:vAlign w:val="center"/>
          </w:tcPr>
          <w:p w14:paraId="594B0554">
            <w:pPr>
              <w:jc w:val="center"/>
              <w:rPr>
                <w:rFonts w:ascii="Calibri" w:hAnsi="Calibri"/>
                <w:color w:val="auto"/>
                <w:szCs w:val="21"/>
                <w:highlight w:val="none"/>
              </w:rPr>
            </w:pPr>
          </w:p>
        </w:tc>
        <w:tc>
          <w:tcPr>
            <w:tcW w:w="927" w:type="dxa"/>
            <w:noWrap w:val="0"/>
            <w:vAlign w:val="center"/>
          </w:tcPr>
          <w:p w14:paraId="4D618435">
            <w:pPr>
              <w:jc w:val="center"/>
              <w:rPr>
                <w:rFonts w:ascii="Calibri" w:hAnsi="Calibri"/>
                <w:color w:val="auto"/>
                <w:szCs w:val="21"/>
                <w:highlight w:val="none"/>
              </w:rPr>
            </w:pPr>
          </w:p>
        </w:tc>
        <w:tc>
          <w:tcPr>
            <w:tcW w:w="734" w:type="dxa"/>
            <w:noWrap w:val="0"/>
            <w:vAlign w:val="center"/>
          </w:tcPr>
          <w:p w14:paraId="63FA5341">
            <w:pPr>
              <w:ind w:right="-153" w:rightChars="-73"/>
              <w:jc w:val="center"/>
              <w:rPr>
                <w:rFonts w:ascii="宋体" w:hAnsi="宋体"/>
                <w:color w:val="auto"/>
                <w:kern w:val="0"/>
                <w:szCs w:val="21"/>
                <w:highlight w:val="none"/>
              </w:rPr>
            </w:pPr>
          </w:p>
        </w:tc>
      </w:tr>
      <w:tr w14:paraId="6D290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885" w:type="dxa"/>
            <w:noWrap w:val="0"/>
            <w:vAlign w:val="center"/>
          </w:tcPr>
          <w:p w14:paraId="74F5BE16">
            <w:pPr>
              <w:spacing w:line="360" w:lineRule="auto"/>
              <w:ind w:right="-153" w:rightChars="-73"/>
              <w:jc w:val="center"/>
              <w:rPr>
                <w:rFonts w:hint="eastAsia"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w:t>
            </w:r>
          </w:p>
        </w:tc>
        <w:tc>
          <w:tcPr>
            <w:tcW w:w="710" w:type="dxa"/>
            <w:noWrap w:val="0"/>
            <w:vAlign w:val="center"/>
          </w:tcPr>
          <w:p w14:paraId="0FFD3C02">
            <w:pPr>
              <w:spacing w:line="360" w:lineRule="auto"/>
              <w:jc w:val="both"/>
              <w:rPr>
                <w:rFonts w:ascii="宋体" w:hAnsi="宋体" w:cs="宋体"/>
                <w:color w:val="auto"/>
                <w:szCs w:val="21"/>
                <w:highlight w:val="none"/>
              </w:rPr>
            </w:pPr>
          </w:p>
        </w:tc>
        <w:tc>
          <w:tcPr>
            <w:tcW w:w="532" w:type="dxa"/>
            <w:noWrap w:val="0"/>
            <w:vAlign w:val="center"/>
          </w:tcPr>
          <w:p w14:paraId="6EDEA102">
            <w:pPr>
              <w:spacing w:line="360" w:lineRule="auto"/>
              <w:jc w:val="both"/>
              <w:rPr>
                <w:rFonts w:ascii="宋体" w:hAnsi="宋体" w:cs="宋体"/>
                <w:color w:val="auto"/>
                <w:szCs w:val="21"/>
                <w:highlight w:val="none"/>
              </w:rPr>
            </w:pPr>
          </w:p>
        </w:tc>
        <w:tc>
          <w:tcPr>
            <w:tcW w:w="665" w:type="dxa"/>
            <w:noWrap w:val="0"/>
            <w:vAlign w:val="center"/>
          </w:tcPr>
          <w:p w14:paraId="07FCC889">
            <w:pPr>
              <w:spacing w:line="360" w:lineRule="auto"/>
              <w:jc w:val="center"/>
              <w:rPr>
                <w:rFonts w:hint="eastAsia" w:ascii="宋体" w:hAnsi="宋体" w:eastAsia="宋体" w:cs="宋体"/>
                <w:color w:val="auto"/>
                <w:szCs w:val="21"/>
                <w:highlight w:val="none"/>
                <w:lang w:eastAsia="zh-CN"/>
              </w:rPr>
            </w:pPr>
          </w:p>
        </w:tc>
        <w:tc>
          <w:tcPr>
            <w:tcW w:w="496" w:type="dxa"/>
            <w:noWrap w:val="0"/>
            <w:vAlign w:val="center"/>
          </w:tcPr>
          <w:p w14:paraId="6241939A">
            <w:pPr>
              <w:spacing w:line="360" w:lineRule="auto"/>
              <w:jc w:val="center"/>
              <w:rPr>
                <w:rFonts w:ascii="宋体" w:hAnsi="宋体" w:cs="宋体"/>
                <w:color w:val="auto"/>
                <w:szCs w:val="21"/>
                <w:highlight w:val="none"/>
              </w:rPr>
            </w:pPr>
          </w:p>
        </w:tc>
        <w:tc>
          <w:tcPr>
            <w:tcW w:w="771" w:type="dxa"/>
            <w:noWrap w:val="0"/>
            <w:vAlign w:val="center"/>
          </w:tcPr>
          <w:p w14:paraId="7BA1FF9D">
            <w:pPr>
              <w:spacing w:line="360" w:lineRule="auto"/>
              <w:jc w:val="center"/>
              <w:rPr>
                <w:rFonts w:ascii="宋体" w:hAnsi="宋体" w:cs="宋体"/>
                <w:color w:val="auto"/>
                <w:szCs w:val="21"/>
                <w:highlight w:val="none"/>
              </w:rPr>
            </w:pPr>
          </w:p>
        </w:tc>
        <w:tc>
          <w:tcPr>
            <w:tcW w:w="540" w:type="dxa"/>
            <w:noWrap w:val="0"/>
            <w:vAlign w:val="center"/>
          </w:tcPr>
          <w:p w14:paraId="25EA8F30">
            <w:pPr>
              <w:spacing w:line="360" w:lineRule="auto"/>
              <w:jc w:val="center"/>
              <w:rPr>
                <w:rFonts w:ascii="宋体" w:hAnsi="宋体" w:cs="宋体"/>
                <w:color w:val="auto"/>
                <w:szCs w:val="21"/>
                <w:highlight w:val="none"/>
              </w:rPr>
            </w:pPr>
          </w:p>
        </w:tc>
        <w:tc>
          <w:tcPr>
            <w:tcW w:w="551" w:type="dxa"/>
            <w:noWrap w:val="0"/>
            <w:vAlign w:val="center"/>
          </w:tcPr>
          <w:p w14:paraId="6A3E3E98">
            <w:pPr>
              <w:spacing w:line="360" w:lineRule="auto"/>
              <w:jc w:val="center"/>
              <w:rPr>
                <w:rFonts w:ascii="宋体" w:hAnsi="宋体" w:cs="宋体"/>
                <w:color w:val="auto"/>
                <w:szCs w:val="21"/>
                <w:highlight w:val="none"/>
              </w:rPr>
            </w:pPr>
          </w:p>
        </w:tc>
        <w:tc>
          <w:tcPr>
            <w:tcW w:w="772" w:type="dxa"/>
            <w:noWrap w:val="0"/>
            <w:vAlign w:val="center"/>
          </w:tcPr>
          <w:p w14:paraId="39F296D7">
            <w:pPr>
              <w:spacing w:line="360" w:lineRule="auto"/>
              <w:jc w:val="center"/>
              <w:rPr>
                <w:rFonts w:ascii="宋体" w:hAnsi="宋体" w:cs="宋体"/>
                <w:color w:val="auto"/>
                <w:szCs w:val="21"/>
                <w:highlight w:val="none"/>
              </w:rPr>
            </w:pPr>
          </w:p>
        </w:tc>
        <w:tc>
          <w:tcPr>
            <w:tcW w:w="575" w:type="dxa"/>
            <w:noWrap w:val="0"/>
            <w:vAlign w:val="center"/>
          </w:tcPr>
          <w:p w14:paraId="2CB76476">
            <w:pPr>
              <w:ind w:right="-153" w:rightChars="-73"/>
              <w:jc w:val="center"/>
              <w:rPr>
                <w:rFonts w:ascii="宋体" w:hAnsi="宋体"/>
                <w:b/>
                <w:color w:val="auto"/>
                <w:kern w:val="0"/>
                <w:szCs w:val="21"/>
                <w:highlight w:val="none"/>
              </w:rPr>
            </w:pPr>
          </w:p>
        </w:tc>
        <w:tc>
          <w:tcPr>
            <w:tcW w:w="1226" w:type="dxa"/>
            <w:noWrap w:val="0"/>
            <w:vAlign w:val="center"/>
          </w:tcPr>
          <w:p w14:paraId="40E87BBF">
            <w:pPr>
              <w:jc w:val="center"/>
              <w:rPr>
                <w:rFonts w:ascii="Calibri" w:hAnsi="Calibri"/>
                <w:color w:val="auto"/>
                <w:szCs w:val="21"/>
                <w:highlight w:val="none"/>
              </w:rPr>
            </w:pPr>
          </w:p>
        </w:tc>
        <w:tc>
          <w:tcPr>
            <w:tcW w:w="594" w:type="dxa"/>
            <w:noWrap w:val="0"/>
            <w:vAlign w:val="center"/>
          </w:tcPr>
          <w:p w14:paraId="4A798F6B">
            <w:pPr>
              <w:jc w:val="center"/>
              <w:rPr>
                <w:rFonts w:ascii="Calibri" w:hAnsi="Calibri"/>
                <w:color w:val="auto"/>
                <w:szCs w:val="21"/>
                <w:highlight w:val="none"/>
              </w:rPr>
            </w:pPr>
          </w:p>
        </w:tc>
        <w:tc>
          <w:tcPr>
            <w:tcW w:w="927" w:type="dxa"/>
            <w:noWrap w:val="0"/>
            <w:vAlign w:val="center"/>
          </w:tcPr>
          <w:p w14:paraId="28F254D8">
            <w:pPr>
              <w:jc w:val="center"/>
              <w:rPr>
                <w:rFonts w:ascii="Calibri" w:hAnsi="Calibri"/>
                <w:color w:val="auto"/>
                <w:szCs w:val="21"/>
                <w:highlight w:val="none"/>
              </w:rPr>
            </w:pPr>
          </w:p>
        </w:tc>
        <w:tc>
          <w:tcPr>
            <w:tcW w:w="734" w:type="dxa"/>
            <w:noWrap w:val="0"/>
            <w:vAlign w:val="center"/>
          </w:tcPr>
          <w:p w14:paraId="3EED33B9">
            <w:pPr>
              <w:ind w:right="-153" w:rightChars="-73"/>
              <w:jc w:val="center"/>
              <w:rPr>
                <w:rFonts w:ascii="宋体" w:hAnsi="宋体"/>
                <w:color w:val="auto"/>
                <w:kern w:val="0"/>
                <w:szCs w:val="21"/>
                <w:highlight w:val="none"/>
              </w:rPr>
            </w:pPr>
          </w:p>
        </w:tc>
      </w:tr>
      <w:tr w14:paraId="02817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9978" w:type="dxa"/>
            <w:gridSpan w:val="14"/>
            <w:noWrap w:val="0"/>
            <w:vAlign w:val="center"/>
          </w:tcPr>
          <w:p w14:paraId="43F94F14">
            <w:pPr>
              <w:ind w:right="-153" w:rightChars="-73"/>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二</w:t>
            </w:r>
            <w:r>
              <w:rPr>
                <w:rFonts w:hint="eastAsia" w:ascii="宋体" w:hAnsi="宋体"/>
                <w:color w:val="auto"/>
                <w:kern w:val="0"/>
                <w:szCs w:val="21"/>
                <w:highlight w:val="none"/>
                <w:lang w:eastAsia="zh-CN"/>
              </w:rPr>
              <w:t>）</w:t>
            </w:r>
          </w:p>
        </w:tc>
      </w:tr>
      <w:tr w14:paraId="725EC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885" w:type="dxa"/>
            <w:noWrap w:val="0"/>
            <w:vAlign w:val="center"/>
          </w:tcPr>
          <w:p w14:paraId="478258D9">
            <w:pPr>
              <w:spacing w:line="360" w:lineRule="auto"/>
              <w:ind w:right="-153" w:rightChars="-73"/>
              <w:jc w:val="center"/>
              <w:rPr>
                <w:rFonts w:hint="default" w:ascii="宋体" w:hAnsi="宋体" w:eastAsia="宋体"/>
                <w:bCs/>
                <w:color w:val="auto"/>
                <w:kern w:val="0"/>
                <w:szCs w:val="21"/>
                <w:highlight w:val="none"/>
                <w:lang w:val="en-US" w:eastAsia="zh-CN"/>
              </w:rPr>
            </w:pPr>
            <w:r>
              <w:rPr>
                <w:rFonts w:hint="eastAsia" w:ascii="宋体" w:hAnsi="宋体" w:eastAsia="宋体"/>
                <w:bCs/>
                <w:color w:val="auto"/>
                <w:kern w:val="0"/>
                <w:szCs w:val="21"/>
                <w:highlight w:val="none"/>
                <w:lang w:val="en-US" w:eastAsia="zh-CN"/>
              </w:rPr>
              <w:t>1</w:t>
            </w:r>
          </w:p>
        </w:tc>
        <w:tc>
          <w:tcPr>
            <w:tcW w:w="710" w:type="dxa"/>
            <w:noWrap w:val="0"/>
            <w:vAlign w:val="center"/>
          </w:tcPr>
          <w:p w14:paraId="2B7C37A2">
            <w:pPr>
              <w:spacing w:line="360" w:lineRule="auto"/>
              <w:jc w:val="both"/>
              <w:rPr>
                <w:rFonts w:ascii="宋体" w:hAnsi="宋体" w:cs="宋体"/>
                <w:color w:val="auto"/>
                <w:szCs w:val="21"/>
                <w:highlight w:val="none"/>
              </w:rPr>
            </w:pPr>
          </w:p>
        </w:tc>
        <w:tc>
          <w:tcPr>
            <w:tcW w:w="532" w:type="dxa"/>
            <w:noWrap w:val="0"/>
            <w:vAlign w:val="center"/>
          </w:tcPr>
          <w:p w14:paraId="65D2A6F6">
            <w:pPr>
              <w:spacing w:line="360" w:lineRule="auto"/>
              <w:jc w:val="both"/>
              <w:rPr>
                <w:rFonts w:ascii="宋体" w:hAnsi="宋体" w:cs="宋体"/>
                <w:color w:val="auto"/>
                <w:szCs w:val="21"/>
                <w:highlight w:val="none"/>
              </w:rPr>
            </w:pPr>
          </w:p>
        </w:tc>
        <w:tc>
          <w:tcPr>
            <w:tcW w:w="665" w:type="dxa"/>
            <w:noWrap w:val="0"/>
            <w:vAlign w:val="center"/>
          </w:tcPr>
          <w:p w14:paraId="5892D5A3">
            <w:pPr>
              <w:spacing w:line="360" w:lineRule="auto"/>
              <w:jc w:val="center"/>
              <w:rPr>
                <w:rFonts w:hint="eastAsia" w:ascii="宋体" w:hAnsi="宋体" w:eastAsia="宋体" w:cs="宋体"/>
                <w:color w:val="auto"/>
                <w:szCs w:val="21"/>
                <w:highlight w:val="none"/>
                <w:lang w:eastAsia="zh-CN"/>
              </w:rPr>
            </w:pPr>
          </w:p>
        </w:tc>
        <w:tc>
          <w:tcPr>
            <w:tcW w:w="496" w:type="dxa"/>
            <w:noWrap w:val="0"/>
            <w:vAlign w:val="center"/>
          </w:tcPr>
          <w:p w14:paraId="38F57097">
            <w:pPr>
              <w:spacing w:line="360" w:lineRule="auto"/>
              <w:jc w:val="center"/>
              <w:rPr>
                <w:rFonts w:ascii="宋体" w:hAnsi="宋体" w:cs="宋体"/>
                <w:color w:val="auto"/>
                <w:szCs w:val="21"/>
                <w:highlight w:val="none"/>
              </w:rPr>
            </w:pPr>
          </w:p>
        </w:tc>
        <w:tc>
          <w:tcPr>
            <w:tcW w:w="771" w:type="dxa"/>
            <w:noWrap w:val="0"/>
            <w:vAlign w:val="center"/>
          </w:tcPr>
          <w:p w14:paraId="773A3F2B">
            <w:pPr>
              <w:spacing w:line="360" w:lineRule="auto"/>
              <w:jc w:val="center"/>
              <w:rPr>
                <w:rFonts w:ascii="宋体" w:hAnsi="宋体" w:cs="宋体"/>
                <w:color w:val="auto"/>
                <w:szCs w:val="21"/>
                <w:highlight w:val="none"/>
              </w:rPr>
            </w:pPr>
          </w:p>
        </w:tc>
        <w:tc>
          <w:tcPr>
            <w:tcW w:w="540" w:type="dxa"/>
            <w:noWrap w:val="0"/>
            <w:vAlign w:val="center"/>
          </w:tcPr>
          <w:p w14:paraId="4EFC79A6">
            <w:pPr>
              <w:spacing w:line="360" w:lineRule="auto"/>
              <w:jc w:val="center"/>
              <w:rPr>
                <w:rFonts w:ascii="宋体" w:hAnsi="宋体" w:cs="宋体"/>
                <w:color w:val="auto"/>
                <w:szCs w:val="21"/>
                <w:highlight w:val="none"/>
              </w:rPr>
            </w:pPr>
          </w:p>
        </w:tc>
        <w:tc>
          <w:tcPr>
            <w:tcW w:w="551" w:type="dxa"/>
            <w:noWrap w:val="0"/>
            <w:vAlign w:val="center"/>
          </w:tcPr>
          <w:p w14:paraId="6E7A226C">
            <w:pPr>
              <w:spacing w:line="360" w:lineRule="auto"/>
              <w:jc w:val="center"/>
              <w:rPr>
                <w:rFonts w:ascii="宋体" w:hAnsi="宋体" w:cs="宋体"/>
                <w:color w:val="auto"/>
                <w:szCs w:val="21"/>
                <w:highlight w:val="none"/>
              </w:rPr>
            </w:pPr>
          </w:p>
        </w:tc>
        <w:tc>
          <w:tcPr>
            <w:tcW w:w="772" w:type="dxa"/>
            <w:noWrap w:val="0"/>
            <w:vAlign w:val="center"/>
          </w:tcPr>
          <w:p w14:paraId="636B1518">
            <w:pPr>
              <w:spacing w:line="360" w:lineRule="auto"/>
              <w:jc w:val="center"/>
              <w:rPr>
                <w:rFonts w:ascii="宋体" w:hAnsi="宋体" w:cs="宋体"/>
                <w:color w:val="auto"/>
                <w:szCs w:val="21"/>
                <w:highlight w:val="none"/>
              </w:rPr>
            </w:pPr>
          </w:p>
        </w:tc>
        <w:tc>
          <w:tcPr>
            <w:tcW w:w="575" w:type="dxa"/>
            <w:noWrap w:val="0"/>
            <w:vAlign w:val="center"/>
          </w:tcPr>
          <w:p w14:paraId="32EAE914">
            <w:pPr>
              <w:ind w:right="-153" w:rightChars="-73"/>
              <w:jc w:val="center"/>
              <w:rPr>
                <w:rFonts w:ascii="宋体" w:hAnsi="宋体"/>
                <w:b/>
                <w:color w:val="auto"/>
                <w:kern w:val="0"/>
                <w:szCs w:val="21"/>
                <w:highlight w:val="none"/>
              </w:rPr>
            </w:pPr>
          </w:p>
        </w:tc>
        <w:tc>
          <w:tcPr>
            <w:tcW w:w="1226" w:type="dxa"/>
            <w:noWrap w:val="0"/>
            <w:vAlign w:val="center"/>
          </w:tcPr>
          <w:p w14:paraId="06D56A37">
            <w:pPr>
              <w:jc w:val="center"/>
              <w:rPr>
                <w:rFonts w:ascii="Calibri" w:hAnsi="Calibri"/>
                <w:color w:val="auto"/>
                <w:szCs w:val="21"/>
                <w:highlight w:val="none"/>
              </w:rPr>
            </w:pPr>
          </w:p>
        </w:tc>
        <w:tc>
          <w:tcPr>
            <w:tcW w:w="594" w:type="dxa"/>
            <w:noWrap w:val="0"/>
            <w:vAlign w:val="center"/>
          </w:tcPr>
          <w:p w14:paraId="68B8A800">
            <w:pPr>
              <w:jc w:val="center"/>
              <w:rPr>
                <w:rFonts w:ascii="Calibri" w:hAnsi="Calibri"/>
                <w:color w:val="auto"/>
                <w:szCs w:val="21"/>
                <w:highlight w:val="none"/>
              </w:rPr>
            </w:pPr>
          </w:p>
        </w:tc>
        <w:tc>
          <w:tcPr>
            <w:tcW w:w="927" w:type="dxa"/>
            <w:noWrap w:val="0"/>
            <w:vAlign w:val="center"/>
          </w:tcPr>
          <w:p w14:paraId="0F6C7935">
            <w:pPr>
              <w:jc w:val="center"/>
              <w:rPr>
                <w:rFonts w:ascii="Calibri" w:hAnsi="Calibri"/>
                <w:color w:val="auto"/>
                <w:szCs w:val="21"/>
                <w:highlight w:val="none"/>
              </w:rPr>
            </w:pPr>
          </w:p>
        </w:tc>
        <w:tc>
          <w:tcPr>
            <w:tcW w:w="734" w:type="dxa"/>
            <w:noWrap w:val="0"/>
            <w:vAlign w:val="center"/>
          </w:tcPr>
          <w:p w14:paraId="4CE0656F">
            <w:pPr>
              <w:ind w:right="-153" w:rightChars="-73"/>
              <w:jc w:val="center"/>
              <w:rPr>
                <w:rFonts w:ascii="宋体" w:hAnsi="宋体"/>
                <w:color w:val="auto"/>
                <w:kern w:val="0"/>
                <w:szCs w:val="21"/>
                <w:highlight w:val="none"/>
              </w:rPr>
            </w:pPr>
          </w:p>
        </w:tc>
      </w:tr>
      <w:tr w14:paraId="27567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885" w:type="dxa"/>
            <w:noWrap w:val="0"/>
            <w:vAlign w:val="center"/>
          </w:tcPr>
          <w:p w14:paraId="3D9DA6F6">
            <w:pPr>
              <w:spacing w:line="360" w:lineRule="auto"/>
              <w:ind w:right="-153" w:rightChars="-73"/>
              <w:jc w:val="center"/>
              <w:rPr>
                <w:rFonts w:hint="default" w:ascii="宋体" w:hAnsi="宋体" w:eastAsia="宋体"/>
                <w:bCs/>
                <w:color w:val="auto"/>
                <w:kern w:val="0"/>
                <w:szCs w:val="21"/>
                <w:highlight w:val="none"/>
                <w:lang w:val="en-US" w:eastAsia="zh-CN"/>
              </w:rPr>
            </w:pPr>
            <w:r>
              <w:rPr>
                <w:rFonts w:hint="eastAsia" w:ascii="宋体" w:hAnsi="宋体" w:eastAsia="宋体"/>
                <w:bCs/>
                <w:color w:val="auto"/>
                <w:kern w:val="0"/>
                <w:szCs w:val="21"/>
                <w:highlight w:val="none"/>
                <w:lang w:val="en-US" w:eastAsia="zh-CN"/>
              </w:rPr>
              <w:t>2</w:t>
            </w:r>
          </w:p>
        </w:tc>
        <w:tc>
          <w:tcPr>
            <w:tcW w:w="710" w:type="dxa"/>
            <w:noWrap w:val="0"/>
            <w:vAlign w:val="center"/>
          </w:tcPr>
          <w:p w14:paraId="02DAAFE9">
            <w:pPr>
              <w:spacing w:line="360" w:lineRule="auto"/>
              <w:jc w:val="both"/>
              <w:rPr>
                <w:rFonts w:ascii="宋体" w:hAnsi="宋体" w:cs="宋体"/>
                <w:color w:val="auto"/>
                <w:szCs w:val="21"/>
                <w:highlight w:val="none"/>
              </w:rPr>
            </w:pPr>
          </w:p>
        </w:tc>
        <w:tc>
          <w:tcPr>
            <w:tcW w:w="532" w:type="dxa"/>
            <w:noWrap w:val="0"/>
            <w:vAlign w:val="center"/>
          </w:tcPr>
          <w:p w14:paraId="206D69D3">
            <w:pPr>
              <w:spacing w:line="360" w:lineRule="auto"/>
              <w:jc w:val="both"/>
              <w:rPr>
                <w:rFonts w:ascii="宋体" w:hAnsi="宋体" w:cs="宋体"/>
                <w:color w:val="auto"/>
                <w:szCs w:val="21"/>
                <w:highlight w:val="none"/>
              </w:rPr>
            </w:pPr>
          </w:p>
        </w:tc>
        <w:tc>
          <w:tcPr>
            <w:tcW w:w="665" w:type="dxa"/>
            <w:noWrap w:val="0"/>
            <w:vAlign w:val="center"/>
          </w:tcPr>
          <w:p w14:paraId="3BCAA296">
            <w:pPr>
              <w:spacing w:line="360" w:lineRule="auto"/>
              <w:jc w:val="center"/>
              <w:rPr>
                <w:rFonts w:hint="eastAsia" w:ascii="宋体" w:hAnsi="宋体" w:eastAsia="宋体" w:cs="宋体"/>
                <w:color w:val="auto"/>
                <w:szCs w:val="21"/>
                <w:highlight w:val="none"/>
                <w:lang w:eastAsia="zh-CN"/>
              </w:rPr>
            </w:pPr>
          </w:p>
        </w:tc>
        <w:tc>
          <w:tcPr>
            <w:tcW w:w="496" w:type="dxa"/>
            <w:noWrap w:val="0"/>
            <w:vAlign w:val="center"/>
          </w:tcPr>
          <w:p w14:paraId="23726AC5">
            <w:pPr>
              <w:spacing w:line="360" w:lineRule="auto"/>
              <w:jc w:val="center"/>
              <w:rPr>
                <w:rFonts w:ascii="宋体" w:hAnsi="宋体" w:cs="宋体"/>
                <w:color w:val="auto"/>
                <w:szCs w:val="21"/>
                <w:highlight w:val="none"/>
              </w:rPr>
            </w:pPr>
          </w:p>
        </w:tc>
        <w:tc>
          <w:tcPr>
            <w:tcW w:w="771" w:type="dxa"/>
            <w:noWrap w:val="0"/>
            <w:vAlign w:val="center"/>
          </w:tcPr>
          <w:p w14:paraId="767F70E7">
            <w:pPr>
              <w:spacing w:line="360" w:lineRule="auto"/>
              <w:jc w:val="center"/>
              <w:rPr>
                <w:rFonts w:ascii="宋体" w:hAnsi="宋体" w:cs="宋体"/>
                <w:color w:val="auto"/>
                <w:szCs w:val="21"/>
                <w:highlight w:val="none"/>
              </w:rPr>
            </w:pPr>
          </w:p>
        </w:tc>
        <w:tc>
          <w:tcPr>
            <w:tcW w:w="540" w:type="dxa"/>
            <w:noWrap w:val="0"/>
            <w:vAlign w:val="center"/>
          </w:tcPr>
          <w:p w14:paraId="09F208AD">
            <w:pPr>
              <w:spacing w:line="360" w:lineRule="auto"/>
              <w:jc w:val="center"/>
              <w:rPr>
                <w:rFonts w:ascii="宋体" w:hAnsi="宋体" w:cs="宋体"/>
                <w:color w:val="auto"/>
                <w:szCs w:val="21"/>
                <w:highlight w:val="none"/>
              </w:rPr>
            </w:pPr>
          </w:p>
        </w:tc>
        <w:tc>
          <w:tcPr>
            <w:tcW w:w="551" w:type="dxa"/>
            <w:noWrap w:val="0"/>
            <w:vAlign w:val="center"/>
          </w:tcPr>
          <w:p w14:paraId="23279B90">
            <w:pPr>
              <w:spacing w:line="360" w:lineRule="auto"/>
              <w:jc w:val="center"/>
              <w:rPr>
                <w:rFonts w:ascii="宋体" w:hAnsi="宋体" w:cs="宋体"/>
                <w:color w:val="auto"/>
                <w:szCs w:val="21"/>
                <w:highlight w:val="none"/>
              </w:rPr>
            </w:pPr>
          </w:p>
        </w:tc>
        <w:tc>
          <w:tcPr>
            <w:tcW w:w="772" w:type="dxa"/>
            <w:noWrap w:val="0"/>
            <w:vAlign w:val="center"/>
          </w:tcPr>
          <w:p w14:paraId="24C40C17">
            <w:pPr>
              <w:spacing w:line="360" w:lineRule="auto"/>
              <w:jc w:val="center"/>
              <w:rPr>
                <w:rFonts w:ascii="宋体" w:hAnsi="宋体" w:cs="宋体"/>
                <w:color w:val="auto"/>
                <w:szCs w:val="21"/>
                <w:highlight w:val="none"/>
              </w:rPr>
            </w:pPr>
          </w:p>
        </w:tc>
        <w:tc>
          <w:tcPr>
            <w:tcW w:w="575" w:type="dxa"/>
            <w:noWrap w:val="0"/>
            <w:vAlign w:val="center"/>
          </w:tcPr>
          <w:p w14:paraId="4D892293">
            <w:pPr>
              <w:ind w:right="-153" w:rightChars="-73"/>
              <w:jc w:val="center"/>
              <w:rPr>
                <w:rFonts w:ascii="宋体" w:hAnsi="宋体"/>
                <w:b/>
                <w:color w:val="auto"/>
                <w:kern w:val="0"/>
                <w:szCs w:val="21"/>
                <w:highlight w:val="none"/>
              </w:rPr>
            </w:pPr>
          </w:p>
        </w:tc>
        <w:tc>
          <w:tcPr>
            <w:tcW w:w="1226" w:type="dxa"/>
            <w:noWrap w:val="0"/>
            <w:vAlign w:val="center"/>
          </w:tcPr>
          <w:p w14:paraId="05EEF96C">
            <w:pPr>
              <w:jc w:val="center"/>
              <w:rPr>
                <w:rFonts w:ascii="Calibri" w:hAnsi="Calibri"/>
                <w:color w:val="auto"/>
                <w:szCs w:val="21"/>
                <w:highlight w:val="none"/>
              </w:rPr>
            </w:pPr>
          </w:p>
        </w:tc>
        <w:tc>
          <w:tcPr>
            <w:tcW w:w="594" w:type="dxa"/>
            <w:noWrap w:val="0"/>
            <w:vAlign w:val="center"/>
          </w:tcPr>
          <w:p w14:paraId="5F024D84">
            <w:pPr>
              <w:jc w:val="center"/>
              <w:rPr>
                <w:rFonts w:ascii="Calibri" w:hAnsi="Calibri"/>
                <w:color w:val="auto"/>
                <w:szCs w:val="21"/>
                <w:highlight w:val="none"/>
              </w:rPr>
            </w:pPr>
          </w:p>
        </w:tc>
        <w:tc>
          <w:tcPr>
            <w:tcW w:w="927" w:type="dxa"/>
            <w:noWrap w:val="0"/>
            <w:vAlign w:val="center"/>
          </w:tcPr>
          <w:p w14:paraId="6A71B192">
            <w:pPr>
              <w:jc w:val="center"/>
              <w:rPr>
                <w:rFonts w:ascii="Calibri" w:hAnsi="Calibri"/>
                <w:color w:val="auto"/>
                <w:szCs w:val="21"/>
                <w:highlight w:val="none"/>
              </w:rPr>
            </w:pPr>
          </w:p>
        </w:tc>
        <w:tc>
          <w:tcPr>
            <w:tcW w:w="734" w:type="dxa"/>
            <w:noWrap w:val="0"/>
            <w:vAlign w:val="center"/>
          </w:tcPr>
          <w:p w14:paraId="5CAA8E64">
            <w:pPr>
              <w:ind w:right="-153" w:rightChars="-73"/>
              <w:jc w:val="center"/>
              <w:rPr>
                <w:rFonts w:ascii="宋体" w:hAnsi="宋体"/>
                <w:color w:val="auto"/>
                <w:kern w:val="0"/>
                <w:szCs w:val="21"/>
                <w:highlight w:val="none"/>
              </w:rPr>
            </w:pPr>
          </w:p>
        </w:tc>
      </w:tr>
      <w:tr w14:paraId="705EA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885" w:type="dxa"/>
            <w:noWrap w:val="0"/>
            <w:vAlign w:val="center"/>
          </w:tcPr>
          <w:p w14:paraId="71274658">
            <w:pPr>
              <w:spacing w:line="360" w:lineRule="auto"/>
              <w:ind w:right="-153" w:rightChars="-73"/>
              <w:jc w:val="center"/>
              <w:rPr>
                <w:rFonts w:hint="eastAsia"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w:t>
            </w:r>
          </w:p>
        </w:tc>
        <w:tc>
          <w:tcPr>
            <w:tcW w:w="710" w:type="dxa"/>
            <w:noWrap w:val="0"/>
            <w:vAlign w:val="center"/>
          </w:tcPr>
          <w:p w14:paraId="07DA200A">
            <w:pPr>
              <w:spacing w:line="360" w:lineRule="auto"/>
              <w:jc w:val="both"/>
              <w:rPr>
                <w:rFonts w:ascii="宋体" w:hAnsi="宋体" w:cs="宋体"/>
                <w:color w:val="auto"/>
                <w:szCs w:val="21"/>
                <w:highlight w:val="none"/>
              </w:rPr>
            </w:pPr>
          </w:p>
        </w:tc>
        <w:tc>
          <w:tcPr>
            <w:tcW w:w="532" w:type="dxa"/>
            <w:noWrap w:val="0"/>
            <w:vAlign w:val="center"/>
          </w:tcPr>
          <w:p w14:paraId="4C8FD74F">
            <w:pPr>
              <w:spacing w:line="360" w:lineRule="auto"/>
              <w:jc w:val="both"/>
              <w:rPr>
                <w:rFonts w:ascii="宋体" w:hAnsi="宋体" w:cs="宋体"/>
                <w:color w:val="auto"/>
                <w:szCs w:val="21"/>
                <w:highlight w:val="none"/>
              </w:rPr>
            </w:pPr>
          </w:p>
        </w:tc>
        <w:tc>
          <w:tcPr>
            <w:tcW w:w="665" w:type="dxa"/>
            <w:noWrap w:val="0"/>
            <w:vAlign w:val="center"/>
          </w:tcPr>
          <w:p w14:paraId="5DB5E042">
            <w:pPr>
              <w:spacing w:line="360" w:lineRule="auto"/>
              <w:jc w:val="center"/>
              <w:rPr>
                <w:rFonts w:hint="eastAsia" w:ascii="宋体" w:hAnsi="宋体" w:eastAsia="宋体" w:cs="宋体"/>
                <w:color w:val="auto"/>
                <w:szCs w:val="21"/>
                <w:highlight w:val="none"/>
                <w:lang w:eastAsia="zh-CN"/>
              </w:rPr>
            </w:pPr>
          </w:p>
        </w:tc>
        <w:tc>
          <w:tcPr>
            <w:tcW w:w="496" w:type="dxa"/>
            <w:noWrap w:val="0"/>
            <w:vAlign w:val="center"/>
          </w:tcPr>
          <w:p w14:paraId="174434CE">
            <w:pPr>
              <w:spacing w:line="360" w:lineRule="auto"/>
              <w:jc w:val="center"/>
              <w:rPr>
                <w:rFonts w:ascii="宋体" w:hAnsi="宋体" w:cs="宋体"/>
                <w:color w:val="auto"/>
                <w:szCs w:val="21"/>
                <w:highlight w:val="none"/>
              </w:rPr>
            </w:pPr>
          </w:p>
        </w:tc>
        <w:tc>
          <w:tcPr>
            <w:tcW w:w="771" w:type="dxa"/>
            <w:noWrap w:val="0"/>
            <w:vAlign w:val="center"/>
          </w:tcPr>
          <w:p w14:paraId="57CFA641">
            <w:pPr>
              <w:spacing w:line="360" w:lineRule="auto"/>
              <w:jc w:val="center"/>
              <w:rPr>
                <w:rFonts w:ascii="宋体" w:hAnsi="宋体" w:cs="宋体"/>
                <w:color w:val="auto"/>
                <w:szCs w:val="21"/>
                <w:highlight w:val="none"/>
              </w:rPr>
            </w:pPr>
          </w:p>
        </w:tc>
        <w:tc>
          <w:tcPr>
            <w:tcW w:w="540" w:type="dxa"/>
            <w:noWrap w:val="0"/>
            <w:vAlign w:val="center"/>
          </w:tcPr>
          <w:p w14:paraId="094E2AB5">
            <w:pPr>
              <w:spacing w:line="360" w:lineRule="auto"/>
              <w:jc w:val="center"/>
              <w:rPr>
                <w:rFonts w:ascii="宋体" w:hAnsi="宋体" w:cs="宋体"/>
                <w:color w:val="auto"/>
                <w:szCs w:val="21"/>
                <w:highlight w:val="none"/>
              </w:rPr>
            </w:pPr>
          </w:p>
        </w:tc>
        <w:tc>
          <w:tcPr>
            <w:tcW w:w="551" w:type="dxa"/>
            <w:noWrap w:val="0"/>
            <w:vAlign w:val="center"/>
          </w:tcPr>
          <w:p w14:paraId="2FE06160">
            <w:pPr>
              <w:spacing w:line="360" w:lineRule="auto"/>
              <w:jc w:val="center"/>
              <w:rPr>
                <w:rFonts w:ascii="宋体" w:hAnsi="宋体" w:cs="宋体"/>
                <w:color w:val="auto"/>
                <w:szCs w:val="21"/>
                <w:highlight w:val="none"/>
              </w:rPr>
            </w:pPr>
          </w:p>
        </w:tc>
        <w:tc>
          <w:tcPr>
            <w:tcW w:w="772" w:type="dxa"/>
            <w:noWrap w:val="0"/>
            <w:vAlign w:val="center"/>
          </w:tcPr>
          <w:p w14:paraId="3FCB9915">
            <w:pPr>
              <w:spacing w:line="360" w:lineRule="auto"/>
              <w:jc w:val="center"/>
              <w:rPr>
                <w:rFonts w:ascii="宋体" w:hAnsi="宋体" w:cs="宋体"/>
                <w:color w:val="auto"/>
                <w:szCs w:val="21"/>
                <w:highlight w:val="none"/>
              </w:rPr>
            </w:pPr>
          </w:p>
        </w:tc>
        <w:tc>
          <w:tcPr>
            <w:tcW w:w="575" w:type="dxa"/>
            <w:noWrap w:val="0"/>
            <w:vAlign w:val="center"/>
          </w:tcPr>
          <w:p w14:paraId="64345084">
            <w:pPr>
              <w:ind w:right="-153" w:rightChars="-73"/>
              <w:jc w:val="center"/>
              <w:rPr>
                <w:rFonts w:ascii="宋体" w:hAnsi="宋体"/>
                <w:b/>
                <w:color w:val="auto"/>
                <w:kern w:val="0"/>
                <w:szCs w:val="21"/>
                <w:highlight w:val="none"/>
              </w:rPr>
            </w:pPr>
          </w:p>
        </w:tc>
        <w:tc>
          <w:tcPr>
            <w:tcW w:w="1226" w:type="dxa"/>
            <w:noWrap w:val="0"/>
            <w:vAlign w:val="center"/>
          </w:tcPr>
          <w:p w14:paraId="1166AB7A">
            <w:pPr>
              <w:jc w:val="center"/>
              <w:rPr>
                <w:rFonts w:ascii="Calibri" w:hAnsi="Calibri"/>
                <w:color w:val="auto"/>
                <w:szCs w:val="21"/>
                <w:highlight w:val="none"/>
              </w:rPr>
            </w:pPr>
          </w:p>
        </w:tc>
        <w:tc>
          <w:tcPr>
            <w:tcW w:w="594" w:type="dxa"/>
            <w:noWrap w:val="0"/>
            <w:vAlign w:val="center"/>
          </w:tcPr>
          <w:p w14:paraId="5AA36E2B">
            <w:pPr>
              <w:jc w:val="center"/>
              <w:rPr>
                <w:rFonts w:ascii="Calibri" w:hAnsi="Calibri"/>
                <w:color w:val="auto"/>
                <w:szCs w:val="21"/>
                <w:highlight w:val="none"/>
              </w:rPr>
            </w:pPr>
          </w:p>
        </w:tc>
        <w:tc>
          <w:tcPr>
            <w:tcW w:w="927" w:type="dxa"/>
            <w:noWrap w:val="0"/>
            <w:vAlign w:val="center"/>
          </w:tcPr>
          <w:p w14:paraId="75D4468A">
            <w:pPr>
              <w:jc w:val="center"/>
              <w:rPr>
                <w:rFonts w:ascii="Calibri" w:hAnsi="Calibri"/>
                <w:color w:val="auto"/>
                <w:szCs w:val="21"/>
                <w:highlight w:val="none"/>
              </w:rPr>
            </w:pPr>
          </w:p>
        </w:tc>
        <w:tc>
          <w:tcPr>
            <w:tcW w:w="734" w:type="dxa"/>
            <w:noWrap w:val="0"/>
            <w:vAlign w:val="center"/>
          </w:tcPr>
          <w:p w14:paraId="13D0F7B6">
            <w:pPr>
              <w:ind w:right="-153" w:rightChars="-73"/>
              <w:jc w:val="center"/>
              <w:rPr>
                <w:rFonts w:ascii="宋体" w:hAnsi="宋体"/>
                <w:color w:val="auto"/>
                <w:kern w:val="0"/>
                <w:szCs w:val="21"/>
                <w:highlight w:val="none"/>
              </w:rPr>
            </w:pPr>
          </w:p>
        </w:tc>
      </w:tr>
      <w:tr w14:paraId="5F8E1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7" w:hRule="atLeast"/>
        </w:trPr>
        <w:tc>
          <w:tcPr>
            <w:tcW w:w="1595" w:type="dxa"/>
            <w:gridSpan w:val="2"/>
            <w:noWrap w:val="0"/>
            <w:vAlign w:val="center"/>
          </w:tcPr>
          <w:p w14:paraId="6C52E567">
            <w:pPr>
              <w:pStyle w:val="43"/>
              <w:tabs>
                <w:tab w:val="left" w:pos="5580"/>
              </w:tabs>
              <w:spacing w:before="120" w:line="240" w:lineRule="auto"/>
              <w:ind w:firstLine="422" w:firstLineChars="200"/>
              <w:jc w:val="left"/>
              <w:rPr>
                <w:rFonts w:hAnsi="宋体"/>
                <w:color w:val="auto"/>
                <w:kern w:val="0"/>
                <w:szCs w:val="21"/>
                <w:highlight w:val="none"/>
              </w:rPr>
            </w:pPr>
            <w:r>
              <w:rPr>
                <w:rFonts w:hAnsi="宋体"/>
                <w:b/>
                <w:color w:val="auto"/>
                <w:kern w:val="0"/>
                <w:szCs w:val="21"/>
                <w:highlight w:val="none"/>
              </w:rPr>
              <w:t>声明</w:t>
            </w:r>
          </w:p>
        </w:tc>
        <w:tc>
          <w:tcPr>
            <w:tcW w:w="8383" w:type="dxa"/>
            <w:gridSpan w:val="12"/>
            <w:noWrap w:val="0"/>
            <w:vAlign w:val="center"/>
          </w:tcPr>
          <w:p w14:paraId="325E0315">
            <w:pPr>
              <w:pStyle w:val="43"/>
              <w:tabs>
                <w:tab w:val="left" w:pos="5580"/>
              </w:tabs>
              <w:spacing w:before="120" w:line="240" w:lineRule="auto"/>
              <w:jc w:val="left"/>
              <w:rPr>
                <w:rFonts w:hint="default" w:eastAsia="宋体"/>
                <w:b/>
                <w:color w:val="auto"/>
                <w:szCs w:val="21"/>
                <w:highlight w:val="none"/>
                <w:lang w:val="en-US" w:eastAsia="zh-CN"/>
              </w:rPr>
            </w:pPr>
          </w:p>
        </w:tc>
      </w:tr>
    </w:tbl>
    <w:p w14:paraId="3E38245A">
      <w:pPr>
        <w:spacing w:line="5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专用耗材报价表</w:t>
      </w:r>
    </w:p>
    <w:p w14:paraId="29168C07">
      <w:pPr>
        <w:widowControl/>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p w14:paraId="0B1AED95">
      <w:pPr>
        <w:widowControl/>
        <w:spacing w:line="360" w:lineRule="auto"/>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请</w:t>
      </w:r>
      <w:r>
        <w:rPr>
          <w:rFonts w:hint="eastAsia" w:ascii="仿宋" w:hAnsi="仿宋" w:eastAsia="仿宋" w:cs="仿宋"/>
          <w:b/>
          <w:color w:val="auto"/>
          <w:sz w:val="21"/>
          <w:szCs w:val="21"/>
          <w:highlight w:val="none"/>
          <w:lang w:val="en-US" w:eastAsia="zh-CN"/>
        </w:rPr>
        <w:t>根据投标产品实际情况填写，如该项空格内容不存在，可以填写：无</w:t>
      </w:r>
      <w:r>
        <w:rPr>
          <w:rFonts w:hint="eastAsia" w:ascii="仿宋" w:hAnsi="仿宋" w:eastAsia="仿宋" w:cs="仿宋"/>
          <w:b/>
          <w:color w:val="auto"/>
          <w:sz w:val="21"/>
          <w:szCs w:val="21"/>
          <w:highlight w:val="none"/>
        </w:rPr>
        <w:t>。</w:t>
      </w:r>
    </w:p>
    <w:p w14:paraId="2FD6DACF">
      <w:pPr>
        <w:widowControl/>
        <w:spacing w:line="360" w:lineRule="auto"/>
        <w:jc w:val="left"/>
        <w:rPr>
          <w:rFonts w:hint="eastAsia" w:ascii="仿宋" w:hAnsi="仿宋" w:eastAsia="仿宋" w:cs="仿宋"/>
          <w:b w:val="0"/>
          <w:bCs/>
          <w:color w:val="auto"/>
          <w:sz w:val="21"/>
          <w:szCs w:val="21"/>
          <w:highlight w:val="none"/>
          <w:lang w:val="en-US" w:eastAsia="zh-CN"/>
        </w:rPr>
      </w:pP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不高于河南省医药集中采购平台挂网价或企业承诺价（无挂网价，承诺价为</w:t>
      </w:r>
      <w:r>
        <w:rPr>
          <w:rFonts w:hint="eastAsia" w:ascii="仿宋" w:hAnsi="仿宋" w:eastAsia="仿宋" w:cs="仿宋"/>
          <w:b/>
          <w:color w:val="auto"/>
          <w:sz w:val="21"/>
          <w:szCs w:val="21"/>
          <w:highlight w:val="none"/>
          <w:lang w:eastAsia="zh-CN"/>
        </w:rPr>
        <w:t>河南省各公立医疗机构</w:t>
      </w:r>
      <w:r>
        <w:rPr>
          <w:rFonts w:hint="eastAsia" w:ascii="仿宋" w:hAnsi="仿宋" w:eastAsia="仿宋" w:cs="仿宋"/>
          <w:b/>
          <w:color w:val="auto"/>
          <w:sz w:val="21"/>
          <w:szCs w:val="21"/>
          <w:highlight w:val="none"/>
        </w:rPr>
        <w:t>6个月内最低有效交易价）</w:t>
      </w:r>
      <w:r>
        <w:rPr>
          <w:rFonts w:hint="eastAsia" w:ascii="仿宋" w:hAnsi="仿宋" w:eastAsia="仿宋" w:cs="仿宋"/>
          <w:b/>
          <w:color w:val="auto"/>
          <w:sz w:val="21"/>
          <w:szCs w:val="21"/>
          <w:highlight w:val="none"/>
          <w:lang w:val="en-US" w:eastAsia="zh-CN"/>
        </w:rPr>
        <w:t>后附报价依据的网站截图或价格的证明材料，无专用耗材可不提供。</w:t>
      </w:r>
    </w:p>
    <w:p w14:paraId="0BB5EE91">
      <w:pPr>
        <w:pStyle w:val="48"/>
        <w:ind w:left="0" w:leftChars="0" w:firstLine="0" w:firstLineChars="0"/>
        <w:rPr>
          <w:rFonts w:hint="default"/>
          <w:color w:val="auto"/>
          <w:highlight w:val="none"/>
          <w:lang w:val="en-US" w:eastAsia="zh-CN"/>
        </w:rPr>
      </w:pPr>
      <w:r>
        <w:rPr>
          <w:rFonts w:hint="eastAsia" w:ascii="仿宋" w:hAnsi="仿宋" w:eastAsia="仿宋" w:cs="仿宋"/>
          <w:b/>
          <w:color w:val="auto"/>
          <w:sz w:val="21"/>
          <w:szCs w:val="21"/>
          <w:highlight w:val="none"/>
          <w:lang w:val="en-US" w:eastAsia="zh-CN"/>
        </w:rPr>
        <w:t>（3）如无专用耗材请注明设备详细运行机制，后附证明材料。</w:t>
      </w:r>
    </w:p>
    <w:p w14:paraId="103B646E">
      <w:pPr>
        <w:spacing w:line="500" w:lineRule="exact"/>
        <w:ind w:firstLine="2803" w:firstLineChars="1335"/>
        <w:rPr>
          <w:rFonts w:hint="eastAsia" w:ascii="宋体" w:hAnsi="宋体" w:cs="宋体"/>
          <w:color w:val="auto"/>
          <w:szCs w:val="21"/>
          <w:highlight w:val="none"/>
          <w:u w:val="single"/>
        </w:rPr>
      </w:pPr>
      <w:r>
        <w:rPr>
          <w:rFonts w:hint="eastAsia" w:ascii="宋体" w:hAnsi="宋体" w:cs="宋体"/>
          <w:color w:val="auto"/>
          <w:szCs w:val="21"/>
          <w:highlight w:val="none"/>
        </w:rPr>
        <w:t xml:space="preserve">  投  标  人：</w:t>
      </w:r>
      <w:r>
        <w:rPr>
          <w:rFonts w:hint="eastAsia" w:ascii="宋体" w:hAnsi="宋体" w:cs="宋体"/>
          <w:color w:val="auto"/>
          <w:szCs w:val="21"/>
          <w:highlight w:val="none"/>
          <w:u w:val="single"/>
        </w:rPr>
        <w:t xml:space="preserve">                      （电子签章） </w:t>
      </w:r>
    </w:p>
    <w:p w14:paraId="2C6BE54F">
      <w:pPr>
        <w:spacing w:line="500" w:lineRule="exact"/>
        <w:ind w:firstLine="570"/>
        <w:rPr>
          <w:rFonts w:hint="eastAsia" w:ascii="宋体" w:hAnsi="宋体" w:cs="宋体"/>
          <w:color w:val="auto"/>
          <w:szCs w:val="21"/>
          <w:highlight w:val="none"/>
          <w:u w:val="single"/>
        </w:rPr>
      </w:pPr>
      <w:r>
        <w:rPr>
          <w:rFonts w:hint="eastAsia" w:ascii="宋体" w:hAnsi="宋体" w:cs="宋体"/>
          <w:color w:val="auto"/>
          <w:szCs w:val="21"/>
          <w:highlight w:val="none"/>
        </w:rPr>
        <w:t xml:space="preserve">                      法定代表人：</w:t>
      </w:r>
      <w:r>
        <w:rPr>
          <w:rFonts w:hint="eastAsia" w:ascii="宋体" w:hAnsi="宋体" w:cs="宋体"/>
          <w:color w:val="auto"/>
          <w:szCs w:val="21"/>
          <w:highlight w:val="none"/>
          <w:u w:val="single"/>
        </w:rPr>
        <w:t xml:space="preserve">                      （电子签章） </w:t>
      </w:r>
    </w:p>
    <w:p w14:paraId="56A7239C">
      <w:pPr>
        <w:pStyle w:val="20"/>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月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14:paraId="4D194CA6">
      <w:pPr>
        <w:jc w:val="center"/>
        <w:rPr>
          <w:rFonts w:hint="eastAsia" w:ascii="宋体" w:hAnsi="宋体" w:cs="宋体"/>
          <w:color w:val="auto"/>
          <w:highlight w:val="none"/>
          <w:lang w:val="zh-CN"/>
        </w:rPr>
      </w:pPr>
    </w:p>
    <w:p w14:paraId="04D16CD6">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zh-CN"/>
        </w:rPr>
        <w:t>（</w:t>
      </w:r>
      <w:r>
        <w:rPr>
          <w:rFonts w:hint="eastAsia" w:ascii="宋体" w:hAnsi="宋体" w:cs="宋体"/>
          <w:color w:val="auto"/>
          <w:highlight w:val="none"/>
          <w:lang w:val="en-US" w:eastAsia="zh-CN"/>
        </w:rPr>
        <w:t>二</w:t>
      </w:r>
      <w:r>
        <w:rPr>
          <w:rFonts w:hint="eastAsia" w:ascii="宋体" w:hAnsi="宋体" w:cs="宋体"/>
          <w:color w:val="auto"/>
          <w:highlight w:val="none"/>
          <w:lang w:val="zh-CN"/>
        </w:rPr>
        <w:t>）</w:t>
      </w:r>
      <w:r>
        <w:rPr>
          <w:rFonts w:hint="eastAsia" w:ascii="宋体" w:hAnsi="宋体" w:cs="宋体"/>
          <w:color w:val="auto"/>
          <w:highlight w:val="none"/>
          <w:lang w:val="en-US" w:eastAsia="zh-CN"/>
        </w:rPr>
        <w:t>易损件报价表</w:t>
      </w:r>
    </w:p>
    <w:tbl>
      <w:tblPr>
        <w:tblStyle w:val="82"/>
        <w:tblpPr w:leftFromText="180" w:rightFromText="180" w:vertAnchor="text" w:horzAnchor="page" w:tblpX="1154" w:tblpY="242"/>
        <w:tblW w:w="9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92"/>
        <w:gridCol w:w="1246"/>
        <w:gridCol w:w="1246"/>
        <w:gridCol w:w="1339"/>
        <w:gridCol w:w="1292"/>
        <w:gridCol w:w="906"/>
        <w:gridCol w:w="906"/>
        <w:gridCol w:w="906"/>
      </w:tblGrid>
      <w:tr w14:paraId="1423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26" w:type="dxa"/>
            <w:noWrap w:val="0"/>
            <w:vAlign w:val="center"/>
          </w:tcPr>
          <w:p w14:paraId="036E1ADA">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392" w:type="dxa"/>
            <w:noWrap w:val="0"/>
            <w:vAlign w:val="center"/>
          </w:tcPr>
          <w:p w14:paraId="3A765C9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名称</w:t>
            </w:r>
          </w:p>
        </w:tc>
        <w:tc>
          <w:tcPr>
            <w:tcW w:w="1246" w:type="dxa"/>
            <w:noWrap w:val="0"/>
            <w:vAlign w:val="center"/>
          </w:tcPr>
          <w:p w14:paraId="741792E4">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注册证号（没有可不填）</w:t>
            </w:r>
          </w:p>
        </w:tc>
        <w:tc>
          <w:tcPr>
            <w:tcW w:w="1246" w:type="dxa"/>
            <w:noWrap w:val="0"/>
            <w:vAlign w:val="center"/>
          </w:tcPr>
          <w:p w14:paraId="5D7FE75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品牌</w:t>
            </w:r>
          </w:p>
        </w:tc>
        <w:tc>
          <w:tcPr>
            <w:tcW w:w="1339" w:type="dxa"/>
            <w:noWrap w:val="0"/>
            <w:vAlign w:val="center"/>
          </w:tcPr>
          <w:p w14:paraId="4C00007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292" w:type="dxa"/>
            <w:noWrap w:val="0"/>
            <w:vAlign w:val="center"/>
          </w:tcPr>
          <w:p w14:paraId="345FE30B">
            <w:pPr>
              <w:spacing w:line="36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计价单位</w:t>
            </w:r>
          </w:p>
        </w:tc>
        <w:tc>
          <w:tcPr>
            <w:tcW w:w="906" w:type="dxa"/>
            <w:noWrap w:val="0"/>
            <w:vAlign w:val="center"/>
          </w:tcPr>
          <w:p w14:paraId="19B2B1D6">
            <w:pPr>
              <w:jc w:val="center"/>
              <w:rPr>
                <w:rFonts w:ascii="宋体" w:hAnsi="宋体"/>
                <w:color w:val="auto"/>
                <w:szCs w:val="21"/>
                <w:highlight w:val="none"/>
              </w:rPr>
            </w:pPr>
            <w:r>
              <w:rPr>
                <w:rFonts w:hint="eastAsia" w:ascii="宋体" w:hAnsi="宋体"/>
                <w:color w:val="auto"/>
                <w:szCs w:val="21"/>
                <w:highlight w:val="none"/>
              </w:rPr>
              <w:t>投标报价</w:t>
            </w:r>
          </w:p>
          <w:p w14:paraId="22BA8F7F">
            <w:pPr>
              <w:spacing w:line="360" w:lineRule="exact"/>
              <w:jc w:val="center"/>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（元/单位</w:t>
            </w:r>
          </w:p>
        </w:tc>
        <w:tc>
          <w:tcPr>
            <w:tcW w:w="906" w:type="dxa"/>
            <w:noWrap w:val="0"/>
            <w:vAlign w:val="center"/>
          </w:tcPr>
          <w:p w14:paraId="044219AA">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更换周期</w:t>
            </w:r>
          </w:p>
        </w:tc>
        <w:tc>
          <w:tcPr>
            <w:tcW w:w="906" w:type="dxa"/>
            <w:noWrap w:val="0"/>
            <w:vAlign w:val="center"/>
          </w:tcPr>
          <w:p w14:paraId="534F4BD0">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备注</w:t>
            </w:r>
          </w:p>
        </w:tc>
      </w:tr>
      <w:tr w14:paraId="2A53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26" w:type="dxa"/>
            <w:noWrap w:val="0"/>
            <w:vAlign w:val="center"/>
          </w:tcPr>
          <w:p w14:paraId="598EBA54">
            <w:pPr>
              <w:spacing w:line="360" w:lineRule="exact"/>
              <w:jc w:val="center"/>
              <w:rPr>
                <w:rFonts w:hint="eastAsia" w:ascii="宋体" w:hAnsi="宋体" w:cs="宋体"/>
                <w:color w:val="auto"/>
                <w:szCs w:val="21"/>
                <w:highlight w:val="none"/>
              </w:rPr>
            </w:pPr>
          </w:p>
        </w:tc>
        <w:tc>
          <w:tcPr>
            <w:tcW w:w="1392" w:type="dxa"/>
            <w:noWrap w:val="0"/>
            <w:vAlign w:val="center"/>
          </w:tcPr>
          <w:p w14:paraId="79909B02">
            <w:pPr>
              <w:spacing w:line="360" w:lineRule="exact"/>
              <w:jc w:val="center"/>
              <w:rPr>
                <w:rFonts w:hint="default" w:ascii="宋体" w:hAnsi="宋体" w:eastAsia="宋体" w:cs="宋体"/>
                <w:color w:val="auto"/>
                <w:szCs w:val="21"/>
                <w:highlight w:val="none"/>
                <w:lang w:val="en-US" w:eastAsia="zh-CN"/>
              </w:rPr>
            </w:pPr>
          </w:p>
        </w:tc>
        <w:tc>
          <w:tcPr>
            <w:tcW w:w="1246" w:type="dxa"/>
            <w:noWrap w:val="0"/>
            <w:vAlign w:val="center"/>
          </w:tcPr>
          <w:p w14:paraId="41E32904">
            <w:pPr>
              <w:spacing w:line="360" w:lineRule="exact"/>
              <w:jc w:val="center"/>
              <w:rPr>
                <w:rFonts w:hint="eastAsia" w:ascii="宋体" w:hAnsi="宋体" w:cs="宋体"/>
                <w:color w:val="auto"/>
                <w:szCs w:val="21"/>
                <w:highlight w:val="none"/>
              </w:rPr>
            </w:pPr>
          </w:p>
        </w:tc>
        <w:tc>
          <w:tcPr>
            <w:tcW w:w="1246" w:type="dxa"/>
            <w:noWrap w:val="0"/>
            <w:vAlign w:val="center"/>
          </w:tcPr>
          <w:p w14:paraId="1DF1C67D">
            <w:pPr>
              <w:spacing w:line="360" w:lineRule="exact"/>
              <w:jc w:val="center"/>
              <w:rPr>
                <w:rFonts w:hint="eastAsia" w:ascii="宋体" w:hAnsi="宋体" w:cs="宋体"/>
                <w:color w:val="auto"/>
                <w:szCs w:val="21"/>
                <w:highlight w:val="none"/>
              </w:rPr>
            </w:pPr>
          </w:p>
        </w:tc>
        <w:tc>
          <w:tcPr>
            <w:tcW w:w="1339" w:type="dxa"/>
            <w:noWrap w:val="0"/>
            <w:vAlign w:val="center"/>
          </w:tcPr>
          <w:p w14:paraId="5C79959C">
            <w:pPr>
              <w:spacing w:line="360" w:lineRule="exact"/>
              <w:jc w:val="center"/>
              <w:rPr>
                <w:rFonts w:hint="eastAsia" w:ascii="宋体" w:hAnsi="宋体" w:cs="宋体"/>
                <w:color w:val="auto"/>
                <w:szCs w:val="21"/>
                <w:highlight w:val="none"/>
              </w:rPr>
            </w:pPr>
          </w:p>
        </w:tc>
        <w:tc>
          <w:tcPr>
            <w:tcW w:w="1292" w:type="dxa"/>
            <w:noWrap w:val="0"/>
            <w:vAlign w:val="center"/>
          </w:tcPr>
          <w:p w14:paraId="3214D2C9">
            <w:pPr>
              <w:spacing w:line="360" w:lineRule="exact"/>
              <w:jc w:val="center"/>
              <w:rPr>
                <w:rFonts w:hint="eastAsia" w:ascii="宋体" w:hAnsi="宋体" w:cs="宋体"/>
                <w:color w:val="auto"/>
                <w:szCs w:val="21"/>
                <w:highlight w:val="none"/>
              </w:rPr>
            </w:pPr>
          </w:p>
        </w:tc>
        <w:tc>
          <w:tcPr>
            <w:tcW w:w="906" w:type="dxa"/>
            <w:noWrap w:val="0"/>
            <w:vAlign w:val="center"/>
          </w:tcPr>
          <w:p w14:paraId="2314246F">
            <w:pPr>
              <w:spacing w:line="360" w:lineRule="exact"/>
              <w:jc w:val="center"/>
              <w:rPr>
                <w:rFonts w:hint="eastAsia" w:ascii="宋体" w:hAnsi="宋体" w:cs="宋体"/>
                <w:color w:val="auto"/>
                <w:szCs w:val="21"/>
                <w:highlight w:val="none"/>
              </w:rPr>
            </w:pPr>
          </w:p>
        </w:tc>
        <w:tc>
          <w:tcPr>
            <w:tcW w:w="906" w:type="dxa"/>
            <w:noWrap w:val="0"/>
            <w:vAlign w:val="center"/>
          </w:tcPr>
          <w:p w14:paraId="48740130">
            <w:pPr>
              <w:spacing w:line="360" w:lineRule="exact"/>
              <w:jc w:val="center"/>
              <w:rPr>
                <w:rFonts w:hint="eastAsia" w:ascii="宋体" w:hAnsi="宋体" w:cs="宋体"/>
                <w:color w:val="auto"/>
                <w:szCs w:val="21"/>
                <w:highlight w:val="none"/>
              </w:rPr>
            </w:pPr>
          </w:p>
        </w:tc>
        <w:tc>
          <w:tcPr>
            <w:tcW w:w="906" w:type="dxa"/>
            <w:noWrap w:val="0"/>
            <w:vAlign w:val="center"/>
          </w:tcPr>
          <w:p w14:paraId="291961B4">
            <w:pPr>
              <w:spacing w:line="360" w:lineRule="exact"/>
              <w:jc w:val="center"/>
              <w:rPr>
                <w:rFonts w:hint="eastAsia" w:ascii="宋体" w:hAnsi="宋体" w:cs="宋体"/>
                <w:color w:val="auto"/>
                <w:szCs w:val="21"/>
                <w:highlight w:val="none"/>
              </w:rPr>
            </w:pPr>
          </w:p>
        </w:tc>
      </w:tr>
      <w:tr w14:paraId="3CE4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6" w:type="dxa"/>
            <w:noWrap w:val="0"/>
            <w:vAlign w:val="center"/>
          </w:tcPr>
          <w:p w14:paraId="34FBB567">
            <w:pPr>
              <w:spacing w:line="360" w:lineRule="exact"/>
              <w:jc w:val="center"/>
              <w:rPr>
                <w:rFonts w:hint="eastAsia" w:ascii="宋体" w:hAnsi="宋体" w:cs="宋体"/>
                <w:color w:val="auto"/>
                <w:szCs w:val="21"/>
                <w:highlight w:val="none"/>
              </w:rPr>
            </w:pPr>
          </w:p>
        </w:tc>
        <w:tc>
          <w:tcPr>
            <w:tcW w:w="1392" w:type="dxa"/>
            <w:noWrap w:val="0"/>
            <w:vAlign w:val="center"/>
          </w:tcPr>
          <w:p w14:paraId="0962EF94">
            <w:pPr>
              <w:spacing w:line="360" w:lineRule="exact"/>
              <w:jc w:val="center"/>
              <w:rPr>
                <w:rFonts w:hint="eastAsia" w:ascii="宋体" w:hAnsi="宋体" w:eastAsia="宋体" w:cs="宋体"/>
                <w:color w:val="auto"/>
                <w:szCs w:val="21"/>
                <w:highlight w:val="none"/>
                <w:lang w:val="en-US" w:eastAsia="zh-CN"/>
              </w:rPr>
            </w:pPr>
          </w:p>
        </w:tc>
        <w:tc>
          <w:tcPr>
            <w:tcW w:w="1246" w:type="dxa"/>
            <w:noWrap w:val="0"/>
            <w:vAlign w:val="center"/>
          </w:tcPr>
          <w:p w14:paraId="72F92532">
            <w:pPr>
              <w:spacing w:line="360" w:lineRule="exact"/>
              <w:jc w:val="center"/>
              <w:rPr>
                <w:rFonts w:hint="eastAsia" w:ascii="宋体" w:hAnsi="宋体" w:cs="宋体"/>
                <w:color w:val="auto"/>
                <w:szCs w:val="21"/>
                <w:highlight w:val="none"/>
              </w:rPr>
            </w:pPr>
          </w:p>
        </w:tc>
        <w:tc>
          <w:tcPr>
            <w:tcW w:w="1246" w:type="dxa"/>
            <w:noWrap w:val="0"/>
            <w:vAlign w:val="center"/>
          </w:tcPr>
          <w:p w14:paraId="77DCA56E">
            <w:pPr>
              <w:spacing w:line="360" w:lineRule="exact"/>
              <w:jc w:val="center"/>
              <w:rPr>
                <w:rFonts w:hint="eastAsia" w:ascii="宋体" w:hAnsi="宋体" w:cs="宋体"/>
                <w:color w:val="auto"/>
                <w:szCs w:val="21"/>
                <w:highlight w:val="none"/>
              </w:rPr>
            </w:pPr>
          </w:p>
        </w:tc>
        <w:tc>
          <w:tcPr>
            <w:tcW w:w="1339" w:type="dxa"/>
            <w:noWrap w:val="0"/>
            <w:vAlign w:val="center"/>
          </w:tcPr>
          <w:p w14:paraId="37FD3BBC">
            <w:pPr>
              <w:spacing w:line="360" w:lineRule="exact"/>
              <w:jc w:val="center"/>
              <w:rPr>
                <w:rFonts w:hint="eastAsia" w:ascii="宋体" w:hAnsi="宋体" w:cs="宋体"/>
                <w:color w:val="auto"/>
                <w:szCs w:val="21"/>
                <w:highlight w:val="none"/>
              </w:rPr>
            </w:pPr>
          </w:p>
        </w:tc>
        <w:tc>
          <w:tcPr>
            <w:tcW w:w="1292" w:type="dxa"/>
            <w:noWrap w:val="0"/>
            <w:vAlign w:val="center"/>
          </w:tcPr>
          <w:p w14:paraId="40A14B55">
            <w:pPr>
              <w:spacing w:line="360" w:lineRule="exact"/>
              <w:jc w:val="center"/>
              <w:rPr>
                <w:rFonts w:hint="eastAsia" w:ascii="宋体" w:hAnsi="宋体" w:cs="宋体"/>
                <w:color w:val="auto"/>
                <w:szCs w:val="21"/>
                <w:highlight w:val="none"/>
              </w:rPr>
            </w:pPr>
          </w:p>
        </w:tc>
        <w:tc>
          <w:tcPr>
            <w:tcW w:w="906" w:type="dxa"/>
            <w:noWrap w:val="0"/>
            <w:vAlign w:val="center"/>
          </w:tcPr>
          <w:p w14:paraId="12DEED9D">
            <w:pPr>
              <w:spacing w:line="360" w:lineRule="exact"/>
              <w:jc w:val="center"/>
              <w:rPr>
                <w:rFonts w:hint="eastAsia" w:ascii="宋体" w:hAnsi="宋体" w:cs="宋体"/>
                <w:color w:val="auto"/>
                <w:szCs w:val="21"/>
                <w:highlight w:val="none"/>
              </w:rPr>
            </w:pPr>
          </w:p>
        </w:tc>
        <w:tc>
          <w:tcPr>
            <w:tcW w:w="906" w:type="dxa"/>
            <w:noWrap w:val="0"/>
            <w:vAlign w:val="center"/>
          </w:tcPr>
          <w:p w14:paraId="2DAF2709">
            <w:pPr>
              <w:spacing w:line="360" w:lineRule="exact"/>
              <w:jc w:val="center"/>
              <w:rPr>
                <w:rFonts w:hint="eastAsia" w:ascii="宋体" w:hAnsi="宋体" w:cs="宋体"/>
                <w:color w:val="auto"/>
                <w:szCs w:val="21"/>
                <w:highlight w:val="none"/>
              </w:rPr>
            </w:pPr>
          </w:p>
        </w:tc>
        <w:tc>
          <w:tcPr>
            <w:tcW w:w="906" w:type="dxa"/>
            <w:noWrap w:val="0"/>
            <w:vAlign w:val="center"/>
          </w:tcPr>
          <w:p w14:paraId="5E13E240">
            <w:pPr>
              <w:spacing w:line="360" w:lineRule="exact"/>
              <w:jc w:val="center"/>
              <w:rPr>
                <w:rFonts w:hint="eastAsia" w:ascii="宋体" w:hAnsi="宋体" w:cs="宋体"/>
                <w:color w:val="auto"/>
                <w:szCs w:val="21"/>
                <w:highlight w:val="none"/>
              </w:rPr>
            </w:pPr>
          </w:p>
        </w:tc>
      </w:tr>
      <w:tr w14:paraId="036E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26" w:type="dxa"/>
            <w:noWrap w:val="0"/>
            <w:vAlign w:val="center"/>
          </w:tcPr>
          <w:p w14:paraId="64B53292">
            <w:pPr>
              <w:spacing w:line="360" w:lineRule="exact"/>
              <w:jc w:val="center"/>
              <w:rPr>
                <w:rFonts w:hint="eastAsia" w:ascii="宋体" w:hAnsi="宋体" w:cs="宋体"/>
                <w:color w:val="auto"/>
                <w:szCs w:val="21"/>
                <w:highlight w:val="none"/>
              </w:rPr>
            </w:pPr>
          </w:p>
        </w:tc>
        <w:tc>
          <w:tcPr>
            <w:tcW w:w="1392" w:type="dxa"/>
            <w:noWrap w:val="0"/>
            <w:vAlign w:val="center"/>
          </w:tcPr>
          <w:p w14:paraId="7085813B">
            <w:pPr>
              <w:spacing w:line="360" w:lineRule="exact"/>
              <w:jc w:val="center"/>
              <w:rPr>
                <w:rFonts w:hint="eastAsia" w:ascii="宋体" w:hAnsi="宋体" w:eastAsia="宋体" w:cs="宋体"/>
                <w:color w:val="auto"/>
                <w:szCs w:val="21"/>
                <w:highlight w:val="none"/>
                <w:lang w:val="en-US" w:eastAsia="zh-CN"/>
              </w:rPr>
            </w:pPr>
          </w:p>
        </w:tc>
        <w:tc>
          <w:tcPr>
            <w:tcW w:w="1246" w:type="dxa"/>
            <w:noWrap w:val="0"/>
            <w:vAlign w:val="center"/>
          </w:tcPr>
          <w:p w14:paraId="68B84EFF">
            <w:pPr>
              <w:spacing w:line="360" w:lineRule="exact"/>
              <w:jc w:val="center"/>
              <w:rPr>
                <w:rFonts w:hint="eastAsia" w:ascii="宋体" w:hAnsi="宋体" w:cs="宋体"/>
                <w:color w:val="auto"/>
                <w:szCs w:val="21"/>
                <w:highlight w:val="none"/>
              </w:rPr>
            </w:pPr>
          </w:p>
        </w:tc>
        <w:tc>
          <w:tcPr>
            <w:tcW w:w="1246" w:type="dxa"/>
            <w:noWrap w:val="0"/>
            <w:vAlign w:val="center"/>
          </w:tcPr>
          <w:p w14:paraId="2E667CFE">
            <w:pPr>
              <w:spacing w:line="360" w:lineRule="exact"/>
              <w:jc w:val="center"/>
              <w:rPr>
                <w:rFonts w:hint="eastAsia" w:ascii="宋体" w:hAnsi="宋体" w:cs="宋体"/>
                <w:color w:val="auto"/>
                <w:szCs w:val="21"/>
                <w:highlight w:val="none"/>
              </w:rPr>
            </w:pPr>
          </w:p>
        </w:tc>
        <w:tc>
          <w:tcPr>
            <w:tcW w:w="1339" w:type="dxa"/>
            <w:noWrap w:val="0"/>
            <w:vAlign w:val="center"/>
          </w:tcPr>
          <w:p w14:paraId="41CB9BE3">
            <w:pPr>
              <w:spacing w:line="360" w:lineRule="exact"/>
              <w:jc w:val="center"/>
              <w:rPr>
                <w:rFonts w:hint="eastAsia" w:ascii="宋体" w:hAnsi="宋体" w:cs="宋体"/>
                <w:color w:val="auto"/>
                <w:szCs w:val="21"/>
                <w:highlight w:val="none"/>
              </w:rPr>
            </w:pPr>
          </w:p>
        </w:tc>
        <w:tc>
          <w:tcPr>
            <w:tcW w:w="1292" w:type="dxa"/>
            <w:noWrap w:val="0"/>
            <w:vAlign w:val="center"/>
          </w:tcPr>
          <w:p w14:paraId="5A6162A8">
            <w:pPr>
              <w:spacing w:line="360" w:lineRule="exact"/>
              <w:jc w:val="center"/>
              <w:rPr>
                <w:rFonts w:hint="eastAsia" w:ascii="宋体" w:hAnsi="宋体" w:cs="宋体"/>
                <w:color w:val="auto"/>
                <w:szCs w:val="21"/>
                <w:highlight w:val="none"/>
              </w:rPr>
            </w:pPr>
          </w:p>
        </w:tc>
        <w:tc>
          <w:tcPr>
            <w:tcW w:w="906" w:type="dxa"/>
            <w:noWrap w:val="0"/>
            <w:vAlign w:val="center"/>
          </w:tcPr>
          <w:p w14:paraId="7300B3D6">
            <w:pPr>
              <w:spacing w:line="360" w:lineRule="exact"/>
              <w:jc w:val="center"/>
              <w:rPr>
                <w:rFonts w:hint="eastAsia" w:ascii="宋体" w:hAnsi="宋体" w:cs="宋体"/>
                <w:color w:val="auto"/>
                <w:szCs w:val="21"/>
                <w:highlight w:val="none"/>
              </w:rPr>
            </w:pPr>
          </w:p>
        </w:tc>
        <w:tc>
          <w:tcPr>
            <w:tcW w:w="906" w:type="dxa"/>
            <w:noWrap w:val="0"/>
            <w:vAlign w:val="center"/>
          </w:tcPr>
          <w:p w14:paraId="53ACEBB9">
            <w:pPr>
              <w:spacing w:line="360" w:lineRule="exact"/>
              <w:jc w:val="center"/>
              <w:rPr>
                <w:rFonts w:hint="eastAsia" w:ascii="宋体" w:hAnsi="宋体" w:cs="宋体"/>
                <w:color w:val="auto"/>
                <w:szCs w:val="21"/>
                <w:highlight w:val="none"/>
              </w:rPr>
            </w:pPr>
          </w:p>
        </w:tc>
        <w:tc>
          <w:tcPr>
            <w:tcW w:w="906" w:type="dxa"/>
            <w:noWrap w:val="0"/>
            <w:vAlign w:val="center"/>
          </w:tcPr>
          <w:p w14:paraId="2A178E31">
            <w:pPr>
              <w:spacing w:line="360" w:lineRule="exact"/>
              <w:jc w:val="center"/>
              <w:rPr>
                <w:rFonts w:hint="eastAsia" w:ascii="宋体" w:hAnsi="宋体" w:cs="宋体"/>
                <w:color w:val="auto"/>
                <w:szCs w:val="21"/>
                <w:highlight w:val="none"/>
              </w:rPr>
            </w:pPr>
          </w:p>
        </w:tc>
      </w:tr>
      <w:tr w14:paraId="39AA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26" w:type="dxa"/>
            <w:noWrap w:val="0"/>
            <w:vAlign w:val="center"/>
          </w:tcPr>
          <w:p w14:paraId="12EEE73A">
            <w:pPr>
              <w:spacing w:line="360" w:lineRule="exact"/>
              <w:jc w:val="center"/>
              <w:rPr>
                <w:rFonts w:hint="eastAsia" w:ascii="宋体" w:hAnsi="宋体" w:eastAsia="宋体" w:cs="宋体"/>
                <w:color w:val="auto"/>
                <w:szCs w:val="21"/>
                <w:highlight w:val="none"/>
                <w:lang w:val="en-US" w:eastAsia="zh-CN"/>
              </w:rPr>
            </w:pPr>
          </w:p>
        </w:tc>
        <w:tc>
          <w:tcPr>
            <w:tcW w:w="1392" w:type="dxa"/>
            <w:noWrap w:val="0"/>
            <w:vAlign w:val="center"/>
          </w:tcPr>
          <w:p w14:paraId="705B5714">
            <w:pPr>
              <w:spacing w:line="360" w:lineRule="exact"/>
              <w:jc w:val="center"/>
              <w:rPr>
                <w:rFonts w:hint="default" w:ascii="宋体" w:hAnsi="宋体" w:eastAsia="宋体" w:cs="宋体"/>
                <w:color w:val="auto"/>
                <w:szCs w:val="21"/>
                <w:highlight w:val="none"/>
                <w:lang w:val="en-US" w:eastAsia="zh-CN"/>
              </w:rPr>
            </w:pPr>
          </w:p>
        </w:tc>
        <w:tc>
          <w:tcPr>
            <w:tcW w:w="1246" w:type="dxa"/>
            <w:noWrap w:val="0"/>
            <w:vAlign w:val="center"/>
          </w:tcPr>
          <w:p w14:paraId="36250806">
            <w:pPr>
              <w:spacing w:line="360" w:lineRule="exact"/>
              <w:jc w:val="center"/>
              <w:rPr>
                <w:rFonts w:hint="eastAsia" w:ascii="宋体" w:hAnsi="宋体" w:cs="宋体"/>
                <w:color w:val="auto"/>
                <w:szCs w:val="21"/>
                <w:highlight w:val="none"/>
              </w:rPr>
            </w:pPr>
          </w:p>
        </w:tc>
        <w:tc>
          <w:tcPr>
            <w:tcW w:w="1246" w:type="dxa"/>
            <w:noWrap w:val="0"/>
            <w:vAlign w:val="center"/>
          </w:tcPr>
          <w:p w14:paraId="608341F9">
            <w:pPr>
              <w:spacing w:line="360" w:lineRule="exact"/>
              <w:jc w:val="center"/>
              <w:rPr>
                <w:rFonts w:hint="eastAsia" w:ascii="宋体" w:hAnsi="宋体" w:cs="宋体"/>
                <w:color w:val="auto"/>
                <w:szCs w:val="21"/>
                <w:highlight w:val="none"/>
              </w:rPr>
            </w:pPr>
          </w:p>
        </w:tc>
        <w:tc>
          <w:tcPr>
            <w:tcW w:w="1339" w:type="dxa"/>
            <w:noWrap w:val="0"/>
            <w:vAlign w:val="center"/>
          </w:tcPr>
          <w:p w14:paraId="33F3CA5D">
            <w:pPr>
              <w:spacing w:line="360" w:lineRule="exact"/>
              <w:jc w:val="center"/>
              <w:rPr>
                <w:rFonts w:hint="eastAsia" w:ascii="宋体" w:hAnsi="宋体" w:cs="宋体"/>
                <w:color w:val="auto"/>
                <w:szCs w:val="21"/>
                <w:highlight w:val="none"/>
              </w:rPr>
            </w:pPr>
          </w:p>
        </w:tc>
        <w:tc>
          <w:tcPr>
            <w:tcW w:w="1292" w:type="dxa"/>
            <w:noWrap w:val="0"/>
            <w:vAlign w:val="center"/>
          </w:tcPr>
          <w:p w14:paraId="6AC10799">
            <w:pPr>
              <w:spacing w:line="360" w:lineRule="exact"/>
              <w:jc w:val="center"/>
              <w:rPr>
                <w:rFonts w:hint="eastAsia" w:ascii="宋体" w:hAnsi="宋体" w:cs="宋体"/>
                <w:color w:val="auto"/>
                <w:szCs w:val="21"/>
                <w:highlight w:val="none"/>
              </w:rPr>
            </w:pPr>
          </w:p>
        </w:tc>
        <w:tc>
          <w:tcPr>
            <w:tcW w:w="906" w:type="dxa"/>
            <w:noWrap w:val="0"/>
            <w:vAlign w:val="center"/>
          </w:tcPr>
          <w:p w14:paraId="3B6DB3E2">
            <w:pPr>
              <w:spacing w:line="360" w:lineRule="exact"/>
              <w:jc w:val="center"/>
              <w:rPr>
                <w:rFonts w:hint="eastAsia" w:ascii="宋体" w:hAnsi="宋体" w:cs="宋体"/>
                <w:color w:val="auto"/>
                <w:szCs w:val="21"/>
                <w:highlight w:val="none"/>
              </w:rPr>
            </w:pPr>
          </w:p>
        </w:tc>
        <w:tc>
          <w:tcPr>
            <w:tcW w:w="906" w:type="dxa"/>
            <w:noWrap w:val="0"/>
            <w:vAlign w:val="center"/>
          </w:tcPr>
          <w:p w14:paraId="45C09BDD">
            <w:pPr>
              <w:spacing w:line="360" w:lineRule="exact"/>
              <w:jc w:val="center"/>
              <w:rPr>
                <w:rFonts w:hint="eastAsia" w:ascii="宋体" w:hAnsi="宋体" w:cs="宋体"/>
                <w:color w:val="auto"/>
                <w:szCs w:val="21"/>
                <w:highlight w:val="none"/>
              </w:rPr>
            </w:pPr>
          </w:p>
        </w:tc>
        <w:tc>
          <w:tcPr>
            <w:tcW w:w="906" w:type="dxa"/>
            <w:noWrap w:val="0"/>
            <w:vAlign w:val="center"/>
          </w:tcPr>
          <w:p w14:paraId="62933E9A">
            <w:pPr>
              <w:spacing w:line="360" w:lineRule="exact"/>
              <w:jc w:val="center"/>
              <w:rPr>
                <w:rFonts w:hint="eastAsia" w:ascii="宋体" w:hAnsi="宋体" w:cs="宋体"/>
                <w:color w:val="auto"/>
                <w:szCs w:val="21"/>
                <w:highlight w:val="none"/>
              </w:rPr>
            </w:pPr>
          </w:p>
        </w:tc>
      </w:tr>
      <w:tr w14:paraId="4F07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6" w:type="dxa"/>
            <w:noWrap w:val="0"/>
            <w:vAlign w:val="center"/>
          </w:tcPr>
          <w:p w14:paraId="26B1A5F5">
            <w:pPr>
              <w:spacing w:line="360" w:lineRule="exact"/>
              <w:jc w:val="center"/>
              <w:rPr>
                <w:rFonts w:hint="eastAsia" w:ascii="宋体" w:hAnsi="宋体" w:eastAsia="宋体" w:cs="宋体"/>
                <w:color w:val="auto"/>
                <w:szCs w:val="21"/>
                <w:highlight w:val="none"/>
                <w:lang w:val="en-US" w:eastAsia="zh-CN"/>
              </w:rPr>
            </w:pPr>
          </w:p>
        </w:tc>
        <w:tc>
          <w:tcPr>
            <w:tcW w:w="1392" w:type="dxa"/>
            <w:noWrap w:val="0"/>
            <w:vAlign w:val="center"/>
          </w:tcPr>
          <w:p w14:paraId="634038FD">
            <w:pPr>
              <w:spacing w:line="360" w:lineRule="exact"/>
              <w:jc w:val="center"/>
              <w:rPr>
                <w:rFonts w:hint="default" w:ascii="宋体" w:hAnsi="宋体" w:cs="宋体"/>
                <w:color w:val="auto"/>
                <w:szCs w:val="21"/>
                <w:highlight w:val="none"/>
                <w:lang w:val="en-US" w:eastAsia="zh-CN"/>
              </w:rPr>
            </w:pPr>
            <w:r>
              <w:rPr>
                <w:rFonts w:hint="eastAsia" w:ascii="宋体" w:hAnsi="宋体" w:cs="宋体"/>
                <w:color w:val="auto"/>
                <w:sz w:val="24"/>
                <w:highlight w:val="none"/>
                <w:lang w:eastAsia="zh-CN"/>
              </w:rPr>
              <w:t>……</w:t>
            </w:r>
          </w:p>
        </w:tc>
        <w:tc>
          <w:tcPr>
            <w:tcW w:w="1246" w:type="dxa"/>
            <w:noWrap w:val="0"/>
            <w:vAlign w:val="center"/>
          </w:tcPr>
          <w:p w14:paraId="37231BB5">
            <w:pPr>
              <w:spacing w:line="360" w:lineRule="exact"/>
              <w:jc w:val="center"/>
              <w:rPr>
                <w:rFonts w:hint="eastAsia" w:ascii="宋体" w:hAnsi="宋体" w:cs="宋体"/>
                <w:color w:val="auto"/>
                <w:szCs w:val="21"/>
                <w:highlight w:val="none"/>
              </w:rPr>
            </w:pPr>
          </w:p>
        </w:tc>
        <w:tc>
          <w:tcPr>
            <w:tcW w:w="1246" w:type="dxa"/>
            <w:noWrap w:val="0"/>
            <w:vAlign w:val="center"/>
          </w:tcPr>
          <w:p w14:paraId="7358BC9C">
            <w:pPr>
              <w:spacing w:line="360" w:lineRule="exact"/>
              <w:jc w:val="center"/>
              <w:rPr>
                <w:rFonts w:hint="eastAsia" w:ascii="宋体" w:hAnsi="宋体" w:cs="宋体"/>
                <w:color w:val="auto"/>
                <w:szCs w:val="21"/>
                <w:highlight w:val="none"/>
              </w:rPr>
            </w:pPr>
          </w:p>
        </w:tc>
        <w:tc>
          <w:tcPr>
            <w:tcW w:w="1339" w:type="dxa"/>
            <w:noWrap w:val="0"/>
            <w:vAlign w:val="center"/>
          </w:tcPr>
          <w:p w14:paraId="65F78967">
            <w:pPr>
              <w:spacing w:line="360" w:lineRule="exact"/>
              <w:jc w:val="center"/>
              <w:rPr>
                <w:rFonts w:hint="eastAsia" w:ascii="宋体" w:hAnsi="宋体" w:cs="宋体"/>
                <w:color w:val="auto"/>
                <w:szCs w:val="21"/>
                <w:highlight w:val="none"/>
              </w:rPr>
            </w:pPr>
          </w:p>
        </w:tc>
        <w:tc>
          <w:tcPr>
            <w:tcW w:w="1292" w:type="dxa"/>
            <w:noWrap w:val="0"/>
            <w:vAlign w:val="center"/>
          </w:tcPr>
          <w:p w14:paraId="1800D97D">
            <w:pPr>
              <w:spacing w:line="360" w:lineRule="exact"/>
              <w:jc w:val="center"/>
              <w:rPr>
                <w:rFonts w:hint="eastAsia" w:ascii="宋体" w:hAnsi="宋体" w:cs="宋体"/>
                <w:color w:val="auto"/>
                <w:szCs w:val="21"/>
                <w:highlight w:val="none"/>
              </w:rPr>
            </w:pPr>
          </w:p>
        </w:tc>
        <w:tc>
          <w:tcPr>
            <w:tcW w:w="906" w:type="dxa"/>
            <w:noWrap w:val="0"/>
            <w:vAlign w:val="center"/>
          </w:tcPr>
          <w:p w14:paraId="3F516CAF">
            <w:pPr>
              <w:spacing w:line="360" w:lineRule="exact"/>
              <w:jc w:val="center"/>
              <w:rPr>
                <w:rFonts w:hint="eastAsia" w:ascii="宋体" w:hAnsi="宋体" w:cs="宋体"/>
                <w:color w:val="auto"/>
                <w:szCs w:val="21"/>
                <w:highlight w:val="none"/>
              </w:rPr>
            </w:pPr>
          </w:p>
        </w:tc>
        <w:tc>
          <w:tcPr>
            <w:tcW w:w="906" w:type="dxa"/>
            <w:noWrap w:val="0"/>
            <w:vAlign w:val="center"/>
          </w:tcPr>
          <w:p w14:paraId="594BFF95">
            <w:pPr>
              <w:spacing w:line="360" w:lineRule="exact"/>
              <w:jc w:val="center"/>
              <w:rPr>
                <w:rFonts w:hint="eastAsia" w:ascii="宋体" w:hAnsi="宋体" w:cs="宋体"/>
                <w:color w:val="auto"/>
                <w:szCs w:val="21"/>
                <w:highlight w:val="none"/>
              </w:rPr>
            </w:pPr>
          </w:p>
        </w:tc>
        <w:tc>
          <w:tcPr>
            <w:tcW w:w="906" w:type="dxa"/>
            <w:noWrap w:val="0"/>
            <w:vAlign w:val="center"/>
          </w:tcPr>
          <w:p w14:paraId="6032B49F">
            <w:pPr>
              <w:spacing w:line="360" w:lineRule="exact"/>
              <w:jc w:val="center"/>
              <w:rPr>
                <w:rFonts w:hint="eastAsia" w:ascii="宋体" w:hAnsi="宋体" w:cs="宋体"/>
                <w:color w:val="auto"/>
                <w:szCs w:val="21"/>
                <w:highlight w:val="none"/>
              </w:rPr>
            </w:pPr>
          </w:p>
        </w:tc>
      </w:tr>
    </w:tbl>
    <w:p w14:paraId="25A0CB68">
      <w:pPr>
        <w:widowControl/>
        <w:jc w:val="left"/>
        <w:rPr>
          <w:rFonts w:hint="eastAsia" w:ascii="仿宋" w:hAnsi="仿宋" w:eastAsia="仿宋" w:cs="仿宋"/>
          <w:b/>
          <w:color w:val="auto"/>
          <w:sz w:val="21"/>
          <w:szCs w:val="21"/>
          <w:highlight w:val="none"/>
        </w:rPr>
      </w:pPr>
    </w:p>
    <w:p w14:paraId="1E6BEF19">
      <w:pPr>
        <w:widowControl/>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p w14:paraId="3925B59E">
      <w:pPr>
        <w:widowControl/>
        <w:spacing w:line="360" w:lineRule="auto"/>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请</w:t>
      </w:r>
      <w:r>
        <w:rPr>
          <w:rFonts w:hint="eastAsia" w:ascii="仿宋" w:hAnsi="仿宋" w:eastAsia="仿宋" w:cs="仿宋"/>
          <w:b/>
          <w:color w:val="auto"/>
          <w:sz w:val="21"/>
          <w:szCs w:val="21"/>
          <w:highlight w:val="none"/>
          <w:lang w:val="en-US" w:eastAsia="zh-CN"/>
        </w:rPr>
        <w:t>根据投标产品实际情况填写，如该项空格内容不存在，可以填写：无</w:t>
      </w:r>
      <w:r>
        <w:rPr>
          <w:rFonts w:hint="eastAsia" w:ascii="仿宋" w:hAnsi="仿宋" w:eastAsia="仿宋" w:cs="仿宋"/>
          <w:b/>
          <w:color w:val="auto"/>
          <w:sz w:val="21"/>
          <w:szCs w:val="21"/>
          <w:highlight w:val="none"/>
        </w:rPr>
        <w:t>。</w:t>
      </w:r>
    </w:p>
    <w:p w14:paraId="26745E38">
      <w:pPr>
        <w:pStyle w:val="48"/>
        <w:ind w:left="0" w:leftChars="0" w:firstLine="0" w:firstLineChars="0"/>
        <w:rPr>
          <w:rFonts w:hint="default"/>
          <w:color w:val="auto"/>
          <w:highlight w:val="none"/>
          <w:lang w:val="en-US" w:eastAsia="zh-CN"/>
        </w:rPr>
      </w:pPr>
      <w:r>
        <w:rPr>
          <w:rFonts w:hint="eastAsia" w:ascii="仿宋" w:hAnsi="仿宋" w:eastAsia="仿宋" w:cs="仿宋"/>
          <w:b/>
          <w:color w:val="auto"/>
          <w:sz w:val="21"/>
          <w:szCs w:val="21"/>
          <w:highlight w:val="none"/>
          <w:lang w:val="en-US" w:eastAsia="zh-CN"/>
        </w:rPr>
        <w:t>（2）如无易损件请注明设备详细运行机制，后附证明材料。</w:t>
      </w:r>
    </w:p>
    <w:p w14:paraId="5B814434">
      <w:pPr>
        <w:spacing w:line="500" w:lineRule="exact"/>
        <w:ind w:firstLine="2803" w:firstLineChars="1335"/>
        <w:rPr>
          <w:rFonts w:hint="eastAsia" w:ascii="宋体" w:hAnsi="宋体" w:cs="宋体"/>
          <w:color w:val="auto"/>
          <w:szCs w:val="21"/>
          <w:highlight w:val="none"/>
          <w:u w:val="single"/>
        </w:rPr>
      </w:pPr>
      <w:r>
        <w:rPr>
          <w:rFonts w:hint="eastAsia" w:ascii="宋体" w:hAnsi="宋体" w:cs="宋体"/>
          <w:color w:val="auto"/>
          <w:szCs w:val="21"/>
          <w:highlight w:val="none"/>
        </w:rPr>
        <w:t xml:space="preserve">  投  标  人：</w:t>
      </w:r>
      <w:r>
        <w:rPr>
          <w:rFonts w:hint="eastAsia" w:ascii="宋体" w:hAnsi="宋体" w:cs="宋体"/>
          <w:color w:val="auto"/>
          <w:szCs w:val="21"/>
          <w:highlight w:val="none"/>
          <w:u w:val="single"/>
        </w:rPr>
        <w:t xml:space="preserve">                      （电子签章） </w:t>
      </w:r>
    </w:p>
    <w:p w14:paraId="46BB2F1B">
      <w:pPr>
        <w:spacing w:line="500" w:lineRule="exact"/>
        <w:ind w:firstLine="570"/>
        <w:rPr>
          <w:rFonts w:hint="eastAsia" w:ascii="宋体" w:hAnsi="宋体" w:cs="宋体"/>
          <w:color w:val="auto"/>
          <w:szCs w:val="21"/>
          <w:highlight w:val="none"/>
          <w:u w:val="single"/>
        </w:rPr>
      </w:pPr>
      <w:r>
        <w:rPr>
          <w:rFonts w:hint="eastAsia" w:ascii="宋体" w:hAnsi="宋体" w:cs="宋体"/>
          <w:color w:val="auto"/>
          <w:szCs w:val="21"/>
          <w:highlight w:val="none"/>
        </w:rPr>
        <w:t xml:space="preserve">                      法定代表人：</w:t>
      </w:r>
      <w:r>
        <w:rPr>
          <w:rFonts w:hint="eastAsia" w:ascii="宋体" w:hAnsi="宋体" w:cs="宋体"/>
          <w:color w:val="auto"/>
          <w:szCs w:val="21"/>
          <w:highlight w:val="none"/>
          <w:u w:val="single"/>
        </w:rPr>
        <w:t xml:space="preserve">                      （电子签章） </w:t>
      </w:r>
    </w:p>
    <w:p w14:paraId="408DA2BA">
      <w:pPr>
        <w:pStyle w:val="20"/>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月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14:paraId="6D17E052">
      <w:pPr>
        <w:pStyle w:val="4"/>
        <w:numPr>
          <w:ilvl w:val="1"/>
          <w:numId w:val="0"/>
        </w:numPr>
        <w:spacing w:after="90" w:afterLines="29" w:line="480" w:lineRule="auto"/>
        <w:ind w:left="420" w:leftChars="0"/>
        <w:jc w:val="both"/>
        <w:rPr>
          <w:rFonts w:hint="eastAsia" w:ascii="宋体" w:hAnsi="宋体" w:eastAsia="宋体" w:cs="宋体"/>
          <w:color w:val="auto"/>
          <w:szCs w:val="36"/>
          <w:highlight w:val="none"/>
          <w:lang w:val="en-US" w:eastAsia="zh-CN"/>
        </w:rPr>
      </w:pPr>
    </w:p>
    <w:p w14:paraId="01657D6B">
      <w:pPr>
        <w:jc w:val="center"/>
        <w:rPr>
          <w:rFonts w:hint="eastAsia"/>
          <w:color w:val="auto"/>
          <w:highlight w:val="none"/>
          <w:lang w:val="en-US" w:eastAsia="zh-CN"/>
        </w:rPr>
      </w:pPr>
      <w:r>
        <w:rPr>
          <w:rFonts w:hint="eastAsia"/>
          <w:color w:val="auto"/>
          <w:highlight w:val="none"/>
          <w:lang w:val="en-US" w:eastAsia="zh-CN"/>
        </w:rPr>
        <w:br w:type="page"/>
      </w:r>
      <w:r>
        <w:rPr>
          <w:rFonts w:hint="eastAsia" w:ascii="宋体" w:hAnsi="宋体" w:eastAsia="宋体" w:cs="宋体"/>
          <w:color w:val="auto"/>
          <w:highlight w:val="none"/>
          <w:lang w:val="en-US" w:eastAsia="zh-CN"/>
        </w:rPr>
        <w:t>（三）专用耗材供应周期及价格承诺函（如无专用耗材请注明）：</w:t>
      </w:r>
    </w:p>
    <w:p w14:paraId="055EA08C">
      <w:pPr>
        <w:jc w:val="center"/>
        <w:rPr>
          <w:rFonts w:hint="eastAsia"/>
          <w:b/>
          <w:bCs/>
          <w:color w:val="auto"/>
          <w:sz w:val="24"/>
          <w:szCs w:val="32"/>
          <w:highlight w:val="none"/>
          <w:lang w:val="en-US" w:eastAsia="zh-CN"/>
        </w:rPr>
      </w:pPr>
    </w:p>
    <w:p w14:paraId="3AD23FD6">
      <w:pPr>
        <w:jc w:val="center"/>
        <w:rPr>
          <w:rFonts w:hint="eastAsia"/>
          <w:b/>
          <w:bCs/>
          <w:color w:val="auto"/>
          <w:sz w:val="24"/>
          <w:szCs w:val="32"/>
          <w:highlight w:val="none"/>
          <w:lang w:val="en-US" w:eastAsia="zh-CN"/>
        </w:rPr>
      </w:pPr>
    </w:p>
    <w:p w14:paraId="6C3EDB9E">
      <w:pPr>
        <w:jc w:val="center"/>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rPr>
        <w:t>专用耗材供应周期及价格承诺函</w:t>
      </w:r>
    </w:p>
    <w:p w14:paraId="5918FA46">
      <w:pPr>
        <w:jc w:val="center"/>
        <w:rPr>
          <w:rFonts w:hint="eastAsia"/>
          <w:b/>
          <w:bCs/>
          <w:color w:val="auto"/>
          <w:sz w:val="24"/>
          <w:szCs w:val="32"/>
          <w:highlight w:val="none"/>
          <w:lang w:val="en-US" w:eastAsia="zh-CN"/>
        </w:rPr>
      </w:pPr>
    </w:p>
    <w:p w14:paraId="430E7672">
      <w:pPr>
        <w:pStyle w:val="48"/>
        <w:rPr>
          <w:rFonts w:hint="eastAsia"/>
          <w:color w:val="auto"/>
          <w:highlight w:val="none"/>
          <w:lang w:val="en-US" w:eastAsia="zh-CN"/>
        </w:rPr>
      </w:pPr>
    </w:p>
    <w:p w14:paraId="32A98A86">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新乡医学院第一附属医院：</w:t>
      </w:r>
    </w:p>
    <w:p w14:paraId="72F2761D">
      <w:pPr>
        <w:spacing w:line="360" w:lineRule="auto"/>
        <w:ind w:firstLine="491" w:firstLineChars="20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我公司郑重承诺：</w:t>
      </w:r>
    </w:p>
    <w:p w14:paraId="6508D6B8">
      <w:pPr>
        <w:numPr>
          <w:ilvl w:val="0"/>
          <w:numId w:val="39"/>
        </w:numPr>
        <w:spacing w:line="360" w:lineRule="auto"/>
        <w:ind w:firstLine="491" w:firstLineChars="20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项目名称、</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）投标设备</w:t>
      </w:r>
      <w:r>
        <w:rPr>
          <w:rFonts w:hint="eastAsia" w:ascii="宋体" w:hAnsi="宋体" w:eastAsia="宋体" w:cs="宋体"/>
          <w:color w:val="auto"/>
          <w:sz w:val="24"/>
          <w:szCs w:val="24"/>
          <w:highlight w:val="none"/>
          <w:u w:val="single"/>
          <w:lang w:val="en-US" w:eastAsia="zh-CN"/>
        </w:rPr>
        <w:t xml:space="preserve">       （设备名称）</w:t>
      </w:r>
      <w:r>
        <w:rPr>
          <w:rFonts w:hint="eastAsia" w:ascii="宋体" w:hAnsi="宋体" w:eastAsia="宋体" w:cs="宋体"/>
          <w:color w:val="auto"/>
          <w:sz w:val="24"/>
          <w:szCs w:val="24"/>
          <w:highlight w:val="none"/>
        </w:rPr>
        <w:t>运行所需</w:t>
      </w:r>
      <w:r>
        <w:rPr>
          <w:rFonts w:hint="eastAsia" w:ascii="宋体" w:hAnsi="宋体" w:eastAsia="宋体" w:cs="宋体"/>
          <w:color w:val="auto"/>
          <w:sz w:val="24"/>
          <w:szCs w:val="24"/>
          <w:highlight w:val="none"/>
          <w:lang w:eastAsia="zh-CN"/>
        </w:rPr>
        <w:t>专用耗材</w:t>
      </w:r>
      <w:r>
        <w:rPr>
          <w:rFonts w:hint="eastAsia" w:ascii="宋体" w:hAnsi="宋体" w:eastAsia="宋体" w:cs="宋体"/>
          <w:color w:val="auto"/>
          <w:sz w:val="24"/>
          <w:szCs w:val="24"/>
          <w:highlight w:val="none"/>
        </w:rPr>
        <w:t>价格</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在给贵院供货期间保证为</w:t>
      </w:r>
      <w:r>
        <w:rPr>
          <w:rFonts w:hint="eastAsia" w:ascii="宋体" w:hAnsi="宋体" w:eastAsia="宋体" w:cs="宋体"/>
          <w:b/>
          <w:bCs/>
          <w:color w:val="auto"/>
          <w:sz w:val="24"/>
          <w:szCs w:val="24"/>
          <w:highlight w:val="none"/>
        </w:rPr>
        <w:t>河南市场最低价格，随市场降价及时调价</w:t>
      </w:r>
      <w:r>
        <w:rPr>
          <w:rFonts w:hint="eastAsia" w:ascii="宋体" w:hAnsi="宋体" w:eastAsia="宋体" w:cs="宋体"/>
          <w:color w:val="auto"/>
          <w:sz w:val="24"/>
          <w:szCs w:val="24"/>
          <w:highlight w:val="none"/>
        </w:rPr>
        <w:t>，如发现有低于贵院供货价成交的，我公司愿退还差价并双倍赔偿，贵院有权终止我公司供货资格。</w:t>
      </w:r>
    </w:p>
    <w:p w14:paraId="33100753">
      <w:pPr>
        <w:numPr>
          <w:ilvl w:val="0"/>
          <w:numId w:val="39"/>
        </w:numPr>
        <w:spacing w:line="360" w:lineRule="auto"/>
        <w:ind w:firstLine="491" w:firstLineChars="20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项目名称、</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投标设备</w:t>
      </w:r>
      <w:r>
        <w:rPr>
          <w:rFonts w:hint="eastAsia" w:ascii="宋体" w:hAnsi="宋体" w:eastAsia="宋体" w:cs="宋体"/>
          <w:color w:val="auto"/>
          <w:sz w:val="24"/>
          <w:szCs w:val="24"/>
          <w:highlight w:val="none"/>
          <w:u w:val="single"/>
          <w:lang w:val="en-US" w:eastAsia="zh-CN"/>
        </w:rPr>
        <w:t xml:space="preserve">       （设备名称）</w:t>
      </w:r>
      <w:r>
        <w:rPr>
          <w:rFonts w:hint="eastAsia" w:ascii="宋体" w:hAnsi="宋体" w:eastAsia="宋体" w:cs="宋体"/>
          <w:color w:val="auto"/>
          <w:sz w:val="24"/>
          <w:szCs w:val="24"/>
          <w:highlight w:val="none"/>
          <w:lang w:val="en-US" w:eastAsia="zh-CN"/>
        </w:rPr>
        <w:t>运行所需专用耗材的供应周期</w:t>
      </w:r>
      <w:r>
        <w:rPr>
          <w:rFonts w:hint="eastAsia" w:ascii="宋体" w:hAnsi="宋体" w:cs="宋体"/>
          <w:color w:val="auto"/>
          <w:sz w:val="24"/>
          <w:szCs w:val="24"/>
          <w:highlight w:val="none"/>
          <w:u w:val="single"/>
          <w:lang w:val="en-US" w:eastAsia="zh-CN"/>
        </w:rPr>
        <w:t xml:space="preserve"> 支气管镜系统4年 </w:t>
      </w:r>
      <w:r>
        <w:rPr>
          <w:rFonts w:hint="eastAsia" w:ascii="宋体" w:hAnsi="宋体" w:eastAsia="宋体" w:cs="宋体"/>
          <w:color w:val="auto"/>
          <w:sz w:val="24"/>
          <w:szCs w:val="24"/>
          <w:highlight w:val="none"/>
          <w:lang w:val="en-US" w:eastAsia="zh-CN"/>
        </w:rPr>
        <w:t>，每次供货数量、时间及规格型号以</w:t>
      </w:r>
      <w:r>
        <w:rPr>
          <w:rFonts w:hint="eastAsia" w:ascii="宋体" w:hAnsi="宋体" w:eastAsia="宋体" w:cs="宋体"/>
          <w:color w:val="auto"/>
          <w:sz w:val="24"/>
          <w:szCs w:val="24"/>
          <w:highlight w:val="none"/>
        </w:rPr>
        <w:t>贵院</w:t>
      </w:r>
      <w:r>
        <w:rPr>
          <w:rFonts w:hint="eastAsia" w:ascii="宋体" w:hAnsi="宋体" w:eastAsia="宋体" w:cs="宋体"/>
          <w:color w:val="auto"/>
          <w:sz w:val="24"/>
          <w:szCs w:val="24"/>
          <w:highlight w:val="none"/>
          <w:lang w:val="en-US" w:eastAsia="zh-CN"/>
        </w:rPr>
        <w:t>通知或下发的采购清单为准，我公司完全理解并同意</w:t>
      </w:r>
      <w:r>
        <w:rPr>
          <w:rFonts w:hint="eastAsia" w:ascii="宋体" w:hAnsi="宋体" w:eastAsia="宋体" w:cs="宋体"/>
          <w:color w:val="auto"/>
          <w:sz w:val="24"/>
          <w:szCs w:val="24"/>
          <w:highlight w:val="none"/>
        </w:rPr>
        <w:t>贵院</w:t>
      </w:r>
      <w:r>
        <w:rPr>
          <w:rFonts w:hint="eastAsia" w:ascii="宋体" w:hAnsi="宋体" w:eastAsia="宋体" w:cs="宋体"/>
          <w:color w:val="auto"/>
          <w:sz w:val="24"/>
          <w:szCs w:val="24"/>
          <w:highlight w:val="none"/>
          <w:lang w:val="en-US" w:eastAsia="zh-CN"/>
        </w:rPr>
        <w:t>不保证供应时限及数量，以实际发生为准。(注：上述专用耗材的供应以国家现行法律法规、医院管理制度为准，如遇国家政策调整或医院相关制度调整，按照最新规定执行。)</w:t>
      </w:r>
    </w:p>
    <w:p w14:paraId="55BA6797">
      <w:pPr>
        <w:spacing w:line="500" w:lineRule="exact"/>
        <w:ind w:firstLine="2880" w:firstLineChars="1200"/>
        <w:rPr>
          <w:rFonts w:hint="eastAsia" w:ascii="宋体" w:hAnsi="宋体" w:cs="宋体"/>
          <w:color w:val="auto"/>
          <w:sz w:val="24"/>
          <w:szCs w:val="24"/>
          <w:highlight w:val="none"/>
          <w:lang w:val="en-US" w:eastAsia="zh-CN"/>
        </w:rPr>
      </w:pPr>
    </w:p>
    <w:p w14:paraId="267393B9">
      <w:pPr>
        <w:pStyle w:val="48"/>
        <w:rPr>
          <w:rFonts w:hint="eastAsia"/>
          <w:highlight w:val="none"/>
          <w:lang w:val="en-US" w:eastAsia="zh-CN"/>
        </w:rPr>
      </w:pPr>
    </w:p>
    <w:p w14:paraId="4BF2C3EA">
      <w:pPr>
        <w:spacing w:line="500" w:lineRule="exact"/>
        <w:ind w:firstLine="2880" w:firstLineChars="1200"/>
        <w:rPr>
          <w:rFonts w:hint="eastAsia"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投  标  人：</w:t>
      </w:r>
      <w:r>
        <w:rPr>
          <w:rFonts w:hint="eastAsia" w:ascii="宋体" w:hAnsi="宋体" w:cs="宋体"/>
          <w:color w:val="auto"/>
          <w:sz w:val="24"/>
          <w:szCs w:val="24"/>
          <w:highlight w:val="none"/>
          <w:u w:val="single"/>
        </w:rPr>
        <w:t xml:space="preserve">                      （电子签章） </w:t>
      </w:r>
    </w:p>
    <w:p w14:paraId="6E3331BA">
      <w:pPr>
        <w:spacing w:line="500" w:lineRule="exact"/>
        <w:ind w:firstLine="57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u w:val="single"/>
        </w:rPr>
        <w:t xml:space="preserve">                     （电子签章） </w:t>
      </w:r>
    </w:p>
    <w:p w14:paraId="50CADB5B">
      <w:pPr>
        <w:pStyle w:val="20"/>
        <w:spacing w:line="500" w:lineRule="exact"/>
        <w:rPr>
          <w:rFonts w:hint="eastAsia" w:ascii="宋体" w:hAnsi="宋体" w:eastAsia="宋体" w:cs="宋体"/>
          <w:color w:val="auto"/>
          <w:szCs w:val="36"/>
          <w:highlight w:val="none"/>
          <w:lang w:val="zh-CN"/>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日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日  </w:t>
      </w:r>
    </w:p>
    <w:p w14:paraId="2119F312">
      <w:pPr>
        <w:rPr>
          <w:rFonts w:hint="eastAsia" w:ascii="宋体" w:hAnsi="宋体" w:cs="宋体"/>
          <w:sz w:val="24"/>
          <w:szCs w:val="20"/>
          <w:highlight w:val="none"/>
        </w:rPr>
      </w:pPr>
    </w:p>
    <w:p w14:paraId="1ECA783D">
      <w:pPr>
        <w:widowControl/>
        <w:jc w:val="left"/>
        <w:rPr>
          <w:rFonts w:hint="eastAsia" w:ascii="宋体" w:hAnsi="宋体" w:cs="宋体"/>
          <w:b/>
          <w:sz w:val="32"/>
          <w:szCs w:val="32"/>
          <w:highlight w:val="none"/>
        </w:rPr>
      </w:pPr>
    </w:p>
    <w:p w14:paraId="0A4669F2">
      <w:pPr>
        <w:rPr>
          <w:rFonts w:hint="eastAsia" w:ascii="宋体" w:hAnsi="宋体" w:cs="宋体"/>
          <w:highlight w:val="none"/>
        </w:rPr>
      </w:pPr>
    </w:p>
    <w:p w14:paraId="00104DDD">
      <w:pPr>
        <w:pStyle w:val="4"/>
        <w:numPr>
          <w:ilvl w:val="0"/>
          <w:numId w:val="0"/>
        </w:numPr>
        <w:ind w:left="425"/>
        <w:rPr>
          <w:rFonts w:hint="eastAsia" w:ascii="宋体" w:hAnsi="宋体" w:eastAsia="宋体" w:cs="宋体"/>
          <w:highlight w:val="none"/>
        </w:rPr>
        <w:sectPr>
          <w:pgSz w:w="11906" w:h="16838"/>
          <w:pgMar w:top="1440" w:right="1800" w:bottom="1440" w:left="1800" w:header="851" w:footer="992" w:gutter="0"/>
          <w:pgNumType w:fmt="decimal"/>
          <w:cols w:space="720" w:num="1"/>
          <w:docGrid w:type="lines" w:linePitch="312" w:charSpace="0"/>
        </w:sectPr>
      </w:pPr>
      <w:bookmarkStart w:id="148" w:name="_Toc395181598"/>
      <w:bookmarkStart w:id="149" w:name="_Toc99423353"/>
    </w:p>
    <w:p w14:paraId="66C59A5E">
      <w:pPr>
        <w:pStyle w:val="4"/>
        <w:numPr>
          <w:ilvl w:val="0"/>
          <w:numId w:val="0"/>
        </w:numPr>
        <w:rPr>
          <w:rFonts w:hint="eastAsia" w:ascii="宋体" w:hAnsi="宋体" w:eastAsia="宋体" w:cs="宋体"/>
          <w:highlight w:val="none"/>
        </w:rPr>
      </w:pPr>
      <w:bookmarkStart w:id="150" w:name="_Toc19838"/>
      <w:bookmarkStart w:id="151" w:name="_Toc1855"/>
      <w:bookmarkStart w:id="152" w:name="_Toc1810"/>
      <w:bookmarkStart w:id="153" w:name="_Toc497920541"/>
      <w:r>
        <w:rPr>
          <w:rFonts w:hint="eastAsia" w:ascii="宋体" w:hAnsi="宋体" w:eastAsia="宋体" w:cs="宋体"/>
          <w:highlight w:val="none"/>
        </w:rPr>
        <w:t>4.技术规格及商务偏离表</w:t>
      </w:r>
      <w:bookmarkEnd w:id="148"/>
      <w:bookmarkEnd w:id="149"/>
      <w:bookmarkEnd w:id="150"/>
      <w:bookmarkEnd w:id="151"/>
      <w:bookmarkEnd w:id="152"/>
      <w:bookmarkEnd w:id="153"/>
    </w:p>
    <w:p w14:paraId="52655405">
      <w:pPr>
        <w:jc w:val="center"/>
        <w:rPr>
          <w:rFonts w:hint="eastAsia" w:ascii="宋体" w:hAnsi="宋体" w:cs="宋体"/>
          <w:b/>
          <w:sz w:val="24"/>
          <w:highlight w:val="none"/>
        </w:rPr>
      </w:pPr>
      <w:r>
        <w:rPr>
          <w:rFonts w:hint="eastAsia" w:ascii="宋体" w:hAnsi="宋体" w:cs="宋体"/>
          <w:b/>
          <w:sz w:val="24"/>
          <w:highlight w:val="none"/>
        </w:rPr>
        <w:t>4.1技术规格偏差表</w:t>
      </w:r>
    </w:p>
    <w:p w14:paraId="602A638F">
      <w:pPr>
        <w:rPr>
          <w:rFonts w:hint="eastAsia" w:ascii="宋体" w:hAnsi="宋体" w:cs="宋体"/>
          <w:highlight w:val="none"/>
        </w:rPr>
      </w:pPr>
    </w:p>
    <w:p w14:paraId="7188FE92">
      <w:pPr>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名称：</w:t>
      </w:r>
    </w:p>
    <w:p w14:paraId="721939D3">
      <w:pPr>
        <w:rPr>
          <w:rFonts w:hint="eastAsia" w:ascii="宋体" w:hAnsi="宋体" w:cs="宋体"/>
          <w:sz w:val="24"/>
          <w:highlight w:val="none"/>
        </w:rPr>
      </w:pPr>
      <w:r>
        <w:rPr>
          <w:rFonts w:hint="eastAsia" w:ascii="宋体" w:hAnsi="宋体" w:cs="宋体"/>
          <w:sz w:val="24"/>
          <w:highlight w:val="none"/>
        </w:rPr>
        <w:t xml:space="preserve">项目编号：                                                                                                   </w:t>
      </w:r>
    </w:p>
    <w:tbl>
      <w:tblPr>
        <w:tblStyle w:val="82"/>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6"/>
        <w:gridCol w:w="1766"/>
        <w:gridCol w:w="1573"/>
        <w:gridCol w:w="1283"/>
        <w:gridCol w:w="1158"/>
        <w:gridCol w:w="1080"/>
        <w:gridCol w:w="1203"/>
      </w:tblGrid>
      <w:tr w14:paraId="6811C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6" w:hRule="atLeast"/>
        </w:trPr>
        <w:tc>
          <w:tcPr>
            <w:tcW w:w="197" w:type="pct"/>
            <w:tcBorders>
              <w:top w:val="single" w:color="auto" w:sz="4" w:space="0"/>
              <w:left w:val="single" w:color="auto" w:sz="4" w:space="0"/>
              <w:right w:val="single" w:color="auto" w:sz="4" w:space="0"/>
            </w:tcBorders>
            <w:noWrap w:val="0"/>
            <w:vAlign w:val="center"/>
          </w:tcPr>
          <w:p w14:paraId="179C862A">
            <w:pPr>
              <w:jc w:val="center"/>
              <w:rPr>
                <w:rFonts w:hint="eastAsia" w:ascii="宋体" w:hAnsi="宋体" w:cs="宋体"/>
                <w:sz w:val="24"/>
                <w:highlight w:val="none"/>
              </w:rPr>
            </w:pPr>
            <w:r>
              <w:rPr>
                <w:rFonts w:hint="eastAsia" w:ascii="宋体" w:hAnsi="宋体" w:cs="宋体"/>
                <w:sz w:val="24"/>
                <w:highlight w:val="none"/>
              </w:rPr>
              <w:t>序号</w:t>
            </w:r>
          </w:p>
        </w:tc>
        <w:tc>
          <w:tcPr>
            <w:tcW w:w="1048" w:type="pct"/>
            <w:tcBorders>
              <w:top w:val="single" w:color="auto" w:sz="4" w:space="0"/>
              <w:left w:val="single" w:color="auto" w:sz="4" w:space="0"/>
              <w:right w:val="single" w:color="auto" w:sz="4" w:space="0"/>
            </w:tcBorders>
            <w:noWrap w:val="0"/>
            <w:vAlign w:val="center"/>
          </w:tcPr>
          <w:p w14:paraId="6A0DD8AC">
            <w:pPr>
              <w:jc w:val="center"/>
              <w:rPr>
                <w:rFonts w:hint="eastAsia" w:ascii="宋体" w:hAnsi="宋体" w:cs="宋体"/>
                <w:sz w:val="24"/>
                <w:highlight w:val="none"/>
              </w:rPr>
            </w:pPr>
            <w:r>
              <w:rPr>
                <w:rFonts w:hint="eastAsia" w:ascii="宋体" w:hAnsi="宋体" w:cs="宋体"/>
                <w:sz w:val="24"/>
                <w:highlight w:val="none"/>
              </w:rPr>
              <w:t>产品名称及条款号</w:t>
            </w:r>
          </w:p>
        </w:tc>
        <w:tc>
          <w:tcPr>
            <w:tcW w:w="934" w:type="pct"/>
            <w:tcBorders>
              <w:top w:val="single" w:color="auto" w:sz="4" w:space="0"/>
              <w:left w:val="single" w:color="auto" w:sz="4" w:space="0"/>
              <w:right w:val="single" w:color="auto" w:sz="4" w:space="0"/>
            </w:tcBorders>
            <w:noWrap w:val="0"/>
            <w:vAlign w:val="center"/>
          </w:tcPr>
          <w:p w14:paraId="29D76A8C">
            <w:pPr>
              <w:ind w:firstLine="120" w:firstLineChars="50"/>
              <w:rPr>
                <w:rFonts w:hint="eastAsia" w:ascii="宋体" w:hAnsi="宋体" w:cs="宋体"/>
                <w:sz w:val="24"/>
                <w:highlight w:val="none"/>
              </w:rPr>
            </w:pPr>
            <w:r>
              <w:rPr>
                <w:rFonts w:hint="eastAsia" w:ascii="宋体" w:hAnsi="宋体" w:cs="宋体"/>
                <w:sz w:val="24"/>
                <w:highlight w:val="none"/>
              </w:rPr>
              <w:t>招标文件要求</w:t>
            </w:r>
          </w:p>
        </w:tc>
        <w:tc>
          <w:tcPr>
            <w:tcW w:w="764" w:type="pct"/>
            <w:tcBorders>
              <w:top w:val="single" w:color="auto" w:sz="4" w:space="0"/>
              <w:left w:val="single" w:color="auto" w:sz="4" w:space="0"/>
              <w:right w:val="single" w:color="auto" w:sz="4" w:space="0"/>
            </w:tcBorders>
            <w:noWrap w:val="0"/>
            <w:vAlign w:val="center"/>
          </w:tcPr>
          <w:p w14:paraId="3C43349B">
            <w:pPr>
              <w:jc w:val="center"/>
              <w:rPr>
                <w:rFonts w:hint="eastAsia" w:ascii="宋体" w:hAnsi="宋体" w:cs="宋体"/>
                <w:sz w:val="24"/>
                <w:highlight w:val="none"/>
              </w:rPr>
            </w:pPr>
            <w:r>
              <w:rPr>
                <w:rFonts w:hint="eastAsia" w:ascii="宋体" w:hAnsi="宋体" w:cs="宋体"/>
                <w:sz w:val="24"/>
                <w:highlight w:val="none"/>
              </w:rPr>
              <w:t>投标文件响应内容</w:t>
            </w:r>
          </w:p>
        </w:tc>
        <w:tc>
          <w:tcPr>
            <w:tcW w:w="691" w:type="pct"/>
            <w:tcBorders>
              <w:top w:val="single" w:color="auto" w:sz="4" w:space="0"/>
              <w:left w:val="single" w:color="auto" w:sz="4" w:space="0"/>
              <w:right w:val="single" w:color="auto" w:sz="4" w:space="0"/>
            </w:tcBorders>
            <w:noWrap w:val="0"/>
            <w:vAlign w:val="center"/>
          </w:tcPr>
          <w:p w14:paraId="0D707B36">
            <w:pPr>
              <w:jc w:val="center"/>
              <w:rPr>
                <w:rFonts w:hint="eastAsia" w:ascii="宋体" w:hAnsi="宋体" w:cs="宋体"/>
                <w:sz w:val="24"/>
                <w:highlight w:val="none"/>
              </w:rPr>
            </w:pPr>
            <w:r>
              <w:rPr>
                <w:rFonts w:hint="eastAsia" w:ascii="宋体" w:hAnsi="宋体" w:cs="宋体"/>
                <w:sz w:val="24"/>
                <w:highlight w:val="none"/>
              </w:rPr>
              <w:t>对招标文件偏差</w:t>
            </w:r>
          </w:p>
        </w:tc>
        <w:tc>
          <w:tcPr>
            <w:tcW w:w="645" w:type="pct"/>
            <w:tcBorders>
              <w:top w:val="single" w:color="auto" w:sz="4" w:space="0"/>
              <w:left w:val="single" w:color="auto" w:sz="4" w:space="0"/>
              <w:right w:val="single" w:color="auto" w:sz="4" w:space="0"/>
            </w:tcBorders>
            <w:noWrap w:val="0"/>
            <w:vAlign w:val="center"/>
          </w:tcPr>
          <w:p w14:paraId="2ECCCCEC">
            <w:pPr>
              <w:jc w:val="center"/>
              <w:rPr>
                <w:rFonts w:hint="eastAsia" w:ascii="宋体" w:hAnsi="宋体" w:cs="宋体"/>
                <w:sz w:val="24"/>
                <w:highlight w:val="none"/>
              </w:rPr>
            </w:pPr>
            <w:r>
              <w:rPr>
                <w:rFonts w:hint="eastAsia" w:ascii="宋体" w:hAnsi="宋体" w:cs="宋体"/>
                <w:sz w:val="24"/>
                <w:highlight w:val="none"/>
              </w:rPr>
              <w:t>描述</w:t>
            </w:r>
          </w:p>
        </w:tc>
        <w:tc>
          <w:tcPr>
            <w:tcW w:w="717" w:type="pct"/>
            <w:tcBorders>
              <w:top w:val="single" w:color="auto" w:sz="4" w:space="0"/>
              <w:left w:val="single" w:color="auto" w:sz="4" w:space="0"/>
              <w:right w:val="single" w:color="auto" w:sz="4" w:space="0"/>
            </w:tcBorders>
            <w:noWrap w:val="0"/>
            <w:vAlign w:val="center"/>
          </w:tcPr>
          <w:p w14:paraId="328AD1C5">
            <w:pPr>
              <w:jc w:val="center"/>
              <w:rPr>
                <w:rFonts w:hint="eastAsia" w:ascii="宋体" w:hAnsi="宋体" w:cs="宋体"/>
                <w:sz w:val="24"/>
                <w:highlight w:val="none"/>
              </w:rPr>
            </w:pPr>
            <w:r>
              <w:rPr>
                <w:rFonts w:hint="eastAsia" w:ascii="宋体" w:hAnsi="宋体" w:cs="宋体"/>
                <w:sz w:val="24"/>
                <w:highlight w:val="none"/>
              </w:rPr>
              <w:t>备注</w:t>
            </w:r>
          </w:p>
        </w:tc>
      </w:tr>
      <w:tr w14:paraId="1FE9E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0C5E68B6">
            <w:pPr>
              <w:jc w:val="center"/>
              <w:rPr>
                <w:rFonts w:hint="eastAsia" w:ascii="宋体" w:hAnsi="宋体" w:cs="宋体"/>
                <w:sz w:val="24"/>
                <w:highlight w:val="none"/>
              </w:rPr>
            </w:pPr>
            <w:r>
              <w:rPr>
                <w:rFonts w:hint="eastAsia" w:ascii="宋体" w:hAnsi="宋体" w:cs="宋体"/>
                <w:sz w:val="24"/>
                <w:highlight w:val="none"/>
              </w:rPr>
              <w:t>1</w:t>
            </w:r>
          </w:p>
        </w:tc>
        <w:tc>
          <w:tcPr>
            <w:tcW w:w="1048" w:type="pct"/>
            <w:tcBorders>
              <w:top w:val="single" w:color="auto" w:sz="4" w:space="0"/>
              <w:left w:val="single" w:color="auto" w:sz="4" w:space="0"/>
              <w:bottom w:val="single" w:color="auto" w:sz="4" w:space="0"/>
              <w:right w:val="single" w:color="auto" w:sz="4" w:space="0"/>
            </w:tcBorders>
            <w:noWrap w:val="0"/>
            <w:vAlign w:val="center"/>
          </w:tcPr>
          <w:p w14:paraId="72C3430A">
            <w:pPr>
              <w:spacing w:line="360" w:lineRule="auto"/>
              <w:jc w:val="center"/>
              <w:rPr>
                <w:rFonts w:hint="eastAsia" w:ascii="宋体" w:hAnsi="宋体" w:cs="宋体"/>
                <w:sz w:val="24"/>
                <w:highlight w:val="none"/>
              </w:rPr>
            </w:pPr>
            <w:r>
              <w:rPr>
                <w:rFonts w:hint="eastAsia" w:ascii="宋体" w:hAnsi="宋体" w:cs="宋体"/>
                <w:sz w:val="24"/>
                <w:highlight w:val="none"/>
              </w:rPr>
              <w:t>货物或配置名称1</w:t>
            </w:r>
          </w:p>
        </w:tc>
        <w:tc>
          <w:tcPr>
            <w:tcW w:w="934" w:type="pct"/>
            <w:tcBorders>
              <w:top w:val="single" w:color="auto" w:sz="4" w:space="0"/>
              <w:left w:val="single" w:color="auto" w:sz="4" w:space="0"/>
              <w:bottom w:val="single" w:color="auto" w:sz="4" w:space="0"/>
              <w:right w:val="single" w:color="auto" w:sz="4" w:space="0"/>
            </w:tcBorders>
            <w:noWrap w:val="0"/>
            <w:vAlign w:val="top"/>
          </w:tcPr>
          <w:p w14:paraId="1F5C04B5">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3946D822">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73087FEA">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7DE5598E">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459A7771">
            <w:pPr>
              <w:rPr>
                <w:rFonts w:hint="eastAsia" w:ascii="宋体" w:hAnsi="宋体" w:cs="宋体"/>
                <w:sz w:val="24"/>
                <w:highlight w:val="none"/>
              </w:rPr>
            </w:pPr>
          </w:p>
        </w:tc>
      </w:tr>
      <w:tr w14:paraId="15BC5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7588A889">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3ACA994A">
            <w:pPr>
              <w:spacing w:line="360" w:lineRule="auto"/>
              <w:jc w:val="center"/>
              <w:rPr>
                <w:rFonts w:hint="eastAsia" w:ascii="宋体" w:hAnsi="宋体" w:cs="宋体"/>
                <w:sz w:val="24"/>
                <w:highlight w:val="none"/>
              </w:rPr>
            </w:pPr>
            <w:r>
              <w:rPr>
                <w:rFonts w:hint="eastAsia" w:ascii="宋体" w:hAnsi="宋体" w:cs="宋体"/>
                <w:sz w:val="24"/>
                <w:highlight w:val="none"/>
              </w:rPr>
              <w:t>参数名称1</w:t>
            </w:r>
          </w:p>
        </w:tc>
        <w:tc>
          <w:tcPr>
            <w:tcW w:w="934" w:type="pct"/>
            <w:tcBorders>
              <w:top w:val="single" w:color="auto" w:sz="4" w:space="0"/>
              <w:left w:val="single" w:color="auto" w:sz="4" w:space="0"/>
              <w:bottom w:val="single" w:color="auto" w:sz="4" w:space="0"/>
              <w:right w:val="single" w:color="auto" w:sz="4" w:space="0"/>
            </w:tcBorders>
            <w:noWrap w:val="0"/>
            <w:vAlign w:val="top"/>
          </w:tcPr>
          <w:p w14:paraId="476E55D3">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0FF393F6">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5C3D5AA0">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6D299860">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713EC5B7">
            <w:pPr>
              <w:rPr>
                <w:rFonts w:hint="eastAsia" w:ascii="宋体" w:hAnsi="宋体" w:cs="宋体"/>
                <w:sz w:val="24"/>
                <w:highlight w:val="none"/>
              </w:rPr>
            </w:pPr>
          </w:p>
        </w:tc>
      </w:tr>
      <w:tr w14:paraId="1B44A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50E9FCA8">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0D458DA7">
            <w:pPr>
              <w:spacing w:line="360" w:lineRule="auto"/>
              <w:jc w:val="center"/>
              <w:rPr>
                <w:rFonts w:hint="eastAsia" w:ascii="宋体" w:hAnsi="宋体" w:cs="宋体"/>
                <w:sz w:val="24"/>
                <w:highlight w:val="none"/>
              </w:rPr>
            </w:pPr>
          </w:p>
        </w:tc>
        <w:tc>
          <w:tcPr>
            <w:tcW w:w="934" w:type="pct"/>
            <w:tcBorders>
              <w:top w:val="single" w:color="auto" w:sz="4" w:space="0"/>
              <w:left w:val="single" w:color="auto" w:sz="4" w:space="0"/>
              <w:bottom w:val="single" w:color="auto" w:sz="4" w:space="0"/>
              <w:right w:val="single" w:color="auto" w:sz="4" w:space="0"/>
            </w:tcBorders>
            <w:noWrap w:val="0"/>
            <w:vAlign w:val="top"/>
          </w:tcPr>
          <w:p w14:paraId="49217B10">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576D4699">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470A9F1F">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050472F7">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71E7D03A">
            <w:pPr>
              <w:rPr>
                <w:rFonts w:hint="eastAsia" w:ascii="宋体" w:hAnsi="宋体" w:cs="宋体"/>
                <w:sz w:val="24"/>
                <w:highlight w:val="none"/>
              </w:rPr>
            </w:pPr>
          </w:p>
        </w:tc>
      </w:tr>
      <w:tr w14:paraId="0A756A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53297ACE">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23F07C78">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934" w:type="pct"/>
            <w:tcBorders>
              <w:top w:val="single" w:color="auto" w:sz="4" w:space="0"/>
              <w:left w:val="single" w:color="auto" w:sz="4" w:space="0"/>
              <w:bottom w:val="single" w:color="auto" w:sz="4" w:space="0"/>
              <w:right w:val="single" w:color="auto" w:sz="4" w:space="0"/>
            </w:tcBorders>
            <w:noWrap w:val="0"/>
            <w:vAlign w:val="top"/>
          </w:tcPr>
          <w:p w14:paraId="03D0B95E">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6B9BF001">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642896CC">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0F711C24">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1397DA3E">
            <w:pPr>
              <w:rPr>
                <w:rFonts w:hint="eastAsia" w:ascii="宋体" w:hAnsi="宋体" w:cs="宋体"/>
                <w:sz w:val="24"/>
                <w:highlight w:val="none"/>
              </w:rPr>
            </w:pPr>
          </w:p>
        </w:tc>
      </w:tr>
      <w:tr w14:paraId="0E6A9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47F9D770">
            <w:pPr>
              <w:jc w:val="center"/>
              <w:rPr>
                <w:rFonts w:hint="eastAsia" w:ascii="宋体" w:hAnsi="宋体" w:cs="宋体"/>
                <w:sz w:val="24"/>
                <w:highlight w:val="none"/>
              </w:rPr>
            </w:pPr>
            <w:r>
              <w:rPr>
                <w:rFonts w:hint="eastAsia" w:ascii="宋体" w:hAnsi="宋体" w:cs="宋体"/>
                <w:sz w:val="24"/>
                <w:highlight w:val="none"/>
              </w:rPr>
              <w:t>2</w:t>
            </w:r>
          </w:p>
        </w:tc>
        <w:tc>
          <w:tcPr>
            <w:tcW w:w="1048" w:type="pct"/>
            <w:tcBorders>
              <w:top w:val="single" w:color="auto" w:sz="4" w:space="0"/>
              <w:left w:val="single" w:color="auto" w:sz="4" w:space="0"/>
              <w:bottom w:val="single" w:color="auto" w:sz="4" w:space="0"/>
              <w:right w:val="single" w:color="auto" w:sz="4" w:space="0"/>
            </w:tcBorders>
            <w:noWrap w:val="0"/>
            <w:vAlign w:val="center"/>
          </w:tcPr>
          <w:p w14:paraId="007FA121">
            <w:pPr>
              <w:spacing w:line="360" w:lineRule="auto"/>
              <w:jc w:val="center"/>
              <w:rPr>
                <w:rFonts w:hint="eastAsia" w:ascii="宋体" w:hAnsi="宋体" w:cs="宋体"/>
                <w:sz w:val="24"/>
                <w:highlight w:val="none"/>
              </w:rPr>
            </w:pPr>
            <w:r>
              <w:rPr>
                <w:rFonts w:hint="eastAsia" w:ascii="宋体" w:hAnsi="宋体" w:cs="宋体"/>
                <w:sz w:val="24"/>
                <w:highlight w:val="none"/>
              </w:rPr>
              <w:t>货物或配置名称2</w:t>
            </w:r>
          </w:p>
        </w:tc>
        <w:tc>
          <w:tcPr>
            <w:tcW w:w="934" w:type="pct"/>
            <w:tcBorders>
              <w:top w:val="single" w:color="auto" w:sz="4" w:space="0"/>
              <w:left w:val="single" w:color="auto" w:sz="4" w:space="0"/>
              <w:bottom w:val="single" w:color="auto" w:sz="4" w:space="0"/>
              <w:right w:val="single" w:color="auto" w:sz="4" w:space="0"/>
            </w:tcBorders>
            <w:noWrap w:val="0"/>
            <w:vAlign w:val="top"/>
          </w:tcPr>
          <w:p w14:paraId="261E4958">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11CAA9F7">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2797D962">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033D8CE9">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76801285">
            <w:pPr>
              <w:rPr>
                <w:rFonts w:hint="eastAsia" w:ascii="宋体" w:hAnsi="宋体" w:cs="宋体"/>
                <w:sz w:val="24"/>
                <w:highlight w:val="none"/>
              </w:rPr>
            </w:pPr>
          </w:p>
        </w:tc>
      </w:tr>
      <w:tr w14:paraId="5BEB0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01A0DAE4">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64A0600A">
            <w:pPr>
              <w:spacing w:line="360" w:lineRule="auto"/>
              <w:jc w:val="center"/>
              <w:rPr>
                <w:rFonts w:hint="eastAsia" w:ascii="宋体" w:hAnsi="宋体" w:cs="宋体"/>
                <w:sz w:val="24"/>
                <w:highlight w:val="none"/>
              </w:rPr>
            </w:pPr>
            <w:r>
              <w:rPr>
                <w:rFonts w:hint="eastAsia" w:ascii="宋体" w:hAnsi="宋体" w:cs="宋体"/>
                <w:sz w:val="24"/>
                <w:highlight w:val="none"/>
              </w:rPr>
              <w:t>参数名称2</w:t>
            </w:r>
          </w:p>
        </w:tc>
        <w:tc>
          <w:tcPr>
            <w:tcW w:w="934" w:type="pct"/>
            <w:tcBorders>
              <w:top w:val="single" w:color="auto" w:sz="4" w:space="0"/>
              <w:left w:val="single" w:color="auto" w:sz="4" w:space="0"/>
              <w:bottom w:val="single" w:color="auto" w:sz="4" w:space="0"/>
              <w:right w:val="single" w:color="auto" w:sz="4" w:space="0"/>
            </w:tcBorders>
            <w:noWrap w:val="0"/>
            <w:vAlign w:val="top"/>
          </w:tcPr>
          <w:p w14:paraId="35A86A34">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3A9D4E60">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4ABA482D">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2C7DEC31">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030B55EF">
            <w:pPr>
              <w:rPr>
                <w:rFonts w:hint="eastAsia" w:ascii="宋体" w:hAnsi="宋体" w:cs="宋体"/>
                <w:sz w:val="24"/>
                <w:highlight w:val="none"/>
              </w:rPr>
            </w:pPr>
          </w:p>
        </w:tc>
      </w:tr>
      <w:tr w14:paraId="7410A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0437F32C">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314C1AD7">
            <w:pPr>
              <w:spacing w:line="360" w:lineRule="auto"/>
              <w:jc w:val="center"/>
              <w:rPr>
                <w:rFonts w:hint="eastAsia" w:ascii="宋体" w:hAnsi="宋体" w:cs="宋体"/>
                <w:sz w:val="24"/>
                <w:highlight w:val="none"/>
              </w:rPr>
            </w:pPr>
          </w:p>
        </w:tc>
        <w:tc>
          <w:tcPr>
            <w:tcW w:w="934" w:type="pct"/>
            <w:tcBorders>
              <w:top w:val="single" w:color="auto" w:sz="4" w:space="0"/>
              <w:left w:val="single" w:color="auto" w:sz="4" w:space="0"/>
              <w:bottom w:val="single" w:color="auto" w:sz="4" w:space="0"/>
              <w:right w:val="single" w:color="auto" w:sz="4" w:space="0"/>
            </w:tcBorders>
            <w:noWrap w:val="0"/>
            <w:vAlign w:val="top"/>
          </w:tcPr>
          <w:p w14:paraId="0F044845">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1772440D">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022EB418">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0CBBAD2E">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790191FF">
            <w:pPr>
              <w:rPr>
                <w:rFonts w:hint="eastAsia" w:ascii="宋体" w:hAnsi="宋体" w:cs="宋体"/>
                <w:sz w:val="24"/>
                <w:highlight w:val="none"/>
              </w:rPr>
            </w:pPr>
          </w:p>
        </w:tc>
      </w:tr>
      <w:tr w14:paraId="6B0FD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7B4AEAD0">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1A7512CD">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934" w:type="pct"/>
            <w:tcBorders>
              <w:top w:val="single" w:color="auto" w:sz="4" w:space="0"/>
              <w:left w:val="single" w:color="auto" w:sz="4" w:space="0"/>
              <w:bottom w:val="single" w:color="auto" w:sz="4" w:space="0"/>
              <w:right w:val="single" w:color="auto" w:sz="4" w:space="0"/>
            </w:tcBorders>
            <w:noWrap w:val="0"/>
            <w:vAlign w:val="top"/>
          </w:tcPr>
          <w:p w14:paraId="78B5DCF2">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10C0EB57">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0BA450C8">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09C36811">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1317E030">
            <w:pPr>
              <w:rPr>
                <w:rFonts w:hint="eastAsia" w:ascii="宋体" w:hAnsi="宋体" w:cs="宋体"/>
                <w:sz w:val="24"/>
                <w:highlight w:val="none"/>
              </w:rPr>
            </w:pPr>
          </w:p>
        </w:tc>
      </w:tr>
      <w:tr w14:paraId="355C8C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left w:val="single" w:color="auto" w:sz="4" w:space="0"/>
              <w:bottom w:val="single" w:color="auto" w:sz="4" w:space="0"/>
              <w:right w:val="single" w:color="auto" w:sz="4" w:space="0"/>
            </w:tcBorders>
            <w:noWrap w:val="0"/>
            <w:vAlign w:val="center"/>
          </w:tcPr>
          <w:p w14:paraId="003F03ED">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65CCA209">
            <w:pPr>
              <w:spacing w:line="360" w:lineRule="auto"/>
              <w:jc w:val="center"/>
              <w:rPr>
                <w:rFonts w:hint="eastAsia" w:ascii="宋体" w:hAnsi="宋体" w:cs="宋体"/>
                <w:sz w:val="24"/>
                <w:highlight w:val="none"/>
              </w:rPr>
            </w:pPr>
          </w:p>
        </w:tc>
        <w:tc>
          <w:tcPr>
            <w:tcW w:w="934" w:type="pct"/>
            <w:tcBorders>
              <w:top w:val="single" w:color="auto" w:sz="4" w:space="0"/>
              <w:left w:val="single" w:color="auto" w:sz="4" w:space="0"/>
              <w:bottom w:val="single" w:color="auto" w:sz="4" w:space="0"/>
              <w:right w:val="single" w:color="auto" w:sz="4" w:space="0"/>
            </w:tcBorders>
            <w:noWrap w:val="0"/>
            <w:vAlign w:val="top"/>
          </w:tcPr>
          <w:p w14:paraId="027DA0C1">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6316ADD5">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203D9F34">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64322E7C">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right w:val="single" w:color="auto" w:sz="4" w:space="0"/>
            </w:tcBorders>
            <w:noWrap w:val="0"/>
            <w:vAlign w:val="top"/>
          </w:tcPr>
          <w:p w14:paraId="33B7EEF3">
            <w:pPr>
              <w:rPr>
                <w:rFonts w:hint="eastAsia" w:ascii="宋体" w:hAnsi="宋体" w:cs="宋体"/>
                <w:sz w:val="24"/>
                <w:highlight w:val="none"/>
              </w:rPr>
            </w:pPr>
          </w:p>
        </w:tc>
      </w:tr>
      <w:tr w14:paraId="4F7C0D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bottom w:val="single" w:color="auto" w:sz="4" w:space="0"/>
              <w:right w:val="single" w:color="auto" w:sz="4" w:space="0"/>
            </w:tcBorders>
            <w:noWrap w:val="0"/>
            <w:vAlign w:val="top"/>
          </w:tcPr>
          <w:p w14:paraId="6A73D0E0">
            <w:pPr>
              <w:jc w:val="center"/>
              <w:rPr>
                <w:rFonts w:hint="eastAsia" w:ascii="宋体" w:hAnsi="宋体" w:cs="宋体"/>
                <w:sz w:val="24"/>
                <w:highlight w:val="none"/>
              </w:rPr>
            </w:pPr>
          </w:p>
        </w:tc>
        <w:tc>
          <w:tcPr>
            <w:tcW w:w="1048" w:type="pct"/>
            <w:tcBorders>
              <w:top w:val="single" w:color="auto" w:sz="4" w:space="0"/>
              <w:left w:val="single" w:color="auto" w:sz="4" w:space="0"/>
              <w:bottom w:val="single" w:color="auto" w:sz="4" w:space="0"/>
              <w:right w:val="single" w:color="auto" w:sz="4" w:space="0"/>
            </w:tcBorders>
            <w:noWrap w:val="0"/>
            <w:vAlign w:val="center"/>
          </w:tcPr>
          <w:p w14:paraId="4645691D">
            <w:pPr>
              <w:spacing w:line="360" w:lineRule="auto"/>
              <w:jc w:val="center"/>
              <w:rPr>
                <w:rFonts w:hint="eastAsia" w:ascii="宋体" w:hAnsi="宋体" w:cs="宋体"/>
                <w:sz w:val="24"/>
                <w:highlight w:val="none"/>
              </w:rPr>
            </w:pPr>
          </w:p>
        </w:tc>
        <w:tc>
          <w:tcPr>
            <w:tcW w:w="934" w:type="pct"/>
            <w:tcBorders>
              <w:top w:val="single" w:color="auto" w:sz="4" w:space="0"/>
              <w:left w:val="single" w:color="auto" w:sz="4" w:space="0"/>
              <w:bottom w:val="single" w:color="auto" w:sz="4" w:space="0"/>
              <w:right w:val="single" w:color="auto" w:sz="4" w:space="0"/>
            </w:tcBorders>
            <w:noWrap w:val="0"/>
            <w:vAlign w:val="top"/>
          </w:tcPr>
          <w:p w14:paraId="25490ABD">
            <w:pPr>
              <w:rPr>
                <w:rFonts w:hint="eastAsia" w:ascii="宋体" w:hAnsi="宋体" w:cs="宋体"/>
                <w:sz w:val="24"/>
                <w:highlight w:val="none"/>
              </w:rPr>
            </w:pPr>
          </w:p>
        </w:tc>
        <w:tc>
          <w:tcPr>
            <w:tcW w:w="764" w:type="pct"/>
            <w:tcBorders>
              <w:top w:val="single" w:color="auto" w:sz="4" w:space="0"/>
              <w:left w:val="single" w:color="auto" w:sz="4" w:space="0"/>
              <w:bottom w:val="single" w:color="auto" w:sz="4" w:space="0"/>
              <w:right w:val="single" w:color="auto" w:sz="4" w:space="0"/>
            </w:tcBorders>
            <w:noWrap w:val="0"/>
            <w:vAlign w:val="top"/>
          </w:tcPr>
          <w:p w14:paraId="4539ED70">
            <w:pPr>
              <w:rPr>
                <w:rFonts w:hint="eastAsia" w:ascii="宋体" w:hAnsi="宋体" w:cs="宋体"/>
                <w:sz w:val="24"/>
                <w:highlight w:val="none"/>
              </w:rPr>
            </w:pPr>
          </w:p>
        </w:tc>
        <w:tc>
          <w:tcPr>
            <w:tcW w:w="691" w:type="pct"/>
            <w:tcBorders>
              <w:top w:val="single" w:color="auto" w:sz="4" w:space="0"/>
              <w:left w:val="single" w:color="auto" w:sz="4" w:space="0"/>
              <w:bottom w:val="single" w:color="auto" w:sz="4" w:space="0"/>
              <w:right w:val="single" w:color="auto" w:sz="4" w:space="0"/>
            </w:tcBorders>
            <w:noWrap w:val="0"/>
            <w:vAlign w:val="top"/>
          </w:tcPr>
          <w:p w14:paraId="48410D92">
            <w:pPr>
              <w:rPr>
                <w:rFonts w:hint="eastAsia" w:ascii="宋体" w:hAnsi="宋体" w:cs="宋体"/>
                <w:sz w:val="24"/>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top"/>
          </w:tcPr>
          <w:p w14:paraId="5C3AD0B6">
            <w:pPr>
              <w:rPr>
                <w:rFonts w:hint="eastAsia" w:ascii="宋体" w:hAnsi="宋体" w:cs="宋体"/>
                <w:sz w:val="24"/>
                <w:highlight w:val="none"/>
              </w:rPr>
            </w:pPr>
          </w:p>
        </w:tc>
        <w:tc>
          <w:tcPr>
            <w:tcW w:w="717" w:type="pct"/>
            <w:tcBorders>
              <w:top w:val="single" w:color="auto" w:sz="4" w:space="0"/>
              <w:left w:val="single" w:color="auto" w:sz="4" w:space="0"/>
              <w:bottom w:val="single" w:color="auto" w:sz="4" w:space="0"/>
            </w:tcBorders>
            <w:noWrap w:val="0"/>
            <w:vAlign w:val="top"/>
          </w:tcPr>
          <w:p w14:paraId="12F0D81A">
            <w:pPr>
              <w:rPr>
                <w:rFonts w:hint="eastAsia" w:ascii="宋体" w:hAnsi="宋体" w:cs="宋体"/>
                <w:sz w:val="24"/>
                <w:highlight w:val="none"/>
              </w:rPr>
            </w:pPr>
          </w:p>
        </w:tc>
      </w:tr>
      <w:tr w14:paraId="2F9A5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7" w:type="pct"/>
            <w:tcBorders>
              <w:top w:val="single" w:color="auto" w:sz="4" w:space="0"/>
              <w:right w:val="single" w:color="auto" w:sz="4" w:space="0"/>
            </w:tcBorders>
            <w:noWrap w:val="0"/>
            <w:vAlign w:val="top"/>
          </w:tcPr>
          <w:p w14:paraId="7C1EAB2F">
            <w:pPr>
              <w:jc w:val="center"/>
              <w:rPr>
                <w:rFonts w:hint="eastAsia" w:ascii="宋体" w:hAnsi="宋体" w:cs="宋体"/>
                <w:sz w:val="24"/>
                <w:highlight w:val="none"/>
              </w:rPr>
            </w:pPr>
          </w:p>
        </w:tc>
        <w:tc>
          <w:tcPr>
            <w:tcW w:w="1048" w:type="pct"/>
            <w:tcBorders>
              <w:top w:val="single" w:color="auto" w:sz="4" w:space="0"/>
              <w:left w:val="single" w:color="auto" w:sz="4" w:space="0"/>
              <w:right w:val="single" w:color="auto" w:sz="4" w:space="0"/>
            </w:tcBorders>
            <w:noWrap w:val="0"/>
            <w:vAlign w:val="center"/>
          </w:tcPr>
          <w:p w14:paraId="53156810">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934" w:type="pct"/>
            <w:tcBorders>
              <w:top w:val="single" w:color="auto" w:sz="4" w:space="0"/>
              <w:left w:val="single" w:color="auto" w:sz="4" w:space="0"/>
              <w:right w:val="single" w:color="auto" w:sz="4" w:space="0"/>
            </w:tcBorders>
            <w:noWrap w:val="0"/>
            <w:vAlign w:val="top"/>
          </w:tcPr>
          <w:p w14:paraId="07283F3C">
            <w:pPr>
              <w:rPr>
                <w:rFonts w:hint="eastAsia" w:ascii="宋体" w:hAnsi="宋体" w:cs="宋体"/>
                <w:sz w:val="24"/>
                <w:highlight w:val="none"/>
              </w:rPr>
            </w:pPr>
          </w:p>
        </w:tc>
        <w:tc>
          <w:tcPr>
            <w:tcW w:w="764" w:type="pct"/>
            <w:tcBorders>
              <w:top w:val="single" w:color="auto" w:sz="4" w:space="0"/>
              <w:left w:val="single" w:color="auto" w:sz="4" w:space="0"/>
              <w:right w:val="single" w:color="auto" w:sz="4" w:space="0"/>
            </w:tcBorders>
            <w:noWrap w:val="0"/>
            <w:vAlign w:val="top"/>
          </w:tcPr>
          <w:p w14:paraId="4A195774">
            <w:pPr>
              <w:rPr>
                <w:rFonts w:hint="eastAsia" w:ascii="宋体" w:hAnsi="宋体" w:cs="宋体"/>
                <w:sz w:val="24"/>
                <w:highlight w:val="none"/>
              </w:rPr>
            </w:pPr>
          </w:p>
        </w:tc>
        <w:tc>
          <w:tcPr>
            <w:tcW w:w="691" w:type="pct"/>
            <w:tcBorders>
              <w:top w:val="single" w:color="auto" w:sz="4" w:space="0"/>
              <w:left w:val="single" w:color="auto" w:sz="4" w:space="0"/>
              <w:right w:val="single" w:color="auto" w:sz="4" w:space="0"/>
            </w:tcBorders>
            <w:noWrap w:val="0"/>
            <w:vAlign w:val="top"/>
          </w:tcPr>
          <w:p w14:paraId="04CA5724">
            <w:pPr>
              <w:rPr>
                <w:rFonts w:hint="eastAsia" w:ascii="宋体" w:hAnsi="宋体" w:cs="宋体"/>
                <w:sz w:val="24"/>
                <w:highlight w:val="none"/>
              </w:rPr>
            </w:pPr>
          </w:p>
        </w:tc>
        <w:tc>
          <w:tcPr>
            <w:tcW w:w="645" w:type="pct"/>
            <w:tcBorders>
              <w:top w:val="single" w:color="auto" w:sz="4" w:space="0"/>
              <w:left w:val="single" w:color="auto" w:sz="4" w:space="0"/>
              <w:right w:val="single" w:color="auto" w:sz="4" w:space="0"/>
            </w:tcBorders>
            <w:noWrap w:val="0"/>
            <w:vAlign w:val="top"/>
          </w:tcPr>
          <w:p w14:paraId="7AE58ED4">
            <w:pPr>
              <w:rPr>
                <w:rFonts w:hint="eastAsia" w:ascii="宋体" w:hAnsi="宋体" w:cs="宋体"/>
                <w:sz w:val="24"/>
                <w:highlight w:val="none"/>
              </w:rPr>
            </w:pPr>
          </w:p>
        </w:tc>
        <w:tc>
          <w:tcPr>
            <w:tcW w:w="717" w:type="pct"/>
            <w:tcBorders>
              <w:top w:val="single" w:color="auto" w:sz="4" w:space="0"/>
              <w:left w:val="single" w:color="auto" w:sz="4" w:space="0"/>
            </w:tcBorders>
            <w:noWrap w:val="0"/>
            <w:vAlign w:val="top"/>
          </w:tcPr>
          <w:p w14:paraId="1A6BFD4C">
            <w:pPr>
              <w:rPr>
                <w:rFonts w:hint="eastAsia" w:ascii="宋体" w:hAnsi="宋体" w:cs="宋体"/>
                <w:sz w:val="24"/>
                <w:highlight w:val="none"/>
              </w:rPr>
            </w:pPr>
          </w:p>
        </w:tc>
      </w:tr>
    </w:tbl>
    <w:p w14:paraId="1F5930A2">
      <w:pPr>
        <w:pStyle w:val="20"/>
        <w:spacing w:line="360" w:lineRule="auto"/>
        <w:ind w:firstLine="0"/>
        <w:rPr>
          <w:rFonts w:hint="eastAsia" w:ascii="宋体" w:hAnsi="宋体" w:cs="宋体"/>
          <w:sz w:val="24"/>
          <w:szCs w:val="24"/>
          <w:highlight w:val="none"/>
        </w:rPr>
      </w:pPr>
      <w:r>
        <w:rPr>
          <w:rFonts w:hint="eastAsia" w:ascii="宋体" w:hAnsi="宋体" w:cs="宋体"/>
          <w:sz w:val="24"/>
          <w:szCs w:val="24"/>
          <w:highlight w:val="none"/>
          <w:lang w:eastAsia="zh-CN"/>
        </w:rPr>
        <w:t>供应商（盖单位电子章）</w:t>
      </w:r>
      <w:r>
        <w:rPr>
          <w:rFonts w:hint="eastAsia" w:ascii="宋体" w:hAnsi="宋体" w:cs="宋体"/>
          <w:sz w:val="24"/>
          <w:szCs w:val="24"/>
          <w:highlight w:val="none"/>
        </w:rPr>
        <w:t>：</w:t>
      </w:r>
    </w:p>
    <w:p w14:paraId="404D0372">
      <w:pPr>
        <w:adjustRightInd w:val="0"/>
        <w:snapToGrid w:val="0"/>
        <w:jc w:val="left"/>
        <w:rPr>
          <w:rFonts w:hint="eastAsia" w:ascii="宋体" w:hAnsi="宋体" w:cs="宋体"/>
          <w:sz w:val="24"/>
          <w:highlight w:val="none"/>
        </w:rPr>
      </w:pPr>
      <w:r>
        <w:rPr>
          <w:rFonts w:hint="eastAsia" w:ascii="宋体" w:hAnsi="宋体" w:cs="宋体"/>
          <w:sz w:val="24"/>
          <w:highlight w:val="none"/>
        </w:rPr>
        <w:t>日期：</w:t>
      </w:r>
    </w:p>
    <w:p w14:paraId="4CD5C1BC">
      <w:pPr>
        <w:adjustRightInd w:val="0"/>
        <w:snapToGrid w:val="0"/>
        <w:spacing w:line="360" w:lineRule="auto"/>
        <w:jc w:val="left"/>
        <w:rPr>
          <w:rFonts w:hint="eastAsia" w:ascii="宋体" w:hAnsi="宋体" w:cs="宋体"/>
          <w:sz w:val="24"/>
          <w:highlight w:val="none"/>
        </w:rPr>
      </w:pPr>
      <w:r>
        <w:rPr>
          <w:rFonts w:hint="eastAsia" w:ascii="宋体" w:hAnsi="宋体" w:cs="宋体"/>
          <w:sz w:val="24"/>
          <w:highlight w:val="none"/>
        </w:rPr>
        <w:t xml:space="preserve">说明： </w:t>
      </w:r>
    </w:p>
    <w:p w14:paraId="7861F48A">
      <w:pPr>
        <w:adjustRightInd w:val="0"/>
        <w:snapToGrid w:val="0"/>
        <w:spacing w:line="360" w:lineRule="auto"/>
        <w:jc w:val="left"/>
        <w:rPr>
          <w:rFonts w:hint="eastAsia" w:ascii="宋体" w:hAnsi="宋体" w:cs="宋体"/>
          <w:sz w:val="24"/>
          <w:highlight w:val="none"/>
        </w:rPr>
      </w:pPr>
      <w:r>
        <w:rPr>
          <w:rFonts w:hint="eastAsia" w:ascii="宋体" w:hAnsi="宋体" w:cs="宋体"/>
          <w:sz w:val="24"/>
          <w:highlight w:val="none"/>
        </w:rPr>
        <w:t>1、上述此表中的“招标文件”或“投标文件”内容不得空缺，否则视为未如实、完整填写本表，对其投标按拒绝处理；</w:t>
      </w:r>
    </w:p>
    <w:p w14:paraId="6FD7C6FD">
      <w:pPr>
        <w:adjustRightInd w:val="0"/>
        <w:snapToGrid w:val="0"/>
        <w:spacing w:line="360" w:lineRule="auto"/>
        <w:jc w:val="left"/>
        <w:rPr>
          <w:rFonts w:hint="eastAsia" w:ascii="宋体" w:hAnsi="宋体" w:cs="宋体"/>
          <w:szCs w:val="21"/>
          <w:highlight w:val="none"/>
        </w:rPr>
      </w:pPr>
      <w:r>
        <w:rPr>
          <w:rFonts w:hint="eastAsia" w:ascii="宋体" w:hAnsi="宋体" w:cs="宋体"/>
          <w:sz w:val="24"/>
          <w:highlight w:val="none"/>
        </w:rPr>
        <w:t>2、本表货物序号须与招标文件“</w:t>
      </w:r>
      <w:r>
        <w:rPr>
          <w:rFonts w:hint="eastAsia" w:ascii="宋体" w:hAnsi="宋体" w:cs="宋体"/>
          <w:sz w:val="24"/>
          <w:highlight w:val="none"/>
          <w:lang w:val="en-US" w:eastAsia="zh-CN"/>
        </w:rPr>
        <w:t>采购需求</w:t>
      </w:r>
      <w:r>
        <w:rPr>
          <w:rFonts w:hint="eastAsia" w:ascii="宋体" w:hAnsi="宋体" w:cs="宋体"/>
          <w:sz w:val="24"/>
          <w:highlight w:val="none"/>
        </w:rPr>
        <w:t>”对应；</w:t>
      </w:r>
      <w:r>
        <w:rPr>
          <w:rFonts w:hint="eastAsia" w:ascii="宋体" w:hAnsi="宋体" w:cs="宋体"/>
          <w:szCs w:val="21"/>
          <w:highlight w:val="none"/>
        </w:rPr>
        <w:t xml:space="preserve"> </w:t>
      </w:r>
    </w:p>
    <w:p w14:paraId="22BF1736">
      <w:pPr>
        <w:rPr>
          <w:rFonts w:hint="eastAsia" w:ascii="宋体" w:hAnsi="宋体" w:cs="宋体"/>
          <w:highlight w:val="none"/>
        </w:rPr>
      </w:pPr>
    </w:p>
    <w:p w14:paraId="4D411071">
      <w:pPr>
        <w:rPr>
          <w:rFonts w:hint="eastAsia" w:ascii="宋体" w:hAnsi="宋体" w:cs="宋体"/>
          <w:highlight w:val="none"/>
        </w:rPr>
      </w:pPr>
    </w:p>
    <w:p w14:paraId="4F17485D">
      <w:pPr>
        <w:rPr>
          <w:rFonts w:hint="eastAsia" w:ascii="宋体" w:hAnsi="宋体" w:cs="宋体"/>
          <w:highlight w:val="none"/>
        </w:rPr>
      </w:pPr>
    </w:p>
    <w:p w14:paraId="3FEBBB25">
      <w:pPr>
        <w:jc w:val="center"/>
        <w:rPr>
          <w:rFonts w:hint="eastAsia" w:ascii="宋体" w:hAnsi="宋体" w:cs="宋体"/>
          <w:highlight w:val="none"/>
        </w:rPr>
      </w:pPr>
      <w:r>
        <w:rPr>
          <w:rFonts w:hint="eastAsia" w:ascii="宋体" w:hAnsi="宋体" w:cs="宋体"/>
          <w:highlight w:val="none"/>
        </w:rPr>
        <w:br w:type="page"/>
      </w:r>
      <w:bookmarkStart w:id="154" w:name="_Toc395181599"/>
      <w:bookmarkStart w:id="155" w:name="_Toc99423354"/>
      <w:r>
        <w:rPr>
          <w:rFonts w:hint="eastAsia" w:ascii="宋体" w:hAnsi="宋体" w:cs="宋体"/>
          <w:highlight w:val="none"/>
        </w:rPr>
        <w:t xml:space="preserve"> </w:t>
      </w:r>
      <w:r>
        <w:rPr>
          <w:rFonts w:hint="eastAsia" w:ascii="宋体" w:hAnsi="宋体" w:cs="宋体"/>
          <w:b/>
          <w:sz w:val="24"/>
          <w:highlight w:val="none"/>
        </w:rPr>
        <w:t>4.2商务条款偏差表</w:t>
      </w:r>
      <w:bookmarkEnd w:id="154"/>
      <w:bookmarkEnd w:id="155"/>
    </w:p>
    <w:p w14:paraId="39ACA6D5">
      <w:pPr>
        <w:adjustRightInd w:val="0"/>
        <w:snapToGrid w:val="0"/>
        <w:ind w:firstLine="240" w:firstLineChars="100"/>
        <w:rPr>
          <w:rFonts w:hint="eastAsia" w:ascii="宋体" w:hAnsi="宋体" w:cs="宋体"/>
          <w:sz w:val="24"/>
          <w:highlight w:val="none"/>
        </w:rPr>
      </w:pPr>
    </w:p>
    <w:p w14:paraId="7C1D570E">
      <w:pPr>
        <w:adjustRightInd w:val="0"/>
        <w:snapToGrid w:val="0"/>
        <w:ind w:firstLine="240" w:firstLineChars="100"/>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 xml:space="preserve">名称： </w:t>
      </w:r>
    </w:p>
    <w:p w14:paraId="721FF379">
      <w:pPr>
        <w:adjustRightInd w:val="0"/>
        <w:snapToGrid w:val="0"/>
        <w:ind w:right="210" w:rightChars="100" w:firstLine="240" w:firstLineChars="100"/>
        <w:rPr>
          <w:rFonts w:hint="eastAsia" w:ascii="宋体" w:hAnsi="宋体" w:cs="宋体"/>
          <w:sz w:val="24"/>
          <w:highlight w:val="none"/>
        </w:rPr>
      </w:pPr>
      <w:r>
        <w:rPr>
          <w:rFonts w:hint="eastAsia" w:ascii="宋体" w:hAnsi="宋体" w:cs="宋体"/>
          <w:sz w:val="24"/>
          <w:highlight w:val="none"/>
        </w:rPr>
        <w:t xml:space="preserve">项目编号：                                                                   </w:t>
      </w:r>
    </w:p>
    <w:tbl>
      <w:tblPr>
        <w:tblStyle w:val="8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028"/>
        <w:gridCol w:w="1260"/>
        <w:gridCol w:w="1252"/>
        <w:gridCol w:w="1421"/>
        <w:gridCol w:w="1421"/>
      </w:tblGrid>
      <w:tr w14:paraId="70D3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2223F9E1">
            <w:pPr>
              <w:jc w:val="center"/>
              <w:rPr>
                <w:rFonts w:hint="eastAsia" w:ascii="宋体" w:hAnsi="宋体" w:cs="宋体"/>
                <w:sz w:val="24"/>
                <w:highlight w:val="none"/>
              </w:rPr>
            </w:pPr>
            <w:r>
              <w:rPr>
                <w:rFonts w:hint="eastAsia" w:ascii="宋体" w:hAnsi="宋体" w:cs="宋体"/>
                <w:sz w:val="24"/>
                <w:highlight w:val="none"/>
              </w:rPr>
              <w:t>序号</w:t>
            </w:r>
          </w:p>
        </w:tc>
        <w:tc>
          <w:tcPr>
            <w:tcW w:w="2028" w:type="dxa"/>
            <w:noWrap w:val="0"/>
            <w:vAlign w:val="top"/>
          </w:tcPr>
          <w:p w14:paraId="623A7453">
            <w:pPr>
              <w:rPr>
                <w:rFonts w:hint="eastAsia" w:ascii="宋体" w:hAnsi="宋体" w:cs="宋体"/>
                <w:sz w:val="24"/>
                <w:highlight w:val="none"/>
              </w:rPr>
            </w:pPr>
            <w:r>
              <w:rPr>
                <w:rFonts w:hint="eastAsia" w:ascii="宋体" w:hAnsi="宋体" w:cs="宋体"/>
                <w:sz w:val="24"/>
                <w:highlight w:val="none"/>
              </w:rPr>
              <w:t>项目</w:t>
            </w:r>
          </w:p>
        </w:tc>
        <w:tc>
          <w:tcPr>
            <w:tcW w:w="1260" w:type="dxa"/>
            <w:noWrap w:val="0"/>
            <w:vAlign w:val="top"/>
          </w:tcPr>
          <w:p w14:paraId="1F8E11A1">
            <w:pPr>
              <w:rPr>
                <w:rFonts w:hint="eastAsia" w:ascii="宋体" w:hAnsi="宋体" w:cs="宋体"/>
                <w:sz w:val="24"/>
                <w:highlight w:val="none"/>
              </w:rPr>
            </w:pPr>
            <w:r>
              <w:rPr>
                <w:rFonts w:hint="eastAsia" w:ascii="宋体" w:hAnsi="宋体" w:cs="宋体"/>
                <w:sz w:val="24"/>
                <w:highlight w:val="none"/>
              </w:rPr>
              <w:t>招标文件要求</w:t>
            </w:r>
          </w:p>
        </w:tc>
        <w:tc>
          <w:tcPr>
            <w:tcW w:w="1252" w:type="dxa"/>
            <w:noWrap w:val="0"/>
            <w:vAlign w:val="top"/>
          </w:tcPr>
          <w:p w14:paraId="4D194440">
            <w:pPr>
              <w:rPr>
                <w:rFonts w:hint="eastAsia" w:ascii="宋体" w:hAnsi="宋体" w:cs="宋体"/>
                <w:sz w:val="24"/>
                <w:highlight w:val="none"/>
              </w:rPr>
            </w:pPr>
            <w:r>
              <w:rPr>
                <w:rFonts w:hint="eastAsia" w:ascii="宋体" w:hAnsi="宋体" w:cs="宋体"/>
                <w:sz w:val="24"/>
                <w:highlight w:val="none"/>
              </w:rPr>
              <w:t>投标文件响应内容</w:t>
            </w:r>
          </w:p>
        </w:tc>
        <w:tc>
          <w:tcPr>
            <w:tcW w:w="1421" w:type="dxa"/>
            <w:noWrap w:val="0"/>
            <w:vAlign w:val="top"/>
          </w:tcPr>
          <w:p w14:paraId="433B5B14">
            <w:pPr>
              <w:rPr>
                <w:rFonts w:hint="eastAsia" w:ascii="宋体" w:hAnsi="宋体" w:cs="宋体"/>
                <w:sz w:val="24"/>
                <w:highlight w:val="none"/>
              </w:rPr>
            </w:pPr>
            <w:r>
              <w:rPr>
                <w:rFonts w:hint="eastAsia" w:ascii="宋体" w:hAnsi="宋体" w:cs="宋体"/>
                <w:sz w:val="24"/>
                <w:highlight w:val="none"/>
              </w:rPr>
              <w:t>对招标文件偏差</w:t>
            </w:r>
          </w:p>
        </w:tc>
        <w:tc>
          <w:tcPr>
            <w:tcW w:w="1421" w:type="dxa"/>
            <w:noWrap w:val="0"/>
            <w:vAlign w:val="top"/>
          </w:tcPr>
          <w:p w14:paraId="2320F5D4">
            <w:pPr>
              <w:rPr>
                <w:rFonts w:hint="eastAsia" w:ascii="宋体" w:hAnsi="宋体" w:cs="宋体"/>
                <w:sz w:val="24"/>
                <w:highlight w:val="none"/>
              </w:rPr>
            </w:pPr>
            <w:r>
              <w:rPr>
                <w:rFonts w:hint="eastAsia" w:ascii="宋体" w:hAnsi="宋体" w:cs="宋体"/>
                <w:sz w:val="24"/>
                <w:highlight w:val="none"/>
              </w:rPr>
              <w:t>备注</w:t>
            </w:r>
          </w:p>
        </w:tc>
      </w:tr>
      <w:tr w14:paraId="5A3F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5468EEB2">
            <w:pPr>
              <w:jc w:val="center"/>
              <w:rPr>
                <w:rFonts w:hint="eastAsia" w:ascii="宋体" w:hAnsi="宋体" w:cs="宋体"/>
                <w:sz w:val="24"/>
                <w:highlight w:val="none"/>
              </w:rPr>
            </w:pPr>
            <w:r>
              <w:rPr>
                <w:rFonts w:hint="eastAsia" w:ascii="宋体" w:hAnsi="宋体" w:cs="宋体"/>
                <w:sz w:val="24"/>
                <w:highlight w:val="none"/>
              </w:rPr>
              <w:t>1</w:t>
            </w:r>
          </w:p>
        </w:tc>
        <w:tc>
          <w:tcPr>
            <w:tcW w:w="2028" w:type="dxa"/>
            <w:noWrap w:val="0"/>
            <w:vAlign w:val="top"/>
          </w:tcPr>
          <w:p w14:paraId="6CBAE99E">
            <w:pPr>
              <w:rPr>
                <w:rFonts w:hint="eastAsia" w:ascii="宋体" w:hAnsi="宋体" w:cs="宋体"/>
                <w:sz w:val="24"/>
                <w:highlight w:val="none"/>
              </w:rPr>
            </w:pPr>
            <w:r>
              <w:rPr>
                <w:rFonts w:hint="eastAsia" w:ascii="宋体" w:hAnsi="宋体" w:cs="宋体"/>
                <w:sz w:val="24"/>
                <w:highlight w:val="none"/>
              </w:rPr>
              <w:t>交货期</w:t>
            </w:r>
          </w:p>
        </w:tc>
        <w:tc>
          <w:tcPr>
            <w:tcW w:w="1260" w:type="dxa"/>
            <w:noWrap w:val="0"/>
            <w:vAlign w:val="top"/>
          </w:tcPr>
          <w:p w14:paraId="3715CC48">
            <w:pPr>
              <w:rPr>
                <w:rFonts w:hint="eastAsia" w:ascii="宋体" w:hAnsi="宋体" w:cs="宋体"/>
                <w:sz w:val="24"/>
                <w:highlight w:val="none"/>
              </w:rPr>
            </w:pPr>
          </w:p>
        </w:tc>
        <w:tc>
          <w:tcPr>
            <w:tcW w:w="1252" w:type="dxa"/>
            <w:noWrap w:val="0"/>
            <w:vAlign w:val="top"/>
          </w:tcPr>
          <w:p w14:paraId="073F0146">
            <w:pPr>
              <w:rPr>
                <w:rFonts w:hint="eastAsia" w:ascii="宋体" w:hAnsi="宋体" w:cs="宋体"/>
                <w:sz w:val="24"/>
                <w:highlight w:val="none"/>
              </w:rPr>
            </w:pPr>
          </w:p>
        </w:tc>
        <w:tc>
          <w:tcPr>
            <w:tcW w:w="1421" w:type="dxa"/>
            <w:noWrap w:val="0"/>
            <w:vAlign w:val="top"/>
          </w:tcPr>
          <w:p w14:paraId="5D991A99">
            <w:pPr>
              <w:rPr>
                <w:rFonts w:hint="eastAsia" w:ascii="宋体" w:hAnsi="宋体" w:cs="宋体"/>
                <w:sz w:val="24"/>
                <w:highlight w:val="none"/>
              </w:rPr>
            </w:pPr>
          </w:p>
        </w:tc>
        <w:tc>
          <w:tcPr>
            <w:tcW w:w="1421" w:type="dxa"/>
            <w:noWrap w:val="0"/>
            <w:vAlign w:val="top"/>
          </w:tcPr>
          <w:p w14:paraId="21E38D50">
            <w:pPr>
              <w:rPr>
                <w:rFonts w:hint="eastAsia" w:ascii="宋体" w:hAnsi="宋体" w:cs="宋体"/>
                <w:sz w:val="24"/>
                <w:highlight w:val="none"/>
              </w:rPr>
            </w:pPr>
          </w:p>
        </w:tc>
      </w:tr>
      <w:tr w14:paraId="0028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15428E6C">
            <w:pPr>
              <w:jc w:val="center"/>
              <w:rPr>
                <w:rFonts w:hint="eastAsia" w:ascii="宋体" w:hAnsi="宋体" w:cs="宋体"/>
                <w:sz w:val="24"/>
                <w:highlight w:val="none"/>
              </w:rPr>
            </w:pPr>
            <w:r>
              <w:rPr>
                <w:rFonts w:hint="eastAsia" w:ascii="宋体" w:hAnsi="宋体" w:cs="宋体"/>
                <w:sz w:val="24"/>
                <w:highlight w:val="none"/>
              </w:rPr>
              <w:t>2</w:t>
            </w:r>
          </w:p>
        </w:tc>
        <w:tc>
          <w:tcPr>
            <w:tcW w:w="2028" w:type="dxa"/>
            <w:noWrap w:val="0"/>
            <w:vAlign w:val="top"/>
          </w:tcPr>
          <w:p w14:paraId="6D290609">
            <w:pPr>
              <w:rPr>
                <w:rFonts w:hint="eastAsia" w:ascii="宋体" w:hAnsi="宋体" w:cs="宋体"/>
                <w:sz w:val="24"/>
                <w:highlight w:val="none"/>
              </w:rPr>
            </w:pPr>
            <w:r>
              <w:rPr>
                <w:rFonts w:hint="eastAsia" w:ascii="宋体" w:hAnsi="宋体" w:cs="宋体"/>
                <w:sz w:val="24"/>
                <w:highlight w:val="none"/>
              </w:rPr>
              <w:t>付款方式</w:t>
            </w:r>
          </w:p>
        </w:tc>
        <w:tc>
          <w:tcPr>
            <w:tcW w:w="1260" w:type="dxa"/>
            <w:noWrap w:val="0"/>
            <w:vAlign w:val="top"/>
          </w:tcPr>
          <w:p w14:paraId="6B5DEB86">
            <w:pPr>
              <w:rPr>
                <w:rFonts w:hint="eastAsia" w:ascii="宋体" w:hAnsi="宋体" w:cs="宋体"/>
                <w:sz w:val="24"/>
                <w:highlight w:val="none"/>
              </w:rPr>
            </w:pPr>
          </w:p>
        </w:tc>
        <w:tc>
          <w:tcPr>
            <w:tcW w:w="1252" w:type="dxa"/>
            <w:noWrap w:val="0"/>
            <w:vAlign w:val="top"/>
          </w:tcPr>
          <w:p w14:paraId="4A6CB3D9">
            <w:pPr>
              <w:rPr>
                <w:rFonts w:hint="eastAsia" w:ascii="宋体" w:hAnsi="宋体" w:cs="宋体"/>
                <w:sz w:val="24"/>
                <w:highlight w:val="none"/>
              </w:rPr>
            </w:pPr>
          </w:p>
        </w:tc>
        <w:tc>
          <w:tcPr>
            <w:tcW w:w="1421" w:type="dxa"/>
            <w:noWrap w:val="0"/>
            <w:vAlign w:val="top"/>
          </w:tcPr>
          <w:p w14:paraId="4354A848">
            <w:pPr>
              <w:rPr>
                <w:rFonts w:hint="eastAsia" w:ascii="宋体" w:hAnsi="宋体" w:cs="宋体"/>
                <w:sz w:val="24"/>
                <w:highlight w:val="none"/>
              </w:rPr>
            </w:pPr>
          </w:p>
        </w:tc>
        <w:tc>
          <w:tcPr>
            <w:tcW w:w="1421" w:type="dxa"/>
            <w:noWrap w:val="0"/>
            <w:vAlign w:val="top"/>
          </w:tcPr>
          <w:p w14:paraId="1BC3463F">
            <w:pPr>
              <w:rPr>
                <w:rFonts w:hint="eastAsia" w:ascii="宋体" w:hAnsi="宋体" w:cs="宋体"/>
                <w:sz w:val="24"/>
                <w:highlight w:val="none"/>
              </w:rPr>
            </w:pPr>
          </w:p>
        </w:tc>
      </w:tr>
      <w:tr w14:paraId="122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23746E9C">
            <w:pPr>
              <w:jc w:val="center"/>
              <w:rPr>
                <w:rFonts w:hint="eastAsia" w:ascii="宋体" w:hAnsi="宋体" w:cs="宋体"/>
                <w:sz w:val="24"/>
                <w:highlight w:val="none"/>
              </w:rPr>
            </w:pPr>
            <w:r>
              <w:rPr>
                <w:rFonts w:hint="eastAsia" w:ascii="宋体" w:hAnsi="宋体" w:cs="宋体"/>
                <w:sz w:val="24"/>
                <w:highlight w:val="none"/>
              </w:rPr>
              <w:t>3</w:t>
            </w:r>
          </w:p>
        </w:tc>
        <w:tc>
          <w:tcPr>
            <w:tcW w:w="2028" w:type="dxa"/>
            <w:noWrap w:val="0"/>
            <w:vAlign w:val="top"/>
          </w:tcPr>
          <w:p w14:paraId="45CE8466">
            <w:pPr>
              <w:rPr>
                <w:rFonts w:hint="eastAsia" w:ascii="宋体" w:hAnsi="宋体" w:cs="宋体"/>
                <w:sz w:val="24"/>
                <w:highlight w:val="none"/>
              </w:rPr>
            </w:pPr>
            <w:r>
              <w:rPr>
                <w:rFonts w:hint="eastAsia" w:ascii="宋体" w:hAnsi="宋体" w:cs="宋体"/>
                <w:sz w:val="24"/>
                <w:highlight w:val="none"/>
              </w:rPr>
              <w:t>质保期限</w:t>
            </w:r>
          </w:p>
        </w:tc>
        <w:tc>
          <w:tcPr>
            <w:tcW w:w="1260" w:type="dxa"/>
            <w:noWrap w:val="0"/>
            <w:vAlign w:val="top"/>
          </w:tcPr>
          <w:p w14:paraId="73414CEB">
            <w:pPr>
              <w:rPr>
                <w:rFonts w:hint="eastAsia" w:ascii="宋体" w:hAnsi="宋体" w:cs="宋体"/>
                <w:sz w:val="24"/>
                <w:highlight w:val="none"/>
              </w:rPr>
            </w:pPr>
          </w:p>
        </w:tc>
        <w:tc>
          <w:tcPr>
            <w:tcW w:w="1252" w:type="dxa"/>
            <w:noWrap w:val="0"/>
            <w:vAlign w:val="top"/>
          </w:tcPr>
          <w:p w14:paraId="3A7F8096">
            <w:pPr>
              <w:rPr>
                <w:rFonts w:hint="eastAsia" w:ascii="宋体" w:hAnsi="宋体" w:cs="宋体"/>
                <w:sz w:val="24"/>
                <w:highlight w:val="none"/>
              </w:rPr>
            </w:pPr>
          </w:p>
        </w:tc>
        <w:tc>
          <w:tcPr>
            <w:tcW w:w="1421" w:type="dxa"/>
            <w:noWrap w:val="0"/>
            <w:vAlign w:val="top"/>
          </w:tcPr>
          <w:p w14:paraId="580D31ED">
            <w:pPr>
              <w:rPr>
                <w:rFonts w:hint="eastAsia" w:ascii="宋体" w:hAnsi="宋体" w:cs="宋体"/>
                <w:sz w:val="24"/>
                <w:highlight w:val="none"/>
              </w:rPr>
            </w:pPr>
          </w:p>
        </w:tc>
        <w:tc>
          <w:tcPr>
            <w:tcW w:w="1421" w:type="dxa"/>
            <w:noWrap w:val="0"/>
            <w:vAlign w:val="top"/>
          </w:tcPr>
          <w:p w14:paraId="4C127C79">
            <w:pPr>
              <w:rPr>
                <w:rFonts w:hint="eastAsia" w:ascii="宋体" w:hAnsi="宋体" w:cs="宋体"/>
                <w:sz w:val="24"/>
                <w:highlight w:val="none"/>
              </w:rPr>
            </w:pPr>
          </w:p>
        </w:tc>
      </w:tr>
      <w:tr w14:paraId="1AC1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40" w:type="dxa"/>
            <w:noWrap w:val="0"/>
            <w:vAlign w:val="top"/>
          </w:tcPr>
          <w:p w14:paraId="1FFE8B21">
            <w:pPr>
              <w:jc w:val="center"/>
              <w:rPr>
                <w:rFonts w:hint="eastAsia" w:ascii="宋体" w:hAnsi="宋体" w:cs="宋体"/>
                <w:sz w:val="24"/>
                <w:highlight w:val="none"/>
              </w:rPr>
            </w:pPr>
            <w:r>
              <w:rPr>
                <w:rFonts w:hint="eastAsia" w:ascii="宋体" w:hAnsi="宋体" w:cs="宋体"/>
                <w:sz w:val="24"/>
                <w:highlight w:val="none"/>
              </w:rPr>
              <w:t>4</w:t>
            </w:r>
          </w:p>
        </w:tc>
        <w:tc>
          <w:tcPr>
            <w:tcW w:w="2028" w:type="dxa"/>
            <w:noWrap w:val="0"/>
            <w:vAlign w:val="top"/>
          </w:tcPr>
          <w:p w14:paraId="279098C8">
            <w:pPr>
              <w:rPr>
                <w:rFonts w:hint="eastAsia" w:ascii="宋体" w:hAnsi="宋体" w:cs="宋体"/>
                <w:sz w:val="24"/>
                <w:highlight w:val="none"/>
              </w:rPr>
            </w:pPr>
            <w:r>
              <w:rPr>
                <w:rFonts w:hint="eastAsia" w:ascii="宋体" w:hAnsi="宋体" w:cs="宋体"/>
                <w:sz w:val="24"/>
                <w:highlight w:val="none"/>
              </w:rPr>
              <w:t>投标有效期</w:t>
            </w:r>
          </w:p>
        </w:tc>
        <w:tc>
          <w:tcPr>
            <w:tcW w:w="1260" w:type="dxa"/>
            <w:noWrap w:val="0"/>
            <w:vAlign w:val="top"/>
          </w:tcPr>
          <w:p w14:paraId="1FD5ED9C">
            <w:pPr>
              <w:rPr>
                <w:rFonts w:hint="eastAsia" w:ascii="宋体" w:hAnsi="宋体" w:cs="宋体"/>
                <w:sz w:val="24"/>
                <w:highlight w:val="none"/>
              </w:rPr>
            </w:pPr>
          </w:p>
        </w:tc>
        <w:tc>
          <w:tcPr>
            <w:tcW w:w="1252" w:type="dxa"/>
            <w:noWrap w:val="0"/>
            <w:vAlign w:val="top"/>
          </w:tcPr>
          <w:p w14:paraId="1C65D021">
            <w:pPr>
              <w:rPr>
                <w:rFonts w:hint="eastAsia" w:ascii="宋体" w:hAnsi="宋体" w:cs="宋体"/>
                <w:sz w:val="24"/>
                <w:highlight w:val="none"/>
              </w:rPr>
            </w:pPr>
          </w:p>
        </w:tc>
        <w:tc>
          <w:tcPr>
            <w:tcW w:w="1421" w:type="dxa"/>
            <w:noWrap w:val="0"/>
            <w:vAlign w:val="top"/>
          </w:tcPr>
          <w:p w14:paraId="63389B98">
            <w:pPr>
              <w:rPr>
                <w:rFonts w:hint="eastAsia" w:ascii="宋体" w:hAnsi="宋体" w:cs="宋体"/>
                <w:sz w:val="24"/>
                <w:highlight w:val="none"/>
              </w:rPr>
            </w:pPr>
          </w:p>
        </w:tc>
        <w:tc>
          <w:tcPr>
            <w:tcW w:w="1421" w:type="dxa"/>
            <w:noWrap w:val="0"/>
            <w:vAlign w:val="top"/>
          </w:tcPr>
          <w:p w14:paraId="690900DD">
            <w:pPr>
              <w:rPr>
                <w:rFonts w:hint="eastAsia" w:ascii="宋体" w:hAnsi="宋体" w:cs="宋体"/>
                <w:sz w:val="24"/>
                <w:highlight w:val="none"/>
              </w:rPr>
            </w:pPr>
          </w:p>
        </w:tc>
      </w:tr>
      <w:tr w14:paraId="3721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4C7DE621">
            <w:pPr>
              <w:jc w:val="center"/>
              <w:rPr>
                <w:rFonts w:hint="eastAsia" w:ascii="宋体" w:hAnsi="宋体" w:cs="宋体"/>
                <w:sz w:val="24"/>
                <w:highlight w:val="none"/>
              </w:rPr>
            </w:pPr>
            <w:r>
              <w:rPr>
                <w:rFonts w:hint="eastAsia" w:ascii="宋体" w:hAnsi="宋体" w:cs="宋体"/>
                <w:sz w:val="24"/>
                <w:highlight w:val="none"/>
              </w:rPr>
              <w:t>5</w:t>
            </w:r>
          </w:p>
        </w:tc>
        <w:tc>
          <w:tcPr>
            <w:tcW w:w="2028" w:type="dxa"/>
            <w:noWrap w:val="0"/>
            <w:vAlign w:val="center"/>
          </w:tcPr>
          <w:p w14:paraId="474C73BF">
            <w:pPr>
              <w:rPr>
                <w:rFonts w:hint="eastAsia" w:ascii="宋体" w:hAnsi="宋体" w:eastAsia="宋体" w:cs="宋体"/>
                <w:sz w:val="24"/>
                <w:highlight w:val="none"/>
                <w:lang w:val="en-US" w:eastAsia="zh-CN"/>
              </w:rPr>
            </w:pPr>
            <w:r>
              <w:rPr>
                <w:rFonts w:hint="eastAsia" w:ascii="宋体" w:hAnsi="宋体" w:eastAsia="宋体" w:cs="宋体"/>
                <w:sz w:val="24"/>
                <w:highlight w:val="none"/>
              </w:rPr>
              <w:t>交货地点</w:t>
            </w:r>
          </w:p>
        </w:tc>
        <w:tc>
          <w:tcPr>
            <w:tcW w:w="1260" w:type="dxa"/>
            <w:noWrap w:val="0"/>
            <w:vAlign w:val="top"/>
          </w:tcPr>
          <w:p w14:paraId="3F314EEA">
            <w:pPr>
              <w:rPr>
                <w:rFonts w:hint="eastAsia" w:ascii="宋体" w:hAnsi="宋体" w:cs="宋体"/>
                <w:sz w:val="24"/>
                <w:highlight w:val="none"/>
              </w:rPr>
            </w:pPr>
          </w:p>
        </w:tc>
        <w:tc>
          <w:tcPr>
            <w:tcW w:w="1252" w:type="dxa"/>
            <w:noWrap w:val="0"/>
            <w:vAlign w:val="top"/>
          </w:tcPr>
          <w:p w14:paraId="045AE53D">
            <w:pPr>
              <w:rPr>
                <w:rFonts w:hint="eastAsia" w:ascii="宋体" w:hAnsi="宋体" w:cs="宋体"/>
                <w:sz w:val="24"/>
                <w:highlight w:val="none"/>
              </w:rPr>
            </w:pPr>
          </w:p>
        </w:tc>
        <w:tc>
          <w:tcPr>
            <w:tcW w:w="1421" w:type="dxa"/>
            <w:noWrap w:val="0"/>
            <w:vAlign w:val="top"/>
          </w:tcPr>
          <w:p w14:paraId="74AF025E">
            <w:pPr>
              <w:rPr>
                <w:rFonts w:hint="eastAsia" w:ascii="宋体" w:hAnsi="宋体" w:cs="宋体"/>
                <w:sz w:val="24"/>
                <w:highlight w:val="none"/>
              </w:rPr>
            </w:pPr>
          </w:p>
        </w:tc>
        <w:tc>
          <w:tcPr>
            <w:tcW w:w="1421" w:type="dxa"/>
            <w:noWrap w:val="0"/>
            <w:vAlign w:val="top"/>
          </w:tcPr>
          <w:p w14:paraId="0E7EC8BB">
            <w:pPr>
              <w:rPr>
                <w:rFonts w:hint="eastAsia" w:ascii="宋体" w:hAnsi="宋体" w:cs="宋体"/>
                <w:sz w:val="24"/>
                <w:highlight w:val="none"/>
              </w:rPr>
            </w:pPr>
          </w:p>
        </w:tc>
      </w:tr>
      <w:tr w14:paraId="2ACB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49216D02">
            <w:pPr>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6</w:t>
            </w:r>
          </w:p>
        </w:tc>
        <w:tc>
          <w:tcPr>
            <w:tcW w:w="2028" w:type="dxa"/>
            <w:noWrap w:val="0"/>
            <w:vAlign w:val="center"/>
          </w:tcPr>
          <w:p w14:paraId="5533EF3B">
            <w:pPr>
              <w:rPr>
                <w:rFonts w:hint="eastAsia" w:ascii="宋体" w:hAnsi="宋体" w:eastAsia="宋体" w:cs="宋体"/>
                <w:sz w:val="24"/>
                <w:highlight w:val="none"/>
                <w:lang w:val="en-US" w:eastAsia="zh-CN"/>
              </w:rPr>
            </w:pPr>
            <w:r>
              <w:rPr>
                <w:rFonts w:hint="eastAsia" w:ascii="宋体" w:hAnsi="宋体" w:eastAsia="宋体" w:cs="宋体"/>
                <w:sz w:val="24"/>
                <w:highlight w:val="none"/>
              </w:rPr>
              <w:t>质量标准</w:t>
            </w:r>
          </w:p>
        </w:tc>
        <w:tc>
          <w:tcPr>
            <w:tcW w:w="1260" w:type="dxa"/>
            <w:noWrap w:val="0"/>
            <w:vAlign w:val="top"/>
          </w:tcPr>
          <w:p w14:paraId="297ED8E9">
            <w:pPr>
              <w:rPr>
                <w:rFonts w:hint="eastAsia" w:ascii="宋体" w:hAnsi="宋体" w:cs="宋体"/>
                <w:sz w:val="24"/>
                <w:highlight w:val="none"/>
              </w:rPr>
            </w:pPr>
          </w:p>
        </w:tc>
        <w:tc>
          <w:tcPr>
            <w:tcW w:w="1252" w:type="dxa"/>
            <w:noWrap w:val="0"/>
            <w:vAlign w:val="top"/>
          </w:tcPr>
          <w:p w14:paraId="204E538C">
            <w:pPr>
              <w:rPr>
                <w:rFonts w:hint="eastAsia" w:ascii="宋体" w:hAnsi="宋体" w:cs="宋体"/>
                <w:sz w:val="24"/>
                <w:highlight w:val="none"/>
              </w:rPr>
            </w:pPr>
          </w:p>
        </w:tc>
        <w:tc>
          <w:tcPr>
            <w:tcW w:w="1421" w:type="dxa"/>
            <w:noWrap w:val="0"/>
            <w:vAlign w:val="top"/>
          </w:tcPr>
          <w:p w14:paraId="42440419">
            <w:pPr>
              <w:rPr>
                <w:rFonts w:hint="eastAsia" w:ascii="宋体" w:hAnsi="宋体" w:cs="宋体"/>
                <w:sz w:val="24"/>
                <w:highlight w:val="none"/>
              </w:rPr>
            </w:pPr>
          </w:p>
        </w:tc>
        <w:tc>
          <w:tcPr>
            <w:tcW w:w="1421" w:type="dxa"/>
            <w:noWrap w:val="0"/>
            <w:vAlign w:val="top"/>
          </w:tcPr>
          <w:p w14:paraId="58FAC642">
            <w:pPr>
              <w:rPr>
                <w:rFonts w:hint="eastAsia" w:ascii="宋体" w:hAnsi="宋体" w:cs="宋体"/>
                <w:sz w:val="24"/>
                <w:highlight w:val="none"/>
              </w:rPr>
            </w:pPr>
          </w:p>
        </w:tc>
      </w:tr>
      <w:tr w14:paraId="470E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70E4A2DE">
            <w:pPr>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7</w:t>
            </w:r>
          </w:p>
        </w:tc>
        <w:tc>
          <w:tcPr>
            <w:tcW w:w="2028" w:type="dxa"/>
            <w:noWrap w:val="0"/>
            <w:vAlign w:val="top"/>
          </w:tcPr>
          <w:p w14:paraId="1307F6B1">
            <w:pPr>
              <w:rPr>
                <w:rFonts w:hint="eastAsia" w:ascii="宋体" w:hAnsi="宋体" w:cs="宋体"/>
                <w:sz w:val="24"/>
                <w:highlight w:val="none"/>
              </w:rPr>
            </w:pPr>
            <w:r>
              <w:rPr>
                <w:rFonts w:hint="eastAsia" w:ascii="宋体" w:hAnsi="宋体" w:cs="宋体"/>
                <w:sz w:val="24"/>
                <w:highlight w:val="none"/>
              </w:rPr>
              <w:t>……</w:t>
            </w:r>
          </w:p>
        </w:tc>
        <w:tc>
          <w:tcPr>
            <w:tcW w:w="1260" w:type="dxa"/>
            <w:noWrap w:val="0"/>
            <w:vAlign w:val="top"/>
          </w:tcPr>
          <w:p w14:paraId="056DDF39">
            <w:pPr>
              <w:rPr>
                <w:rFonts w:hint="eastAsia" w:ascii="宋体" w:hAnsi="宋体" w:cs="宋体"/>
                <w:sz w:val="24"/>
                <w:highlight w:val="none"/>
              </w:rPr>
            </w:pPr>
          </w:p>
        </w:tc>
        <w:tc>
          <w:tcPr>
            <w:tcW w:w="1252" w:type="dxa"/>
            <w:noWrap w:val="0"/>
            <w:vAlign w:val="top"/>
          </w:tcPr>
          <w:p w14:paraId="7CDE61A6">
            <w:pPr>
              <w:rPr>
                <w:rFonts w:hint="eastAsia" w:ascii="宋体" w:hAnsi="宋体" w:cs="宋体"/>
                <w:sz w:val="24"/>
                <w:highlight w:val="none"/>
              </w:rPr>
            </w:pPr>
          </w:p>
        </w:tc>
        <w:tc>
          <w:tcPr>
            <w:tcW w:w="1421" w:type="dxa"/>
            <w:noWrap w:val="0"/>
            <w:vAlign w:val="top"/>
          </w:tcPr>
          <w:p w14:paraId="5A7953F0">
            <w:pPr>
              <w:rPr>
                <w:rFonts w:hint="eastAsia" w:ascii="宋体" w:hAnsi="宋体" w:cs="宋体"/>
                <w:sz w:val="24"/>
                <w:highlight w:val="none"/>
              </w:rPr>
            </w:pPr>
          </w:p>
        </w:tc>
        <w:tc>
          <w:tcPr>
            <w:tcW w:w="1421" w:type="dxa"/>
            <w:noWrap w:val="0"/>
            <w:vAlign w:val="top"/>
          </w:tcPr>
          <w:p w14:paraId="7CC5A0A5">
            <w:pPr>
              <w:rPr>
                <w:rFonts w:hint="eastAsia" w:ascii="宋体" w:hAnsi="宋体" w:cs="宋体"/>
                <w:sz w:val="24"/>
                <w:highlight w:val="none"/>
              </w:rPr>
            </w:pPr>
          </w:p>
        </w:tc>
      </w:tr>
      <w:tr w14:paraId="0BC7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273F8A62">
            <w:pPr>
              <w:jc w:val="center"/>
              <w:rPr>
                <w:rFonts w:hint="eastAsia" w:ascii="宋体" w:hAnsi="宋体" w:cs="宋体"/>
                <w:b/>
                <w:sz w:val="24"/>
                <w:highlight w:val="none"/>
              </w:rPr>
            </w:pPr>
          </w:p>
        </w:tc>
        <w:tc>
          <w:tcPr>
            <w:tcW w:w="2028" w:type="dxa"/>
            <w:noWrap w:val="0"/>
            <w:vAlign w:val="top"/>
          </w:tcPr>
          <w:p w14:paraId="224B48D3">
            <w:pPr>
              <w:rPr>
                <w:rFonts w:hint="eastAsia" w:ascii="宋体" w:hAnsi="宋体" w:cs="宋体"/>
                <w:b/>
                <w:sz w:val="24"/>
                <w:highlight w:val="none"/>
              </w:rPr>
            </w:pPr>
          </w:p>
        </w:tc>
        <w:tc>
          <w:tcPr>
            <w:tcW w:w="1260" w:type="dxa"/>
            <w:noWrap w:val="0"/>
            <w:vAlign w:val="top"/>
          </w:tcPr>
          <w:p w14:paraId="7776C4F3">
            <w:pPr>
              <w:rPr>
                <w:rFonts w:hint="eastAsia" w:ascii="宋体" w:hAnsi="宋体" w:cs="宋体"/>
                <w:sz w:val="24"/>
                <w:highlight w:val="none"/>
              </w:rPr>
            </w:pPr>
          </w:p>
        </w:tc>
        <w:tc>
          <w:tcPr>
            <w:tcW w:w="1252" w:type="dxa"/>
            <w:noWrap w:val="0"/>
            <w:vAlign w:val="top"/>
          </w:tcPr>
          <w:p w14:paraId="7D028493">
            <w:pPr>
              <w:rPr>
                <w:rFonts w:hint="eastAsia" w:ascii="宋体" w:hAnsi="宋体" w:cs="宋体"/>
                <w:sz w:val="24"/>
                <w:highlight w:val="none"/>
              </w:rPr>
            </w:pPr>
          </w:p>
        </w:tc>
        <w:tc>
          <w:tcPr>
            <w:tcW w:w="1421" w:type="dxa"/>
            <w:noWrap w:val="0"/>
            <w:vAlign w:val="top"/>
          </w:tcPr>
          <w:p w14:paraId="0DC4D717">
            <w:pPr>
              <w:rPr>
                <w:rFonts w:hint="eastAsia" w:ascii="宋体" w:hAnsi="宋体" w:cs="宋体"/>
                <w:sz w:val="24"/>
                <w:highlight w:val="none"/>
              </w:rPr>
            </w:pPr>
          </w:p>
        </w:tc>
        <w:tc>
          <w:tcPr>
            <w:tcW w:w="1421" w:type="dxa"/>
            <w:noWrap w:val="0"/>
            <w:vAlign w:val="top"/>
          </w:tcPr>
          <w:p w14:paraId="2893A847">
            <w:pPr>
              <w:rPr>
                <w:rFonts w:hint="eastAsia" w:ascii="宋体" w:hAnsi="宋体" w:cs="宋体"/>
                <w:sz w:val="24"/>
                <w:highlight w:val="none"/>
              </w:rPr>
            </w:pPr>
          </w:p>
        </w:tc>
      </w:tr>
      <w:tr w14:paraId="6BB1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618EE814">
            <w:pPr>
              <w:jc w:val="center"/>
              <w:rPr>
                <w:rFonts w:hint="eastAsia" w:ascii="宋体" w:hAnsi="宋体" w:cs="宋体"/>
                <w:b/>
                <w:sz w:val="24"/>
                <w:highlight w:val="none"/>
              </w:rPr>
            </w:pPr>
          </w:p>
        </w:tc>
        <w:tc>
          <w:tcPr>
            <w:tcW w:w="2028" w:type="dxa"/>
            <w:noWrap w:val="0"/>
            <w:vAlign w:val="center"/>
          </w:tcPr>
          <w:p w14:paraId="176A6A27">
            <w:pPr>
              <w:spacing w:line="440" w:lineRule="exact"/>
              <w:jc w:val="center"/>
              <w:rPr>
                <w:rFonts w:hint="eastAsia" w:ascii="宋体" w:hAnsi="宋体" w:cs="宋体"/>
                <w:b/>
                <w:sz w:val="24"/>
                <w:highlight w:val="none"/>
              </w:rPr>
            </w:pPr>
          </w:p>
        </w:tc>
        <w:tc>
          <w:tcPr>
            <w:tcW w:w="1260" w:type="dxa"/>
            <w:noWrap w:val="0"/>
            <w:vAlign w:val="top"/>
          </w:tcPr>
          <w:p w14:paraId="4AD5FE99">
            <w:pPr>
              <w:rPr>
                <w:rFonts w:hint="eastAsia" w:ascii="宋体" w:hAnsi="宋体" w:cs="宋体"/>
                <w:sz w:val="24"/>
                <w:highlight w:val="none"/>
              </w:rPr>
            </w:pPr>
          </w:p>
        </w:tc>
        <w:tc>
          <w:tcPr>
            <w:tcW w:w="1252" w:type="dxa"/>
            <w:noWrap w:val="0"/>
            <w:vAlign w:val="top"/>
          </w:tcPr>
          <w:p w14:paraId="2E689991">
            <w:pPr>
              <w:rPr>
                <w:rFonts w:hint="eastAsia" w:ascii="宋体" w:hAnsi="宋体" w:cs="宋体"/>
                <w:sz w:val="24"/>
                <w:highlight w:val="none"/>
              </w:rPr>
            </w:pPr>
          </w:p>
        </w:tc>
        <w:tc>
          <w:tcPr>
            <w:tcW w:w="1421" w:type="dxa"/>
            <w:noWrap w:val="0"/>
            <w:vAlign w:val="top"/>
          </w:tcPr>
          <w:p w14:paraId="284EE77C">
            <w:pPr>
              <w:rPr>
                <w:rFonts w:hint="eastAsia" w:ascii="宋体" w:hAnsi="宋体" w:cs="宋体"/>
                <w:sz w:val="24"/>
                <w:highlight w:val="none"/>
              </w:rPr>
            </w:pPr>
          </w:p>
        </w:tc>
        <w:tc>
          <w:tcPr>
            <w:tcW w:w="1421" w:type="dxa"/>
            <w:noWrap w:val="0"/>
            <w:vAlign w:val="top"/>
          </w:tcPr>
          <w:p w14:paraId="3DB7ADBE">
            <w:pPr>
              <w:rPr>
                <w:rFonts w:hint="eastAsia" w:ascii="宋体" w:hAnsi="宋体" w:cs="宋体"/>
                <w:sz w:val="24"/>
                <w:highlight w:val="none"/>
              </w:rPr>
            </w:pPr>
          </w:p>
        </w:tc>
      </w:tr>
      <w:tr w14:paraId="189B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top"/>
          </w:tcPr>
          <w:p w14:paraId="391C330E">
            <w:pPr>
              <w:jc w:val="center"/>
              <w:rPr>
                <w:rFonts w:hint="eastAsia" w:ascii="宋体" w:hAnsi="宋体" w:cs="宋体"/>
                <w:b/>
                <w:sz w:val="24"/>
                <w:highlight w:val="none"/>
              </w:rPr>
            </w:pPr>
            <w:r>
              <w:rPr>
                <w:rFonts w:hint="eastAsia" w:ascii="宋体" w:hAnsi="宋体" w:cs="宋体"/>
                <w:sz w:val="24"/>
                <w:highlight w:val="none"/>
              </w:rPr>
              <w:t>…</w:t>
            </w:r>
          </w:p>
        </w:tc>
        <w:tc>
          <w:tcPr>
            <w:tcW w:w="2028" w:type="dxa"/>
            <w:noWrap w:val="0"/>
            <w:vAlign w:val="center"/>
          </w:tcPr>
          <w:p w14:paraId="31CF54C4">
            <w:pPr>
              <w:spacing w:line="440" w:lineRule="exact"/>
              <w:jc w:val="center"/>
              <w:rPr>
                <w:rFonts w:hint="eastAsia" w:ascii="宋体" w:hAnsi="宋体" w:cs="宋体"/>
                <w:b/>
                <w:sz w:val="24"/>
                <w:highlight w:val="none"/>
              </w:rPr>
            </w:pPr>
            <w:r>
              <w:rPr>
                <w:rFonts w:hint="eastAsia" w:ascii="宋体" w:hAnsi="宋体" w:cs="宋体"/>
                <w:sz w:val="24"/>
                <w:highlight w:val="none"/>
              </w:rPr>
              <w:t>……</w:t>
            </w:r>
          </w:p>
        </w:tc>
        <w:tc>
          <w:tcPr>
            <w:tcW w:w="1260" w:type="dxa"/>
            <w:noWrap w:val="0"/>
            <w:vAlign w:val="top"/>
          </w:tcPr>
          <w:p w14:paraId="65F16ACD">
            <w:pPr>
              <w:rPr>
                <w:rFonts w:hint="eastAsia" w:ascii="宋体" w:hAnsi="宋体" w:cs="宋体"/>
                <w:sz w:val="24"/>
                <w:highlight w:val="none"/>
              </w:rPr>
            </w:pPr>
          </w:p>
        </w:tc>
        <w:tc>
          <w:tcPr>
            <w:tcW w:w="1252" w:type="dxa"/>
            <w:noWrap w:val="0"/>
            <w:vAlign w:val="top"/>
          </w:tcPr>
          <w:p w14:paraId="3B851F8D">
            <w:pPr>
              <w:rPr>
                <w:rFonts w:hint="eastAsia" w:ascii="宋体" w:hAnsi="宋体" w:cs="宋体"/>
                <w:sz w:val="24"/>
                <w:highlight w:val="none"/>
              </w:rPr>
            </w:pPr>
          </w:p>
        </w:tc>
        <w:tc>
          <w:tcPr>
            <w:tcW w:w="1421" w:type="dxa"/>
            <w:noWrap w:val="0"/>
            <w:vAlign w:val="top"/>
          </w:tcPr>
          <w:p w14:paraId="34BB2F09">
            <w:pPr>
              <w:rPr>
                <w:rFonts w:hint="eastAsia" w:ascii="宋体" w:hAnsi="宋体" w:cs="宋体"/>
                <w:sz w:val="24"/>
                <w:highlight w:val="none"/>
              </w:rPr>
            </w:pPr>
          </w:p>
        </w:tc>
        <w:tc>
          <w:tcPr>
            <w:tcW w:w="1421" w:type="dxa"/>
            <w:noWrap w:val="0"/>
            <w:vAlign w:val="top"/>
          </w:tcPr>
          <w:p w14:paraId="12DF9C1D">
            <w:pPr>
              <w:rPr>
                <w:rFonts w:hint="eastAsia" w:ascii="宋体" w:hAnsi="宋体" w:cs="宋体"/>
                <w:sz w:val="24"/>
                <w:highlight w:val="none"/>
              </w:rPr>
            </w:pPr>
          </w:p>
        </w:tc>
      </w:tr>
    </w:tbl>
    <w:p w14:paraId="746C3A05">
      <w:pPr>
        <w:pStyle w:val="20"/>
        <w:spacing w:line="360" w:lineRule="auto"/>
        <w:ind w:firstLine="0"/>
        <w:rPr>
          <w:rFonts w:hint="eastAsia" w:ascii="宋体" w:hAnsi="宋体" w:cs="宋体"/>
          <w:sz w:val="24"/>
          <w:szCs w:val="24"/>
          <w:highlight w:val="none"/>
        </w:rPr>
      </w:pPr>
      <w:r>
        <w:rPr>
          <w:rFonts w:hint="eastAsia" w:ascii="宋体" w:hAnsi="宋体" w:cs="宋体"/>
          <w:sz w:val="24"/>
          <w:szCs w:val="24"/>
          <w:highlight w:val="none"/>
          <w:lang w:eastAsia="zh-CN"/>
        </w:rPr>
        <w:t>供应商（盖单位电子章）</w:t>
      </w:r>
      <w:r>
        <w:rPr>
          <w:rFonts w:hint="eastAsia" w:ascii="宋体" w:hAnsi="宋体" w:cs="宋体"/>
          <w:sz w:val="24"/>
          <w:szCs w:val="24"/>
          <w:highlight w:val="none"/>
        </w:rPr>
        <w:t>：</w:t>
      </w:r>
    </w:p>
    <w:p w14:paraId="5287F585">
      <w:pPr>
        <w:adjustRightInd w:val="0"/>
        <w:snapToGrid w:val="0"/>
        <w:spacing w:line="360" w:lineRule="auto"/>
        <w:jc w:val="left"/>
        <w:rPr>
          <w:rFonts w:hint="eastAsia" w:ascii="宋体" w:hAnsi="宋体" w:cs="宋体"/>
          <w:sz w:val="24"/>
          <w:highlight w:val="none"/>
        </w:rPr>
      </w:pPr>
      <w:r>
        <w:rPr>
          <w:rFonts w:hint="eastAsia" w:ascii="宋体" w:hAnsi="宋体" w:cs="宋体"/>
          <w:sz w:val="24"/>
          <w:highlight w:val="none"/>
        </w:rPr>
        <w:t>日期：</w:t>
      </w:r>
    </w:p>
    <w:p w14:paraId="03CEF676">
      <w:pPr>
        <w:adjustRightInd w:val="0"/>
        <w:snapToGrid w:val="0"/>
        <w:spacing w:line="360" w:lineRule="auto"/>
        <w:jc w:val="left"/>
        <w:rPr>
          <w:rFonts w:hint="eastAsia" w:ascii="宋体" w:hAnsi="宋体" w:cs="宋体"/>
          <w:sz w:val="24"/>
          <w:highlight w:val="none"/>
        </w:rPr>
      </w:pPr>
      <w:r>
        <w:rPr>
          <w:rFonts w:hint="eastAsia" w:ascii="宋体" w:hAnsi="宋体" w:cs="宋体"/>
          <w:sz w:val="24"/>
          <w:highlight w:val="none"/>
        </w:rPr>
        <w:t>说明： 上述此表中的“招标文件”或“投标文件”内容不得空缺；</w:t>
      </w:r>
    </w:p>
    <w:p w14:paraId="79AA69C5">
      <w:pPr>
        <w:pStyle w:val="4"/>
        <w:numPr>
          <w:ilvl w:val="0"/>
          <w:numId w:val="0"/>
        </w:numPr>
        <w:ind w:left="840" w:hanging="420"/>
        <w:rPr>
          <w:rFonts w:hint="eastAsia" w:ascii="宋体" w:hAnsi="宋体" w:eastAsia="宋体" w:cs="宋体"/>
          <w:highlight w:val="none"/>
        </w:rPr>
      </w:pPr>
      <w:r>
        <w:rPr>
          <w:rFonts w:hint="eastAsia" w:ascii="宋体" w:hAnsi="宋体" w:eastAsia="宋体" w:cs="宋体"/>
          <w:sz w:val="24"/>
          <w:szCs w:val="24"/>
          <w:highlight w:val="none"/>
        </w:rPr>
        <w:br w:type="page"/>
      </w:r>
      <w:bookmarkStart w:id="156" w:name="_Toc22472"/>
      <w:bookmarkStart w:id="157" w:name="_Toc18436"/>
      <w:bookmarkStart w:id="158" w:name="_Toc10633"/>
      <w:r>
        <w:rPr>
          <w:rFonts w:hint="eastAsia" w:ascii="宋体" w:hAnsi="宋体" w:eastAsia="宋体" w:cs="宋体"/>
          <w:highlight w:val="none"/>
        </w:rPr>
        <w:t>5.投标货物详细描述及技术支持资料</w:t>
      </w:r>
      <w:bookmarkEnd w:id="156"/>
      <w:bookmarkEnd w:id="157"/>
      <w:bookmarkEnd w:id="158"/>
    </w:p>
    <w:p w14:paraId="2A68441B">
      <w:pPr>
        <w:jc w:val="center"/>
        <w:rPr>
          <w:rFonts w:hint="eastAsia" w:ascii="宋体" w:hAnsi="宋体" w:cs="宋体"/>
          <w:b/>
          <w:sz w:val="24"/>
          <w:highlight w:val="none"/>
        </w:rPr>
      </w:pPr>
      <w:r>
        <w:rPr>
          <w:rFonts w:hint="eastAsia" w:ascii="宋体" w:hAnsi="宋体" w:cs="宋体"/>
          <w:b/>
          <w:sz w:val="24"/>
          <w:highlight w:val="none"/>
        </w:rPr>
        <w:t>5.1 货物（产品）规格一览表</w:t>
      </w:r>
    </w:p>
    <w:p w14:paraId="65DA5EB3">
      <w:pPr>
        <w:rPr>
          <w:rFonts w:hint="eastAsia" w:ascii="宋体" w:hAnsi="宋体" w:cs="宋体"/>
          <w:sz w:val="24"/>
          <w:highlight w:val="none"/>
        </w:rPr>
      </w:pPr>
    </w:p>
    <w:p w14:paraId="1E871A08">
      <w:pPr>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 xml:space="preserve">名称： </w:t>
      </w:r>
    </w:p>
    <w:p w14:paraId="74B1A32B">
      <w:pPr>
        <w:rPr>
          <w:rFonts w:hint="eastAsia" w:ascii="宋体" w:hAnsi="宋体" w:cs="宋体"/>
          <w:sz w:val="24"/>
          <w:highlight w:val="none"/>
        </w:rPr>
      </w:pPr>
      <w:r>
        <w:rPr>
          <w:rFonts w:hint="eastAsia" w:ascii="宋体" w:hAnsi="宋体" w:cs="宋体"/>
          <w:sz w:val="24"/>
          <w:highlight w:val="none"/>
        </w:rPr>
        <w:t xml:space="preserve">项目编号：                                                     </w:t>
      </w:r>
    </w:p>
    <w:tbl>
      <w:tblPr>
        <w:tblStyle w:val="8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655"/>
        <w:gridCol w:w="1168"/>
        <w:gridCol w:w="1560"/>
        <w:gridCol w:w="1492"/>
        <w:gridCol w:w="1492"/>
      </w:tblGrid>
      <w:tr w14:paraId="6113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center"/>
          </w:tcPr>
          <w:p w14:paraId="42C4A290">
            <w:pPr>
              <w:jc w:val="center"/>
              <w:rPr>
                <w:rFonts w:hint="eastAsia" w:ascii="宋体" w:hAnsi="宋体" w:cs="宋体"/>
                <w:sz w:val="24"/>
                <w:highlight w:val="none"/>
              </w:rPr>
            </w:pPr>
            <w:r>
              <w:rPr>
                <w:rFonts w:hint="eastAsia" w:ascii="宋体" w:hAnsi="宋体" w:cs="宋体"/>
                <w:sz w:val="24"/>
                <w:highlight w:val="none"/>
              </w:rPr>
              <w:t xml:space="preserve"> 序号</w:t>
            </w:r>
          </w:p>
        </w:tc>
        <w:tc>
          <w:tcPr>
            <w:tcW w:w="971" w:type="pct"/>
            <w:noWrap w:val="0"/>
            <w:vAlign w:val="center"/>
          </w:tcPr>
          <w:p w14:paraId="4B1B2673">
            <w:pPr>
              <w:jc w:val="center"/>
              <w:rPr>
                <w:rFonts w:hint="eastAsia" w:ascii="宋体" w:hAnsi="宋体" w:cs="宋体"/>
                <w:sz w:val="24"/>
                <w:highlight w:val="none"/>
              </w:rPr>
            </w:pPr>
            <w:r>
              <w:rPr>
                <w:rFonts w:hint="eastAsia" w:ascii="宋体" w:hAnsi="宋体" w:cs="宋体"/>
                <w:sz w:val="24"/>
                <w:highlight w:val="none"/>
              </w:rPr>
              <w:t>产品或配置名称</w:t>
            </w:r>
          </w:p>
        </w:tc>
        <w:tc>
          <w:tcPr>
            <w:tcW w:w="685" w:type="pct"/>
            <w:noWrap w:val="0"/>
            <w:vAlign w:val="center"/>
          </w:tcPr>
          <w:p w14:paraId="4FB0F783">
            <w:pPr>
              <w:jc w:val="center"/>
              <w:rPr>
                <w:rFonts w:hint="eastAsia" w:ascii="宋体" w:hAnsi="宋体" w:cs="宋体"/>
                <w:sz w:val="24"/>
                <w:highlight w:val="none"/>
              </w:rPr>
            </w:pPr>
            <w:r>
              <w:rPr>
                <w:rFonts w:hint="eastAsia" w:ascii="宋体" w:hAnsi="宋体" w:cs="宋体"/>
                <w:sz w:val="24"/>
                <w:highlight w:val="none"/>
              </w:rPr>
              <w:t>品牌型号</w:t>
            </w:r>
          </w:p>
        </w:tc>
        <w:tc>
          <w:tcPr>
            <w:tcW w:w="915" w:type="pct"/>
            <w:noWrap w:val="0"/>
            <w:vAlign w:val="center"/>
          </w:tcPr>
          <w:p w14:paraId="401A9428">
            <w:pPr>
              <w:jc w:val="center"/>
              <w:rPr>
                <w:rFonts w:hint="eastAsia" w:ascii="宋体" w:hAnsi="宋体" w:cs="宋体"/>
                <w:sz w:val="24"/>
                <w:highlight w:val="none"/>
              </w:rPr>
            </w:pPr>
            <w:r>
              <w:rPr>
                <w:rFonts w:hint="eastAsia" w:ascii="宋体" w:hAnsi="宋体" w:cs="宋体"/>
                <w:sz w:val="24"/>
                <w:highlight w:val="none"/>
              </w:rPr>
              <w:t>规格参数</w:t>
            </w:r>
          </w:p>
        </w:tc>
        <w:tc>
          <w:tcPr>
            <w:tcW w:w="875" w:type="pct"/>
            <w:noWrap w:val="0"/>
            <w:vAlign w:val="center"/>
          </w:tcPr>
          <w:p w14:paraId="3DD59605">
            <w:pPr>
              <w:jc w:val="center"/>
              <w:rPr>
                <w:rFonts w:hint="eastAsia" w:ascii="宋体" w:hAnsi="宋体" w:cs="宋体"/>
                <w:sz w:val="24"/>
                <w:highlight w:val="none"/>
              </w:rPr>
            </w:pPr>
            <w:r>
              <w:rPr>
                <w:rFonts w:hint="eastAsia" w:ascii="宋体" w:hAnsi="宋体" w:cs="宋体"/>
                <w:sz w:val="24"/>
                <w:highlight w:val="none"/>
              </w:rPr>
              <w:t>制造厂（商）</w:t>
            </w:r>
          </w:p>
        </w:tc>
        <w:tc>
          <w:tcPr>
            <w:tcW w:w="875" w:type="pct"/>
            <w:noWrap w:val="0"/>
            <w:vAlign w:val="center"/>
          </w:tcPr>
          <w:p w14:paraId="031339EB">
            <w:pPr>
              <w:jc w:val="center"/>
              <w:rPr>
                <w:rFonts w:hint="eastAsia" w:ascii="宋体" w:hAnsi="宋体" w:cs="宋体"/>
                <w:sz w:val="24"/>
                <w:highlight w:val="none"/>
              </w:rPr>
            </w:pPr>
            <w:r>
              <w:rPr>
                <w:rFonts w:hint="eastAsia" w:ascii="宋体" w:hAnsi="宋体" w:cs="宋体"/>
                <w:sz w:val="24"/>
                <w:highlight w:val="none"/>
              </w:rPr>
              <w:t>原产地（国）</w:t>
            </w:r>
          </w:p>
        </w:tc>
      </w:tr>
      <w:tr w14:paraId="704D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1F39AB69">
            <w:pPr>
              <w:rPr>
                <w:rFonts w:hint="eastAsia" w:ascii="宋体" w:hAnsi="宋体" w:cs="宋体"/>
                <w:sz w:val="24"/>
                <w:highlight w:val="none"/>
              </w:rPr>
            </w:pPr>
          </w:p>
        </w:tc>
        <w:tc>
          <w:tcPr>
            <w:tcW w:w="971" w:type="pct"/>
            <w:noWrap w:val="0"/>
            <w:vAlign w:val="top"/>
          </w:tcPr>
          <w:p w14:paraId="2ED81225">
            <w:pPr>
              <w:rPr>
                <w:rFonts w:hint="eastAsia" w:ascii="宋体" w:hAnsi="宋体" w:cs="宋体"/>
                <w:sz w:val="24"/>
                <w:highlight w:val="none"/>
              </w:rPr>
            </w:pPr>
          </w:p>
        </w:tc>
        <w:tc>
          <w:tcPr>
            <w:tcW w:w="685" w:type="pct"/>
            <w:noWrap w:val="0"/>
            <w:vAlign w:val="top"/>
          </w:tcPr>
          <w:p w14:paraId="7B9AF0BC">
            <w:pPr>
              <w:rPr>
                <w:rFonts w:hint="eastAsia" w:ascii="宋体" w:hAnsi="宋体" w:cs="宋体"/>
                <w:sz w:val="24"/>
                <w:highlight w:val="none"/>
              </w:rPr>
            </w:pPr>
          </w:p>
        </w:tc>
        <w:tc>
          <w:tcPr>
            <w:tcW w:w="915" w:type="pct"/>
            <w:noWrap w:val="0"/>
            <w:vAlign w:val="top"/>
          </w:tcPr>
          <w:p w14:paraId="600AC27F">
            <w:pPr>
              <w:rPr>
                <w:rFonts w:hint="eastAsia" w:ascii="宋体" w:hAnsi="宋体" w:cs="宋体"/>
                <w:sz w:val="24"/>
                <w:highlight w:val="none"/>
              </w:rPr>
            </w:pPr>
          </w:p>
        </w:tc>
        <w:tc>
          <w:tcPr>
            <w:tcW w:w="875" w:type="pct"/>
            <w:noWrap w:val="0"/>
            <w:vAlign w:val="top"/>
          </w:tcPr>
          <w:p w14:paraId="3A451114">
            <w:pPr>
              <w:rPr>
                <w:rFonts w:hint="eastAsia" w:ascii="宋体" w:hAnsi="宋体" w:cs="宋体"/>
                <w:sz w:val="24"/>
                <w:highlight w:val="none"/>
              </w:rPr>
            </w:pPr>
          </w:p>
        </w:tc>
        <w:tc>
          <w:tcPr>
            <w:tcW w:w="875" w:type="pct"/>
            <w:noWrap w:val="0"/>
            <w:vAlign w:val="top"/>
          </w:tcPr>
          <w:p w14:paraId="705FEC2C">
            <w:pPr>
              <w:rPr>
                <w:rFonts w:hint="eastAsia" w:ascii="宋体" w:hAnsi="宋体" w:cs="宋体"/>
                <w:sz w:val="24"/>
                <w:highlight w:val="none"/>
              </w:rPr>
            </w:pPr>
          </w:p>
        </w:tc>
      </w:tr>
      <w:tr w14:paraId="7299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0BB3F095">
            <w:pPr>
              <w:rPr>
                <w:rFonts w:hint="eastAsia" w:ascii="宋体" w:hAnsi="宋体" w:cs="宋体"/>
                <w:sz w:val="24"/>
                <w:highlight w:val="none"/>
              </w:rPr>
            </w:pPr>
          </w:p>
        </w:tc>
        <w:tc>
          <w:tcPr>
            <w:tcW w:w="971" w:type="pct"/>
            <w:noWrap w:val="0"/>
            <w:vAlign w:val="top"/>
          </w:tcPr>
          <w:p w14:paraId="2D12C423">
            <w:pPr>
              <w:rPr>
                <w:rFonts w:hint="eastAsia" w:ascii="宋体" w:hAnsi="宋体" w:cs="宋体"/>
                <w:sz w:val="24"/>
                <w:highlight w:val="none"/>
              </w:rPr>
            </w:pPr>
          </w:p>
        </w:tc>
        <w:tc>
          <w:tcPr>
            <w:tcW w:w="685" w:type="pct"/>
            <w:noWrap w:val="0"/>
            <w:vAlign w:val="top"/>
          </w:tcPr>
          <w:p w14:paraId="05B0FCFB">
            <w:pPr>
              <w:rPr>
                <w:rFonts w:hint="eastAsia" w:ascii="宋体" w:hAnsi="宋体" w:cs="宋体"/>
                <w:sz w:val="24"/>
                <w:highlight w:val="none"/>
              </w:rPr>
            </w:pPr>
          </w:p>
        </w:tc>
        <w:tc>
          <w:tcPr>
            <w:tcW w:w="915" w:type="pct"/>
            <w:noWrap w:val="0"/>
            <w:vAlign w:val="top"/>
          </w:tcPr>
          <w:p w14:paraId="3BBA9D1A">
            <w:pPr>
              <w:rPr>
                <w:rFonts w:hint="eastAsia" w:ascii="宋体" w:hAnsi="宋体" w:cs="宋体"/>
                <w:sz w:val="24"/>
                <w:highlight w:val="none"/>
              </w:rPr>
            </w:pPr>
          </w:p>
        </w:tc>
        <w:tc>
          <w:tcPr>
            <w:tcW w:w="875" w:type="pct"/>
            <w:noWrap w:val="0"/>
            <w:vAlign w:val="top"/>
          </w:tcPr>
          <w:p w14:paraId="46AC10FC">
            <w:pPr>
              <w:rPr>
                <w:rFonts w:hint="eastAsia" w:ascii="宋体" w:hAnsi="宋体" w:cs="宋体"/>
                <w:sz w:val="24"/>
                <w:highlight w:val="none"/>
              </w:rPr>
            </w:pPr>
          </w:p>
        </w:tc>
        <w:tc>
          <w:tcPr>
            <w:tcW w:w="875" w:type="pct"/>
            <w:noWrap w:val="0"/>
            <w:vAlign w:val="top"/>
          </w:tcPr>
          <w:p w14:paraId="50D6F571">
            <w:pPr>
              <w:rPr>
                <w:rFonts w:hint="eastAsia" w:ascii="宋体" w:hAnsi="宋体" w:cs="宋体"/>
                <w:sz w:val="24"/>
                <w:highlight w:val="none"/>
              </w:rPr>
            </w:pPr>
          </w:p>
        </w:tc>
      </w:tr>
      <w:tr w14:paraId="7FD4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33B4E3BA">
            <w:pPr>
              <w:rPr>
                <w:rFonts w:hint="eastAsia" w:ascii="宋体" w:hAnsi="宋体" w:cs="宋体"/>
                <w:sz w:val="24"/>
                <w:highlight w:val="none"/>
              </w:rPr>
            </w:pPr>
          </w:p>
        </w:tc>
        <w:tc>
          <w:tcPr>
            <w:tcW w:w="971" w:type="pct"/>
            <w:noWrap w:val="0"/>
            <w:vAlign w:val="top"/>
          </w:tcPr>
          <w:p w14:paraId="435E1603">
            <w:pPr>
              <w:rPr>
                <w:rFonts w:hint="eastAsia" w:ascii="宋体" w:hAnsi="宋体" w:cs="宋体"/>
                <w:sz w:val="24"/>
                <w:highlight w:val="none"/>
              </w:rPr>
            </w:pPr>
          </w:p>
        </w:tc>
        <w:tc>
          <w:tcPr>
            <w:tcW w:w="685" w:type="pct"/>
            <w:noWrap w:val="0"/>
            <w:vAlign w:val="top"/>
          </w:tcPr>
          <w:p w14:paraId="53A0B7BC">
            <w:pPr>
              <w:rPr>
                <w:rFonts w:hint="eastAsia" w:ascii="宋体" w:hAnsi="宋体" w:cs="宋体"/>
                <w:sz w:val="24"/>
                <w:highlight w:val="none"/>
              </w:rPr>
            </w:pPr>
          </w:p>
        </w:tc>
        <w:tc>
          <w:tcPr>
            <w:tcW w:w="915" w:type="pct"/>
            <w:noWrap w:val="0"/>
            <w:vAlign w:val="top"/>
          </w:tcPr>
          <w:p w14:paraId="6D754B9F">
            <w:pPr>
              <w:rPr>
                <w:rFonts w:hint="eastAsia" w:ascii="宋体" w:hAnsi="宋体" w:cs="宋体"/>
                <w:sz w:val="24"/>
                <w:highlight w:val="none"/>
              </w:rPr>
            </w:pPr>
          </w:p>
        </w:tc>
        <w:tc>
          <w:tcPr>
            <w:tcW w:w="875" w:type="pct"/>
            <w:noWrap w:val="0"/>
            <w:vAlign w:val="top"/>
          </w:tcPr>
          <w:p w14:paraId="4EC4AF93">
            <w:pPr>
              <w:rPr>
                <w:rFonts w:hint="eastAsia" w:ascii="宋体" w:hAnsi="宋体" w:cs="宋体"/>
                <w:sz w:val="24"/>
                <w:highlight w:val="none"/>
              </w:rPr>
            </w:pPr>
          </w:p>
        </w:tc>
        <w:tc>
          <w:tcPr>
            <w:tcW w:w="875" w:type="pct"/>
            <w:noWrap w:val="0"/>
            <w:vAlign w:val="top"/>
          </w:tcPr>
          <w:p w14:paraId="732441C4">
            <w:pPr>
              <w:rPr>
                <w:rFonts w:hint="eastAsia" w:ascii="宋体" w:hAnsi="宋体" w:cs="宋体"/>
                <w:sz w:val="24"/>
                <w:highlight w:val="none"/>
              </w:rPr>
            </w:pPr>
          </w:p>
        </w:tc>
      </w:tr>
      <w:tr w14:paraId="3CDB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31F220A4">
            <w:pPr>
              <w:rPr>
                <w:rFonts w:hint="eastAsia" w:ascii="宋体" w:hAnsi="宋体" w:cs="宋体"/>
                <w:sz w:val="24"/>
                <w:highlight w:val="none"/>
              </w:rPr>
            </w:pPr>
          </w:p>
        </w:tc>
        <w:tc>
          <w:tcPr>
            <w:tcW w:w="971" w:type="pct"/>
            <w:noWrap w:val="0"/>
            <w:vAlign w:val="top"/>
          </w:tcPr>
          <w:p w14:paraId="7D63BF12">
            <w:pPr>
              <w:rPr>
                <w:rFonts w:hint="eastAsia" w:ascii="宋体" w:hAnsi="宋体" w:cs="宋体"/>
                <w:sz w:val="24"/>
                <w:highlight w:val="none"/>
              </w:rPr>
            </w:pPr>
          </w:p>
        </w:tc>
        <w:tc>
          <w:tcPr>
            <w:tcW w:w="685" w:type="pct"/>
            <w:noWrap w:val="0"/>
            <w:vAlign w:val="top"/>
          </w:tcPr>
          <w:p w14:paraId="38867567">
            <w:pPr>
              <w:rPr>
                <w:rFonts w:hint="eastAsia" w:ascii="宋体" w:hAnsi="宋体" w:cs="宋体"/>
                <w:sz w:val="24"/>
                <w:highlight w:val="none"/>
              </w:rPr>
            </w:pPr>
          </w:p>
        </w:tc>
        <w:tc>
          <w:tcPr>
            <w:tcW w:w="915" w:type="pct"/>
            <w:noWrap w:val="0"/>
            <w:vAlign w:val="top"/>
          </w:tcPr>
          <w:p w14:paraId="7DD03C20">
            <w:pPr>
              <w:rPr>
                <w:rFonts w:hint="eastAsia" w:ascii="宋体" w:hAnsi="宋体" w:cs="宋体"/>
                <w:sz w:val="24"/>
                <w:highlight w:val="none"/>
              </w:rPr>
            </w:pPr>
          </w:p>
        </w:tc>
        <w:tc>
          <w:tcPr>
            <w:tcW w:w="875" w:type="pct"/>
            <w:noWrap w:val="0"/>
            <w:vAlign w:val="top"/>
          </w:tcPr>
          <w:p w14:paraId="69660A6C">
            <w:pPr>
              <w:rPr>
                <w:rFonts w:hint="eastAsia" w:ascii="宋体" w:hAnsi="宋体" w:cs="宋体"/>
                <w:sz w:val="24"/>
                <w:highlight w:val="none"/>
              </w:rPr>
            </w:pPr>
          </w:p>
        </w:tc>
        <w:tc>
          <w:tcPr>
            <w:tcW w:w="875" w:type="pct"/>
            <w:noWrap w:val="0"/>
            <w:vAlign w:val="top"/>
          </w:tcPr>
          <w:p w14:paraId="71D6DEC2">
            <w:pPr>
              <w:rPr>
                <w:rFonts w:hint="eastAsia" w:ascii="宋体" w:hAnsi="宋体" w:cs="宋体"/>
                <w:sz w:val="24"/>
                <w:highlight w:val="none"/>
              </w:rPr>
            </w:pPr>
          </w:p>
        </w:tc>
      </w:tr>
      <w:tr w14:paraId="134C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44786369">
            <w:pPr>
              <w:rPr>
                <w:rFonts w:hint="eastAsia" w:ascii="宋体" w:hAnsi="宋体" w:cs="宋体"/>
                <w:sz w:val="24"/>
                <w:highlight w:val="none"/>
              </w:rPr>
            </w:pPr>
          </w:p>
        </w:tc>
        <w:tc>
          <w:tcPr>
            <w:tcW w:w="971" w:type="pct"/>
            <w:noWrap w:val="0"/>
            <w:vAlign w:val="top"/>
          </w:tcPr>
          <w:p w14:paraId="04AD7967">
            <w:pPr>
              <w:rPr>
                <w:rFonts w:hint="eastAsia" w:ascii="宋体" w:hAnsi="宋体" w:cs="宋体"/>
                <w:sz w:val="24"/>
                <w:highlight w:val="none"/>
              </w:rPr>
            </w:pPr>
          </w:p>
        </w:tc>
        <w:tc>
          <w:tcPr>
            <w:tcW w:w="685" w:type="pct"/>
            <w:noWrap w:val="0"/>
            <w:vAlign w:val="top"/>
          </w:tcPr>
          <w:p w14:paraId="13AF3323">
            <w:pPr>
              <w:rPr>
                <w:rFonts w:hint="eastAsia" w:ascii="宋体" w:hAnsi="宋体" w:cs="宋体"/>
                <w:sz w:val="24"/>
                <w:highlight w:val="none"/>
              </w:rPr>
            </w:pPr>
          </w:p>
        </w:tc>
        <w:tc>
          <w:tcPr>
            <w:tcW w:w="915" w:type="pct"/>
            <w:noWrap w:val="0"/>
            <w:vAlign w:val="top"/>
          </w:tcPr>
          <w:p w14:paraId="526F270D">
            <w:pPr>
              <w:rPr>
                <w:rFonts w:hint="eastAsia" w:ascii="宋体" w:hAnsi="宋体" w:cs="宋体"/>
                <w:sz w:val="24"/>
                <w:highlight w:val="none"/>
              </w:rPr>
            </w:pPr>
          </w:p>
        </w:tc>
        <w:tc>
          <w:tcPr>
            <w:tcW w:w="875" w:type="pct"/>
            <w:noWrap w:val="0"/>
            <w:vAlign w:val="top"/>
          </w:tcPr>
          <w:p w14:paraId="4495D6B7">
            <w:pPr>
              <w:rPr>
                <w:rFonts w:hint="eastAsia" w:ascii="宋体" w:hAnsi="宋体" w:cs="宋体"/>
                <w:sz w:val="24"/>
                <w:highlight w:val="none"/>
              </w:rPr>
            </w:pPr>
          </w:p>
        </w:tc>
        <w:tc>
          <w:tcPr>
            <w:tcW w:w="875" w:type="pct"/>
            <w:noWrap w:val="0"/>
            <w:vAlign w:val="top"/>
          </w:tcPr>
          <w:p w14:paraId="004DAAA6">
            <w:pPr>
              <w:rPr>
                <w:rFonts w:hint="eastAsia" w:ascii="宋体" w:hAnsi="宋体" w:cs="宋体"/>
                <w:sz w:val="24"/>
                <w:highlight w:val="none"/>
              </w:rPr>
            </w:pPr>
          </w:p>
        </w:tc>
      </w:tr>
      <w:tr w14:paraId="158A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73670625">
            <w:pPr>
              <w:rPr>
                <w:rFonts w:hint="eastAsia" w:ascii="宋体" w:hAnsi="宋体" w:cs="宋体"/>
                <w:sz w:val="24"/>
                <w:highlight w:val="none"/>
              </w:rPr>
            </w:pPr>
          </w:p>
        </w:tc>
        <w:tc>
          <w:tcPr>
            <w:tcW w:w="971" w:type="pct"/>
            <w:noWrap w:val="0"/>
            <w:vAlign w:val="top"/>
          </w:tcPr>
          <w:p w14:paraId="7B5A67FD">
            <w:pPr>
              <w:rPr>
                <w:rFonts w:hint="eastAsia" w:ascii="宋体" w:hAnsi="宋体" w:cs="宋体"/>
                <w:sz w:val="24"/>
                <w:highlight w:val="none"/>
              </w:rPr>
            </w:pPr>
          </w:p>
        </w:tc>
        <w:tc>
          <w:tcPr>
            <w:tcW w:w="685" w:type="pct"/>
            <w:noWrap w:val="0"/>
            <w:vAlign w:val="top"/>
          </w:tcPr>
          <w:p w14:paraId="2191F0A4">
            <w:pPr>
              <w:rPr>
                <w:rFonts w:hint="eastAsia" w:ascii="宋体" w:hAnsi="宋体" w:cs="宋体"/>
                <w:sz w:val="24"/>
                <w:highlight w:val="none"/>
              </w:rPr>
            </w:pPr>
          </w:p>
        </w:tc>
        <w:tc>
          <w:tcPr>
            <w:tcW w:w="915" w:type="pct"/>
            <w:noWrap w:val="0"/>
            <w:vAlign w:val="top"/>
          </w:tcPr>
          <w:p w14:paraId="514B3D6F">
            <w:pPr>
              <w:rPr>
                <w:rFonts w:hint="eastAsia" w:ascii="宋体" w:hAnsi="宋体" w:cs="宋体"/>
                <w:sz w:val="24"/>
                <w:highlight w:val="none"/>
              </w:rPr>
            </w:pPr>
          </w:p>
        </w:tc>
        <w:tc>
          <w:tcPr>
            <w:tcW w:w="875" w:type="pct"/>
            <w:noWrap w:val="0"/>
            <w:vAlign w:val="top"/>
          </w:tcPr>
          <w:p w14:paraId="42CF020A">
            <w:pPr>
              <w:rPr>
                <w:rFonts w:hint="eastAsia" w:ascii="宋体" w:hAnsi="宋体" w:cs="宋体"/>
                <w:sz w:val="24"/>
                <w:highlight w:val="none"/>
              </w:rPr>
            </w:pPr>
          </w:p>
        </w:tc>
        <w:tc>
          <w:tcPr>
            <w:tcW w:w="875" w:type="pct"/>
            <w:noWrap w:val="0"/>
            <w:vAlign w:val="top"/>
          </w:tcPr>
          <w:p w14:paraId="33912EB9">
            <w:pPr>
              <w:rPr>
                <w:rFonts w:hint="eastAsia" w:ascii="宋体" w:hAnsi="宋体" w:cs="宋体"/>
                <w:sz w:val="24"/>
                <w:highlight w:val="none"/>
              </w:rPr>
            </w:pPr>
          </w:p>
        </w:tc>
      </w:tr>
      <w:tr w14:paraId="7A88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1632D469">
            <w:pPr>
              <w:rPr>
                <w:rFonts w:hint="eastAsia" w:ascii="宋体" w:hAnsi="宋体" w:cs="宋体"/>
                <w:sz w:val="24"/>
                <w:highlight w:val="none"/>
              </w:rPr>
            </w:pPr>
          </w:p>
        </w:tc>
        <w:tc>
          <w:tcPr>
            <w:tcW w:w="971" w:type="pct"/>
            <w:noWrap w:val="0"/>
            <w:vAlign w:val="top"/>
          </w:tcPr>
          <w:p w14:paraId="606B2CDF">
            <w:pPr>
              <w:rPr>
                <w:rFonts w:hint="eastAsia" w:ascii="宋体" w:hAnsi="宋体" w:cs="宋体"/>
                <w:sz w:val="24"/>
                <w:highlight w:val="none"/>
              </w:rPr>
            </w:pPr>
          </w:p>
        </w:tc>
        <w:tc>
          <w:tcPr>
            <w:tcW w:w="685" w:type="pct"/>
            <w:noWrap w:val="0"/>
            <w:vAlign w:val="top"/>
          </w:tcPr>
          <w:p w14:paraId="646C3A61">
            <w:pPr>
              <w:rPr>
                <w:rFonts w:hint="eastAsia" w:ascii="宋体" w:hAnsi="宋体" w:cs="宋体"/>
                <w:sz w:val="24"/>
                <w:highlight w:val="none"/>
              </w:rPr>
            </w:pPr>
          </w:p>
        </w:tc>
        <w:tc>
          <w:tcPr>
            <w:tcW w:w="915" w:type="pct"/>
            <w:noWrap w:val="0"/>
            <w:vAlign w:val="top"/>
          </w:tcPr>
          <w:p w14:paraId="172ADCC5">
            <w:pPr>
              <w:rPr>
                <w:rFonts w:hint="eastAsia" w:ascii="宋体" w:hAnsi="宋体" w:cs="宋体"/>
                <w:sz w:val="24"/>
                <w:highlight w:val="none"/>
              </w:rPr>
            </w:pPr>
          </w:p>
        </w:tc>
        <w:tc>
          <w:tcPr>
            <w:tcW w:w="875" w:type="pct"/>
            <w:noWrap w:val="0"/>
            <w:vAlign w:val="top"/>
          </w:tcPr>
          <w:p w14:paraId="540C8235">
            <w:pPr>
              <w:rPr>
                <w:rFonts w:hint="eastAsia" w:ascii="宋体" w:hAnsi="宋体" w:cs="宋体"/>
                <w:sz w:val="24"/>
                <w:highlight w:val="none"/>
              </w:rPr>
            </w:pPr>
          </w:p>
        </w:tc>
        <w:tc>
          <w:tcPr>
            <w:tcW w:w="875" w:type="pct"/>
            <w:noWrap w:val="0"/>
            <w:vAlign w:val="top"/>
          </w:tcPr>
          <w:p w14:paraId="2C1896B6">
            <w:pPr>
              <w:rPr>
                <w:rFonts w:hint="eastAsia" w:ascii="宋体" w:hAnsi="宋体" w:cs="宋体"/>
                <w:sz w:val="24"/>
                <w:highlight w:val="none"/>
              </w:rPr>
            </w:pPr>
          </w:p>
        </w:tc>
      </w:tr>
      <w:tr w14:paraId="40F9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732BCD7F">
            <w:pPr>
              <w:rPr>
                <w:rFonts w:hint="eastAsia" w:ascii="宋体" w:hAnsi="宋体" w:cs="宋体"/>
                <w:sz w:val="24"/>
                <w:highlight w:val="none"/>
              </w:rPr>
            </w:pPr>
          </w:p>
        </w:tc>
        <w:tc>
          <w:tcPr>
            <w:tcW w:w="971" w:type="pct"/>
            <w:noWrap w:val="0"/>
            <w:vAlign w:val="top"/>
          </w:tcPr>
          <w:p w14:paraId="4501E2FF">
            <w:pPr>
              <w:rPr>
                <w:rFonts w:hint="eastAsia" w:ascii="宋体" w:hAnsi="宋体" w:cs="宋体"/>
                <w:sz w:val="24"/>
                <w:highlight w:val="none"/>
              </w:rPr>
            </w:pPr>
          </w:p>
        </w:tc>
        <w:tc>
          <w:tcPr>
            <w:tcW w:w="685" w:type="pct"/>
            <w:noWrap w:val="0"/>
            <w:vAlign w:val="top"/>
          </w:tcPr>
          <w:p w14:paraId="2A4FE148">
            <w:pPr>
              <w:rPr>
                <w:rFonts w:hint="eastAsia" w:ascii="宋体" w:hAnsi="宋体" w:cs="宋体"/>
                <w:sz w:val="24"/>
                <w:highlight w:val="none"/>
              </w:rPr>
            </w:pPr>
          </w:p>
        </w:tc>
        <w:tc>
          <w:tcPr>
            <w:tcW w:w="915" w:type="pct"/>
            <w:noWrap w:val="0"/>
            <w:vAlign w:val="top"/>
          </w:tcPr>
          <w:p w14:paraId="2C7A0619">
            <w:pPr>
              <w:rPr>
                <w:rFonts w:hint="eastAsia" w:ascii="宋体" w:hAnsi="宋体" w:cs="宋体"/>
                <w:sz w:val="24"/>
                <w:highlight w:val="none"/>
              </w:rPr>
            </w:pPr>
          </w:p>
        </w:tc>
        <w:tc>
          <w:tcPr>
            <w:tcW w:w="875" w:type="pct"/>
            <w:noWrap w:val="0"/>
            <w:vAlign w:val="top"/>
          </w:tcPr>
          <w:p w14:paraId="3DCB9ED3">
            <w:pPr>
              <w:rPr>
                <w:rFonts w:hint="eastAsia" w:ascii="宋体" w:hAnsi="宋体" w:cs="宋体"/>
                <w:sz w:val="24"/>
                <w:highlight w:val="none"/>
              </w:rPr>
            </w:pPr>
          </w:p>
        </w:tc>
        <w:tc>
          <w:tcPr>
            <w:tcW w:w="875" w:type="pct"/>
            <w:noWrap w:val="0"/>
            <w:vAlign w:val="top"/>
          </w:tcPr>
          <w:p w14:paraId="2F05F23C">
            <w:pPr>
              <w:rPr>
                <w:rFonts w:hint="eastAsia" w:ascii="宋体" w:hAnsi="宋体" w:cs="宋体"/>
                <w:sz w:val="24"/>
                <w:highlight w:val="none"/>
              </w:rPr>
            </w:pPr>
          </w:p>
        </w:tc>
      </w:tr>
      <w:tr w14:paraId="6957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60DFA79D">
            <w:pPr>
              <w:rPr>
                <w:rFonts w:hint="eastAsia" w:ascii="宋体" w:hAnsi="宋体" w:cs="宋体"/>
                <w:sz w:val="24"/>
                <w:highlight w:val="none"/>
              </w:rPr>
            </w:pPr>
          </w:p>
        </w:tc>
        <w:tc>
          <w:tcPr>
            <w:tcW w:w="971" w:type="pct"/>
            <w:noWrap w:val="0"/>
            <w:vAlign w:val="top"/>
          </w:tcPr>
          <w:p w14:paraId="09FBF684">
            <w:pPr>
              <w:rPr>
                <w:rFonts w:hint="eastAsia" w:ascii="宋体" w:hAnsi="宋体" w:cs="宋体"/>
                <w:sz w:val="24"/>
                <w:highlight w:val="none"/>
              </w:rPr>
            </w:pPr>
          </w:p>
        </w:tc>
        <w:tc>
          <w:tcPr>
            <w:tcW w:w="685" w:type="pct"/>
            <w:noWrap w:val="0"/>
            <w:vAlign w:val="top"/>
          </w:tcPr>
          <w:p w14:paraId="52F151D4">
            <w:pPr>
              <w:rPr>
                <w:rFonts w:hint="eastAsia" w:ascii="宋体" w:hAnsi="宋体" w:cs="宋体"/>
                <w:sz w:val="24"/>
                <w:highlight w:val="none"/>
              </w:rPr>
            </w:pPr>
          </w:p>
        </w:tc>
        <w:tc>
          <w:tcPr>
            <w:tcW w:w="915" w:type="pct"/>
            <w:noWrap w:val="0"/>
            <w:vAlign w:val="top"/>
          </w:tcPr>
          <w:p w14:paraId="020532E6">
            <w:pPr>
              <w:rPr>
                <w:rFonts w:hint="eastAsia" w:ascii="宋体" w:hAnsi="宋体" w:cs="宋体"/>
                <w:sz w:val="24"/>
                <w:highlight w:val="none"/>
              </w:rPr>
            </w:pPr>
          </w:p>
        </w:tc>
        <w:tc>
          <w:tcPr>
            <w:tcW w:w="875" w:type="pct"/>
            <w:noWrap w:val="0"/>
            <w:vAlign w:val="top"/>
          </w:tcPr>
          <w:p w14:paraId="547D2088">
            <w:pPr>
              <w:rPr>
                <w:rFonts w:hint="eastAsia" w:ascii="宋体" w:hAnsi="宋体" w:cs="宋体"/>
                <w:sz w:val="24"/>
                <w:highlight w:val="none"/>
              </w:rPr>
            </w:pPr>
          </w:p>
        </w:tc>
        <w:tc>
          <w:tcPr>
            <w:tcW w:w="875" w:type="pct"/>
            <w:noWrap w:val="0"/>
            <w:vAlign w:val="top"/>
          </w:tcPr>
          <w:p w14:paraId="262F6A0E">
            <w:pPr>
              <w:rPr>
                <w:rFonts w:hint="eastAsia" w:ascii="宋体" w:hAnsi="宋体" w:cs="宋体"/>
                <w:sz w:val="24"/>
                <w:highlight w:val="none"/>
              </w:rPr>
            </w:pPr>
          </w:p>
        </w:tc>
      </w:tr>
      <w:tr w14:paraId="3DB0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13A029A4">
            <w:pPr>
              <w:rPr>
                <w:rFonts w:hint="eastAsia" w:ascii="宋体" w:hAnsi="宋体" w:cs="宋体"/>
                <w:sz w:val="24"/>
                <w:highlight w:val="none"/>
              </w:rPr>
            </w:pPr>
          </w:p>
        </w:tc>
        <w:tc>
          <w:tcPr>
            <w:tcW w:w="971" w:type="pct"/>
            <w:noWrap w:val="0"/>
            <w:vAlign w:val="top"/>
          </w:tcPr>
          <w:p w14:paraId="5AC5EC7B">
            <w:pPr>
              <w:rPr>
                <w:rFonts w:hint="eastAsia" w:ascii="宋体" w:hAnsi="宋体" w:cs="宋体"/>
                <w:sz w:val="24"/>
                <w:highlight w:val="none"/>
              </w:rPr>
            </w:pPr>
          </w:p>
        </w:tc>
        <w:tc>
          <w:tcPr>
            <w:tcW w:w="685" w:type="pct"/>
            <w:noWrap w:val="0"/>
            <w:vAlign w:val="top"/>
          </w:tcPr>
          <w:p w14:paraId="62C2C593">
            <w:pPr>
              <w:rPr>
                <w:rFonts w:hint="eastAsia" w:ascii="宋体" w:hAnsi="宋体" w:cs="宋体"/>
                <w:sz w:val="24"/>
                <w:highlight w:val="none"/>
              </w:rPr>
            </w:pPr>
          </w:p>
        </w:tc>
        <w:tc>
          <w:tcPr>
            <w:tcW w:w="915" w:type="pct"/>
            <w:noWrap w:val="0"/>
            <w:vAlign w:val="top"/>
          </w:tcPr>
          <w:p w14:paraId="56DF41B7">
            <w:pPr>
              <w:rPr>
                <w:rFonts w:hint="eastAsia" w:ascii="宋体" w:hAnsi="宋体" w:cs="宋体"/>
                <w:sz w:val="24"/>
                <w:highlight w:val="none"/>
              </w:rPr>
            </w:pPr>
          </w:p>
        </w:tc>
        <w:tc>
          <w:tcPr>
            <w:tcW w:w="875" w:type="pct"/>
            <w:noWrap w:val="0"/>
            <w:vAlign w:val="top"/>
          </w:tcPr>
          <w:p w14:paraId="18129A43">
            <w:pPr>
              <w:rPr>
                <w:rFonts w:hint="eastAsia" w:ascii="宋体" w:hAnsi="宋体" w:cs="宋体"/>
                <w:sz w:val="24"/>
                <w:highlight w:val="none"/>
              </w:rPr>
            </w:pPr>
          </w:p>
        </w:tc>
        <w:tc>
          <w:tcPr>
            <w:tcW w:w="875" w:type="pct"/>
            <w:noWrap w:val="0"/>
            <w:vAlign w:val="top"/>
          </w:tcPr>
          <w:p w14:paraId="47A77176">
            <w:pPr>
              <w:rPr>
                <w:rFonts w:hint="eastAsia" w:ascii="宋体" w:hAnsi="宋体" w:cs="宋体"/>
                <w:sz w:val="24"/>
                <w:highlight w:val="none"/>
              </w:rPr>
            </w:pPr>
          </w:p>
        </w:tc>
      </w:tr>
      <w:tr w14:paraId="290D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5D38158D">
            <w:pPr>
              <w:rPr>
                <w:rFonts w:hint="eastAsia" w:ascii="宋体" w:hAnsi="宋体" w:cs="宋体"/>
                <w:sz w:val="24"/>
                <w:highlight w:val="none"/>
              </w:rPr>
            </w:pPr>
          </w:p>
        </w:tc>
        <w:tc>
          <w:tcPr>
            <w:tcW w:w="971" w:type="pct"/>
            <w:noWrap w:val="0"/>
            <w:vAlign w:val="top"/>
          </w:tcPr>
          <w:p w14:paraId="4D55539E">
            <w:pPr>
              <w:rPr>
                <w:rFonts w:hint="eastAsia" w:ascii="宋体" w:hAnsi="宋体" w:cs="宋体"/>
                <w:sz w:val="24"/>
                <w:highlight w:val="none"/>
              </w:rPr>
            </w:pPr>
          </w:p>
        </w:tc>
        <w:tc>
          <w:tcPr>
            <w:tcW w:w="685" w:type="pct"/>
            <w:noWrap w:val="0"/>
            <w:vAlign w:val="top"/>
          </w:tcPr>
          <w:p w14:paraId="7A1ABA48">
            <w:pPr>
              <w:rPr>
                <w:rFonts w:hint="eastAsia" w:ascii="宋体" w:hAnsi="宋体" w:cs="宋体"/>
                <w:sz w:val="24"/>
                <w:highlight w:val="none"/>
              </w:rPr>
            </w:pPr>
          </w:p>
        </w:tc>
        <w:tc>
          <w:tcPr>
            <w:tcW w:w="915" w:type="pct"/>
            <w:noWrap w:val="0"/>
            <w:vAlign w:val="top"/>
          </w:tcPr>
          <w:p w14:paraId="4D155546">
            <w:pPr>
              <w:rPr>
                <w:rFonts w:hint="eastAsia" w:ascii="宋体" w:hAnsi="宋体" w:cs="宋体"/>
                <w:sz w:val="24"/>
                <w:highlight w:val="none"/>
              </w:rPr>
            </w:pPr>
          </w:p>
        </w:tc>
        <w:tc>
          <w:tcPr>
            <w:tcW w:w="875" w:type="pct"/>
            <w:noWrap w:val="0"/>
            <w:vAlign w:val="top"/>
          </w:tcPr>
          <w:p w14:paraId="0AA8EEA5">
            <w:pPr>
              <w:rPr>
                <w:rFonts w:hint="eastAsia" w:ascii="宋体" w:hAnsi="宋体" w:cs="宋体"/>
                <w:sz w:val="24"/>
                <w:highlight w:val="none"/>
              </w:rPr>
            </w:pPr>
          </w:p>
        </w:tc>
        <w:tc>
          <w:tcPr>
            <w:tcW w:w="875" w:type="pct"/>
            <w:noWrap w:val="0"/>
            <w:vAlign w:val="top"/>
          </w:tcPr>
          <w:p w14:paraId="3DBEC3AD">
            <w:pPr>
              <w:rPr>
                <w:rFonts w:hint="eastAsia" w:ascii="宋体" w:hAnsi="宋体" w:cs="宋体"/>
                <w:sz w:val="24"/>
                <w:highlight w:val="none"/>
              </w:rPr>
            </w:pPr>
          </w:p>
        </w:tc>
      </w:tr>
      <w:tr w14:paraId="57CC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0B1C8A07">
            <w:pPr>
              <w:rPr>
                <w:rFonts w:hint="eastAsia" w:ascii="宋体" w:hAnsi="宋体" w:cs="宋体"/>
                <w:sz w:val="24"/>
                <w:highlight w:val="none"/>
              </w:rPr>
            </w:pPr>
          </w:p>
        </w:tc>
        <w:tc>
          <w:tcPr>
            <w:tcW w:w="971" w:type="pct"/>
            <w:noWrap w:val="0"/>
            <w:vAlign w:val="top"/>
          </w:tcPr>
          <w:p w14:paraId="3E63C29A">
            <w:pPr>
              <w:rPr>
                <w:rFonts w:hint="eastAsia" w:ascii="宋体" w:hAnsi="宋体" w:cs="宋体"/>
                <w:sz w:val="24"/>
                <w:highlight w:val="none"/>
              </w:rPr>
            </w:pPr>
          </w:p>
        </w:tc>
        <w:tc>
          <w:tcPr>
            <w:tcW w:w="685" w:type="pct"/>
            <w:noWrap w:val="0"/>
            <w:vAlign w:val="top"/>
          </w:tcPr>
          <w:p w14:paraId="199DA1E1">
            <w:pPr>
              <w:rPr>
                <w:rFonts w:hint="eastAsia" w:ascii="宋体" w:hAnsi="宋体" w:cs="宋体"/>
                <w:sz w:val="24"/>
                <w:highlight w:val="none"/>
              </w:rPr>
            </w:pPr>
          </w:p>
        </w:tc>
        <w:tc>
          <w:tcPr>
            <w:tcW w:w="915" w:type="pct"/>
            <w:noWrap w:val="0"/>
            <w:vAlign w:val="top"/>
          </w:tcPr>
          <w:p w14:paraId="753F076E">
            <w:pPr>
              <w:rPr>
                <w:rFonts w:hint="eastAsia" w:ascii="宋体" w:hAnsi="宋体" w:cs="宋体"/>
                <w:sz w:val="24"/>
                <w:highlight w:val="none"/>
              </w:rPr>
            </w:pPr>
          </w:p>
        </w:tc>
        <w:tc>
          <w:tcPr>
            <w:tcW w:w="875" w:type="pct"/>
            <w:noWrap w:val="0"/>
            <w:vAlign w:val="top"/>
          </w:tcPr>
          <w:p w14:paraId="366431FD">
            <w:pPr>
              <w:rPr>
                <w:rFonts w:hint="eastAsia" w:ascii="宋体" w:hAnsi="宋体" w:cs="宋体"/>
                <w:sz w:val="24"/>
                <w:highlight w:val="none"/>
              </w:rPr>
            </w:pPr>
          </w:p>
        </w:tc>
        <w:tc>
          <w:tcPr>
            <w:tcW w:w="875" w:type="pct"/>
            <w:noWrap w:val="0"/>
            <w:vAlign w:val="top"/>
          </w:tcPr>
          <w:p w14:paraId="4C4A42C8">
            <w:pPr>
              <w:rPr>
                <w:rFonts w:hint="eastAsia" w:ascii="宋体" w:hAnsi="宋体" w:cs="宋体"/>
                <w:sz w:val="24"/>
                <w:highlight w:val="none"/>
              </w:rPr>
            </w:pPr>
          </w:p>
        </w:tc>
      </w:tr>
      <w:tr w14:paraId="5495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0608E20E">
            <w:pPr>
              <w:rPr>
                <w:rFonts w:hint="eastAsia" w:ascii="宋体" w:hAnsi="宋体" w:cs="宋体"/>
                <w:sz w:val="24"/>
                <w:highlight w:val="none"/>
              </w:rPr>
            </w:pPr>
          </w:p>
        </w:tc>
        <w:tc>
          <w:tcPr>
            <w:tcW w:w="971" w:type="pct"/>
            <w:noWrap w:val="0"/>
            <w:vAlign w:val="top"/>
          </w:tcPr>
          <w:p w14:paraId="68EB04B1">
            <w:pPr>
              <w:rPr>
                <w:rFonts w:hint="eastAsia" w:ascii="宋体" w:hAnsi="宋体" w:cs="宋体"/>
                <w:sz w:val="24"/>
                <w:highlight w:val="none"/>
              </w:rPr>
            </w:pPr>
          </w:p>
        </w:tc>
        <w:tc>
          <w:tcPr>
            <w:tcW w:w="685" w:type="pct"/>
            <w:noWrap w:val="0"/>
            <w:vAlign w:val="top"/>
          </w:tcPr>
          <w:p w14:paraId="5B3D550C">
            <w:pPr>
              <w:rPr>
                <w:rFonts w:hint="eastAsia" w:ascii="宋体" w:hAnsi="宋体" w:cs="宋体"/>
                <w:sz w:val="24"/>
                <w:highlight w:val="none"/>
              </w:rPr>
            </w:pPr>
          </w:p>
        </w:tc>
        <w:tc>
          <w:tcPr>
            <w:tcW w:w="915" w:type="pct"/>
            <w:noWrap w:val="0"/>
            <w:vAlign w:val="top"/>
          </w:tcPr>
          <w:p w14:paraId="2D9A11C4">
            <w:pPr>
              <w:rPr>
                <w:rFonts w:hint="eastAsia" w:ascii="宋体" w:hAnsi="宋体" w:cs="宋体"/>
                <w:sz w:val="24"/>
                <w:highlight w:val="none"/>
              </w:rPr>
            </w:pPr>
          </w:p>
        </w:tc>
        <w:tc>
          <w:tcPr>
            <w:tcW w:w="875" w:type="pct"/>
            <w:noWrap w:val="0"/>
            <w:vAlign w:val="top"/>
          </w:tcPr>
          <w:p w14:paraId="756129C1">
            <w:pPr>
              <w:rPr>
                <w:rFonts w:hint="eastAsia" w:ascii="宋体" w:hAnsi="宋体" w:cs="宋体"/>
                <w:sz w:val="24"/>
                <w:highlight w:val="none"/>
              </w:rPr>
            </w:pPr>
          </w:p>
        </w:tc>
        <w:tc>
          <w:tcPr>
            <w:tcW w:w="875" w:type="pct"/>
            <w:noWrap w:val="0"/>
            <w:vAlign w:val="top"/>
          </w:tcPr>
          <w:p w14:paraId="293B8C77">
            <w:pPr>
              <w:rPr>
                <w:rFonts w:hint="eastAsia" w:ascii="宋体" w:hAnsi="宋体" w:cs="宋体"/>
                <w:sz w:val="24"/>
                <w:highlight w:val="none"/>
              </w:rPr>
            </w:pPr>
          </w:p>
        </w:tc>
      </w:tr>
      <w:tr w14:paraId="5829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noWrap w:val="0"/>
            <w:vAlign w:val="top"/>
          </w:tcPr>
          <w:p w14:paraId="1D2DB919">
            <w:pPr>
              <w:rPr>
                <w:rFonts w:hint="eastAsia" w:ascii="宋体" w:hAnsi="宋体" w:cs="宋体"/>
                <w:sz w:val="24"/>
                <w:highlight w:val="none"/>
              </w:rPr>
            </w:pPr>
          </w:p>
        </w:tc>
        <w:tc>
          <w:tcPr>
            <w:tcW w:w="971" w:type="pct"/>
            <w:noWrap w:val="0"/>
            <w:vAlign w:val="top"/>
          </w:tcPr>
          <w:p w14:paraId="29441583">
            <w:pPr>
              <w:rPr>
                <w:rFonts w:hint="eastAsia" w:ascii="宋体" w:hAnsi="宋体" w:cs="宋体"/>
                <w:sz w:val="24"/>
                <w:highlight w:val="none"/>
              </w:rPr>
            </w:pPr>
          </w:p>
        </w:tc>
        <w:tc>
          <w:tcPr>
            <w:tcW w:w="685" w:type="pct"/>
            <w:noWrap w:val="0"/>
            <w:vAlign w:val="top"/>
          </w:tcPr>
          <w:p w14:paraId="3FAF99FA">
            <w:pPr>
              <w:rPr>
                <w:rFonts w:hint="eastAsia" w:ascii="宋体" w:hAnsi="宋体" w:cs="宋体"/>
                <w:sz w:val="24"/>
                <w:highlight w:val="none"/>
              </w:rPr>
            </w:pPr>
          </w:p>
        </w:tc>
        <w:tc>
          <w:tcPr>
            <w:tcW w:w="915" w:type="pct"/>
            <w:noWrap w:val="0"/>
            <w:vAlign w:val="top"/>
          </w:tcPr>
          <w:p w14:paraId="025E712A">
            <w:pPr>
              <w:rPr>
                <w:rFonts w:hint="eastAsia" w:ascii="宋体" w:hAnsi="宋体" w:cs="宋体"/>
                <w:sz w:val="24"/>
                <w:highlight w:val="none"/>
              </w:rPr>
            </w:pPr>
          </w:p>
        </w:tc>
        <w:tc>
          <w:tcPr>
            <w:tcW w:w="875" w:type="pct"/>
            <w:noWrap w:val="0"/>
            <w:vAlign w:val="top"/>
          </w:tcPr>
          <w:p w14:paraId="77CBE58A">
            <w:pPr>
              <w:rPr>
                <w:rFonts w:hint="eastAsia" w:ascii="宋体" w:hAnsi="宋体" w:cs="宋体"/>
                <w:sz w:val="24"/>
                <w:highlight w:val="none"/>
              </w:rPr>
            </w:pPr>
          </w:p>
        </w:tc>
        <w:tc>
          <w:tcPr>
            <w:tcW w:w="875" w:type="pct"/>
            <w:noWrap w:val="0"/>
            <w:vAlign w:val="top"/>
          </w:tcPr>
          <w:p w14:paraId="413F06E0">
            <w:pPr>
              <w:rPr>
                <w:rFonts w:hint="eastAsia" w:ascii="宋体" w:hAnsi="宋体" w:cs="宋体"/>
                <w:sz w:val="24"/>
                <w:highlight w:val="none"/>
              </w:rPr>
            </w:pPr>
          </w:p>
        </w:tc>
      </w:tr>
    </w:tbl>
    <w:p w14:paraId="2B223764">
      <w:pPr>
        <w:pStyle w:val="20"/>
        <w:spacing w:line="360" w:lineRule="auto"/>
        <w:ind w:firstLine="0"/>
        <w:rPr>
          <w:rFonts w:hint="eastAsia" w:ascii="宋体" w:hAnsi="宋体" w:cs="宋体"/>
          <w:sz w:val="24"/>
          <w:szCs w:val="24"/>
          <w:highlight w:val="none"/>
        </w:rPr>
      </w:pPr>
      <w:r>
        <w:rPr>
          <w:rFonts w:hint="eastAsia" w:ascii="宋体" w:hAnsi="宋体" w:cs="宋体"/>
          <w:sz w:val="24"/>
          <w:szCs w:val="24"/>
          <w:highlight w:val="none"/>
          <w:lang w:eastAsia="zh-CN"/>
        </w:rPr>
        <w:t>供应商（盖单位电子章）</w:t>
      </w:r>
      <w:r>
        <w:rPr>
          <w:rFonts w:hint="eastAsia" w:ascii="宋体" w:hAnsi="宋体" w:cs="宋体"/>
          <w:sz w:val="24"/>
          <w:szCs w:val="24"/>
          <w:highlight w:val="none"/>
        </w:rPr>
        <w:t>：</w:t>
      </w:r>
    </w:p>
    <w:p w14:paraId="03136579">
      <w:pPr>
        <w:ind w:firstLine="120" w:firstLineChars="50"/>
        <w:jc w:val="left"/>
        <w:rPr>
          <w:rFonts w:hint="eastAsia" w:ascii="宋体" w:hAnsi="宋体" w:cs="宋体"/>
          <w:sz w:val="24"/>
          <w:highlight w:val="none"/>
        </w:rPr>
      </w:pPr>
      <w:r>
        <w:rPr>
          <w:rFonts w:hint="eastAsia" w:ascii="宋体" w:hAnsi="宋体" w:cs="宋体"/>
          <w:sz w:val="24"/>
          <w:highlight w:val="none"/>
        </w:rPr>
        <w:t>日期：</w:t>
      </w:r>
    </w:p>
    <w:p w14:paraId="484B74F8">
      <w:pPr>
        <w:rPr>
          <w:rFonts w:hint="eastAsia" w:ascii="宋体" w:hAnsi="宋体" w:cs="宋体"/>
          <w:sz w:val="24"/>
          <w:highlight w:val="none"/>
        </w:rPr>
      </w:pPr>
      <w:r>
        <w:rPr>
          <w:rFonts w:hint="eastAsia" w:ascii="宋体" w:hAnsi="宋体" w:cs="宋体"/>
          <w:sz w:val="24"/>
          <w:highlight w:val="none"/>
        </w:rPr>
        <w:t>注：产品规格参数如有详细描述可另作说明。</w:t>
      </w:r>
    </w:p>
    <w:p w14:paraId="37DAC236">
      <w:pPr>
        <w:ind w:firstLine="645"/>
        <w:rPr>
          <w:rFonts w:hint="eastAsia" w:ascii="宋体" w:hAnsi="宋体" w:cs="宋体"/>
          <w:sz w:val="24"/>
          <w:highlight w:val="none"/>
        </w:rPr>
      </w:pPr>
    </w:p>
    <w:p w14:paraId="7387789D">
      <w:pPr>
        <w:jc w:val="center"/>
        <w:rPr>
          <w:rFonts w:hint="eastAsia" w:ascii="宋体" w:hAnsi="宋体" w:cs="宋体"/>
          <w:b/>
          <w:sz w:val="24"/>
          <w:highlight w:val="none"/>
        </w:rPr>
      </w:pPr>
      <w:bookmarkStart w:id="159" w:name="_Toc99423357"/>
      <w:bookmarkStart w:id="160" w:name="_Toc395181601"/>
      <w:bookmarkStart w:id="161" w:name="_Toc497920543"/>
    </w:p>
    <w:p w14:paraId="309FCB46">
      <w:pPr>
        <w:jc w:val="center"/>
        <w:rPr>
          <w:rFonts w:hint="eastAsia" w:ascii="宋体" w:hAnsi="宋体" w:cs="宋体"/>
          <w:b/>
          <w:sz w:val="24"/>
          <w:highlight w:val="none"/>
        </w:rPr>
      </w:pPr>
    </w:p>
    <w:p w14:paraId="5F6DAE8F">
      <w:pPr>
        <w:jc w:val="center"/>
        <w:rPr>
          <w:rFonts w:hint="eastAsia" w:ascii="宋体" w:hAnsi="宋体" w:cs="宋体"/>
          <w:b/>
          <w:sz w:val="24"/>
          <w:highlight w:val="none"/>
        </w:rPr>
      </w:pPr>
    </w:p>
    <w:p w14:paraId="7BF01A67">
      <w:pPr>
        <w:jc w:val="center"/>
        <w:rPr>
          <w:rFonts w:hint="eastAsia" w:ascii="宋体" w:hAnsi="宋体" w:cs="宋体"/>
          <w:b/>
          <w:sz w:val="24"/>
          <w:highlight w:val="none"/>
        </w:rPr>
      </w:pPr>
    </w:p>
    <w:p w14:paraId="355D83A4">
      <w:pPr>
        <w:jc w:val="center"/>
        <w:rPr>
          <w:rFonts w:hint="eastAsia" w:ascii="宋体" w:hAnsi="宋体" w:cs="宋体"/>
          <w:b/>
          <w:sz w:val="24"/>
          <w:highlight w:val="none"/>
        </w:rPr>
      </w:pPr>
    </w:p>
    <w:p w14:paraId="2AC0AF1B">
      <w:pPr>
        <w:jc w:val="center"/>
        <w:rPr>
          <w:rFonts w:hint="eastAsia" w:ascii="宋体" w:hAnsi="宋体" w:cs="宋体"/>
          <w:b/>
          <w:sz w:val="24"/>
          <w:highlight w:val="none"/>
        </w:rPr>
      </w:pPr>
    </w:p>
    <w:p w14:paraId="5F8E5D94">
      <w:pPr>
        <w:jc w:val="center"/>
        <w:rPr>
          <w:rFonts w:hint="eastAsia" w:ascii="宋体" w:hAnsi="宋体" w:cs="宋体"/>
          <w:b/>
          <w:sz w:val="24"/>
          <w:highlight w:val="none"/>
        </w:rPr>
      </w:pPr>
    </w:p>
    <w:p w14:paraId="4F9CF853">
      <w:pPr>
        <w:jc w:val="center"/>
        <w:rPr>
          <w:rFonts w:hint="eastAsia" w:ascii="宋体" w:hAnsi="宋体" w:cs="宋体"/>
          <w:b/>
          <w:sz w:val="24"/>
          <w:highlight w:val="none"/>
        </w:rPr>
      </w:pPr>
    </w:p>
    <w:p w14:paraId="18B9F8B8">
      <w:pPr>
        <w:jc w:val="center"/>
        <w:rPr>
          <w:rFonts w:hint="eastAsia" w:ascii="宋体" w:hAnsi="宋体" w:cs="宋体"/>
          <w:b/>
          <w:sz w:val="24"/>
          <w:highlight w:val="none"/>
        </w:rPr>
      </w:pPr>
    </w:p>
    <w:p w14:paraId="5BF38060">
      <w:pPr>
        <w:jc w:val="center"/>
        <w:rPr>
          <w:rFonts w:hint="eastAsia" w:ascii="宋体" w:hAnsi="宋体" w:cs="宋体"/>
          <w:b/>
          <w:sz w:val="24"/>
          <w:highlight w:val="none"/>
        </w:rPr>
      </w:pPr>
    </w:p>
    <w:p w14:paraId="23D664B0">
      <w:pPr>
        <w:jc w:val="center"/>
        <w:rPr>
          <w:rFonts w:hint="eastAsia" w:ascii="宋体" w:hAnsi="宋体" w:cs="宋体"/>
          <w:b/>
          <w:sz w:val="24"/>
          <w:highlight w:val="none"/>
        </w:rPr>
      </w:pPr>
    </w:p>
    <w:p w14:paraId="6567989A">
      <w:pPr>
        <w:jc w:val="center"/>
        <w:rPr>
          <w:rFonts w:hint="eastAsia" w:ascii="宋体" w:hAnsi="宋体" w:cs="宋体"/>
          <w:b/>
          <w:sz w:val="24"/>
          <w:highlight w:val="none"/>
        </w:rPr>
      </w:pPr>
    </w:p>
    <w:p w14:paraId="77E64904">
      <w:pPr>
        <w:jc w:val="center"/>
        <w:rPr>
          <w:rFonts w:hint="eastAsia" w:ascii="宋体" w:hAnsi="宋体" w:cs="宋体"/>
          <w:b/>
          <w:sz w:val="24"/>
          <w:highlight w:val="none"/>
        </w:rPr>
      </w:pPr>
    </w:p>
    <w:p w14:paraId="71DF812D">
      <w:pPr>
        <w:jc w:val="center"/>
        <w:rPr>
          <w:rFonts w:hint="eastAsia" w:ascii="宋体" w:hAnsi="宋体" w:cs="宋体"/>
          <w:b/>
          <w:sz w:val="24"/>
          <w:highlight w:val="none"/>
        </w:rPr>
      </w:pPr>
    </w:p>
    <w:p w14:paraId="45F3EC5F">
      <w:pPr>
        <w:jc w:val="center"/>
        <w:rPr>
          <w:rFonts w:hint="eastAsia" w:ascii="宋体" w:hAnsi="宋体" w:cs="宋体"/>
          <w:b/>
          <w:sz w:val="24"/>
          <w:highlight w:val="none"/>
        </w:rPr>
      </w:pPr>
    </w:p>
    <w:p w14:paraId="4AE6DE5D">
      <w:pPr>
        <w:jc w:val="center"/>
        <w:rPr>
          <w:rFonts w:hint="eastAsia" w:ascii="宋体" w:hAnsi="宋体" w:cs="宋体"/>
          <w:b/>
          <w:sz w:val="24"/>
          <w:highlight w:val="none"/>
        </w:rPr>
      </w:pPr>
      <w:r>
        <w:rPr>
          <w:rFonts w:hint="eastAsia" w:ascii="宋体" w:hAnsi="宋体" w:cs="宋体"/>
          <w:b/>
          <w:sz w:val="24"/>
          <w:highlight w:val="none"/>
        </w:rPr>
        <w:br w:type="page"/>
      </w:r>
      <w:r>
        <w:rPr>
          <w:rFonts w:hint="eastAsia" w:ascii="宋体" w:hAnsi="宋体" w:cs="宋体"/>
          <w:b/>
          <w:sz w:val="24"/>
          <w:highlight w:val="none"/>
        </w:rPr>
        <w:t>5.2投标产品技术支持资料</w:t>
      </w:r>
    </w:p>
    <w:p w14:paraId="5199E486">
      <w:pPr>
        <w:pStyle w:val="81"/>
        <w:ind w:firstLine="482"/>
        <w:rPr>
          <w:rFonts w:hint="eastAsia" w:ascii="宋体" w:hAnsi="宋体" w:eastAsia="宋体" w:cs="宋体"/>
          <w:kern w:val="0"/>
          <w:sz w:val="24"/>
          <w:szCs w:val="24"/>
          <w:highlight w:val="none"/>
        </w:rPr>
      </w:pPr>
    </w:p>
    <w:p w14:paraId="39E574A7">
      <w:pPr>
        <w:jc w:val="center"/>
        <w:rPr>
          <w:rFonts w:hint="eastAsia" w:ascii="宋体" w:hAnsi="宋体" w:cs="宋体"/>
          <w:b/>
          <w:sz w:val="24"/>
          <w:highlight w:val="none"/>
        </w:rPr>
      </w:pPr>
      <w:r>
        <w:rPr>
          <w:rFonts w:hint="eastAsia" w:ascii="宋体" w:hAnsi="宋体" w:cs="宋体"/>
          <w:b/>
          <w:sz w:val="24"/>
          <w:highlight w:val="none"/>
        </w:rPr>
        <w:t>按照第</w:t>
      </w:r>
      <w:r>
        <w:rPr>
          <w:rFonts w:hint="eastAsia" w:ascii="宋体" w:hAnsi="宋体" w:cs="宋体"/>
          <w:b/>
          <w:sz w:val="24"/>
          <w:highlight w:val="none"/>
          <w:lang w:val="en-US" w:eastAsia="zh-CN"/>
        </w:rPr>
        <w:t>五</w:t>
      </w:r>
      <w:r>
        <w:rPr>
          <w:rFonts w:hint="eastAsia" w:ascii="宋体" w:hAnsi="宋体" w:cs="宋体"/>
          <w:b/>
          <w:sz w:val="24"/>
          <w:highlight w:val="none"/>
        </w:rPr>
        <w:t>章 “</w:t>
      </w:r>
      <w:r>
        <w:rPr>
          <w:rFonts w:hint="eastAsia" w:ascii="宋体" w:hAnsi="宋体" w:cs="宋体"/>
          <w:b/>
          <w:sz w:val="24"/>
          <w:highlight w:val="none"/>
          <w:lang w:val="en-US" w:eastAsia="zh-CN"/>
        </w:rPr>
        <w:t>采购需求</w:t>
      </w:r>
      <w:r>
        <w:rPr>
          <w:rFonts w:hint="eastAsia" w:ascii="宋体" w:hAnsi="宋体" w:cs="宋体"/>
          <w:b/>
          <w:sz w:val="24"/>
          <w:highlight w:val="none"/>
        </w:rPr>
        <w:t>”</w:t>
      </w:r>
      <w:r>
        <w:rPr>
          <w:rFonts w:hint="eastAsia" w:ascii="宋体" w:hAnsi="宋体" w:cs="宋体"/>
          <w:b/>
          <w:sz w:val="24"/>
          <w:highlight w:val="none"/>
          <w:lang w:val="en-US" w:eastAsia="zh-CN"/>
        </w:rPr>
        <w:t>中的产品</w:t>
      </w:r>
      <w:r>
        <w:rPr>
          <w:rFonts w:hint="eastAsia" w:ascii="宋体" w:hAnsi="宋体" w:cs="宋体"/>
          <w:b/>
          <w:sz w:val="24"/>
          <w:highlight w:val="none"/>
          <w:lang w:eastAsia="zh-CN"/>
        </w:rPr>
        <w:t>，</w:t>
      </w:r>
      <w:r>
        <w:rPr>
          <w:rFonts w:hint="eastAsia" w:ascii="宋体" w:hAnsi="宋体" w:cs="宋体"/>
          <w:b/>
          <w:sz w:val="24"/>
          <w:highlight w:val="none"/>
        </w:rPr>
        <w:t>提供产品技术证明文件</w:t>
      </w:r>
    </w:p>
    <w:p w14:paraId="6DD1EFD4">
      <w:pPr>
        <w:rPr>
          <w:rFonts w:hint="eastAsia" w:ascii="宋体" w:hAnsi="宋体" w:cs="宋体"/>
          <w:kern w:val="0"/>
          <w:sz w:val="20"/>
          <w:szCs w:val="20"/>
          <w:highlight w:val="none"/>
        </w:rPr>
      </w:pPr>
    </w:p>
    <w:p w14:paraId="2562D7CD">
      <w:pPr>
        <w:rPr>
          <w:rFonts w:hint="eastAsia" w:ascii="宋体" w:hAnsi="宋体" w:cs="宋体"/>
          <w:kern w:val="0"/>
          <w:sz w:val="20"/>
          <w:szCs w:val="20"/>
          <w:highlight w:val="none"/>
        </w:rPr>
      </w:pPr>
    </w:p>
    <w:p w14:paraId="7A278BBB">
      <w:pPr>
        <w:rPr>
          <w:rFonts w:hint="eastAsia" w:ascii="宋体" w:hAnsi="宋体" w:cs="宋体"/>
          <w:kern w:val="0"/>
          <w:sz w:val="20"/>
          <w:szCs w:val="20"/>
          <w:highlight w:val="none"/>
        </w:rPr>
      </w:pPr>
    </w:p>
    <w:p w14:paraId="7FFD51E7">
      <w:pPr>
        <w:rPr>
          <w:rFonts w:hint="eastAsia" w:ascii="宋体" w:hAnsi="宋体" w:cs="宋体"/>
          <w:kern w:val="0"/>
          <w:sz w:val="20"/>
          <w:szCs w:val="20"/>
          <w:highlight w:val="none"/>
        </w:rPr>
      </w:pPr>
    </w:p>
    <w:p w14:paraId="22249233">
      <w:pPr>
        <w:rPr>
          <w:rFonts w:hint="eastAsia" w:ascii="宋体" w:hAnsi="宋体" w:cs="宋体"/>
          <w:kern w:val="0"/>
          <w:sz w:val="20"/>
          <w:szCs w:val="20"/>
          <w:highlight w:val="none"/>
        </w:rPr>
      </w:pPr>
    </w:p>
    <w:p w14:paraId="6593AC87">
      <w:pPr>
        <w:rPr>
          <w:rFonts w:hint="eastAsia" w:ascii="Verdana" w:hAnsi="Verdana"/>
          <w:kern w:val="0"/>
          <w:sz w:val="20"/>
          <w:szCs w:val="20"/>
          <w:highlight w:val="none"/>
          <w:lang w:eastAsia="en-US"/>
        </w:rPr>
      </w:pPr>
      <w:r>
        <w:rPr>
          <w:rFonts w:hint="eastAsia"/>
          <w:highlight w:val="none"/>
        </w:rPr>
        <w:br w:type="page"/>
      </w:r>
    </w:p>
    <w:bookmarkEnd w:id="159"/>
    <w:p w14:paraId="380934CE">
      <w:pPr>
        <w:pStyle w:val="4"/>
        <w:numPr>
          <w:ilvl w:val="0"/>
          <w:numId w:val="0"/>
        </w:numPr>
        <w:ind w:left="840" w:hanging="420"/>
        <w:rPr>
          <w:rFonts w:hint="eastAsia" w:ascii="宋体" w:hAnsi="宋体" w:eastAsia="宋体" w:cs="宋体"/>
          <w:highlight w:val="none"/>
        </w:rPr>
      </w:pPr>
      <w:bookmarkStart w:id="162" w:name="_Toc3325"/>
      <w:bookmarkStart w:id="163" w:name="_Toc9555"/>
      <w:bookmarkStart w:id="164" w:name="_Toc29588"/>
      <w:r>
        <w:rPr>
          <w:rFonts w:hint="eastAsia" w:ascii="宋体" w:hAnsi="宋体" w:eastAsia="宋体" w:cs="宋体"/>
          <w:highlight w:val="none"/>
        </w:rPr>
        <w:t>6.质保承诺及售后服务</w:t>
      </w:r>
      <w:bookmarkEnd w:id="160"/>
      <w:bookmarkStart w:id="165" w:name="_Toc395181602"/>
      <w:r>
        <w:rPr>
          <w:rFonts w:hint="eastAsia" w:ascii="宋体" w:hAnsi="宋体" w:eastAsia="宋体" w:cs="宋体"/>
          <w:highlight w:val="none"/>
        </w:rPr>
        <w:t>（参考格式）</w:t>
      </w:r>
      <w:bookmarkEnd w:id="161"/>
      <w:bookmarkEnd w:id="162"/>
      <w:bookmarkEnd w:id="163"/>
      <w:bookmarkEnd w:id="164"/>
      <w:bookmarkEnd w:id="165"/>
    </w:p>
    <w:p w14:paraId="59D4A9BA">
      <w:pPr>
        <w:spacing w:line="440" w:lineRule="atLeast"/>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lang w:eastAsia="zh-CN"/>
        </w:rPr>
        <w:t>新乡医学院第一附属医院</w:t>
      </w:r>
      <w:r>
        <w:rPr>
          <w:rFonts w:hint="eastAsia" w:ascii="宋体" w:hAnsi="宋体" w:cs="宋体"/>
          <w:sz w:val="24"/>
          <w:highlight w:val="none"/>
          <w:u w:val="single"/>
        </w:rPr>
        <w:t xml:space="preserve">   </w:t>
      </w:r>
    </w:p>
    <w:p w14:paraId="641CC2F5">
      <w:pPr>
        <w:spacing w:line="440" w:lineRule="atLeast"/>
        <w:rPr>
          <w:rFonts w:hint="eastAsia" w:ascii="宋体" w:hAnsi="宋体" w:cs="宋体"/>
          <w:sz w:val="24"/>
          <w:highlight w:val="none"/>
        </w:rPr>
      </w:pPr>
      <w:r>
        <w:rPr>
          <w:rFonts w:hint="eastAsia" w:ascii="宋体" w:hAnsi="宋体" w:cs="宋体"/>
          <w:sz w:val="24"/>
          <w:highlight w:val="none"/>
        </w:rPr>
        <w:t xml:space="preserve">     我单位就项目编号</w:t>
      </w:r>
      <w:r>
        <w:rPr>
          <w:rFonts w:hint="eastAsia" w:ascii="宋体" w:hAnsi="宋体" w:cs="宋体"/>
          <w:sz w:val="24"/>
          <w:highlight w:val="none"/>
          <w:u w:val="single"/>
        </w:rPr>
        <w:t xml:space="preserve">        </w:t>
      </w:r>
      <w:r>
        <w:rPr>
          <w:rFonts w:hint="eastAsia" w:ascii="宋体" w:hAnsi="宋体" w:cs="宋体"/>
          <w:sz w:val="24"/>
          <w:highlight w:val="none"/>
        </w:rPr>
        <w:t>售后服务及质量保证承诺如下：</w:t>
      </w:r>
    </w:p>
    <w:p w14:paraId="57FEC1F2">
      <w:pPr>
        <w:pStyle w:val="33"/>
        <w:spacing w:line="440" w:lineRule="atLeast"/>
        <w:ind w:firstLine="600" w:firstLineChars="250"/>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1、我公司郑重承诺本次投标活动中，所有投标</w:t>
      </w:r>
      <w:r>
        <w:rPr>
          <w:rFonts w:hint="eastAsia" w:ascii="宋体" w:hAnsi="宋体" w:eastAsia="宋体" w:cs="宋体"/>
          <w:kern w:val="2"/>
          <w:sz w:val="24"/>
          <w:szCs w:val="24"/>
          <w:highlight w:val="none"/>
          <w:u w:val="single"/>
        </w:rPr>
        <w:t xml:space="preserve">     </w:t>
      </w:r>
      <w:r>
        <w:rPr>
          <w:rFonts w:hint="eastAsia" w:ascii="宋体" w:hAnsi="宋体" w:eastAsia="宋体" w:cs="宋体"/>
          <w:kern w:val="2"/>
          <w:sz w:val="24"/>
          <w:szCs w:val="24"/>
          <w:highlight w:val="none"/>
        </w:rPr>
        <w:t>产品质保期限均为验收合格后</w:t>
      </w:r>
      <w:r>
        <w:rPr>
          <w:rFonts w:hint="eastAsia" w:ascii="宋体" w:hAnsi="宋体" w:eastAsia="宋体" w:cs="宋体"/>
          <w:kern w:val="2"/>
          <w:sz w:val="24"/>
          <w:szCs w:val="24"/>
          <w:highlight w:val="none"/>
          <w:u w:val="single"/>
        </w:rPr>
        <w:t xml:space="preserve">      </w:t>
      </w:r>
      <w:r>
        <w:rPr>
          <w:rFonts w:hint="eastAsia" w:ascii="宋体" w:hAnsi="宋体" w:eastAsia="宋体" w:cs="宋体"/>
          <w:kern w:val="2"/>
          <w:sz w:val="24"/>
          <w:szCs w:val="24"/>
          <w:highlight w:val="none"/>
        </w:rPr>
        <w:t>年（填写具体数据）。</w:t>
      </w:r>
    </w:p>
    <w:p w14:paraId="75DC6012">
      <w:pPr>
        <w:spacing w:line="440" w:lineRule="atLeast"/>
        <w:ind w:firstLine="600" w:firstLineChars="250"/>
        <w:rPr>
          <w:rFonts w:hint="eastAsia" w:ascii="宋体" w:hAnsi="宋体" w:cs="宋体"/>
          <w:sz w:val="24"/>
          <w:highlight w:val="none"/>
        </w:rPr>
      </w:pPr>
      <w:r>
        <w:rPr>
          <w:rFonts w:hint="eastAsia" w:ascii="宋体" w:hAnsi="宋体" w:cs="宋体"/>
          <w:sz w:val="24"/>
          <w:highlight w:val="none"/>
        </w:rPr>
        <w:t>2、所投货物非人为损坏出现问题，我单位在接到正式通知后</w:t>
      </w:r>
      <w:r>
        <w:rPr>
          <w:rFonts w:hint="eastAsia" w:ascii="宋体" w:hAnsi="宋体" w:cs="宋体"/>
          <w:sz w:val="24"/>
          <w:highlight w:val="none"/>
          <w:u w:val="single"/>
        </w:rPr>
        <w:t xml:space="preserve">   </w:t>
      </w:r>
      <w:r>
        <w:rPr>
          <w:rFonts w:hint="eastAsia" w:ascii="宋体" w:hAnsi="宋体" w:cs="宋体"/>
          <w:sz w:val="24"/>
          <w:highlight w:val="none"/>
        </w:rPr>
        <w:t>小时（填写具体数字，以下类同）内响应，</w:t>
      </w:r>
      <w:r>
        <w:rPr>
          <w:rFonts w:hint="eastAsia" w:ascii="宋体" w:hAnsi="宋体" w:cs="宋体"/>
          <w:sz w:val="24"/>
          <w:highlight w:val="none"/>
          <w:u w:val="single"/>
        </w:rPr>
        <w:t xml:space="preserve">    </w:t>
      </w:r>
      <w:r>
        <w:rPr>
          <w:rFonts w:hint="eastAsia" w:ascii="宋体" w:hAnsi="宋体" w:cs="宋体"/>
          <w:sz w:val="24"/>
          <w:highlight w:val="none"/>
        </w:rPr>
        <w:t>小时内到达现场进行检修，解决问题时间不超过</w:t>
      </w:r>
      <w:r>
        <w:rPr>
          <w:rFonts w:hint="eastAsia" w:ascii="宋体" w:hAnsi="宋体" w:cs="宋体"/>
          <w:sz w:val="24"/>
          <w:highlight w:val="none"/>
          <w:u w:val="single"/>
        </w:rPr>
        <w:t xml:space="preserve">     </w:t>
      </w:r>
      <w:r>
        <w:rPr>
          <w:rFonts w:hint="eastAsia" w:ascii="宋体" w:hAnsi="宋体" w:cs="宋体"/>
          <w:sz w:val="24"/>
          <w:highlight w:val="none"/>
        </w:rPr>
        <w:t>小时。</w:t>
      </w:r>
    </w:p>
    <w:p w14:paraId="6DAEF733">
      <w:pPr>
        <w:spacing w:line="440" w:lineRule="atLeast"/>
        <w:ind w:left="1020" w:leftChars="257" w:hanging="480" w:hangingChars="200"/>
        <w:rPr>
          <w:rFonts w:hint="eastAsia" w:ascii="宋体" w:hAnsi="宋体" w:cs="宋体"/>
          <w:sz w:val="24"/>
          <w:highlight w:val="none"/>
        </w:rPr>
      </w:pPr>
      <w:r>
        <w:rPr>
          <w:rFonts w:hint="eastAsia" w:ascii="宋体" w:hAnsi="宋体" w:cs="宋体"/>
          <w:sz w:val="24"/>
          <w:highlight w:val="none"/>
        </w:rPr>
        <w:t>3、售后服务</w:t>
      </w:r>
    </w:p>
    <w:p w14:paraId="4E42B25D">
      <w:pPr>
        <w:spacing w:line="440" w:lineRule="atLeast"/>
        <w:ind w:left="1020" w:leftChars="257" w:hanging="480" w:hangingChars="200"/>
        <w:rPr>
          <w:rFonts w:hint="eastAsia" w:ascii="宋体" w:hAnsi="宋体" w:cs="宋体"/>
          <w:sz w:val="24"/>
          <w:highlight w:val="none"/>
        </w:rPr>
      </w:pPr>
      <w:r>
        <w:rPr>
          <w:rFonts w:hint="eastAsia" w:ascii="宋体" w:hAnsi="宋体" w:cs="宋体"/>
          <w:sz w:val="24"/>
          <w:highlight w:val="none"/>
        </w:rPr>
        <w:t>3.1维修单位名称：</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6D2D2B29">
      <w:pPr>
        <w:spacing w:line="440" w:lineRule="atLeast"/>
        <w:ind w:firstLine="600" w:firstLineChars="250"/>
        <w:rPr>
          <w:rFonts w:hint="eastAsia" w:ascii="宋体" w:hAnsi="宋体" w:cs="宋体"/>
          <w:sz w:val="24"/>
          <w:highlight w:val="none"/>
        </w:rPr>
      </w:pPr>
      <w:r>
        <w:rPr>
          <w:rFonts w:hint="eastAsia" w:ascii="宋体" w:hAnsi="宋体" w:cs="宋体"/>
          <w:sz w:val="24"/>
          <w:highlight w:val="none"/>
        </w:rPr>
        <w:t>3.2售后服务地点：</w:t>
      </w:r>
      <w:r>
        <w:rPr>
          <w:rFonts w:hint="eastAsia" w:ascii="宋体" w:hAnsi="宋体" w:cs="宋体"/>
          <w:sz w:val="24"/>
          <w:highlight w:val="none"/>
          <w:u w:val="single"/>
        </w:rPr>
        <w:t xml:space="preserve">             </w:t>
      </w:r>
      <w:r>
        <w:rPr>
          <w:rFonts w:hint="eastAsia" w:ascii="宋体" w:hAnsi="宋体" w:cs="宋体"/>
          <w:sz w:val="24"/>
          <w:highlight w:val="none"/>
        </w:rPr>
        <w:t xml:space="preserve">    联系人：  </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10643A3A">
      <w:pPr>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3.3联系电话：</w:t>
      </w:r>
      <w:r>
        <w:rPr>
          <w:rFonts w:hint="eastAsia" w:ascii="宋体" w:hAnsi="宋体" w:cs="宋体"/>
          <w:sz w:val="24"/>
          <w:highlight w:val="none"/>
          <w:u w:val="single"/>
        </w:rPr>
        <w:t xml:space="preserve">       </w:t>
      </w:r>
      <w:r>
        <w:rPr>
          <w:rFonts w:hint="eastAsia" w:ascii="宋体" w:hAnsi="宋体" w:cs="宋体"/>
          <w:sz w:val="24"/>
          <w:highlight w:val="none"/>
        </w:rPr>
        <w:t xml:space="preserve"> 从事</w:t>
      </w:r>
      <w:r>
        <w:rPr>
          <w:rFonts w:hint="eastAsia" w:ascii="宋体" w:hAnsi="宋体" w:cs="宋体"/>
          <w:sz w:val="24"/>
          <w:highlight w:val="none"/>
          <w:u w:val="single"/>
        </w:rPr>
        <w:t xml:space="preserve">    </w:t>
      </w:r>
      <w:r>
        <w:rPr>
          <w:rFonts w:hint="eastAsia" w:ascii="宋体" w:hAnsi="宋体" w:cs="宋体"/>
          <w:sz w:val="24"/>
          <w:highlight w:val="none"/>
        </w:rPr>
        <w:t>方面技术服务</w:t>
      </w:r>
      <w:r>
        <w:rPr>
          <w:rFonts w:hint="eastAsia" w:ascii="宋体" w:hAnsi="宋体" w:cs="宋体"/>
          <w:sz w:val="24"/>
          <w:highlight w:val="none"/>
          <w:u w:val="single"/>
        </w:rPr>
        <w:t xml:space="preserve">    </w:t>
      </w:r>
      <w:r>
        <w:rPr>
          <w:rFonts w:hint="eastAsia" w:ascii="宋体" w:hAnsi="宋体" w:cs="宋体"/>
          <w:sz w:val="24"/>
          <w:highlight w:val="none"/>
        </w:rPr>
        <w:t>年以上，职称：</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3B8ECAB0">
      <w:pPr>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4、我公司技术人员对所售仪器定期巡防，免费进行系统的维护、保养及升级服务，使仪器使用率达到最大化，每年内不少于</w:t>
      </w:r>
      <w:r>
        <w:rPr>
          <w:rFonts w:hint="eastAsia" w:ascii="宋体" w:hAnsi="宋体" w:cs="宋体"/>
          <w:sz w:val="24"/>
          <w:highlight w:val="none"/>
          <w:u w:val="single"/>
        </w:rPr>
        <w:t xml:space="preserve">      </w:t>
      </w:r>
      <w:r>
        <w:rPr>
          <w:rFonts w:hint="eastAsia" w:ascii="宋体" w:hAnsi="宋体" w:cs="宋体"/>
          <w:sz w:val="24"/>
          <w:highlight w:val="none"/>
        </w:rPr>
        <w:t>次上门保养服务，包括寒暑假。</w:t>
      </w:r>
    </w:p>
    <w:p w14:paraId="4D708F23">
      <w:pPr>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5、安装及培训：</w:t>
      </w:r>
    </w:p>
    <w:p w14:paraId="6F8E9856">
      <w:pPr>
        <w:spacing w:line="440" w:lineRule="atLeast"/>
        <w:ind w:firstLine="480" w:firstLineChars="200"/>
        <w:jc w:val="left"/>
        <w:rPr>
          <w:rFonts w:hint="eastAsia" w:ascii="宋体" w:hAnsi="宋体" w:cs="宋体"/>
          <w:sz w:val="24"/>
          <w:highlight w:val="none"/>
        </w:rPr>
      </w:pPr>
      <w:r>
        <w:rPr>
          <w:rFonts w:hint="eastAsia" w:ascii="宋体" w:hAnsi="宋体" w:cs="宋体"/>
          <w:sz w:val="24"/>
          <w:highlight w:val="none"/>
        </w:rPr>
        <w:t>5.1我公司提供的安装配送方案：</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77F043E2">
      <w:pPr>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5.2我公司将组织由仪器产品厂家认证的工程师</w:t>
      </w:r>
      <w:r>
        <w:rPr>
          <w:rFonts w:hint="eastAsia" w:ascii="宋体" w:hAnsi="宋体" w:cs="宋体"/>
          <w:sz w:val="24"/>
          <w:highlight w:val="none"/>
          <w:u w:val="single"/>
        </w:rPr>
        <w:t xml:space="preserve">   </w:t>
      </w:r>
      <w:r>
        <w:rPr>
          <w:rFonts w:hint="eastAsia" w:ascii="宋体" w:hAnsi="宋体" w:cs="宋体"/>
          <w:sz w:val="24"/>
          <w:highlight w:val="none"/>
        </w:rPr>
        <w:t>人，负责对所售仪器的安装、调试；为减少用户的操作错误概率，为用户培训至少</w:t>
      </w:r>
      <w:r>
        <w:rPr>
          <w:rFonts w:hint="eastAsia" w:ascii="宋体" w:hAnsi="宋体" w:cs="宋体"/>
          <w:sz w:val="24"/>
          <w:highlight w:val="none"/>
          <w:u w:val="single"/>
        </w:rPr>
        <w:t xml:space="preserve">   </w:t>
      </w:r>
      <w:r>
        <w:rPr>
          <w:rFonts w:hint="eastAsia" w:ascii="宋体" w:hAnsi="宋体" w:cs="宋体"/>
          <w:sz w:val="24"/>
          <w:highlight w:val="none"/>
        </w:rPr>
        <w:t>人的熟练工作人员，所有费用均包含在本次投标总报价中。</w:t>
      </w:r>
    </w:p>
    <w:p w14:paraId="0EC967F7">
      <w:pPr>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5.3人员培训计划：</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23FB7B49">
      <w:pPr>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 xml:space="preserve">6、项目所提供的其它免费物品或服务  </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7414D1F7">
      <w:pPr>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7、技术人员情况：</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56D13F54">
      <w:pPr>
        <w:adjustRightInd w:val="0"/>
        <w:snapToGrid w:val="0"/>
        <w:spacing w:line="440" w:lineRule="atLeast"/>
        <w:ind w:firstLine="480" w:firstLineChars="200"/>
        <w:rPr>
          <w:rFonts w:hint="eastAsia" w:ascii="宋体" w:hAnsi="宋体" w:cs="宋体"/>
          <w:sz w:val="24"/>
          <w:highlight w:val="none"/>
        </w:rPr>
      </w:pPr>
      <w:r>
        <w:rPr>
          <w:rFonts w:hint="eastAsia" w:ascii="宋体" w:hAnsi="宋体" w:cs="宋体"/>
          <w:sz w:val="24"/>
          <w:highlight w:val="none"/>
        </w:rPr>
        <w:t>8、在完成安装、调试、检测后，须向用户提供检测报告、技术手册，提供中文版的技术资料（包括操作手册、使用说明、维修保养手册、电路图、安装手册、产品合格证等）。验收的技术标准达到制造(生产)厂商标明的技术指标，个别不能测试的指标另作详细的文字说明。检测的标准依据国家有关规定执行。</w:t>
      </w:r>
    </w:p>
    <w:p w14:paraId="5375B1BB">
      <w:pPr>
        <w:spacing w:line="440" w:lineRule="atLeast"/>
        <w:ind w:firstLine="540"/>
        <w:rPr>
          <w:rFonts w:hint="eastAsia" w:ascii="宋体" w:hAnsi="宋体" w:cs="宋体"/>
          <w:sz w:val="24"/>
          <w:highlight w:val="none"/>
        </w:rPr>
      </w:pPr>
      <w:r>
        <w:rPr>
          <w:rFonts w:hint="eastAsia" w:ascii="宋体" w:hAnsi="宋体" w:cs="宋体"/>
          <w:sz w:val="24"/>
          <w:highlight w:val="none"/>
        </w:rPr>
        <w:t>9、我单位保证本次所投产品均是全新合格产品。</w:t>
      </w:r>
    </w:p>
    <w:p w14:paraId="25528DE8">
      <w:pPr>
        <w:spacing w:line="440" w:lineRule="atLeast"/>
        <w:ind w:firstLine="540"/>
        <w:rPr>
          <w:rFonts w:hint="eastAsia" w:ascii="宋体" w:hAnsi="宋体" w:cs="宋体"/>
          <w:sz w:val="24"/>
          <w:highlight w:val="none"/>
          <w:u w:val="single"/>
        </w:rPr>
      </w:pPr>
      <w:r>
        <w:rPr>
          <w:rFonts w:hint="eastAsia" w:ascii="宋体" w:hAnsi="宋体" w:cs="宋体"/>
          <w:sz w:val="24"/>
          <w:highlight w:val="none"/>
        </w:rPr>
        <w:t>10、保期过后的售后服务计划及收费明细：</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34BC4B3C">
      <w:pPr>
        <w:spacing w:line="440" w:lineRule="atLeast"/>
        <w:ind w:firstLine="540"/>
        <w:rPr>
          <w:rFonts w:hint="eastAsia" w:ascii="宋体" w:hAnsi="宋体" w:cs="宋体"/>
          <w:sz w:val="24"/>
          <w:highlight w:val="none"/>
        </w:rPr>
      </w:pPr>
      <w:r>
        <w:rPr>
          <w:rFonts w:hint="eastAsia" w:ascii="宋体" w:hAnsi="宋体" w:cs="宋体"/>
          <w:sz w:val="24"/>
          <w:highlight w:val="none"/>
        </w:rPr>
        <w:t>11、响应本次采购项目均为交钥匙项目，所需的一切产品、材料、费用等，全部包含在投标报价之中，采购人无须再追加任何费用。</w:t>
      </w:r>
    </w:p>
    <w:p w14:paraId="1A3DB92E">
      <w:pPr>
        <w:spacing w:line="440" w:lineRule="atLeast"/>
        <w:ind w:firstLine="540"/>
        <w:rPr>
          <w:rFonts w:hint="eastAsia" w:ascii="宋体" w:hAnsi="宋体" w:cs="宋体"/>
          <w:sz w:val="24"/>
          <w:highlight w:val="none"/>
        </w:rPr>
      </w:pPr>
      <w:r>
        <w:rPr>
          <w:rFonts w:hint="eastAsia" w:ascii="宋体" w:hAnsi="宋体" w:cs="宋体"/>
          <w:sz w:val="24"/>
          <w:highlight w:val="none"/>
        </w:rPr>
        <w:t>12、我单位对上述内容的真实性承担相应法律责任。</w:t>
      </w:r>
    </w:p>
    <w:p w14:paraId="64DE4678">
      <w:pPr>
        <w:spacing w:line="620" w:lineRule="exact"/>
        <w:jc w:val="right"/>
        <w:rPr>
          <w:rFonts w:hint="eastAsia" w:ascii="宋体" w:hAnsi="宋体" w:cs="宋体"/>
          <w:sz w:val="24"/>
          <w:szCs w:val="20"/>
          <w:highlight w:val="none"/>
          <w:u w:val="single"/>
        </w:rPr>
      </w:pPr>
      <w:bookmarkStart w:id="166" w:name="_Toc497920544"/>
      <w:r>
        <w:rPr>
          <w:rFonts w:hint="eastAsia" w:ascii="宋体" w:hAnsi="宋体" w:cs="宋体"/>
          <w:sz w:val="24"/>
          <w:szCs w:val="20"/>
          <w:highlight w:val="none"/>
          <w:lang w:eastAsia="zh-CN"/>
        </w:rPr>
        <w:t>供应商</w:t>
      </w:r>
      <w:r>
        <w:rPr>
          <w:rFonts w:hint="eastAsia" w:ascii="宋体" w:hAnsi="宋体" w:cs="宋体"/>
          <w:sz w:val="24"/>
          <w:szCs w:val="20"/>
          <w:highlight w:val="none"/>
        </w:rPr>
        <w:t>：</w:t>
      </w:r>
      <w:r>
        <w:rPr>
          <w:rFonts w:hint="eastAsia" w:ascii="宋体" w:hAnsi="宋体" w:cs="宋体"/>
          <w:sz w:val="24"/>
          <w:szCs w:val="20"/>
          <w:highlight w:val="none"/>
          <w:u w:val="single"/>
        </w:rPr>
        <w:t>（</w:t>
      </w:r>
      <w:r>
        <w:rPr>
          <w:rFonts w:hint="eastAsia" w:ascii="宋体" w:hAnsi="宋体" w:cs="宋体"/>
          <w:sz w:val="24"/>
          <w:szCs w:val="20"/>
          <w:highlight w:val="none"/>
          <w:u w:val="single"/>
          <w:lang w:eastAsia="zh-CN"/>
        </w:rPr>
        <w:t>盖单位电子章</w:t>
      </w:r>
      <w:r>
        <w:rPr>
          <w:rFonts w:hint="eastAsia" w:ascii="宋体" w:hAnsi="宋体" w:cs="宋体"/>
          <w:sz w:val="24"/>
          <w:szCs w:val="20"/>
          <w:highlight w:val="none"/>
          <w:u w:val="single"/>
        </w:rPr>
        <w:t xml:space="preserve">）          </w:t>
      </w:r>
    </w:p>
    <w:p w14:paraId="358BB280">
      <w:pPr>
        <w:spacing w:line="620" w:lineRule="exact"/>
        <w:jc w:val="right"/>
        <w:rPr>
          <w:rFonts w:hint="eastAsia" w:ascii="宋体" w:hAnsi="宋体" w:cs="宋体"/>
          <w:sz w:val="24"/>
          <w:szCs w:val="20"/>
          <w:highlight w:val="none"/>
          <w:u w:val="single"/>
        </w:rPr>
      </w:pPr>
      <w:r>
        <w:rPr>
          <w:rFonts w:hint="eastAsia" w:ascii="宋体" w:hAnsi="宋体" w:cs="宋体"/>
          <w:sz w:val="24"/>
          <w:szCs w:val="20"/>
          <w:highlight w:val="none"/>
        </w:rPr>
        <w:t>法定代表人或其委托代理人：</w:t>
      </w:r>
      <w:r>
        <w:rPr>
          <w:rFonts w:hint="eastAsia" w:ascii="宋体" w:hAnsi="宋体" w:cs="宋体"/>
          <w:sz w:val="24"/>
          <w:szCs w:val="20"/>
          <w:highlight w:val="none"/>
          <w:u w:val="single"/>
        </w:rPr>
        <w:t>（签字或盖</w:t>
      </w:r>
      <w:r>
        <w:rPr>
          <w:rFonts w:hint="eastAsia" w:ascii="宋体" w:hAnsi="宋体" w:cs="宋体"/>
          <w:sz w:val="24"/>
          <w:szCs w:val="20"/>
          <w:highlight w:val="none"/>
          <w:u w:val="single"/>
          <w:lang w:val="en-US" w:eastAsia="zh-CN"/>
        </w:rPr>
        <w:t>电子</w:t>
      </w:r>
      <w:r>
        <w:rPr>
          <w:rFonts w:hint="eastAsia" w:ascii="宋体" w:hAnsi="宋体" w:cs="宋体"/>
          <w:sz w:val="24"/>
          <w:szCs w:val="20"/>
          <w:highlight w:val="none"/>
          <w:u w:val="single"/>
        </w:rPr>
        <w:t xml:space="preserve">章）            </w:t>
      </w:r>
    </w:p>
    <w:p w14:paraId="570C5C1D">
      <w:pPr>
        <w:spacing w:line="620" w:lineRule="exact"/>
        <w:jc w:val="center"/>
        <w:rPr>
          <w:rFonts w:hint="eastAsia" w:ascii="宋体" w:hAnsi="宋体" w:eastAsia="宋体" w:cs="宋体"/>
          <w:sz w:val="28"/>
          <w:szCs w:val="28"/>
          <w:highlight w:val="none"/>
        </w:rPr>
      </w:pPr>
      <w:r>
        <w:rPr>
          <w:rFonts w:hint="eastAsia" w:ascii="宋体" w:hAnsi="宋体" w:eastAsia="宋体" w:cs="宋体"/>
          <w:sz w:val="24"/>
          <w:szCs w:val="24"/>
          <w:highlight w:val="none"/>
          <w:lang w:val="en-US" w:eastAsia="zh-CN"/>
        </w:rPr>
        <w:t>日期：</w:t>
      </w:r>
      <w:r>
        <w:rPr>
          <w:rFonts w:hint="eastAsia" w:ascii="宋体" w:hAnsi="宋体" w:eastAsia="宋体" w:cs="宋体"/>
          <w:sz w:val="24"/>
          <w:szCs w:val="24"/>
          <w:highlight w:val="none"/>
        </w:rPr>
        <w:br w:type="page"/>
      </w:r>
      <w:bookmarkStart w:id="167" w:name="_Toc20658"/>
      <w:bookmarkStart w:id="168" w:name="_Toc4365"/>
      <w:bookmarkStart w:id="169" w:name="_Toc20841"/>
      <w:r>
        <w:rPr>
          <w:rFonts w:hint="eastAsia" w:ascii="宋体" w:hAnsi="宋体" w:eastAsia="宋体" w:cs="宋体"/>
          <w:sz w:val="28"/>
          <w:szCs w:val="28"/>
          <w:highlight w:val="none"/>
        </w:rPr>
        <w:t>7.</w:t>
      </w:r>
      <w:bookmarkEnd w:id="166"/>
      <w:bookmarkEnd w:id="167"/>
      <w:r>
        <w:rPr>
          <w:rFonts w:hint="eastAsia" w:ascii="宋体" w:hAnsi="宋体" w:eastAsia="宋体" w:cs="宋体"/>
          <w:highlight w:val="none"/>
        </w:rPr>
        <w:t xml:space="preserve"> </w:t>
      </w:r>
      <w:r>
        <w:rPr>
          <w:rFonts w:hint="eastAsia" w:ascii="宋体" w:hAnsi="宋体" w:eastAsia="宋体" w:cs="宋体"/>
          <w:sz w:val="28"/>
          <w:szCs w:val="28"/>
          <w:highlight w:val="none"/>
        </w:rPr>
        <w:t>中小微企业声明函（货物）</w:t>
      </w:r>
      <w:bookmarkEnd w:id="168"/>
      <w:bookmarkEnd w:id="169"/>
    </w:p>
    <w:p w14:paraId="571F18C1">
      <w:pPr>
        <w:spacing w:before="156" w:beforeLines="50" w:after="156" w:afterLines="50"/>
        <w:jc w:val="center"/>
        <w:rPr>
          <w:rFonts w:hint="eastAsia" w:ascii="宋体" w:hAnsi="宋体" w:cs="宋体"/>
          <w:sz w:val="24"/>
          <w:highlight w:val="none"/>
        </w:rPr>
      </w:pPr>
      <w:r>
        <w:rPr>
          <w:rFonts w:hint="eastAsia" w:ascii="宋体" w:hAnsi="宋体" w:cs="宋体"/>
          <w:sz w:val="24"/>
          <w:highlight w:val="none"/>
        </w:rPr>
        <w:t>（属于相关行业中小企业的填写，不属于的无需填写此项内容）</w:t>
      </w:r>
    </w:p>
    <w:p w14:paraId="56254024">
      <w:pPr>
        <w:spacing w:line="480" w:lineRule="exact"/>
        <w:ind w:firstLine="360" w:firstLineChars="150"/>
        <w:rPr>
          <w:rFonts w:hint="eastAsia" w:ascii="宋体" w:hAnsi="宋体" w:cs="宋体"/>
          <w:kern w:val="0"/>
          <w:sz w:val="24"/>
          <w:highlight w:val="none"/>
        </w:rPr>
      </w:pPr>
      <w:r>
        <w:rPr>
          <w:rFonts w:hint="eastAsia" w:ascii="宋体" w:hAnsi="宋体" w:cs="宋体"/>
          <w:kern w:val="0"/>
          <w:sz w:val="24"/>
          <w:highlight w:val="none"/>
        </w:rPr>
        <w:t>本公司（联合体）郑重声明，根据《政府采购促进中小企业发展管理办法》（财库﹝2020﹞46号）的规定，本公司（联合体）参加（单位名称）的（项目名称） 采购活动，提供的货物全部由符合政策要求的中小企业制造。相关企业（含联合体中的中小企业、签订分包意向协议的中小企业）的具体情况如下：</w:t>
      </w:r>
    </w:p>
    <w:p w14:paraId="39BA7A1D">
      <w:pPr>
        <w:spacing w:line="480" w:lineRule="exact"/>
        <w:ind w:firstLine="240" w:firstLineChars="100"/>
        <w:rPr>
          <w:rFonts w:hint="eastAsia" w:ascii="宋体" w:hAnsi="宋体" w:cs="宋体"/>
          <w:kern w:val="0"/>
          <w:sz w:val="24"/>
          <w:highlight w:val="none"/>
        </w:rPr>
      </w:pPr>
      <w:r>
        <w:rPr>
          <w:rFonts w:hint="eastAsia" w:ascii="宋体" w:hAnsi="宋体" w:cs="宋体"/>
          <w:kern w:val="0"/>
          <w:sz w:val="24"/>
          <w:highlight w:val="none"/>
        </w:rPr>
        <w:t>1.（标的名称），属于（采购文件中明确的所属行业）行业 ；制造商为（企业名称），从业人员</w:t>
      </w:r>
      <w:r>
        <w:rPr>
          <w:rFonts w:hint="eastAsia" w:ascii="宋体" w:hAnsi="宋体" w:cs="宋体"/>
          <w:kern w:val="0"/>
          <w:sz w:val="24"/>
          <w:highlight w:val="none"/>
          <w:u w:val="single"/>
        </w:rPr>
        <w:t xml:space="preserve">   </w:t>
      </w:r>
      <w:r>
        <w:rPr>
          <w:rFonts w:hint="eastAsia" w:ascii="宋体" w:hAnsi="宋体" w:cs="宋体"/>
          <w:kern w:val="0"/>
          <w:sz w:val="24"/>
          <w:highlight w:val="none"/>
        </w:rPr>
        <w:t>人，营业收入为</w:t>
      </w:r>
      <w:r>
        <w:rPr>
          <w:rFonts w:hint="eastAsia" w:ascii="宋体" w:hAnsi="宋体" w:cs="宋体"/>
          <w:kern w:val="0"/>
          <w:sz w:val="24"/>
          <w:highlight w:val="none"/>
          <w:u w:val="single"/>
        </w:rPr>
        <w:t xml:space="preserve">   </w:t>
      </w:r>
      <w:r>
        <w:rPr>
          <w:rFonts w:hint="eastAsia" w:ascii="宋体" w:hAnsi="宋体" w:cs="宋体"/>
          <w:kern w:val="0"/>
          <w:sz w:val="24"/>
          <w:highlight w:val="none"/>
        </w:rPr>
        <w:t>万元，资产总额为</w:t>
      </w:r>
      <w:r>
        <w:rPr>
          <w:rFonts w:hint="eastAsia" w:ascii="宋体" w:hAnsi="宋体" w:cs="宋体"/>
          <w:kern w:val="0"/>
          <w:sz w:val="24"/>
          <w:highlight w:val="none"/>
          <w:u w:val="single"/>
        </w:rPr>
        <w:t xml:space="preserve">   </w:t>
      </w:r>
      <w:r>
        <w:rPr>
          <w:rFonts w:hint="eastAsia" w:ascii="宋体" w:hAnsi="宋体" w:cs="宋体"/>
          <w:kern w:val="0"/>
          <w:sz w:val="24"/>
          <w:highlight w:val="none"/>
        </w:rPr>
        <w:t>万元，属于（中型企业、小型企业、微型企业） ；</w:t>
      </w:r>
    </w:p>
    <w:p w14:paraId="1A969949">
      <w:pPr>
        <w:spacing w:line="480" w:lineRule="exact"/>
        <w:ind w:firstLine="240" w:firstLineChars="100"/>
        <w:rPr>
          <w:rFonts w:hint="eastAsia" w:ascii="宋体" w:hAnsi="宋体" w:cs="宋体"/>
          <w:kern w:val="0"/>
          <w:sz w:val="24"/>
          <w:highlight w:val="none"/>
        </w:rPr>
      </w:pPr>
      <w:r>
        <w:rPr>
          <w:rFonts w:hint="eastAsia" w:ascii="宋体" w:hAnsi="宋体" w:cs="宋体"/>
          <w:kern w:val="0"/>
          <w:sz w:val="24"/>
          <w:highlight w:val="none"/>
        </w:rPr>
        <w:t>2.（标的名称） ，属于 （采购文件中明确的所属行业）行业 ；制造商为 （企业名称） ，从业人员</w:t>
      </w:r>
      <w:r>
        <w:rPr>
          <w:rFonts w:hint="eastAsia" w:ascii="宋体" w:hAnsi="宋体" w:cs="宋体"/>
          <w:kern w:val="0"/>
          <w:sz w:val="24"/>
          <w:highlight w:val="none"/>
          <w:u w:val="single"/>
        </w:rPr>
        <w:t xml:space="preserve">   </w:t>
      </w:r>
      <w:r>
        <w:rPr>
          <w:rFonts w:hint="eastAsia" w:ascii="宋体" w:hAnsi="宋体" w:cs="宋体"/>
          <w:kern w:val="0"/>
          <w:sz w:val="24"/>
          <w:highlight w:val="none"/>
        </w:rPr>
        <w:t>人，营业收入为</w:t>
      </w:r>
      <w:r>
        <w:rPr>
          <w:rFonts w:hint="eastAsia" w:ascii="宋体" w:hAnsi="宋体" w:cs="宋体"/>
          <w:kern w:val="0"/>
          <w:sz w:val="24"/>
          <w:highlight w:val="none"/>
          <w:u w:val="single"/>
        </w:rPr>
        <w:t xml:space="preserve">   </w:t>
      </w:r>
      <w:r>
        <w:rPr>
          <w:rFonts w:hint="eastAsia" w:ascii="宋体" w:hAnsi="宋体" w:cs="宋体"/>
          <w:kern w:val="0"/>
          <w:sz w:val="24"/>
          <w:highlight w:val="none"/>
        </w:rPr>
        <w:t>万元，资产总额为</w:t>
      </w:r>
      <w:r>
        <w:rPr>
          <w:rFonts w:hint="eastAsia" w:ascii="宋体" w:hAnsi="宋体" w:cs="宋体"/>
          <w:kern w:val="0"/>
          <w:sz w:val="24"/>
          <w:highlight w:val="none"/>
          <w:u w:val="single"/>
        </w:rPr>
        <w:t xml:space="preserve">   </w:t>
      </w:r>
      <w:r>
        <w:rPr>
          <w:rFonts w:hint="eastAsia" w:ascii="宋体" w:hAnsi="宋体" w:cs="宋体"/>
          <w:kern w:val="0"/>
          <w:sz w:val="24"/>
          <w:highlight w:val="none"/>
        </w:rPr>
        <w:t>万元，属于 （中型企业、小型企业、微型企业） ；</w:t>
      </w:r>
    </w:p>
    <w:p w14:paraId="704320DF">
      <w:pPr>
        <w:spacing w:line="480" w:lineRule="exact"/>
        <w:ind w:firstLine="240" w:firstLineChars="100"/>
        <w:rPr>
          <w:rFonts w:hint="eastAsia" w:ascii="宋体" w:hAnsi="宋体" w:cs="宋体"/>
          <w:kern w:val="0"/>
          <w:sz w:val="24"/>
          <w:highlight w:val="none"/>
        </w:rPr>
      </w:pPr>
      <w:r>
        <w:rPr>
          <w:rFonts w:hint="eastAsia" w:ascii="宋体" w:hAnsi="宋体" w:cs="宋体"/>
          <w:kern w:val="0"/>
          <w:sz w:val="24"/>
          <w:highlight w:val="none"/>
        </w:rPr>
        <w:t>……</w:t>
      </w:r>
    </w:p>
    <w:p w14:paraId="35365F29">
      <w:pPr>
        <w:spacing w:line="480" w:lineRule="exact"/>
        <w:ind w:firstLine="240" w:firstLineChars="100"/>
        <w:rPr>
          <w:rFonts w:hint="eastAsia" w:ascii="宋体" w:hAnsi="宋体" w:cs="宋体"/>
          <w:kern w:val="0"/>
          <w:sz w:val="24"/>
          <w:highlight w:val="none"/>
        </w:rPr>
      </w:pPr>
      <w:r>
        <w:rPr>
          <w:rFonts w:hint="eastAsia" w:ascii="宋体" w:hAnsi="宋体" w:cs="宋体"/>
          <w:kern w:val="0"/>
          <w:sz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1419FAC0">
      <w:pPr>
        <w:spacing w:line="480" w:lineRule="exact"/>
        <w:rPr>
          <w:rFonts w:hint="eastAsia" w:ascii="宋体" w:hAnsi="宋体" w:cs="宋体"/>
          <w:kern w:val="0"/>
          <w:sz w:val="24"/>
          <w:highlight w:val="none"/>
        </w:rPr>
      </w:pPr>
    </w:p>
    <w:p w14:paraId="78D0E924">
      <w:pPr>
        <w:pStyle w:val="20"/>
        <w:spacing w:line="360" w:lineRule="auto"/>
        <w:ind w:firstLine="0"/>
        <w:rPr>
          <w:rFonts w:hint="eastAsia" w:ascii="宋体" w:hAnsi="宋体" w:cs="宋体"/>
          <w:sz w:val="24"/>
          <w:highlight w:val="none"/>
        </w:rPr>
      </w:pPr>
      <w:r>
        <w:rPr>
          <w:rFonts w:hint="eastAsia" w:ascii="宋体" w:hAnsi="宋体" w:cs="宋体"/>
          <w:sz w:val="24"/>
          <w:highlight w:val="none"/>
          <w:lang w:eastAsia="zh-CN"/>
        </w:rPr>
        <w:t>供应商（盖单位电子章）</w:t>
      </w:r>
      <w:r>
        <w:rPr>
          <w:rFonts w:hint="eastAsia" w:ascii="宋体" w:hAnsi="宋体" w:cs="宋体"/>
          <w:sz w:val="24"/>
          <w:highlight w:val="none"/>
        </w:rPr>
        <w:t>：</w:t>
      </w:r>
    </w:p>
    <w:p w14:paraId="74B3CC9C">
      <w:pPr>
        <w:spacing w:line="480" w:lineRule="exact"/>
        <w:rPr>
          <w:rFonts w:hint="eastAsia" w:ascii="宋体" w:hAnsi="宋体" w:cs="宋体"/>
          <w:kern w:val="0"/>
          <w:sz w:val="24"/>
          <w:highlight w:val="none"/>
        </w:rPr>
      </w:pPr>
      <w:r>
        <w:rPr>
          <w:rFonts w:hint="eastAsia" w:ascii="宋体" w:hAnsi="宋体" w:cs="宋体"/>
          <w:sz w:val="24"/>
          <w:highlight w:val="none"/>
        </w:rPr>
        <w:t>日期：</w:t>
      </w:r>
    </w:p>
    <w:p w14:paraId="4E2A3BA7">
      <w:pPr>
        <w:spacing w:line="480" w:lineRule="exact"/>
        <w:rPr>
          <w:rFonts w:hint="eastAsia" w:ascii="宋体" w:hAnsi="宋体" w:cs="宋体"/>
          <w:kern w:val="0"/>
          <w:sz w:val="24"/>
          <w:highlight w:val="none"/>
        </w:rPr>
      </w:pPr>
    </w:p>
    <w:p w14:paraId="67973B5B">
      <w:pPr>
        <w:spacing w:line="480" w:lineRule="exact"/>
        <w:rPr>
          <w:rFonts w:hint="eastAsia" w:ascii="宋体" w:hAnsi="宋体" w:cs="宋体"/>
          <w:sz w:val="24"/>
          <w:highlight w:val="none"/>
        </w:rPr>
      </w:pPr>
      <w:r>
        <w:rPr>
          <w:rFonts w:hint="eastAsia" w:ascii="宋体" w:hAnsi="宋体" w:cs="宋体"/>
          <w:kern w:val="0"/>
          <w:sz w:val="24"/>
          <w:highlight w:val="none"/>
        </w:rPr>
        <w:t>注：从业人员、营业收入、资产总额填报上一年度数据，无上一年度数据的新成立企业可不填报。</w:t>
      </w:r>
    </w:p>
    <w:p w14:paraId="0EB3EA8F">
      <w:pPr>
        <w:pStyle w:val="75"/>
        <w:widowControl/>
        <w:shd w:val="clear" w:color="auto" w:fill="FFFFFF"/>
        <w:spacing w:before="0" w:beforeAutospacing="0" w:after="0" w:afterAutospacing="0" w:line="360" w:lineRule="auto"/>
        <w:jc w:val="center"/>
        <w:rPr>
          <w:rFonts w:hint="eastAsia" w:ascii="宋体" w:hAnsi="宋体" w:eastAsia="宋体" w:cs="宋体"/>
          <w:b/>
          <w:bCs/>
          <w:color w:val="auto"/>
          <w:spacing w:val="8"/>
          <w:highlight w:val="none"/>
          <w:shd w:val="clear" w:color="auto" w:fill="FFFFFF"/>
        </w:rPr>
      </w:pPr>
      <w:r>
        <w:rPr>
          <w:rFonts w:hint="eastAsia" w:ascii="宋体" w:hAnsi="宋体" w:eastAsia="宋体" w:cs="宋体"/>
          <w:b/>
          <w:bCs/>
          <w:color w:val="auto"/>
          <w:spacing w:val="8"/>
          <w:highlight w:val="none"/>
          <w:shd w:val="clear" w:color="auto" w:fill="FFFFFF"/>
        </w:rPr>
        <w:t>统计上大中小微型企业划分标准</w:t>
      </w:r>
    </w:p>
    <w:tbl>
      <w:tblPr>
        <w:tblStyle w:val="82"/>
        <w:tblW w:w="9614" w:type="dxa"/>
        <w:jc w:val="center"/>
        <w:shd w:val="clear" w:color="auto" w:fill="FFFFFF"/>
        <w:tblLayout w:type="fixed"/>
        <w:tblCellMar>
          <w:top w:w="0" w:type="dxa"/>
          <w:left w:w="0" w:type="dxa"/>
          <w:bottom w:w="0" w:type="dxa"/>
          <w:right w:w="0" w:type="dxa"/>
        </w:tblCellMar>
      </w:tblPr>
      <w:tblGrid>
        <w:gridCol w:w="1739"/>
        <w:gridCol w:w="1472"/>
        <w:gridCol w:w="760"/>
        <w:gridCol w:w="1213"/>
        <w:gridCol w:w="1827"/>
        <w:gridCol w:w="1595"/>
        <w:gridCol w:w="1008"/>
      </w:tblGrid>
      <w:tr w14:paraId="5C9CD1DE">
        <w:tblPrEx>
          <w:tblCellMar>
            <w:top w:w="0" w:type="dxa"/>
            <w:left w:w="0" w:type="dxa"/>
            <w:bottom w:w="0" w:type="dxa"/>
            <w:right w:w="0" w:type="dxa"/>
          </w:tblCellMar>
        </w:tblPrEx>
        <w:trPr>
          <w:trHeight w:val="615" w:hRule="atLeast"/>
          <w:jc w:val="center"/>
        </w:trPr>
        <w:tc>
          <w:tcPr>
            <w:tcW w:w="1739"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3BDAAD8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Style w:val="87"/>
                <w:rFonts w:hint="eastAsia" w:ascii="宋体" w:hAnsi="宋体" w:eastAsia="宋体" w:cs="宋体"/>
                <w:color w:val="auto"/>
                <w:spacing w:val="8"/>
                <w:sz w:val="18"/>
                <w:szCs w:val="18"/>
                <w:highlight w:val="none"/>
              </w:rPr>
              <w:t>行业名称</w:t>
            </w:r>
          </w:p>
        </w:tc>
        <w:tc>
          <w:tcPr>
            <w:tcW w:w="147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6258239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Style w:val="87"/>
                <w:rFonts w:hint="eastAsia" w:ascii="宋体" w:hAnsi="宋体" w:eastAsia="宋体" w:cs="宋体"/>
                <w:color w:val="auto"/>
                <w:spacing w:val="8"/>
                <w:sz w:val="18"/>
                <w:szCs w:val="18"/>
                <w:highlight w:val="none"/>
              </w:rPr>
              <w:t>指标名称</w:t>
            </w:r>
          </w:p>
        </w:tc>
        <w:tc>
          <w:tcPr>
            <w:tcW w:w="760"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8F0672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Style w:val="87"/>
                <w:rFonts w:hint="eastAsia" w:ascii="宋体" w:hAnsi="宋体" w:eastAsia="宋体" w:cs="宋体"/>
                <w:color w:val="auto"/>
                <w:spacing w:val="8"/>
                <w:sz w:val="18"/>
                <w:szCs w:val="18"/>
                <w:highlight w:val="none"/>
              </w:rPr>
              <w:t>计量单位</w:t>
            </w:r>
          </w:p>
        </w:tc>
        <w:tc>
          <w:tcPr>
            <w:tcW w:w="121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2F40819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Style w:val="87"/>
                <w:rFonts w:hint="eastAsia" w:ascii="宋体" w:hAnsi="宋体" w:eastAsia="宋体" w:cs="宋体"/>
                <w:color w:val="auto"/>
                <w:spacing w:val="8"/>
                <w:sz w:val="18"/>
                <w:szCs w:val="18"/>
                <w:highlight w:val="none"/>
              </w:rPr>
              <w:t>大型</w:t>
            </w:r>
          </w:p>
        </w:tc>
        <w:tc>
          <w:tcPr>
            <w:tcW w:w="1827"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F65DC0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Style w:val="87"/>
                <w:rFonts w:hint="eastAsia" w:ascii="宋体" w:hAnsi="宋体" w:eastAsia="宋体" w:cs="宋体"/>
                <w:color w:val="auto"/>
                <w:spacing w:val="8"/>
                <w:sz w:val="18"/>
                <w:szCs w:val="18"/>
                <w:highlight w:val="none"/>
              </w:rPr>
              <w:t>中型</w:t>
            </w:r>
          </w:p>
        </w:tc>
        <w:tc>
          <w:tcPr>
            <w:tcW w:w="159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C8AE5C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Style w:val="87"/>
                <w:rFonts w:hint="eastAsia" w:ascii="宋体" w:hAnsi="宋体" w:eastAsia="宋体" w:cs="宋体"/>
                <w:color w:val="auto"/>
                <w:spacing w:val="8"/>
                <w:sz w:val="18"/>
                <w:szCs w:val="18"/>
                <w:highlight w:val="none"/>
              </w:rPr>
              <w:t>小型</w:t>
            </w:r>
          </w:p>
        </w:tc>
        <w:tc>
          <w:tcPr>
            <w:tcW w:w="100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2E384B6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Style w:val="87"/>
                <w:rFonts w:hint="eastAsia" w:ascii="宋体" w:hAnsi="宋体" w:eastAsia="宋体" w:cs="宋体"/>
                <w:color w:val="auto"/>
                <w:spacing w:val="8"/>
                <w:sz w:val="18"/>
                <w:szCs w:val="18"/>
                <w:highlight w:val="none"/>
              </w:rPr>
              <w:t>微型</w:t>
            </w:r>
          </w:p>
        </w:tc>
      </w:tr>
      <w:tr w14:paraId="322215FB">
        <w:tblPrEx>
          <w:tblCellMar>
            <w:top w:w="0" w:type="dxa"/>
            <w:left w:w="0" w:type="dxa"/>
            <w:bottom w:w="0" w:type="dxa"/>
            <w:right w:w="0" w:type="dxa"/>
          </w:tblCellMar>
        </w:tblPrEx>
        <w:trPr>
          <w:trHeight w:val="390" w:hRule="atLeast"/>
          <w:jc w:val="center"/>
        </w:trPr>
        <w:tc>
          <w:tcPr>
            <w:tcW w:w="1739"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3DB47CCC">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农、林、牧、渔业</w:t>
            </w: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5B43C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2913D6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1B2A29B">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Y≥20000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13BF5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500≤Y＜20000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AA8C40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50≤Y＜500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DA8D12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Y＜50</w:t>
            </w:r>
          </w:p>
        </w:tc>
      </w:tr>
      <w:tr w14:paraId="036C4213">
        <w:tblPrEx>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38BD916">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工业 *</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846B88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CCD842B">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9D4478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D9919B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300≤X＜1000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085D6A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20≤X＜300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A6C2E1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X＜20</w:t>
            </w:r>
          </w:p>
        </w:tc>
      </w:tr>
      <w:tr w14:paraId="087DBA79">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38FEC22">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3F4852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4C3D0E">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148F12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Y≥40000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5670D5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2000≤Y＜40000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62D365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300≤Y＜2000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B6A4CEE">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Y＜300</w:t>
            </w:r>
          </w:p>
        </w:tc>
      </w:tr>
      <w:tr w14:paraId="4C900B93">
        <w:tblPrEx>
          <w:shd w:val="clear" w:color="auto" w:fill="FFFFFF"/>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3F62382">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建筑业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1C554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7279DE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764F6C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Y≥80000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11237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6000≤Y＜80000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89FFE9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300≤Y＜6000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E3E93D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Y＜300</w:t>
            </w:r>
          </w:p>
        </w:tc>
      </w:tr>
      <w:tr w14:paraId="2FD4FD42">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91D5CDD">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9003B2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资产总额(Z)</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3255CE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0F3E25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Z≥80000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3233C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5000≤Z＜80000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6C16C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300≤Z＜5000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881F0C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Z＜300</w:t>
            </w:r>
          </w:p>
        </w:tc>
      </w:tr>
      <w:tr w14:paraId="218E24C4">
        <w:tblPrEx>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3E6FEFE">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批发业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508622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EE897E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63040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X≥200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2EF4A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20≤X＜200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AA169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5≤X＜20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9C0D92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X＜5</w:t>
            </w:r>
          </w:p>
        </w:tc>
      </w:tr>
      <w:tr w14:paraId="217919F8">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3350712">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390960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5270F4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0A8BA9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Y≥40000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4B70CD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5000≤Y＜40000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52E33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1000≤Y＜5000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BF16C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Y＜1000</w:t>
            </w:r>
          </w:p>
        </w:tc>
      </w:tr>
      <w:tr w14:paraId="683CF442">
        <w:tblPrEx>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8372FD1">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零售业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DF458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7A45A9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B7EEB3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X≥300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84D073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50≤X＜300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0B67FB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10≤X＜50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261673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w:t>
            </w:r>
          </w:p>
        </w:tc>
      </w:tr>
      <w:tr w14:paraId="09841B2D">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A5D5F52">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AEA10F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86AE5C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ABD99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Y≥20000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F1869D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500≤Y＜20000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57429D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100≤Y＜500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CA6403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w:t>
            </w:r>
          </w:p>
        </w:tc>
      </w:tr>
      <w:tr w14:paraId="5F015C9E">
        <w:tblPrEx>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66C63CB">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交通运输业 *</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CD103E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F0DAD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AA5F4A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FE03A8B">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300≤X＜1000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7C416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20≤X＜300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6AE8B8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X＜20</w:t>
            </w:r>
          </w:p>
        </w:tc>
      </w:tr>
      <w:tr w14:paraId="7D467AB5">
        <w:tblPrEx>
          <w:shd w:val="clear" w:color="auto" w:fill="FFFFFF"/>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76275E4">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70B8C5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68A8EC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AB718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Y≥30000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55A4D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3000≤Y＜30000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FD1776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200≤Y＜3000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B43E0F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Y＜200</w:t>
            </w:r>
          </w:p>
        </w:tc>
      </w:tr>
      <w:tr w14:paraId="21B5F732">
        <w:tblPrEx>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9BBE986">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仓储业*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4479CE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FBFA91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253B9B">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X≥200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BD23B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100≤X＜200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159A6C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85074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X＜20</w:t>
            </w:r>
          </w:p>
        </w:tc>
      </w:tr>
      <w:tr w14:paraId="17909FBA">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BDB3E93">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1752E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D4FF2E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A4853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Y≥30000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FB6A11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1000≤Y＜30000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79FAA6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100≤Y＜1000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C58E12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w:t>
            </w:r>
          </w:p>
        </w:tc>
      </w:tr>
      <w:tr w14:paraId="2F2D4685">
        <w:tblPrEx>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013DE2A">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邮政业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0B1FEC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C2195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8F608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4827CB">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300≤X＜1000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67F179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20≤X＜300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2D00C6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X＜20</w:t>
            </w:r>
          </w:p>
        </w:tc>
      </w:tr>
      <w:tr w14:paraId="14DDC514">
        <w:tblPrEx>
          <w:shd w:val="clear" w:color="auto" w:fill="FFFFFF"/>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11BC01B">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95E9E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3736AE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8E2870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Y≥30000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477E18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2000≤Y＜30000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EEF8D3">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100≤Y＜2000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25FBF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w:t>
            </w:r>
          </w:p>
        </w:tc>
      </w:tr>
      <w:tr w14:paraId="12DB88FA">
        <w:tblPrEx>
          <w:shd w:val="clear" w:color="auto" w:fill="FFFFFF"/>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8674D2F">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住宿业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3301F0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464B2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7BA04D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X≥300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3662F8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100≤X＜300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0C361E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C60FF5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w:t>
            </w:r>
          </w:p>
        </w:tc>
      </w:tr>
      <w:tr w14:paraId="1CCAC9D6">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9D8B449">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D6A0CD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1300B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1A5D2EE">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ED66FD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2000≤Y＜10000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1A7316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100≤Y＜2000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DC455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w:t>
            </w:r>
          </w:p>
        </w:tc>
      </w:tr>
      <w:tr w14:paraId="0C3C4277">
        <w:tblPrEx>
          <w:shd w:val="clear" w:color="auto" w:fill="FFFFFF"/>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3546586">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餐饮业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FD0F1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DDD7C8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2849BD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X≥300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C76CCA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100≤X＜300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F845F4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C4300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w:t>
            </w:r>
          </w:p>
        </w:tc>
      </w:tr>
      <w:tr w14:paraId="60E03432">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B64347B">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A5F16A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CD0D8A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670CE2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289A00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2000≤Y＜10000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8794E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100≤Y＜2000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37458B">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w:t>
            </w:r>
          </w:p>
        </w:tc>
      </w:tr>
      <w:tr w14:paraId="575E4DD1">
        <w:tblPrEx>
          <w:tblCellMar>
            <w:top w:w="0" w:type="dxa"/>
            <w:left w:w="0" w:type="dxa"/>
            <w:bottom w:w="0" w:type="dxa"/>
            <w:right w:w="0" w:type="dxa"/>
          </w:tblCellMar>
        </w:tblPrEx>
        <w:trPr>
          <w:trHeight w:val="390"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0481D56">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信息传输业 *</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AE186B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E6A469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93E4F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X≥2000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B06D9E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100≤X＜2000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16E7D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245695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w:t>
            </w:r>
          </w:p>
        </w:tc>
      </w:tr>
      <w:tr w14:paraId="32187D61">
        <w:tblPrEx>
          <w:tblCellMar>
            <w:top w:w="0" w:type="dxa"/>
            <w:left w:w="0" w:type="dxa"/>
            <w:bottom w:w="0" w:type="dxa"/>
            <w:right w:w="0" w:type="dxa"/>
          </w:tblCellMar>
        </w:tblPrEx>
        <w:trPr>
          <w:trHeight w:val="390"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7733710">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3C1ADC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5D237D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788AF3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8803DB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1000≤Y＜100000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E4E320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100≤Y＜1000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2DBB1C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w:t>
            </w:r>
          </w:p>
        </w:tc>
      </w:tr>
      <w:tr w14:paraId="079015F2">
        <w:tblPrEx>
          <w:tblCellMar>
            <w:top w:w="0" w:type="dxa"/>
            <w:left w:w="0" w:type="dxa"/>
            <w:bottom w:w="0" w:type="dxa"/>
            <w:right w:w="0" w:type="dxa"/>
          </w:tblCellMar>
        </w:tblPrEx>
        <w:trPr>
          <w:trHeight w:val="345"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5590C11">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15"/>
                <w:sz w:val="18"/>
                <w:szCs w:val="18"/>
                <w:highlight w:val="none"/>
              </w:rPr>
              <w:t>软件和信息技术服</w:t>
            </w:r>
            <w:r>
              <w:rPr>
                <w:rFonts w:hint="eastAsia" w:ascii="宋体" w:hAnsi="宋体" w:eastAsia="宋体" w:cs="宋体"/>
                <w:color w:val="auto"/>
                <w:spacing w:val="8"/>
                <w:sz w:val="18"/>
                <w:szCs w:val="18"/>
                <w:highlight w:val="none"/>
              </w:rPr>
              <w:t>务业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7F437F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D11413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A8D33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X≥300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262C3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100≤X＜300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B01DB95">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4929B1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w:t>
            </w:r>
          </w:p>
        </w:tc>
      </w:tr>
      <w:tr w14:paraId="234475C7">
        <w:tblPrEx>
          <w:tblCellMar>
            <w:top w:w="0" w:type="dxa"/>
            <w:left w:w="0" w:type="dxa"/>
            <w:bottom w:w="0" w:type="dxa"/>
            <w:right w:w="0" w:type="dxa"/>
          </w:tblCellMar>
        </w:tblPrEx>
        <w:trPr>
          <w:trHeight w:val="345"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DAB2D8B">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36536C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381DDC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EE231A">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C4A06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1000≤Y＜10000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F224C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50≤Y＜1000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E0CCACE">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Y＜50</w:t>
            </w:r>
          </w:p>
        </w:tc>
      </w:tr>
      <w:tr w14:paraId="2F24920A">
        <w:tblPrEx>
          <w:tblCellMar>
            <w:top w:w="0" w:type="dxa"/>
            <w:left w:w="0" w:type="dxa"/>
            <w:bottom w:w="0" w:type="dxa"/>
            <w:right w:w="0" w:type="dxa"/>
          </w:tblCellMar>
        </w:tblPrEx>
        <w:trPr>
          <w:trHeight w:val="345"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AA5F8F7">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房地产开发经营</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3A1967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4A9296E">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724F33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Y≥200000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D559E7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1000≤Y＜200000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46FF613">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100≤Y＜1000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BAA657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Y＜100</w:t>
            </w:r>
          </w:p>
        </w:tc>
      </w:tr>
      <w:tr w14:paraId="363DA613">
        <w:tblPrEx>
          <w:tblCellMar>
            <w:top w:w="0" w:type="dxa"/>
            <w:left w:w="0" w:type="dxa"/>
            <w:bottom w:w="0" w:type="dxa"/>
            <w:right w:w="0" w:type="dxa"/>
          </w:tblCellMar>
        </w:tblPrEx>
        <w:trPr>
          <w:trHeight w:val="345"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92C4E5C">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9B2F65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资产总额(Z)</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9957F7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73CBF4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Z≥10000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B98009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5000≤Z＜10000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083F14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2000≤Z＜5000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690A6B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Z＜2000</w:t>
            </w:r>
          </w:p>
        </w:tc>
      </w:tr>
      <w:tr w14:paraId="6ED5909D">
        <w:tblPrEx>
          <w:tblCellMar>
            <w:top w:w="0" w:type="dxa"/>
            <w:left w:w="0" w:type="dxa"/>
            <w:bottom w:w="0" w:type="dxa"/>
            <w:right w:w="0" w:type="dxa"/>
          </w:tblCellMar>
        </w:tblPrEx>
        <w:trPr>
          <w:trHeight w:val="345"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D6B7143">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物业管理</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0DA9B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F7ED44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7A2FB9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D330756">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300≤X＜1000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9D3763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100≤X＜300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8370A0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X＜100</w:t>
            </w:r>
          </w:p>
        </w:tc>
      </w:tr>
      <w:tr w14:paraId="74EB366F">
        <w:tblPrEx>
          <w:shd w:val="clear" w:color="auto" w:fill="FFFFFF"/>
          <w:tblCellMar>
            <w:top w:w="0" w:type="dxa"/>
            <w:left w:w="0" w:type="dxa"/>
            <w:bottom w:w="0" w:type="dxa"/>
            <w:right w:w="0" w:type="dxa"/>
          </w:tblCellMar>
        </w:tblPrEx>
        <w:trPr>
          <w:trHeight w:val="345"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D5EAD93">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523F504">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营业收入(Y)</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9D38B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729A98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Y≥5000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DBD85FD">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1000≤Y＜5000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FCE33F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500≤Y＜1000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E37C94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Y＜500</w:t>
            </w:r>
          </w:p>
        </w:tc>
      </w:tr>
      <w:tr w14:paraId="372C2A36">
        <w:tblPrEx>
          <w:tblCellMar>
            <w:top w:w="0" w:type="dxa"/>
            <w:left w:w="0" w:type="dxa"/>
            <w:bottom w:w="0" w:type="dxa"/>
            <w:right w:w="0" w:type="dxa"/>
          </w:tblCellMar>
        </w:tblPrEx>
        <w:trPr>
          <w:trHeight w:val="345" w:hRule="atLeast"/>
          <w:jc w:val="center"/>
        </w:trPr>
        <w:tc>
          <w:tcPr>
            <w:tcW w:w="1739"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2BD2390">
            <w:pPr>
              <w:pStyle w:val="75"/>
              <w:widowControl/>
              <w:adjustRightInd w:val="0"/>
              <w:snapToGrid w:val="0"/>
              <w:spacing w:before="0" w:beforeAutospacing="0" w:after="0" w:afterAutospacing="0" w:line="0" w:lineRule="atLeast"/>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租赁和商务服务业</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16FA81">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DEC021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F44C75">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X≥300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F172CE">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100≤X＜300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0988F6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E93070F">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w:t>
            </w:r>
          </w:p>
        </w:tc>
      </w:tr>
      <w:tr w14:paraId="6404E53B">
        <w:tblPrEx>
          <w:shd w:val="clear" w:color="auto" w:fill="FFFFFF"/>
          <w:tblCellMar>
            <w:top w:w="0" w:type="dxa"/>
            <w:left w:w="0" w:type="dxa"/>
            <w:bottom w:w="0" w:type="dxa"/>
            <w:right w:w="0" w:type="dxa"/>
          </w:tblCellMar>
        </w:tblPrEx>
        <w:trPr>
          <w:trHeight w:val="345" w:hRule="atLeast"/>
          <w:jc w:val="center"/>
        </w:trPr>
        <w:tc>
          <w:tcPr>
            <w:tcW w:w="1739"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17F7741">
            <w:pPr>
              <w:adjustRightInd w:val="0"/>
              <w:snapToGrid w:val="0"/>
              <w:spacing w:line="0" w:lineRule="atLeast"/>
              <w:rPr>
                <w:rFonts w:hint="eastAsia" w:ascii="宋体" w:hAnsi="宋体" w:eastAsia="宋体" w:cs="宋体"/>
                <w:color w:val="auto"/>
                <w:spacing w:val="8"/>
                <w:sz w:val="18"/>
                <w:szCs w:val="18"/>
                <w:highlight w:val="none"/>
              </w:rPr>
            </w:pPr>
          </w:p>
        </w:tc>
        <w:tc>
          <w:tcPr>
            <w:tcW w:w="147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FF6BAE2">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资产总额(Z)</w:t>
            </w:r>
          </w:p>
        </w:tc>
        <w:tc>
          <w:tcPr>
            <w:tcW w:w="760"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3D078C">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万元</w:t>
            </w:r>
          </w:p>
        </w:tc>
        <w:tc>
          <w:tcPr>
            <w:tcW w:w="121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C8C2C00">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Z≥120000</w:t>
            </w:r>
          </w:p>
        </w:tc>
        <w:tc>
          <w:tcPr>
            <w:tcW w:w="182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057427">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8000≤Z＜120000</w:t>
            </w:r>
          </w:p>
        </w:tc>
        <w:tc>
          <w:tcPr>
            <w:tcW w:w="159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B0D7B9">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100≤Z＜8000</w:t>
            </w:r>
          </w:p>
        </w:tc>
        <w:tc>
          <w:tcPr>
            <w:tcW w:w="100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6705F08">
            <w:pPr>
              <w:pStyle w:val="75"/>
              <w:widowControl/>
              <w:adjustRightInd w:val="0"/>
              <w:snapToGrid w:val="0"/>
              <w:spacing w:before="0" w:beforeAutospacing="0" w:after="0" w:afterAutospacing="0" w:line="0" w:lineRule="atLeast"/>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Z＜100</w:t>
            </w:r>
          </w:p>
        </w:tc>
      </w:tr>
      <w:tr w14:paraId="3F500CEB">
        <w:tblPrEx>
          <w:tblCellMar>
            <w:top w:w="0" w:type="dxa"/>
            <w:left w:w="0" w:type="dxa"/>
            <w:bottom w:w="0" w:type="dxa"/>
            <w:right w:w="0" w:type="dxa"/>
          </w:tblCellMar>
        </w:tblPrEx>
        <w:trPr>
          <w:trHeight w:val="390" w:hRule="atLeast"/>
          <w:jc w:val="center"/>
        </w:trPr>
        <w:tc>
          <w:tcPr>
            <w:tcW w:w="1739"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0690D20">
            <w:pPr>
              <w:pStyle w:val="75"/>
              <w:widowControl/>
              <w:adjustRightInd w:val="0"/>
              <w:snapToGrid w:val="0"/>
              <w:spacing w:before="0" w:beforeAutospacing="0" w:after="0" w:afterAutospacing="0"/>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其他未列明行业 *</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8324EE4">
            <w:pPr>
              <w:pStyle w:val="75"/>
              <w:widowControl/>
              <w:adjustRightInd w:val="0"/>
              <w:snapToGrid w:val="0"/>
              <w:spacing w:before="0" w:beforeAutospacing="0" w:after="0" w:afterAutospacing="0"/>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86D265D">
            <w:pPr>
              <w:pStyle w:val="75"/>
              <w:widowControl/>
              <w:adjustRightInd w:val="0"/>
              <w:snapToGrid w:val="0"/>
              <w:spacing w:before="0" w:beforeAutospacing="0" w:after="0" w:afterAutospacing="0"/>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F676516">
            <w:pPr>
              <w:pStyle w:val="75"/>
              <w:widowControl/>
              <w:adjustRightInd w:val="0"/>
              <w:snapToGrid w:val="0"/>
              <w:spacing w:before="0" w:beforeAutospacing="0" w:after="0" w:afterAutospacing="0"/>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X≥300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E18681D">
            <w:pPr>
              <w:pStyle w:val="75"/>
              <w:widowControl/>
              <w:adjustRightInd w:val="0"/>
              <w:snapToGrid w:val="0"/>
              <w:spacing w:before="0" w:beforeAutospacing="0" w:after="0" w:afterAutospacing="0"/>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100≤X＜300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DB91C08">
            <w:pPr>
              <w:pStyle w:val="75"/>
              <w:widowControl/>
              <w:adjustRightInd w:val="0"/>
              <w:snapToGrid w:val="0"/>
              <w:spacing w:before="0" w:beforeAutospacing="0" w:after="0" w:afterAutospacing="0"/>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10≤X＜100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EE9EC62">
            <w:pPr>
              <w:pStyle w:val="75"/>
              <w:widowControl/>
              <w:adjustRightInd w:val="0"/>
              <w:snapToGrid w:val="0"/>
              <w:spacing w:before="0" w:beforeAutospacing="0" w:after="0" w:afterAutospacing="0"/>
              <w:jc w:val="center"/>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X＜10</w:t>
            </w:r>
          </w:p>
        </w:tc>
      </w:tr>
    </w:tbl>
    <w:p w14:paraId="5296AE5A">
      <w:pPr>
        <w:snapToGrid w:val="0"/>
        <w:spacing w:line="360" w:lineRule="auto"/>
        <w:ind w:firstLine="360" w:firstLineChars="200"/>
        <w:rPr>
          <w:rFonts w:hint="eastAsia" w:ascii="宋体" w:hAnsi="宋体" w:eastAsia="宋体" w:cs="宋体"/>
          <w:color w:val="auto"/>
          <w:sz w:val="18"/>
          <w:szCs w:val="18"/>
          <w:highlight w:val="none"/>
        </w:rPr>
      </w:pPr>
    </w:p>
    <w:p w14:paraId="0EBABC43">
      <w:pPr>
        <w:numPr>
          <w:ilvl w:val="0"/>
          <w:numId w:val="0"/>
        </w:numPr>
        <w:tabs>
          <w:tab w:val="left" w:pos="993"/>
        </w:tabs>
        <w:adjustRightInd w:val="0"/>
        <w:snapToGrid w:val="0"/>
        <w:spacing w:line="440" w:lineRule="exact"/>
        <w:ind w:leftChars="200" w:right="403" w:rightChars="19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w:t>
      </w:r>
      <w:r>
        <w:rPr>
          <w:rFonts w:hint="eastAsia" w:ascii="宋体" w:hAnsi="宋体" w:eastAsia="宋体" w:cs="宋体"/>
          <w:b/>
          <w:bCs/>
          <w:color w:val="auto"/>
          <w:sz w:val="21"/>
          <w:szCs w:val="21"/>
          <w:highlight w:val="none"/>
          <w:lang w:val="en-US" w:eastAsia="zh-CN"/>
        </w:rPr>
        <w:t>1.大型、中型和小型企业须同时满足所列指标的下限，否则下划一档；微型企业只须满足所列指标中的一项即可。</w:t>
      </w:r>
    </w:p>
    <w:p w14:paraId="6D2B7888">
      <w:pPr>
        <w:numPr>
          <w:ilvl w:val="0"/>
          <w:numId w:val="0"/>
        </w:numPr>
        <w:tabs>
          <w:tab w:val="left" w:pos="993"/>
        </w:tabs>
        <w:adjustRightInd w:val="0"/>
        <w:snapToGrid w:val="0"/>
        <w:spacing w:line="440" w:lineRule="exact"/>
        <w:ind w:leftChars="200" w:right="403" w:rightChars="19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0D1BA54">
      <w:pPr>
        <w:numPr>
          <w:ilvl w:val="0"/>
          <w:numId w:val="0"/>
        </w:numPr>
        <w:tabs>
          <w:tab w:val="left" w:pos="993"/>
        </w:tabs>
        <w:adjustRightInd w:val="0"/>
        <w:snapToGrid w:val="0"/>
        <w:spacing w:line="440" w:lineRule="exact"/>
        <w:ind w:leftChars="200" w:right="403" w:rightChars="19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3.企业划分指标以现行统计制度为准。</w:t>
      </w:r>
    </w:p>
    <w:p w14:paraId="240FADEF">
      <w:pPr>
        <w:numPr>
          <w:ilvl w:val="0"/>
          <w:numId w:val="0"/>
        </w:numPr>
        <w:tabs>
          <w:tab w:val="left" w:pos="993"/>
        </w:tabs>
        <w:adjustRightInd w:val="0"/>
        <w:snapToGrid w:val="0"/>
        <w:spacing w:line="440" w:lineRule="exact"/>
        <w:ind w:leftChars="200" w:right="403" w:rightChars="19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（1）从业人员，是指期末从业人员数，没有期末从业人员数的，采用全年平均人员数代替。</w:t>
      </w:r>
    </w:p>
    <w:p w14:paraId="4B5DC61A">
      <w:pPr>
        <w:numPr>
          <w:ilvl w:val="0"/>
          <w:numId w:val="0"/>
        </w:numPr>
        <w:tabs>
          <w:tab w:val="left" w:pos="993"/>
        </w:tabs>
        <w:adjustRightInd w:val="0"/>
        <w:snapToGrid w:val="0"/>
        <w:spacing w:line="440" w:lineRule="exact"/>
        <w:ind w:leftChars="200" w:right="403" w:rightChars="19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16877E0">
      <w:pPr>
        <w:numPr>
          <w:ilvl w:val="0"/>
          <w:numId w:val="0"/>
        </w:numPr>
        <w:tabs>
          <w:tab w:val="left" w:pos="993"/>
        </w:tabs>
        <w:adjustRightInd w:val="0"/>
        <w:snapToGrid w:val="0"/>
        <w:spacing w:line="440" w:lineRule="exact"/>
        <w:ind w:leftChars="200" w:right="403" w:rightChars="192"/>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1"/>
          <w:szCs w:val="21"/>
          <w:highlight w:val="none"/>
          <w:lang w:val="en-US" w:eastAsia="zh-CN"/>
        </w:rPr>
        <w:t>（3）资产总额，采用资产总计代替。</w:t>
      </w:r>
    </w:p>
    <w:p w14:paraId="6BD2834C">
      <w:pPr>
        <w:pStyle w:val="4"/>
        <w:numPr>
          <w:ilvl w:val="0"/>
          <w:numId w:val="0"/>
        </w:numPr>
        <w:ind w:left="420"/>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bookmarkStart w:id="170" w:name="_Toc3275"/>
      <w:bookmarkStart w:id="171" w:name="_Toc16523"/>
      <w:bookmarkStart w:id="172" w:name="_Toc497920545"/>
      <w:bookmarkStart w:id="173" w:name="_Toc24135"/>
      <w:bookmarkStart w:id="174" w:name="_Hlk492844196"/>
      <w:r>
        <w:rPr>
          <w:rFonts w:hint="eastAsia" w:ascii="宋体" w:hAnsi="宋体" w:eastAsia="宋体" w:cs="宋体"/>
          <w:sz w:val="28"/>
          <w:szCs w:val="28"/>
          <w:highlight w:val="none"/>
        </w:rPr>
        <w:t>8.残疾人福利企业声明函</w:t>
      </w:r>
      <w:bookmarkEnd w:id="170"/>
      <w:bookmarkEnd w:id="171"/>
      <w:bookmarkEnd w:id="172"/>
      <w:bookmarkEnd w:id="173"/>
    </w:p>
    <w:p w14:paraId="5B43F55A">
      <w:pPr>
        <w:jc w:val="center"/>
        <w:rPr>
          <w:rFonts w:hint="eastAsia" w:ascii="宋体" w:hAnsi="宋体" w:cs="宋体"/>
          <w:sz w:val="24"/>
          <w:highlight w:val="none"/>
        </w:rPr>
      </w:pPr>
      <w:r>
        <w:rPr>
          <w:rFonts w:hint="eastAsia" w:ascii="宋体" w:hAnsi="宋体" w:cs="宋体"/>
          <w:sz w:val="24"/>
          <w:highlight w:val="none"/>
        </w:rPr>
        <w:t>（属于的填写，不属于的无需填写此项内容）</w:t>
      </w:r>
    </w:p>
    <w:p w14:paraId="2D1287FF">
      <w:pPr>
        <w:pStyle w:val="20"/>
        <w:rPr>
          <w:rFonts w:hint="eastAsia" w:ascii="宋体" w:hAnsi="宋体" w:cs="宋体"/>
          <w:highlight w:val="none"/>
        </w:rPr>
      </w:pPr>
    </w:p>
    <w:bookmarkEnd w:id="174"/>
    <w:p w14:paraId="720DD384">
      <w:pPr>
        <w:pStyle w:val="20"/>
        <w:spacing w:line="360" w:lineRule="auto"/>
        <w:rPr>
          <w:rFonts w:hint="eastAsia" w:ascii="宋体" w:hAnsi="宋体" w:cs="宋体"/>
          <w:b/>
          <w:sz w:val="24"/>
          <w:szCs w:val="24"/>
          <w:highlight w:val="none"/>
        </w:rPr>
      </w:pPr>
    </w:p>
    <w:p w14:paraId="7F2D54C4">
      <w:pPr>
        <w:pStyle w:val="20"/>
        <w:spacing w:line="360" w:lineRule="auto"/>
        <w:rPr>
          <w:rFonts w:hint="eastAsia" w:ascii="宋体" w:hAnsi="宋体" w:cs="宋体"/>
          <w:sz w:val="24"/>
          <w:szCs w:val="24"/>
          <w:highlight w:val="none"/>
        </w:rPr>
      </w:pPr>
      <w:r>
        <w:rPr>
          <w:rFonts w:hint="eastAsia" w:ascii="宋体" w:hAnsi="宋体" w:cs="宋体"/>
          <w:sz w:val="24"/>
          <w:szCs w:val="24"/>
          <w:highlight w:val="none"/>
        </w:rPr>
        <w:t>本单位郑重声明，根据《财政部 民政部 中国残疾人联合会关于促进残疾人就业政府采购政策的通知》（财库〔2017〕141号）的规定，本单位为符合该文件之规定条件的残疾人福利性单位，参加本次政府采购活动提供本单位制造的货物，或者提供</w:t>
      </w:r>
      <w:r>
        <w:rPr>
          <w:rFonts w:hint="eastAsia" w:ascii="宋体" w:hAnsi="宋体" w:cs="宋体"/>
          <w:sz w:val="24"/>
          <w:szCs w:val="24"/>
          <w:highlight w:val="none"/>
          <w:u w:val="single"/>
        </w:rPr>
        <w:t>（其他残疾人福利性单位名称）</w:t>
      </w:r>
      <w:r>
        <w:rPr>
          <w:rFonts w:hint="eastAsia" w:ascii="宋体" w:hAnsi="宋体" w:cs="宋体"/>
          <w:sz w:val="24"/>
          <w:szCs w:val="24"/>
          <w:highlight w:val="none"/>
        </w:rPr>
        <w:t>制造的货物（不包括使用非残疾人福利性单位注册商标的货物）。货物的名称品牌型号是</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p>
    <w:p w14:paraId="645FC500">
      <w:pPr>
        <w:pStyle w:val="20"/>
        <w:spacing w:line="360" w:lineRule="auto"/>
        <w:rPr>
          <w:rFonts w:hint="eastAsia" w:ascii="宋体" w:hAnsi="宋体" w:cs="宋体"/>
          <w:sz w:val="24"/>
          <w:szCs w:val="24"/>
          <w:highlight w:val="none"/>
        </w:rPr>
      </w:pPr>
      <w:r>
        <w:rPr>
          <w:rFonts w:hint="eastAsia" w:ascii="宋体" w:hAnsi="宋体" w:cs="宋体"/>
          <w:sz w:val="24"/>
          <w:szCs w:val="24"/>
          <w:highlight w:val="none"/>
        </w:rPr>
        <w:t>本单位对上述声明的真实性负责。如有虚假，将承担相应的法律责任。</w:t>
      </w:r>
    </w:p>
    <w:p w14:paraId="7E83B638">
      <w:pPr>
        <w:pStyle w:val="20"/>
        <w:spacing w:line="360" w:lineRule="auto"/>
        <w:rPr>
          <w:rFonts w:hint="eastAsia" w:ascii="宋体" w:hAnsi="宋体" w:cs="宋体"/>
          <w:sz w:val="24"/>
          <w:szCs w:val="24"/>
          <w:highlight w:val="none"/>
        </w:rPr>
      </w:pPr>
    </w:p>
    <w:p w14:paraId="61B4C85D">
      <w:pPr>
        <w:pStyle w:val="20"/>
        <w:spacing w:line="360" w:lineRule="auto"/>
        <w:rPr>
          <w:rFonts w:hint="eastAsia" w:ascii="宋体" w:hAnsi="宋体" w:cs="宋体"/>
          <w:sz w:val="24"/>
          <w:szCs w:val="24"/>
          <w:highlight w:val="none"/>
        </w:rPr>
      </w:pPr>
    </w:p>
    <w:p w14:paraId="5539DA6A">
      <w:pPr>
        <w:pStyle w:val="20"/>
        <w:spacing w:line="360" w:lineRule="auto"/>
        <w:rPr>
          <w:rFonts w:hint="eastAsia" w:ascii="宋体" w:hAnsi="宋体" w:cs="宋体"/>
          <w:sz w:val="24"/>
          <w:szCs w:val="24"/>
          <w:highlight w:val="none"/>
        </w:rPr>
      </w:pPr>
      <w:r>
        <w:rPr>
          <w:rFonts w:hint="eastAsia" w:ascii="宋体" w:hAnsi="宋体" w:cs="宋体"/>
          <w:sz w:val="24"/>
          <w:szCs w:val="24"/>
          <w:highlight w:val="none"/>
        </w:rPr>
        <w:t>注：根据《财政部 民政部 中国残疾人联合会关于促进残疾人就业政府采购政策的通知》（财库〔2017〕141号）的规定予以10%的价格扣除。</w:t>
      </w:r>
    </w:p>
    <w:p w14:paraId="72C30B8F">
      <w:pPr>
        <w:pStyle w:val="20"/>
        <w:spacing w:line="360" w:lineRule="auto"/>
        <w:rPr>
          <w:rFonts w:hint="eastAsia" w:ascii="宋体" w:hAnsi="宋体" w:cs="宋体"/>
          <w:sz w:val="24"/>
          <w:szCs w:val="24"/>
          <w:highlight w:val="none"/>
        </w:rPr>
      </w:pPr>
    </w:p>
    <w:p w14:paraId="594EEC47">
      <w:pPr>
        <w:pStyle w:val="20"/>
        <w:spacing w:line="360" w:lineRule="auto"/>
        <w:rPr>
          <w:rFonts w:hint="eastAsia" w:ascii="宋体" w:hAnsi="宋体" w:cs="宋体"/>
          <w:sz w:val="24"/>
          <w:szCs w:val="24"/>
          <w:highlight w:val="none"/>
        </w:rPr>
      </w:pPr>
    </w:p>
    <w:p w14:paraId="6A69D0F9">
      <w:pPr>
        <w:pStyle w:val="20"/>
        <w:spacing w:line="360" w:lineRule="auto"/>
        <w:rPr>
          <w:rFonts w:hint="eastAsia" w:ascii="宋体" w:hAnsi="宋体" w:cs="宋体"/>
          <w:sz w:val="24"/>
          <w:szCs w:val="24"/>
          <w:highlight w:val="none"/>
        </w:rPr>
        <w:sectPr>
          <w:pgSz w:w="11906" w:h="16838"/>
          <w:pgMar w:top="1440" w:right="1800" w:bottom="1440" w:left="1800" w:header="851" w:footer="992" w:gutter="0"/>
          <w:pgNumType w:fmt="decimal"/>
          <w:cols w:space="720" w:num="1"/>
          <w:docGrid w:type="lines" w:linePitch="312" w:charSpace="0"/>
        </w:sectPr>
      </w:pPr>
    </w:p>
    <w:p w14:paraId="1FC18C16">
      <w:pPr>
        <w:pStyle w:val="4"/>
        <w:numPr>
          <w:ilvl w:val="0"/>
          <w:numId w:val="0"/>
        </w:numPr>
        <w:ind w:left="420"/>
        <w:rPr>
          <w:rFonts w:hint="eastAsia" w:ascii="宋体" w:hAnsi="宋体" w:eastAsia="宋体" w:cs="宋体"/>
          <w:sz w:val="28"/>
          <w:szCs w:val="28"/>
          <w:highlight w:val="none"/>
        </w:rPr>
      </w:pPr>
      <w:bookmarkStart w:id="175" w:name="_Toc25439"/>
      <w:bookmarkStart w:id="176" w:name="_Toc6832"/>
      <w:bookmarkStart w:id="177" w:name="_Toc497920546"/>
      <w:bookmarkStart w:id="178" w:name="_Toc2099"/>
      <w:r>
        <w:rPr>
          <w:rFonts w:hint="eastAsia" w:ascii="宋体" w:hAnsi="宋体" w:eastAsia="宋体" w:cs="宋体"/>
          <w:sz w:val="28"/>
          <w:szCs w:val="28"/>
          <w:highlight w:val="none"/>
        </w:rPr>
        <w:t>9.产品适用政府采购政策情况表</w:t>
      </w:r>
      <w:bookmarkEnd w:id="175"/>
      <w:bookmarkEnd w:id="176"/>
      <w:bookmarkEnd w:id="177"/>
      <w:bookmarkEnd w:id="178"/>
    </w:p>
    <w:tbl>
      <w:tblPr>
        <w:tblStyle w:val="82"/>
        <w:tblW w:w="0" w:type="auto"/>
        <w:jc w:val="center"/>
        <w:tblLayout w:type="fixed"/>
        <w:tblCellMar>
          <w:top w:w="0" w:type="dxa"/>
          <w:left w:w="108" w:type="dxa"/>
          <w:bottom w:w="0" w:type="dxa"/>
          <w:right w:w="108" w:type="dxa"/>
        </w:tblCellMar>
      </w:tblPr>
      <w:tblGrid>
        <w:gridCol w:w="950"/>
        <w:gridCol w:w="2495"/>
        <w:gridCol w:w="2025"/>
        <w:gridCol w:w="3040"/>
      </w:tblGrid>
      <w:tr w14:paraId="0C89ADAE">
        <w:tblPrEx>
          <w:tblCellMar>
            <w:top w:w="0" w:type="dxa"/>
            <w:left w:w="108" w:type="dxa"/>
            <w:bottom w:w="0" w:type="dxa"/>
            <w:right w:w="108" w:type="dxa"/>
          </w:tblCellMar>
        </w:tblPrEx>
        <w:trPr>
          <w:trHeight w:val="729" w:hRule="atLeast"/>
          <w:jc w:val="center"/>
        </w:trPr>
        <w:tc>
          <w:tcPr>
            <w:tcW w:w="950" w:type="dxa"/>
            <w:tcBorders>
              <w:top w:val="single" w:color="auto" w:sz="4" w:space="0"/>
              <w:left w:val="single" w:color="auto" w:sz="4" w:space="0"/>
              <w:bottom w:val="single" w:color="auto" w:sz="4" w:space="0"/>
              <w:right w:val="single" w:color="auto" w:sz="4" w:space="0"/>
            </w:tcBorders>
            <w:noWrap w:val="0"/>
            <w:vAlign w:val="center"/>
          </w:tcPr>
          <w:p w14:paraId="2E540653">
            <w:pPr>
              <w:pStyle w:val="335"/>
              <w:spacing w:before="156" w:after="156"/>
              <w:jc w:val="center"/>
              <w:rPr>
                <w:rFonts w:hint="eastAsia" w:ascii="宋体" w:hAnsi="宋体" w:cs="宋体"/>
                <w:sz w:val="24"/>
                <w:szCs w:val="24"/>
                <w:highlight w:val="none"/>
              </w:rPr>
            </w:pPr>
            <w:r>
              <w:rPr>
                <w:rFonts w:hint="eastAsia" w:ascii="宋体" w:hAnsi="宋体" w:cs="宋体"/>
                <w:sz w:val="24"/>
                <w:szCs w:val="24"/>
                <w:highlight w:val="none"/>
              </w:rPr>
              <w:t>中小企业扶持政策</w:t>
            </w:r>
          </w:p>
        </w:tc>
        <w:tc>
          <w:tcPr>
            <w:tcW w:w="7560" w:type="dxa"/>
            <w:gridSpan w:val="3"/>
            <w:tcBorders>
              <w:top w:val="single" w:color="auto" w:sz="4" w:space="0"/>
              <w:left w:val="nil"/>
              <w:bottom w:val="single" w:color="auto" w:sz="4" w:space="0"/>
              <w:right w:val="single" w:color="auto" w:sz="4" w:space="0"/>
            </w:tcBorders>
            <w:noWrap w:val="0"/>
            <w:vAlign w:val="center"/>
          </w:tcPr>
          <w:p w14:paraId="395156A4">
            <w:pPr>
              <w:pStyle w:val="335"/>
              <w:spacing w:before="40" w:after="40" w:line="360" w:lineRule="auto"/>
              <w:rPr>
                <w:rFonts w:hint="eastAsia" w:ascii="宋体" w:hAnsi="宋体" w:cs="宋体"/>
                <w:sz w:val="24"/>
                <w:szCs w:val="24"/>
                <w:highlight w:val="none"/>
              </w:rPr>
            </w:pPr>
            <w:r>
              <w:rPr>
                <w:rFonts w:hint="eastAsia" w:ascii="宋体" w:hAnsi="宋体" w:cs="宋体"/>
                <w:sz w:val="24"/>
                <w:szCs w:val="24"/>
                <w:highlight w:val="none"/>
              </w:rPr>
              <w:t>如属所列情形的，请在括号内打“√”：</w:t>
            </w:r>
          </w:p>
          <w:p w14:paraId="2F1BFC04">
            <w:pPr>
              <w:pStyle w:val="335"/>
              <w:spacing w:before="40" w:after="40" w:line="360" w:lineRule="auto"/>
              <w:rPr>
                <w:rFonts w:hint="eastAsia" w:ascii="宋体" w:hAnsi="宋体" w:cs="宋体"/>
                <w:sz w:val="24"/>
                <w:szCs w:val="24"/>
                <w:highlight w:val="none"/>
              </w:rPr>
            </w:pPr>
            <w:r>
              <w:rPr>
                <w:rFonts w:hint="eastAsia" w:ascii="宋体" w:hAnsi="宋体" w:cs="宋体"/>
                <w:sz w:val="24"/>
                <w:szCs w:val="24"/>
                <w:highlight w:val="none"/>
              </w:rPr>
              <w:t>（  ）提供小型、微型企业制造的产品。</w:t>
            </w:r>
          </w:p>
          <w:p w14:paraId="39AF3BFB">
            <w:pPr>
              <w:pStyle w:val="335"/>
              <w:spacing w:before="40" w:after="40" w:line="360" w:lineRule="auto"/>
              <w:rPr>
                <w:rFonts w:hint="eastAsia" w:ascii="宋体" w:hAnsi="宋体" w:cs="宋体"/>
                <w:sz w:val="24"/>
                <w:szCs w:val="24"/>
                <w:highlight w:val="none"/>
              </w:rPr>
            </w:pPr>
          </w:p>
        </w:tc>
      </w:tr>
      <w:tr w14:paraId="719112B2">
        <w:tblPrEx>
          <w:tblCellMar>
            <w:top w:w="0" w:type="dxa"/>
            <w:left w:w="108" w:type="dxa"/>
            <w:bottom w:w="0" w:type="dxa"/>
            <w:right w:w="108" w:type="dxa"/>
          </w:tblCellMar>
        </w:tblPrEx>
        <w:trPr>
          <w:trHeight w:val="729" w:hRule="atLeast"/>
          <w:jc w:val="center"/>
        </w:trPr>
        <w:tc>
          <w:tcPr>
            <w:tcW w:w="950" w:type="dxa"/>
            <w:vMerge w:val="restart"/>
            <w:tcBorders>
              <w:top w:val="nil"/>
              <w:left w:val="single" w:color="auto" w:sz="4" w:space="0"/>
              <w:bottom w:val="single" w:color="auto" w:sz="4" w:space="0"/>
              <w:right w:val="single" w:color="auto" w:sz="4" w:space="0"/>
            </w:tcBorders>
            <w:noWrap w:val="0"/>
            <w:vAlign w:val="center"/>
          </w:tcPr>
          <w:p w14:paraId="4065C4A4">
            <w:pPr>
              <w:pStyle w:val="335"/>
              <w:spacing w:before="156" w:after="156"/>
              <w:jc w:val="center"/>
              <w:rPr>
                <w:rFonts w:hint="eastAsia" w:ascii="宋体" w:hAnsi="宋体" w:cs="宋体"/>
                <w:sz w:val="24"/>
                <w:szCs w:val="24"/>
                <w:highlight w:val="none"/>
              </w:rPr>
            </w:pPr>
            <w:r>
              <w:rPr>
                <w:rFonts w:hint="eastAsia" w:ascii="宋体" w:hAnsi="宋体" w:cs="宋体"/>
                <w:sz w:val="24"/>
                <w:szCs w:val="24"/>
                <w:highlight w:val="none"/>
              </w:rPr>
              <w:t>节能产品</w:t>
            </w:r>
          </w:p>
        </w:tc>
        <w:tc>
          <w:tcPr>
            <w:tcW w:w="2495" w:type="dxa"/>
            <w:tcBorders>
              <w:top w:val="single" w:color="auto" w:sz="4" w:space="0"/>
              <w:left w:val="nil"/>
              <w:bottom w:val="single" w:color="auto" w:sz="4" w:space="0"/>
              <w:right w:val="single" w:color="auto" w:sz="4" w:space="0"/>
            </w:tcBorders>
            <w:noWrap w:val="0"/>
            <w:vAlign w:val="center"/>
          </w:tcPr>
          <w:p w14:paraId="32479E30">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产品名称</w:t>
            </w:r>
          </w:p>
          <w:p w14:paraId="2E9EACAE">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（品牌、型号）</w:t>
            </w:r>
          </w:p>
        </w:tc>
        <w:tc>
          <w:tcPr>
            <w:tcW w:w="2025" w:type="dxa"/>
            <w:tcBorders>
              <w:top w:val="single" w:color="auto" w:sz="4" w:space="0"/>
              <w:left w:val="nil"/>
              <w:bottom w:val="single" w:color="auto" w:sz="4" w:space="0"/>
              <w:right w:val="single" w:color="auto" w:sz="4" w:space="0"/>
            </w:tcBorders>
            <w:noWrap w:val="0"/>
            <w:vAlign w:val="center"/>
          </w:tcPr>
          <w:p w14:paraId="6AEFE013">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制造商</w:t>
            </w:r>
          </w:p>
        </w:tc>
        <w:tc>
          <w:tcPr>
            <w:tcW w:w="3040" w:type="dxa"/>
            <w:tcBorders>
              <w:top w:val="single" w:color="auto" w:sz="4" w:space="0"/>
              <w:left w:val="nil"/>
              <w:bottom w:val="single" w:color="auto" w:sz="4" w:space="0"/>
              <w:right w:val="single" w:color="auto" w:sz="4" w:space="0"/>
            </w:tcBorders>
            <w:noWrap w:val="0"/>
            <w:vAlign w:val="center"/>
          </w:tcPr>
          <w:p w14:paraId="592E40D3">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认证证书编号</w:t>
            </w:r>
          </w:p>
        </w:tc>
      </w:tr>
      <w:tr w14:paraId="2F53BDCA">
        <w:tblPrEx>
          <w:tblCellMar>
            <w:top w:w="0" w:type="dxa"/>
            <w:left w:w="108" w:type="dxa"/>
            <w:bottom w:w="0" w:type="dxa"/>
            <w:right w:w="108" w:type="dxa"/>
          </w:tblCellMar>
        </w:tblPrEx>
        <w:trPr>
          <w:trHeight w:val="186" w:hRule="atLeast"/>
          <w:jc w:val="center"/>
        </w:trPr>
        <w:tc>
          <w:tcPr>
            <w:tcW w:w="950" w:type="dxa"/>
            <w:vMerge w:val="continue"/>
            <w:tcBorders>
              <w:top w:val="nil"/>
              <w:left w:val="single" w:color="auto" w:sz="4" w:space="0"/>
              <w:bottom w:val="single" w:color="auto" w:sz="4" w:space="0"/>
              <w:right w:val="single" w:color="auto" w:sz="4" w:space="0"/>
            </w:tcBorders>
            <w:noWrap w:val="0"/>
            <w:vAlign w:val="center"/>
          </w:tcPr>
          <w:p w14:paraId="0EB2BD1B">
            <w:pPr>
              <w:widowControl/>
              <w:jc w:val="left"/>
              <w:rPr>
                <w:rFonts w:hint="eastAsia" w:ascii="宋体" w:hAnsi="宋体" w:cs="宋体"/>
                <w:sz w:val="24"/>
                <w:highlight w:val="none"/>
              </w:rPr>
            </w:pPr>
          </w:p>
        </w:tc>
        <w:tc>
          <w:tcPr>
            <w:tcW w:w="2495" w:type="dxa"/>
            <w:tcBorders>
              <w:top w:val="single" w:color="auto" w:sz="4" w:space="0"/>
              <w:left w:val="nil"/>
              <w:bottom w:val="single" w:color="auto" w:sz="4" w:space="0"/>
              <w:right w:val="single" w:color="auto" w:sz="4" w:space="0"/>
            </w:tcBorders>
            <w:noWrap w:val="0"/>
            <w:vAlign w:val="center"/>
          </w:tcPr>
          <w:p w14:paraId="2A3EDA16">
            <w:pPr>
              <w:pStyle w:val="335"/>
              <w:spacing w:before="156" w:after="156"/>
              <w:jc w:val="center"/>
              <w:rPr>
                <w:rFonts w:hint="eastAsia" w:ascii="宋体" w:hAnsi="宋体" w:cs="宋体"/>
                <w:sz w:val="24"/>
                <w:szCs w:val="24"/>
                <w:highlight w:val="none"/>
              </w:rPr>
            </w:pPr>
          </w:p>
        </w:tc>
        <w:tc>
          <w:tcPr>
            <w:tcW w:w="2025" w:type="dxa"/>
            <w:tcBorders>
              <w:top w:val="single" w:color="auto" w:sz="4" w:space="0"/>
              <w:left w:val="nil"/>
              <w:bottom w:val="single" w:color="auto" w:sz="4" w:space="0"/>
              <w:right w:val="single" w:color="auto" w:sz="4" w:space="0"/>
            </w:tcBorders>
            <w:noWrap w:val="0"/>
            <w:vAlign w:val="center"/>
          </w:tcPr>
          <w:p w14:paraId="0C34601A">
            <w:pPr>
              <w:pStyle w:val="335"/>
              <w:spacing w:before="156" w:after="156"/>
              <w:jc w:val="center"/>
              <w:rPr>
                <w:rFonts w:hint="eastAsia" w:ascii="宋体" w:hAnsi="宋体" w:cs="宋体"/>
                <w:sz w:val="24"/>
                <w:szCs w:val="24"/>
                <w:highlight w:val="none"/>
              </w:rPr>
            </w:pPr>
          </w:p>
        </w:tc>
        <w:tc>
          <w:tcPr>
            <w:tcW w:w="3040" w:type="dxa"/>
            <w:tcBorders>
              <w:top w:val="single" w:color="auto" w:sz="4" w:space="0"/>
              <w:left w:val="nil"/>
              <w:bottom w:val="single" w:color="auto" w:sz="4" w:space="0"/>
              <w:right w:val="single" w:color="auto" w:sz="4" w:space="0"/>
            </w:tcBorders>
            <w:noWrap w:val="0"/>
            <w:vAlign w:val="center"/>
          </w:tcPr>
          <w:p w14:paraId="28A6C79C">
            <w:pPr>
              <w:pStyle w:val="335"/>
              <w:spacing w:before="40" w:after="40"/>
              <w:jc w:val="center"/>
              <w:rPr>
                <w:rFonts w:hint="eastAsia" w:ascii="宋体" w:hAnsi="宋体" w:eastAsia="宋体" w:cs="宋体"/>
                <w:sz w:val="24"/>
                <w:szCs w:val="24"/>
                <w:highlight w:val="none"/>
              </w:rPr>
            </w:pPr>
          </w:p>
        </w:tc>
      </w:tr>
      <w:tr w14:paraId="64A45892">
        <w:tblPrEx>
          <w:tblCellMar>
            <w:top w:w="0" w:type="dxa"/>
            <w:left w:w="108" w:type="dxa"/>
            <w:bottom w:w="0" w:type="dxa"/>
            <w:right w:w="108" w:type="dxa"/>
          </w:tblCellMar>
        </w:tblPrEx>
        <w:trPr>
          <w:trHeight w:val="224" w:hRule="atLeast"/>
          <w:jc w:val="center"/>
        </w:trPr>
        <w:tc>
          <w:tcPr>
            <w:tcW w:w="950" w:type="dxa"/>
            <w:vMerge w:val="continue"/>
            <w:tcBorders>
              <w:top w:val="nil"/>
              <w:left w:val="single" w:color="auto" w:sz="4" w:space="0"/>
              <w:bottom w:val="single" w:color="auto" w:sz="4" w:space="0"/>
              <w:right w:val="single" w:color="auto" w:sz="4" w:space="0"/>
            </w:tcBorders>
            <w:noWrap w:val="0"/>
            <w:vAlign w:val="center"/>
          </w:tcPr>
          <w:p w14:paraId="6E672146">
            <w:pPr>
              <w:widowControl/>
              <w:jc w:val="left"/>
              <w:rPr>
                <w:rFonts w:hint="eastAsia" w:ascii="宋体" w:hAnsi="宋体" w:cs="宋体"/>
                <w:sz w:val="24"/>
                <w:highlight w:val="none"/>
              </w:rPr>
            </w:pPr>
          </w:p>
        </w:tc>
        <w:tc>
          <w:tcPr>
            <w:tcW w:w="2495" w:type="dxa"/>
            <w:tcBorders>
              <w:top w:val="single" w:color="auto" w:sz="4" w:space="0"/>
              <w:left w:val="nil"/>
              <w:bottom w:val="single" w:color="auto" w:sz="4" w:space="0"/>
              <w:right w:val="single" w:color="auto" w:sz="4" w:space="0"/>
            </w:tcBorders>
            <w:noWrap w:val="0"/>
            <w:vAlign w:val="center"/>
          </w:tcPr>
          <w:p w14:paraId="6DF4A2AF">
            <w:pPr>
              <w:pStyle w:val="335"/>
              <w:spacing w:before="156" w:after="156"/>
              <w:jc w:val="center"/>
              <w:rPr>
                <w:rFonts w:hint="eastAsia" w:ascii="宋体" w:hAnsi="宋体" w:cs="宋体"/>
                <w:sz w:val="24"/>
                <w:szCs w:val="24"/>
                <w:highlight w:val="none"/>
              </w:rPr>
            </w:pPr>
          </w:p>
        </w:tc>
        <w:tc>
          <w:tcPr>
            <w:tcW w:w="2025" w:type="dxa"/>
            <w:tcBorders>
              <w:top w:val="single" w:color="auto" w:sz="4" w:space="0"/>
              <w:left w:val="nil"/>
              <w:bottom w:val="single" w:color="auto" w:sz="4" w:space="0"/>
              <w:right w:val="single" w:color="auto" w:sz="4" w:space="0"/>
            </w:tcBorders>
            <w:noWrap w:val="0"/>
            <w:vAlign w:val="center"/>
          </w:tcPr>
          <w:p w14:paraId="2E110D54">
            <w:pPr>
              <w:pStyle w:val="335"/>
              <w:spacing w:before="156" w:after="156"/>
              <w:jc w:val="center"/>
              <w:rPr>
                <w:rFonts w:hint="eastAsia" w:ascii="宋体" w:hAnsi="宋体" w:cs="宋体"/>
                <w:sz w:val="24"/>
                <w:szCs w:val="24"/>
                <w:highlight w:val="none"/>
              </w:rPr>
            </w:pPr>
          </w:p>
        </w:tc>
        <w:tc>
          <w:tcPr>
            <w:tcW w:w="3040" w:type="dxa"/>
            <w:tcBorders>
              <w:top w:val="single" w:color="auto" w:sz="4" w:space="0"/>
              <w:left w:val="nil"/>
              <w:bottom w:val="single" w:color="auto" w:sz="4" w:space="0"/>
              <w:right w:val="single" w:color="auto" w:sz="4" w:space="0"/>
            </w:tcBorders>
            <w:noWrap w:val="0"/>
            <w:vAlign w:val="center"/>
          </w:tcPr>
          <w:p w14:paraId="51956293">
            <w:pPr>
              <w:pStyle w:val="335"/>
              <w:spacing w:before="156" w:after="156"/>
              <w:jc w:val="center"/>
              <w:rPr>
                <w:rFonts w:hint="eastAsia" w:ascii="宋体" w:hAnsi="宋体" w:cs="宋体"/>
                <w:sz w:val="24"/>
                <w:szCs w:val="24"/>
                <w:highlight w:val="none"/>
              </w:rPr>
            </w:pPr>
          </w:p>
        </w:tc>
      </w:tr>
      <w:tr w14:paraId="19982AA0">
        <w:tblPrEx>
          <w:tblCellMar>
            <w:top w:w="0" w:type="dxa"/>
            <w:left w:w="108" w:type="dxa"/>
            <w:bottom w:w="0" w:type="dxa"/>
            <w:right w:w="108" w:type="dxa"/>
          </w:tblCellMar>
        </w:tblPrEx>
        <w:trPr>
          <w:trHeight w:val="490" w:hRule="atLeast"/>
          <w:jc w:val="center"/>
        </w:trPr>
        <w:tc>
          <w:tcPr>
            <w:tcW w:w="950" w:type="dxa"/>
            <w:vMerge w:val="restart"/>
            <w:tcBorders>
              <w:top w:val="nil"/>
              <w:left w:val="single" w:color="auto" w:sz="4" w:space="0"/>
              <w:bottom w:val="single" w:color="auto" w:sz="4" w:space="0"/>
              <w:right w:val="single" w:color="auto" w:sz="4" w:space="0"/>
            </w:tcBorders>
            <w:noWrap w:val="0"/>
            <w:vAlign w:val="center"/>
          </w:tcPr>
          <w:p w14:paraId="6910BF19">
            <w:pPr>
              <w:pStyle w:val="335"/>
              <w:spacing w:before="156" w:after="156"/>
              <w:jc w:val="center"/>
              <w:rPr>
                <w:rFonts w:hint="eastAsia" w:ascii="宋体" w:hAnsi="宋体" w:cs="宋体"/>
                <w:sz w:val="24"/>
                <w:szCs w:val="24"/>
                <w:highlight w:val="none"/>
              </w:rPr>
            </w:pPr>
            <w:r>
              <w:rPr>
                <w:rFonts w:hint="eastAsia" w:ascii="宋体" w:hAnsi="宋体" w:cs="宋体"/>
                <w:sz w:val="24"/>
                <w:szCs w:val="24"/>
                <w:highlight w:val="none"/>
              </w:rPr>
              <w:t>环境标志产品</w:t>
            </w:r>
          </w:p>
        </w:tc>
        <w:tc>
          <w:tcPr>
            <w:tcW w:w="2495" w:type="dxa"/>
            <w:tcBorders>
              <w:top w:val="single" w:color="auto" w:sz="4" w:space="0"/>
              <w:left w:val="nil"/>
              <w:bottom w:val="single" w:color="auto" w:sz="4" w:space="0"/>
              <w:right w:val="single" w:color="auto" w:sz="4" w:space="0"/>
            </w:tcBorders>
            <w:noWrap w:val="0"/>
            <w:vAlign w:val="center"/>
          </w:tcPr>
          <w:p w14:paraId="421B050D">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产品名称</w:t>
            </w:r>
          </w:p>
          <w:p w14:paraId="014B2CF1">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（品牌、型号）</w:t>
            </w:r>
          </w:p>
        </w:tc>
        <w:tc>
          <w:tcPr>
            <w:tcW w:w="2025" w:type="dxa"/>
            <w:tcBorders>
              <w:top w:val="single" w:color="auto" w:sz="4" w:space="0"/>
              <w:left w:val="nil"/>
              <w:bottom w:val="single" w:color="auto" w:sz="4" w:space="0"/>
              <w:right w:val="single" w:color="auto" w:sz="4" w:space="0"/>
            </w:tcBorders>
            <w:noWrap w:val="0"/>
            <w:vAlign w:val="center"/>
          </w:tcPr>
          <w:p w14:paraId="753E6146">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制造商</w:t>
            </w:r>
          </w:p>
        </w:tc>
        <w:tc>
          <w:tcPr>
            <w:tcW w:w="3040" w:type="dxa"/>
            <w:tcBorders>
              <w:top w:val="single" w:color="auto" w:sz="4" w:space="0"/>
              <w:left w:val="nil"/>
              <w:bottom w:val="single" w:color="auto" w:sz="4" w:space="0"/>
              <w:right w:val="single" w:color="auto" w:sz="4" w:space="0"/>
            </w:tcBorders>
            <w:noWrap w:val="0"/>
            <w:vAlign w:val="center"/>
          </w:tcPr>
          <w:p w14:paraId="7691992D">
            <w:pPr>
              <w:pStyle w:val="335"/>
              <w:spacing w:before="40" w:after="40"/>
              <w:jc w:val="center"/>
              <w:rPr>
                <w:rFonts w:hint="eastAsia" w:ascii="宋体" w:hAnsi="宋体" w:cs="宋体"/>
                <w:sz w:val="24"/>
                <w:szCs w:val="24"/>
                <w:highlight w:val="none"/>
              </w:rPr>
            </w:pPr>
            <w:r>
              <w:rPr>
                <w:rFonts w:hint="eastAsia" w:ascii="宋体" w:hAnsi="宋体" w:cs="宋体"/>
                <w:sz w:val="24"/>
                <w:szCs w:val="24"/>
                <w:highlight w:val="none"/>
              </w:rPr>
              <w:t>认证证书编号</w:t>
            </w:r>
          </w:p>
        </w:tc>
      </w:tr>
      <w:tr w14:paraId="3258DEEF">
        <w:tblPrEx>
          <w:tblCellMar>
            <w:top w:w="0" w:type="dxa"/>
            <w:left w:w="108" w:type="dxa"/>
            <w:bottom w:w="0" w:type="dxa"/>
            <w:right w:w="108" w:type="dxa"/>
          </w:tblCellMar>
        </w:tblPrEx>
        <w:trPr>
          <w:trHeight w:val="567" w:hRule="atLeast"/>
          <w:jc w:val="center"/>
        </w:trPr>
        <w:tc>
          <w:tcPr>
            <w:tcW w:w="950" w:type="dxa"/>
            <w:vMerge w:val="continue"/>
            <w:tcBorders>
              <w:top w:val="nil"/>
              <w:left w:val="single" w:color="auto" w:sz="4" w:space="0"/>
              <w:bottom w:val="single" w:color="auto" w:sz="4" w:space="0"/>
              <w:right w:val="single" w:color="auto" w:sz="4" w:space="0"/>
            </w:tcBorders>
            <w:noWrap w:val="0"/>
            <w:vAlign w:val="center"/>
          </w:tcPr>
          <w:p w14:paraId="0F2B54E4">
            <w:pPr>
              <w:widowControl/>
              <w:jc w:val="left"/>
              <w:rPr>
                <w:rFonts w:hint="eastAsia" w:ascii="宋体" w:hAnsi="宋体" w:cs="宋体"/>
                <w:sz w:val="24"/>
                <w:highlight w:val="none"/>
              </w:rPr>
            </w:pPr>
          </w:p>
        </w:tc>
        <w:tc>
          <w:tcPr>
            <w:tcW w:w="2495" w:type="dxa"/>
            <w:tcBorders>
              <w:top w:val="single" w:color="auto" w:sz="4" w:space="0"/>
              <w:left w:val="nil"/>
              <w:bottom w:val="single" w:color="auto" w:sz="4" w:space="0"/>
              <w:right w:val="single" w:color="auto" w:sz="4" w:space="0"/>
            </w:tcBorders>
            <w:noWrap w:val="0"/>
            <w:vAlign w:val="center"/>
          </w:tcPr>
          <w:p w14:paraId="579108EB">
            <w:pPr>
              <w:pStyle w:val="335"/>
              <w:spacing w:before="156" w:after="156"/>
              <w:jc w:val="center"/>
              <w:rPr>
                <w:rFonts w:hint="eastAsia" w:ascii="宋体" w:hAnsi="宋体" w:cs="宋体"/>
                <w:sz w:val="24"/>
                <w:szCs w:val="24"/>
                <w:highlight w:val="none"/>
              </w:rPr>
            </w:pPr>
          </w:p>
        </w:tc>
        <w:tc>
          <w:tcPr>
            <w:tcW w:w="2025" w:type="dxa"/>
            <w:tcBorders>
              <w:top w:val="single" w:color="auto" w:sz="4" w:space="0"/>
              <w:left w:val="nil"/>
              <w:bottom w:val="single" w:color="auto" w:sz="4" w:space="0"/>
              <w:right w:val="single" w:color="auto" w:sz="4" w:space="0"/>
            </w:tcBorders>
            <w:noWrap w:val="0"/>
            <w:vAlign w:val="center"/>
          </w:tcPr>
          <w:p w14:paraId="3E06D4F4">
            <w:pPr>
              <w:pStyle w:val="335"/>
              <w:spacing w:before="156" w:after="156"/>
              <w:jc w:val="center"/>
              <w:rPr>
                <w:rFonts w:hint="eastAsia" w:ascii="宋体" w:hAnsi="宋体" w:cs="宋体"/>
                <w:sz w:val="24"/>
                <w:szCs w:val="24"/>
                <w:highlight w:val="none"/>
              </w:rPr>
            </w:pPr>
          </w:p>
        </w:tc>
        <w:tc>
          <w:tcPr>
            <w:tcW w:w="3040" w:type="dxa"/>
            <w:tcBorders>
              <w:top w:val="single" w:color="auto" w:sz="4" w:space="0"/>
              <w:left w:val="nil"/>
              <w:bottom w:val="single" w:color="auto" w:sz="4" w:space="0"/>
              <w:right w:val="single" w:color="auto" w:sz="4" w:space="0"/>
            </w:tcBorders>
            <w:noWrap w:val="0"/>
            <w:vAlign w:val="center"/>
          </w:tcPr>
          <w:p w14:paraId="44A35D89">
            <w:pPr>
              <w:pStyle w:val="335"/>
              <w:spacing w:before="156" w:after="156"/>
              <w:jc w:val="center"/>
              <w:rPr>
                <w:rFonts w:hint="eastAsia" w:ascii="宋体" w:hAnsi="宋体" w:cs="宋体"/>
                <w:sz w:val="24"/>
                <w:szCs w:val="24"/>
                <w:highlight w:val="none"/>
              </w:rPr>
            </w:pPr>
          </w:p>
        </w:tc>
      </w:tr>
      <w:tr w14:paraId="5F4FB402">
        <w:tblPrEx>
          <w:tblCellMar>
            <w:top w:w="0" w:type="dxa"/>
            <w:left w:w="108" w:type="dxa"/>
            <w:bottom w:w="0" w:type="dxa"/>
            <w:right w:w="108" w:type="dxa"/>
          </w:tblCellMar>
        </w:tblPrEx>
        <w:trPr>
          <w:trHeight w:val="567" w:hRule="atLeast"/>
          <w:jc w:val="center"/>
        </w:trPr>
        <w:tc>
          <w:tcPr>
            <w:tcW w:w="950" w:type="dxa"/>
            <w:vMerge w:val="continue"/>
            <w:tcBorders>
              <w:top w:val="nil"/>
              <w:left w:val="single" w:color="auto" w:sz="4" w:space="0"/>
              <w:bottom w:val="single" w:color="auto" w:sz="4" w:space="0"/>
              <w:right w:val="single" w:color="auto" w:sz="4" w:space="0"/>
            </w:tcBorders>
            <w:noWrap w:val="0"/>
            <w:vAlign w:val="center"/>
          </w:tcPr>
          <w:p w14:paraId="7FFC81B0">
            <w:pPr>
              <w:widowControl/>
              <w:jc w:val="left"/>
              <w:rPr>
                <w:rFonts w:hint="eastAsia" w:ascii="宋体" w:hAnsi="宋体" w:cs="宋体"/>
                <w:sz w:val="24"/>
                <w:highlight w:val="none"/>
              </w:rPr>
            </w:pPr>
          </w:p>
        </w:tc>
        <w:tc>
          <w:tcPr>
            <w:tcW w:w="2495" w:type="dxa"/>
            <w:tcBorders>
              <w:top w:val="single" w:color="auto" w:sz="4" w:space="0"/>
              <w:left w:val="nil"/>
              <w:bottom w:val="single" w:color="auto" w:sz="4" w:space="0"/>
              <w:right w:val="single" w:color="auto" w:sz="4" w:space="0"/>
            </w:tcBorders>
            <w:noWrap w:val="0"/>
            <w:vAlign w:val="center"/>
          </w:tcPr>
          <w:p w14:paraId="2AB83182">
            <w:pPr>
              <w:pStyle w:val="335"/>
              <w:spacing w:before="156" w:after="156"/>
              <w:jc w:val="center"/>
              <w:rPr>
                <w:rFonts w:hint="eastAsia" w:ascii="宋体" w:hAnsi="宋体" w:cs="宋体"/>
                <w:sz w:val="24"/>
                <w:szCs w:val="24"/>
                <w:highlight w:val="none"/>
              </w:rPr>
            </w:pPr>
          </w:p>
        </w:tc>
        <w:tc>
          <w:tcPr>
            <w:tcW w:w="2025" w:type="dxa"/>
            <w:tcBorders>
              <w:top w:val="single" w:color="auto" w:sz="4" w:space="0"/>
              <w:left w:val="nil"/>
              <w:bottom w:val="single" w:color="auto" w:sz="4" w:space="0"/>
              <w:right w:val="single" w:color="auto" w:sz="4" w:space="0"/>
            </w:tcBorders>
            <w:noWrap w:val="0"/>
            <w:vAlign w:val="center"/>
          </w:tcPr>
          <w:p w14:paraId="141A52A2">
            <w:pPr>
              <w:pStyle w:val="335"/>
              <w:spacing w:before="156" w:after="156"/>
              <w:jc w:val="center"/>
              <w:rPr>
                <w:rFonts w:hint="eastAsia" w:ascii="宋体" w:hAnsi="宋体" w:cs="宋体"/>
                <w:sz w:val="24"/>
                <w:szCs w:val="24"/>
                <w:highlight w:val="none"/>
              </w:rPr>
            </w:pPr>
          </w:p>
        </w:tc>
        <w:tc>
          <w:tcPr>
            <w:tcW w:w="3040" w:type="dxa"/>
            <w:tcBorders>
              <w:top w:val="single" w:color="auto" w:sz="4" w:space="0"/>
              <w:left w:val="nil"/>
              <w:bottom w:val="single" w:color="auto" w:sz="4" w:space="0"/>
              <w:right w:val="single" w:color="auto" w:sz="4" w:space="0"/>
            </w:tcBorders>
            <w:noWrap w:val="0"/>
            <w:vAlign w:val="center"/>
          </w:tcPr>
          <w:p w14:paraId="459DD8A3">
            <w:pPr>
              <w:pStyle w:val="335"/>
              <w:spacing w:before="156" w:after="156"/>
              <w:jc w:val="center"/>
              <w:rPr>
                <w:rFonts w:hint="eastAsia" w:ascii="宋体" w:hAnsi="宋体" w:cs="宋体"/>
                <w:sz w:val="24"/>
                <w:szCs w:val="24"/>
                <w:highlight w:val="none"/>
              </w:rPr>
            </w:pPr>
          </w:p>
        </w:tc>
      </w:tr>
    </w:tbl>
    <w:p w14:paraId="0FEA19AA">
      <w:pPr>
        <w:pStyle w:val="335"/>
        <w:widowControl/>
        <w:spacing w:line="360" w:lineRule="auto"/>
        <w:ind w:right="84" w:rightChars="40"/>
        <w:rPr>
          <w:rFonts w:hint="eastAsia" w:ascii="宋体" w:hAnsi="宋体" w:cs="宋体"/>
          <w:sz w:val="24"/>
          <w:szCs w:val="24"/>
          <w:highlight w:val="none"/>
        </w:rPr>
      </w:pPr>
      <w:r>
        <w:rPr>
          <w:rFonts w:hint="eastAsia" w:ascii="宋体" w:hAnsi="宋体" w:cs="宋体"/>
          <w:sz w:val="24"/>
          <w:szCs w:val="24"/>
          <w:highlight w:val="none"/>
        </w:rPr>
        <w:t>1.请供应商正确填写本表，所填内容将作为评审的依据。其内容或数据应与对应的证明资料相符。</w:t>
      </w:r>
    </w:p>
    <w:p w14:paraId="2AEB2690">
      <w:pPr>
        <w:pStyle w:val="335"/>
        <w:widowControl/>
        <w:spacing w:line="360" w:lineRule="auto"/>
        <w:ind w:right="84" w:rightChars="40"/>
        <w:rPr>
          <w:rFonts w:hint="eastAsia" w:ascii="宋体" w:hAnsi="宋体" w:cs="宋体"/>
          <w:sz w:val="24"/>
          <w:szCs w:val="24"/>
          <w:highlight w:val="none"/>
        </w:rPr>
      </w:pPr>
      <w:r>
        <w:rPr>
          <w:rFonts w:hint="eastAsia" w:ascii="宋体" w:hAnsi="宋体" w:cs="宋体"/>
          <w:sz w:val="24"/>
          <w:szCs w:val="24"/>
          <w:highlight w:val="none"/>
        </w:rPr>
        <w:t>2.没有相关产品可不填此表。</w:t>
      </w:r>
    </w:p>
    <w:p w14:paraId="72B8D6C3">
      <w:pPr>
        <w:pStyle w:val="64"/>
        <w:tabs>
          <w:tab w:val="left" w:pos="720"/>
        </w:tabs>
        <w:spacing w:line="360" w:lineRule="auto"/>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2"/>
          <w:sz w:val="24"/>
          <w:szCs w:val="24"/>
          <w:highlight w:val="none"/>
          <w:lang w:val="en-US" w:eastAsia="zh-CN" w:bidi="ar-SA"/>
        </w:rPr>
        <w:t>3.如供应商所投产品属强制节能产品，而供应商未附证明材料的，其投标文件做无效标处理。采购人拟采购的产品中如有属于“节能产品清单”中标记“★”产品的（★A02010104 台式计算机，★A02010105 便携式计算机，★A02010107 平板式微型计算机，★ A0201060102 激光打印机，★A0201060104 针式打印机，★A0201060401 液晶显示器，★A02052301 制冷压缩机，★A02052305 空调机组，★A02052309 专用制冷 空调设备，★A020609 镇流器，★A0206180203 空调机，★电热水器，★普通照明用双端荧光灯，★A020910 电视设备，★A020911 视频设备，★A060805 便器，★ A060806 水嘴）为政府强制采购产品，供应商必须提供经过“机构名录”中的认证机构出具的“节能产品 认证证书”，未提供证书的或证书不在有效期内的按无效响应处理。</w:t>
      </w:r>
    </w:p>
    <w:p w14:paraId="2AE276FD">
      <w:pPr>
        <w:pStyle w:val="335"/>
        <w:widowControl/>
        <w:spacing w:line="360" w:lineRule="auto"/>
        <w:ind w:right="84" w:rightChars="40"/>
        <w:rPr>
          <w:rFonts w:hint="eastAsia" w:ascii="宋体" w:hAnsi="宋体" w:cs="宋体"/>
          <w:sz w:val="24"/>
          <w:szCs w:val="24"/>
          <w:highlight w:val="none"/>
        </w:rPr>
      </w:pPr>
    </w:p>
    <w:p w14:paraId="76AA3912">
      <w:pPr>
        <w:widowControl/>
        <w:spacing w:before="150" w:after="150" w:line="500" w:lineRule="exact"/>
        <w:ind w:left="150" w:right="150"/>
        <w:jc w:val="center"/>
        <w:rPr>
          <w:rFonts w:ascii="宋体" w:hAnsi="宋体" w:cs="宋体"/>
          <w:b/>
          <w:color w:val="auto"/>
          <w:szCs w:val="21"/>
          <w:highlight w:val="none"/>
        </w:rPr>
      </w:pPr>
      <w:r>
        <w:rPr>
          <w:rFonts w:hint="eastAsia" w:ascii="宋体" w:hAnsi="宋体" w:cs="宋体"/>
          <w:b/>
          <w:color w:val="auto"/>
          <w:szCs w:val="21"/>
          <w:highlight w:val="none"/>
          <w:shd w:val="clear" w:color="auto" w:fill="FFFFFF"/>
        </w:rPr>
        <w:t>财政部 发展改革委 生态环境部 市场监管总局</w:t>
      </w:r>
    </w:p>
    <w:p w14:paraId="06BEA4F4">
      <w:pPr>
        <w:widowControl/>
        <w:spacing w:before="150" w:after="150" w:line="500" w:lineRule="exact"/>
        <w:ind w:left="150" w:right="150"/>
        <w:jc w:val="center"/>
        <w:rPr>
          <w:rFonts w:ascii="宋体" w:hAnsi="宋体" w:cs="宋体"/>
          <w:b/>
          <w:color w:val="auto"/>
          <w:szCs w:val="21"/>
          <w:highlight w:val="none"/>
        </w:rPr>
      </w:pPr>
      <w:r>
        <w:rPr>
          <w:rFonts w:hint="eastAsia" w:ascii="宋体" w:hAnsi="宋体" w:cs="宋体"/>
          <w:b/>
          <w:color w:val="auto"/>
          <w:szCs w:val="21"/>
          <w:highlight w:val="none"/>
          <w:shd w:val="clear" w:color="auto" w:fill="FFFFFF"/>
        </w:rPr>
        <w:t>关于调整优化节能产品、环境标志产品政府采购执行机制的通知</w:t>
      </w:r>
    </w:p>
    <w:p w14:paraId="37777CB6">
      <w:pPr>
        <w:widowControl/>
        <w:spacing w:line="500" w:lineRule="exact"/>
        <w:ind w:firstLine="4028" w:firstLineChars="1900"/>
        <w:rPr>
          <w:color w:val="auto"/>
          <w:szCs w:val="21"/>
          <w:highlight w:val="none"/>
        </w:rPr>
      </w:pPr>
      <w:r>
        <w:rPr>
          <w:rFonts w:hint="eastAsia"/>
          <w:color w:val="auto"/>
          <w:szCs w:val="21"/>
          <w:highlight w:val="none"/>
          <w:shd w:val="clear" w:color="auto" w:fill="FFFFFF"/>
        </w:rPr>
        <w:t>财库〔2019〕9号</w:t>
      </w:r>
    </w:p>
    <w:p w14:paraId="32152960">
      <w:pPr>
        <w:pStyle w:val="75"/>
        <w:spacing w:beforeAutospacing="0" w:afterAutospacing="0" w:line="500" w:lineRule="exact"/>
        <w:jc w:val="both"/>
        <w:rPr>
          <w:rFonts w:cs="宋体"/>
          <w:color w:val="auto"/>
          <w:sz w:val="21"/>
          <w:szCs w:val="21"/>
          <w:highlight w:val="none"/>
        </w:rPr>
      </w:pPr>
      <w:r>
        <w:rPr>
          <w:rFonts w:hint="eastAsia" w:cs="宋体"/>
          <w:color w:val="auto"/>
          <w:sz w:val="21"/>
          <w:szCs w:val="21"/>
          <w:highlight w:val="none"/>
          <w:shd w:val="clear" w:color="auto" w:fill="FFFFFF"/>
        </w:rPr>
        <w:t>　　</w:t>
      </w:r>
    </w:p>
    <w:p w14:paraId="3D46864E">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有关中央预算单位，各省、自治区、直辖市、计划单列市财政厅（局）、发展改革委（经信委、工信委、工信厅、经信局）、生态环境厅（局）、市场监管部门，新疆生产建设兵团财政局、发展改革委、工信委、环境保护局、市场监管局：</w:t>
      </w:r>
    </w:p>
    <w:p w14:paraId="6726BD6D">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为落实“放管服”改革要求，完善政府绿色采购政策，简化节能（节水）产品、环境标志产品政府采购执行机制，优化供应商参与政府采购活动的市场环境，现就节能产品、环境标志产品政府采购有关事项通知如下：</w:t>
      </w:r>
    </w:p>
    <w:p w14:paraId="787F338A">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1961D622">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二、依据品目清单和认证证书实施政府优先采购和强制采购。采购人拟采购的产品属于品目清单范围的，采购人及其委托的招标代理机构应当依据国家确定的认证机构出具的、处于有效期之内的节能产品、环境标志产品认证证书，对获得证书的产品实施政府优先采购或强制采购。</w:t>
      </w:r>
    </w:p>
    <w:p w14:paraId="5CED92FC">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69344ACC">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w:t>
      </w:r>
      <w:r>
        <w:rPr>
          <w:rFonts w:hint="eastAsia" w:ascii="仿宋" w:hAnsi="仿宋" w:eastAsia="仿宋" w:cs="仿宋"/>
          <w:color w:val="auto"/>
          <w:sz w:val="21"/>
          <w:szCs w:val="21"/>
          <w:highlight w:val="none"/>
          <w:shd w:val="clear" w:color="auto" w:fill="FFFFFF"/>
          <w:lang w:eastAsia="zh-CN"/>
        </w:rPr>
        <w:t>、</w:t>
      </w:r>
      <w:r>
        <w:rPr>
          <w:rFonts w:hint="eastAsia" w:ascii="仿宋" w:hAnsi="仿宋" w:eastAsia="仿宋" w:cs="仿宋"/>
          <w:color w:val="auto"/>
          <w:sz w:val="21"/>
          <w:szCs w:val="21"/>
          <w:highlight w:val="none"/>
          <w:shd w:val="clear" w:color="auto" w:fill="FFFFFF"/>
        </w:rPr>
        <w:t>招标代理机构查询、了解认证机构和获证产品相关情况。</w:t>
      </w:r>
    </w:p>
    <w:p w14:paraId="470E519E">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CF81A92">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14:paraId="1642DF1B">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w:t>
      </w:r>
    </w:p>
    <w:p w14:paraId="52BE22E6">
      <w:pPr>
        <w:pStyle w:val="75"/>
        <w:spacing w:beforeAutospacing="0" w:afterAutospacing="0" w:line="5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w:t>
      </w:r>
    </w:p>
    <w:p w14:paraId="66CA13BC">
      <w:pPr>
        <w:pStyle w:val="75"/>
        <w:spacing w:beforeAutospacing="0" w:afterAutospacing="0" w:line="500" w:lineRule="exact"/>
        <w:jc w:val="righ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财政部 发展改革委 生态环境部 市场监管总局</w:t>
      </w:r>
    </w:p>
    <w:p w14:paraId="702DDC12">
      <w:pPr>
        <w:pStyle w:val="75"/>
        <w:spacing w:beforeAutospacing="0" w:afterAutospacing="0" w:line="500" w:lineRule="exact"/>
        <w:ind w:firstLine="420"/>
        <w:jc w:val="right"/>
        <w:rPr>
          <w:rFonts w:cs="宋体"/>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2019年2月1日</w:t>
      </w:r>
    </w:p>
    <w:p w14:paraId="7A3B28ED">
      <w:pPr>
        <w:pStyle w:val="75"/>
        <w:spacing w:beforeAutospacing="0" w:afterAutospacing="0" w:line="500" w:lineRule="exact"/>
        <w:ind w:firstLine="420"/>
        <w:jc w:val="center"/>
        <w:rPr>
          <w:rFonts w:cs="宋体"/>
          <w:b/>
          <w:color w:val="auto"/>
          <w:sz w:val="21"/>
          <w:szCs w:val="21"/>
          <w:highlight w:val="none"/>
          <w:shd w:val="clear" w:color="auto" w:fill="FFFFFF"/>
        </w:rPr>
      </w:pPr>
    </w:p>
    <w:p w14:paraId="1D39971D">
      <w:pPr>
        <w:pStyle w:val="75"/>
        <w:spacing w:beforeAutospacing="0" w:afterAutospacing="0" w:line="500" w:lineRule="exact"/>
        <w:ind w:firstLine="420"/>
        <w:jc w:val="center"/>
        <w:rPr>
          <w:rFonts w:cs="宋体"/>
          <w:b/>
          <w:color w:val="auto"/>
          <w:sz w:val="21"/>
          <w:szCs w:val="21"/>
          <w:highlight w:val="none"/>
          <w:shd w:val="clear" w:color="auto" w:fill="FFFFFF"/>
        </w:rPr>
      </w:pPr>
    </w:p>
    <w:p w14:paraId="739236B4">
      <w:pPr>
        <w:rPr>
          <w:rFonts w:ascii="宋体" w:hAnsi="宋体" w:cs="宋体"/>
          <w:b/>
          <w:color w:val="auto"/>
          <w:kern w:val="0"/>
          <w:szCs w:val="21"/>
          <w:highlight w:val="none"/>
          <w:shd w:val="clear" w:color="auto" w:fill="FFFFFF"/>
        </w:rPr>
      </w:pPr>
      <w:r>
        <w:rPr>
          <w:rFonts w:hint="eastAsia" w:ascii="宋体" w:hAnsi="宋体" w:cs="宋体"/>
          <w:b/>
          <w:color w:val="auto"/>
          <w:kern w:val="0"/>
          <w:szCs w:val="21"/>
          <w:highlight w:val="none"/>
          <w:shd w:val="clear" w:color="auto" w:fill="FFFFFF"/>
        </w:rPr>
        <w:br w:type="page"/>
      </w:r>
    </w:p>
    <w:p w14:paraId="1E2EE800">
      <w:pPr>
        <w:pStyle w:val="75"/>
        <w:spacing w:beforeAutospacing="0" w:afterAutospacing="0" w:line="500" w:lineRule="exact"/>
        <w:ind w:firstLine="420"/>
        <w:jc w:val="center"/>
        <w:rPr>
          <w:rFonts w:cs="宋体"/>
          <w:b/>
          <w:color w:val="auto"/>
          <w:sz w:val="21"/>
          <w:szCs w:val="21"/>
          <w:highlight w:val="none"/>
          <w:shd w:val="clear" w:color="auto" w:fill="FFFFFF"/>
        </w:rPr>
      </w:pPr>
      <w:r>
        <w:rPr>
          <w:rFonts w:hint="eastAsia" w:cs="宋体"/>
          <w:b/>
          <w:color w:val="auto"/>
          <w:sz w:val="21"/>
          <w:szCs w:val="21"/>
          <w:highlight w:val="none"/>
          <w:shd w:val="clear" w:color="auto" w:fill="FFFFFF"/>
        </w:rPr>
        <w:t>关于印发节能产品政府采购品目清单的通知</w:t>
      </w:r>
    </w:p>
    <w:p w14:paraId="549ABA90">
      <w:pPr>
        <w:widowControl/>
        <w:spacing w:line="500" w:lineRule="exact"/>
        <w:ind w:firstLine="3816" w:firstLineChars="1800"/>
        <w:rPr>
          <w:color w:val="auto"/>
          <w:szCs w:val="21"/>
          <w:highlight w:val="none"/>
          <w:shd w:val="clear" w:color="auto" w:fill="FFFFFF"/>
        </w:rPr>
      </w:pPr>
      <w:r>
        <w:rPr>
          <w:rFonts w:hint="eastAsia"/>
          <w:color w:val="auto"/>
          <w:szCs w:val="21"/>
          <w:highlight w:val="none"/>
          <w:shd w:val="clear" w:color="auto" w:fill="FFFFFF"/>
        </w:rPr>
        <w:t>财库〔2019〕19号</w:t>
      </w:r>
    </w:p>
    <w:p w14:paraId="215EE073">
      <w:pPr>
        <w:pStyle w:val="75"/>
        <w:spacing w:beforeAutospacing="0" w:after="280" w:afterAutospacing="0" w:line="500" w:lineRule="exact"/>
        <w:textAlignment w:val="baseline"/>
        <w:rPr>
          <w:rFonts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有关中央预算单位，各省、自治区、直辖市、计划单列市财政厅（局）、发展改革委（经信委、工信委、工信厅、经信局），新疆生产建设兵团财政局、发展改革委：</w:t>
      </w:r>
    </w:p>
    <w:p w14:paraId="29010A9A">
      <w:pPr>
        <w:pStyle w:val="75"/>
        <w:spacing w:beforeAutospacing="0" w:after="280" w:afterAutospacing="0" w:line="500" w:lineRule="exact"/>
        <w:textAlignment w:val="baseline"/>
        <w:rPr>
          <w:rFonts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　　根据《财政部 发展改革委 生态环境部 市场监管总局关于调整优化节能产品 环境标志产品政府采购执行机制的通知》（财库〔2019〕9号）， 我们研究制定节能产品政府采购品目清单，现印发给你们，请遵照执行。</w:t>
      </w:r>
    </w:p>
    <w:p w14:paraId="2C63C677">
      <w:pPr>
        <w:pStyle w:val="75"/>
        <w:spacing w:beforeAutospacing="0" w:after="280" w:afterAutospacing="0" w:line="500" w:lineRule="exact"/>
        <w:textAlignment w:val="baseline"/>
        <w:rPr>
          <w:rFonts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　　附件：</w:t>
      </w:r>
      <w:r>
        <w:rPr>
          <w:color w:val="auto"/>
          <w:highlight w:val="none"/>
        </w:rPr>
        <w:fldChar w:fldCharType="begin"/>
      </w:r>
      <w:r>
        <w:rPr>
          <w:color w:val="auto"/>
          <w:highlight w:val="none"/>
        </w:rPr>
        <w:instrText xml:space="preserve"> HYPERLINK "http://gks.mof.gov.cn/zhengfucaigouguanli/201904/P020190404409422168443.pdf" </w:instrText>
      </w:r>
      <w:r>
        <w:rPr>
          <w:color w:val="auto"/>
          <w:highlight w:val="none"/>
        </w:rPr>
        <w:fldChar w:fldCharType="separate"/>
      </w:r>
      <w:r>
        <w:rPr>
          <w:rFonts w:hint="eastAsia" w:ascii="仿宋" w:hAnsi="仿宋" w:eastAsia="仿宋" w:cs="仿宋"/>
          <w:color w:val="auto"/>
          <w:sz w:val="21"/>
          <w:szCs w:val="21"/>
          <w:highlight w:val="none"/>
          <w:shd w:val="clear" w:color="auto" w:fill="FFFFFF"/>
        </w:rPr>
        <w:t>节能产品政府采购品目清单</w:t>
      </w:r>
      <w:r>
        <w:rPr>
          <w:rFonts w:hint="eastAsia" w:ascii="仿宋" w:hAnsi="仿宋" w:eastAsia="仿宋" w:cs="仿宋"/>
          <w:color w:val="auto"/>
          <w:sz w:val="21"/>
          <w:szCs w:val="21"/>
          <w:highlight w:val="none"/>
          <w:shd w:val="clear" w:color="auto" w:fill="FFFFFF"/>
        </w:rPr>
        <w:fldChar w:fldCharType="end"/>
      </w:r>
    </w:p>
    <w:p w14:paraId="24B339EB">
      <w:pPr>
        <w:pStyle w:val="75"/>
        <w:spacing w:beforeAutospacing="0" w:afterAutospacing="0" w:line="500" w:lineRule="exact"/>
        <w:jc w:val="right"/>
        <w:textAlignment w:val="baseline"/>
        <w:rPr>
          <w:rFonts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财政部 发展改革委</w:t>
      </w:r>
    </w:p>
    <w:p w14:paraId="489257EA">
      <w:pPr>
        <w:pStyle w:val="75"/>
        <w:spacing w:beforeAutospacing="0" w:afterAutospacing="0" w:line="500" w:lineRule="exact"/>
        <w:jc w:val="right"/>
        <w:textAlignment w:val="baseline"/>
        <w:rPr>
          <w:rFonts w:cs="宋体"/>
          <w:color w:val="auto"/>
          <w:sz w:val="21"/>
          <w:szCs w:val="21"/>
          <w:highlight w:val="none"/>
        </w:rPr>
      </w:pPr>
      <w:r>
        <w:rPr>
          <w:rFonts w:hint="eastAsia" w:cs="宋体"/>
          <w:color w:val="auto"/>
          <w:sz w:val="21"/>
          <w:szCs w:val="21"/>
          <w:highlight w:val="none"/>
          <w:shd w:val="clear" w:color="auto" w:fill="FFFFFF"/>
        </w:rPr>
        <w:t>2019年4月2日</w:t>
      </w:r>
    </w:p>
    <w:p w14:paraId="737B0686">
      <w:pPr>
        <w:spacing w:line="500" w:lineRule="exact"/>
        <w:rPr>
          <w:rFonts w:ascii="宋体" w:hAnsi="宋体" w:cs="宋体"/>
          <w:b/>
          <w:color w:val="auto"/>
          <w:highlight w:val="none"/>
        </w:rPr>
      </w:pPr>
    </w:p>
    <w:p w14:paraId="5A631653">
      <w:pPr>
        <w:rPr>
          <w:color w:val="auto"/>
          <w:highlight w:val="none"/>
        </w:rPr>
      </w:pPr>
      <w:r>
        <w:rPr>
          <w:rFonts w:ascii="宋体" w:hAnsi="宋体" w:cs="宋体"/>
          <w:color w:val="auto"/>
          <w:highlight w:val="none"/>
        </w:rPr>
        <w:drawing>
          <wp:inline distT="0" distB="0" distL="114300" distR="114300">
            <wp:extent cx="5947410" cy="7753985"/>
            <wp:effectExtent l="0" t="0" r="1524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947410" cy="7753985"/>
                    </a:xfrm>
                    <a:prstGeom prst="rect">
                      <a:avLst/>
                    </a:prstGeom>
                    <a:noFill/>
                    <a:ln>
                      <a:noFill/>
                    </a:ln>
                  </pic:spPr>
                </pic:pic>
              </a:graphicData>
            </a:graphic>
          </wp:inline>
        </w:drawing>
      </w:r>
      <w:r>
        <w:rPr>
          <w:color w:val="auto"/>
          <w:highlight w:val="none"/>
        </w:rPr>
        <w:drawing>
          <wp:inline distT="0" distB="0" distL="114300" distR="114300">
            <wp:extent cx="5929630" cy="7974965"/>
            <wp:effectExtent l="0" t="0" r="139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929630" cy="7974965"/>
                    </a:xfrm>
                    <a:prstGeom prst="rect">
                      <a:avLst/>
                    </a:prstGeom>
                    <a:noFill/>
                    <a:ln>
                      <a:noFill/>
                    </a:ln>
                  </pic:spPr>
                </pic:pic>
              </a:graphicData>
            </a:graphic>
          </wp:inline>
        </w:drawing>
      </w:r>
      <w:r>
        <w:rPr>
          <w:color w:val="auto"/>
          <w:highlight w:val="none"/>
        </w:rPr>
        <w:drawing>
          <wp:inline distT="0" distB="0" distL="114300" distR="114300">
            <wp:extent cx="5995035" cy="8036560"/>
            <wp:effectExtent l="0" t="0" r="571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995035" cy="8036560"/>
                    </a:xfrm>
                    <a:prstGeom prst="rect">
                      <a:avLst/>
                    </a:prstGeom>
                    <a:noFill/>
                    <a:ln>
                      <a:noFill/>
                    </a:ln>
                  </pic:spPr>
                </pic:pic>
              </a:graphicData>
            </a:graphic>
          </wp:inline>
        </w:drawing>
      </w:r>
      <w:r>
        <w:rPr>
          <w:color w:val="auto"/>
          <w:highlight w:val="none"/>
        </w:rPr>
        <w:drawing>
          <wp:inline distT="0" distB="0" distL="114300" distR="114300">
            <wp:extent cx="6259195" cy="5417185"/>
            <wp:effectExtent l="0" t="0" r="825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6259195" cy="5417185"/>
                    </a:xfrm>
                    <a:prstGeom prst="rect">
                      <a:avLst/>
                    </a:prstGeom>
                    <a:noFill/>
                    <a:ln>
                      <a:noFill/>
                    </a:ln>
                  </pic:spPr>
                </pic:pic>
              </a:graphicData>
            </a:graphic>
          </wp:inline>
        </w:drawing>
      </w:r>
    </w:p>
    <w:p w14:paraId="19772D78">
      <w:pPr>
        <w:rPr>
          <w:color w:val="auto"/>
          <w:highlight w:val="none"/>
        </w:rPr>
      </w:pPr>
      <w:r>
        <w:rPr>
          <w:color w:val="auto"/>
          <w:highlight w:val="none"/>
        </w:rPr>
        <w:br w:type="page"/>
      </w:r>
    </w:p>
    <w:p w14:paraId="2A380E57">
      <w:pPr>
        <w:jc w:val="center"/>
        <w:rPr>
          <w:b/>
          <w:color w:val="auto"/>
          <w:szCs w:val="18"/>
          <w:highlight w:val="none"/>
        </w:rPr>
      </w:pPr>
      <w:r>
        <w:rPr>
          <w:rFonts w:hint="eastAsia"/>
          <w:b/>
          <w:color w:val="auto"/>
          <w:szCs w:val="18"/>
          <w:highlight w:val="none"/>
        </w:rPr>
        <w:t>关于印发环境标志产品政府采购品目清单的通知</w:t>
      </w:r>
    </w:p>
    <w:p w14:paraId="5C80E86C">
      <w:pPr>
        <w:pStyle w:val="70"/>
        <w:jc w:val="center"/>
        <w:rPr>
          <w:color w:val="auto"/>
          <w:sz w:val="21"/>
          <w:szCs w:val="18"/>
          <w:highlight w:val="none"/>
        </w:rPr>
      </w:pPr>
      <w:r>
        <w:rPr>
          <w:rFonts w:hint="eastAsia"/>
          <w:b/>
          <w:color w:val="auto"/>
          <w:sz w:val="21"/>
          <w:szCs w:val="18"/>
          <w:highlight w:val="none"/>
        </w:rPr>
        <w:t>财库〔2019〕18号</w:t>
      </w:r>
    </w:p>
    <w:p w14:paraId="303558DC">
      <w:pPr>
        <w:pStyle w:val="70"/>
        <w:rPr>
          <w:rFonts w:ascii="仿宋" w:hAnsi="仿宋" w:eastAsia="仿宋" w:cs="仿宋"/>
          <w:color w:val="auto"/>
          <w:sz w:val="21"/>
          <w:szCs w:val="18"/>
          <w:highlight w:val="none"/>
        </w:rPr>
      </w:pPr>
      <w:r>
        <w:rPr>
          <w:rFonts w:hint="eastAsia" w:ascii="仿宋" w:hAnsi="仿宋" w:eastAsia="仿宋" w:cs="仿宋"/>
          <w:color w:val="auto"/>
          <w:sz w:val="21"/>
          <w:szCs w:val="18"/>
          <w:highlight w:val="none"/>
        </w:rPr>
        <w:t>有关中央预算单位，各省、自治区、直辖市、计划单列市财政厅（局）、生态环境厅（局），新疆生产建设兵团财政局、环境保护局：</w:t>
      </w:r>
    </w:p>
    <w:p w14:paraId="77855D19">
      <w:pPr>
        <w:pStyle w:val="70"/>
        <w:rPr>
          <w:rFonts w:ascii="仿宋" w:hAnsi="仿宋" w:eastAsia="仿宋" w:cs="仿宋"/>
          <w:color w:val="auto"/>
          <w:sz w:val="21"/>
          <w:szCs w:val="18"/>
          <w:highlight w:val="none"/>
        </w:rPr>
      </w:pPr>
      <w:r>
        <w:rPr>
          <w:rFonts w:hint="eastAsia" w:ascii="仿宋" w:hAnsi="仿宋" w:eastAsia="仿宋" w:cs="仿宋"/>
          <w:color w:val="auto"/>
          <w:sz w:val="21"/>
          <w:szCs w:val="18"/>
          <w:highlight w:val="none"/>
        </w:rPr>
        <w:t>　　根据《财政部发展改革委 生态环境部 市场监管总局关于调整优化节能产品 环境标志产品政府采购执行机制的通知》（财库〔2019〕9号）， 我们研究制定了环境标志产品政府采购品目清单，现印发给你们，请遵照执行。</w:t>
      </w:r>
    </w:p>
    <w:p w14:paraId="51902B62">
      <w:pPr>
        <w:pStyle w:val="70"/>
        <w:rPr>
          <w:rFonts w:ascii="仿宋" w:hAnsi="仿宋" w:eastAsia="仿宋" w:cs="仿宋"/>
          <w:color w:val="auto"/>
          <w:sz w:val="21"/>
          <w:szCs w:val="18"/>
          <w:highlight w:val="none"/>
        </w:rPr>
      </w:pPr>
      <w:r>
        <w:rPr>
          <w:rFonts w:hint="eastAsia" w:ascii="仿宋" w:hAnsi="仿宋" w:eastAsia="仿宋" w:cs="仿宋"/>
          <w:color w:val="auto"/>
          <w:sz w:val="21"/>
          <w:szCs w:val="18"/>
          <w:highlight w:val="none"/>
        </w:rPr>
        <w:t>　　附件：</w:t>
      </w:r>
      <w:r>
        <w:rPr>
          <w:color w:val="auto"/>
          <w:highlight w:val="none"/>
        </w:rPr>
        <w:fldChar w:fldCharType="begin"/>
      </w:r>
      <w:r>
        <w:rPr>
          <w:color w:val="auto"/>
          <w:highlight w:val="none"/>
        </w:rPr>
        <w:instrText xml:space="preserve"> HYPERLINK "http://gks.mof.gov.cn/zhengfucaigouguanli/201903/P020190329702478575295.pdf" </w:instrText>
      </w:r>
      <w:r>
        <w:rPr>
          <w:color w:val="auto"/>
          <w:highlight w:val="none"/>
        </w:rPr>
        <w:fldChar w:fldCharType="separate"/>
      </w:r>
      <w:r>
        <w:rPr>
          <w:rFonts w:hint="eastAsia" w:ascii="仿宋" w:hAnsi="仿宋" w:eastAsia="仿宋" w:cs="仿宋"/>
          <w:color w:val="auto"/>
          <w:sz w:val="21"/>
          <w:szCs w:val="18"/>
          <w:highlight w:val="none"/>
        </w:rPr>
        <w:t>环境标志产品政府采购品目清单</w:t>
      </w:r>
      <w:r>
        <w:rPr>
          <w:rFonts w:hint="eastAsia" w:ascii="仿宋" w:hAnsi="仿宋" w:eastAsia="仿宋" w:cs="仿宋"/>
          <w:color w:val="auto"/>
          <w:sz w:val="21"/>
          <w:szCs w:val="18"/>
          <w:highlight w:val="none"/>
        </w:rPr>
        <w:fldChar w:fldCharType="end"/>
      </w:r>
    </w:p>
    <w:p w14:paraId="2869DF08">
      <w:pPr>
        <w:pStyle w:val="70"/>
        <w:jc w:val="right"/>
        <w:rPr>
          <w:rFonts w:ascii="仿宋" w:hAnsi="仿宋" w:eastAsia="仿宋" w:cs="仿宋"/>
          <w:color w:val="auto"/>
          <w:sz w:val="21"/>
          <w:szCs w:val="18"/>
          <w:highlight w:val="none"/>
        </w:rPr>
      </w:pPr>
      <w:r>
        <w:rPr>
          <w:rFonts w:hint="eastAsia" w:ascii="仿宋" w:hAnsi="仿宋" w:eastAsia="仿宋" w:cs="仿宋"/>
          <w:color w:val="auto"/>
          <w:sz w:val="21"/>
          <w:szCs w:val="18"/>
          <w:highlight w:val="none"/>
        </w:rPr>
        <w:t>财政部 生态环境部</w:t>
      </w:r>
    </w:p>
    <w:p w14:paraId="13F3A6BF">
      <w:pPr>
        <w:pStyle w:val="70"/>
        <w:jc w:val="right"/>
        <w:rPr>
          <w:color w:val="auto"/>
          <w:sz w:val="21"/>
          <w:szCs w:val="18"/>
          <w:highlight w:val="none"/>
        </w:rPr>
      </w:pPr>
      <w:r>
        <w:rPr>
          <w:rFonts w:hint="eastAsia" w:ascii="仿宋" w:hAnsi="仿宋" w:eastAsia="仿宋" w:cs="仿宋"/>
          <w:color w:val="auto"/>
          <w:sz w:val="21"/>
          <w:szCs w:val="18"/>
          <w:highlight w:val="none"/>
        </w:rPr>
        <w:t>2019年3月29日</w:t>
      </w:r>
    </w:p>
    <w:p w14:paraId="09301F43">
      <w:pPr>
        <w:rPr>
          <w:color w:val="auto"/>
          <w:highlight w:val="none"/>
        </w:rPr>
      </w:pPr>
      <w:r>
        <w:rPr>
          <w:color w:val="auto"/>
          <w:highlight w:val="none"/>
        </w:rPr>
        <w:drawing>
          <wp:inline distT="0" distB="0" distL="114300" distR="114300">
            <wp:extent cx="5670550" cy="8750300"/>
            <wp:effectExtent l="0" t="0" r="635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670550" cy="8750300"/>
                    </a:xfrm>
                    <a:prstGeom prst="rect">
                      <a:avLst/>
                    </a:prstGeom>
                    <a:noFill/>
                    <a:ln>
                      <a:noFill/>
                    </a:ln>
                  </pic:spPr>
                </pic:pic>
              </a:graphicData>
            </a:graphic>
          </wp:inline>
        </w:drawing>
      </w:r>
      <w:r>
        <w:rPr>
          <w:color w:val="auto"/>
          <w:highlight w:val="none"/>
        </w:rPr>
        <w:drawing>
          <wp:inline distT="0" distB="0" distL="114300" distR="114300">
            <wp:extent cx="5574030" cy="8588375"/>
            <wp:effectExtent l="0" t="0" r="762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574030" cy="8588375"/>
                    </a:xfrm>
                    <a:prstGeom prst="rect">
                      <a:avLst/>
                    </a:prstGeom>
                    <a:noFill/>
                    <a:ln>
                      <a:noFill/>
                    </a:ln>
                  </pic:spPr>
                </pic:pic>
              </a:graphicData>
            </a:graphic>
          </wp:inline>
        </w:drawing>
      </w:r>
      <w:r>
        <w:rPr>
          <w:color w:val="auto"/>
          <w:highlight w:val="none"/>
        </w:rPr>
        <w:drawing>
          <wp:inline distT="0" distB="0" distL="114300" distR="114300">
            <wp:extent cx="5591810" cy="7192010"/>
            <wp:effectExtent l="0" t="0" r="889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5591810" cy="7192010"/>
                    </a:xfrm>
                    <a:prstGeom prst="rect">
                      <a:avLst/>
                    </a:prstGeom>
                    <a:noFill/>
                    <a:ln>
                      <a:noFill/>
                    </a:ln>
                  </pic:spPr>
                </pic:pic>
              </a:graphicData>
            </a:graphic>
          </wp:inline>
        </w:drawing>
      </w:r>
      <w:r>
        <w:rPr>
          <w:color w:val="auto"/>
          <w:highlight w:val="none"/>
        </w:rPr>
        <w:drawing>
          <wp:inline distT="0" distB="0" distL="114300" distR="114300">
            <wp:extent cx="5574030" cy="432435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574030" cy="4324350"/>
                    </a:xfrm>
                    <a:prstGeom prst="rect">
                      <a:avLst/>
                    </a:prstGeom>
                    <a:noFill/>
                    <a:ln>
                      <a:noFill/>
                    </a:ln>
                  </pic:spPr>
                </pic:pic>
              </a:graphicData>
            </a:graphic>
          </wp:inline>
        </w:drawing>
      </w:r>
    </w:p>
    <w:p w14:paraId="63D2E803">
      <w:pPr>
        <w:pStyle w:val="80"/>
        <w:ind w:firstLine="320"/>
        <w:rPr>
          <w:color w:val="auto"/>
          <w:sz w:val="32"/>
          <w:highlight w:val="none"/>
        </w:rPr>
      </w:pPr>
    </w:p>
    <w:p w14:paraId="7CEA920A">
      <w:pPr>
        <w:rPr>
          <w:color w:val="auto"/>
          <w:sz w:val="28"/>
          <w:szCs w:val="28"/>
          <w:highlight w:val="none"/>
        </w:rPr>
      </w:pPr>
    </w:p>
    <w:p w14:paraId="67E1AB3E">
      <w:pPr>
        <w:rPr>
          <w:color w:val="auto"/>
          <w:sz w:val="28"/>
          <w:szCs w:val="28"/>
          <w:highlight w:val="none"/>
        </w:rPr>
      </w:pPr>
    </w:p>
    <w:p w14:paraId="5C4A40E1">
      <w:pPr>
        <w:rPr>
          <w:color w:val="auto"/>
          <w:sz w:val="28"/>
          <w:szCs w:val="28"/>
          <w:highlight w:val="none"/>
        </w:rPr>
      </w:pPr>
    </w:p>
    <w:p w14:paraId="1C4C3D83">
      <w:pPr>
        <w:rPr>
          <w:color w:val="auto"/>
          <w:sz w:val="28"/>
          <w:szCs w:val="28"/>
          <w:highlight w:val="none"/>
        </w:rPr>
      </w:pPr>
    </w:p>
    <w:p w14:paraId="223685F0">
      <w:pPr>
        <w:rPr>
          <w:color w:val="auto"/>
          <w:sz w:val="28"/>
          <w:szCs w:val="28"/>
          <w:highlight w:val="none"/>
        </w:rPr>
      </w:pPr>
    </w:p>
    <w:p w14:paraId="69E14882">
      <w:pPr>
        <w:rPr>
          <w:color w:val="auto"/>
          <w:sz w:val="28"/>
          <w:szCs w:val="28"/>
          <w:highlight w:val="none"/>
        </w:rPr>
      </w:pPr>
    </w:p>
    <w:p w14:paraId="4B70DE72">
      <w:pPr>
        <w:rPr>
          <w:color w:val="auto"/>
          <w:sz w:val="28"/>
          <w:szCs w:val="28"/>
          <w:highlight w:val="none"/>
        </w:rPr>
      </w:pPr>
    </w:p>
    <w:p w14:paraId="7D95CA97">
      <w:pPr>
        <w:rPr>
          <w:color w:val="auto"/>
          <w:sz w:val="28"/>
          <w:szCs w:val="28"/>
          <w:highlight w:val="none"/>
        </w:rPr>
      </w:pPr>
    </w:p>
    <w:p w14:paraId="346915D1">
      <w:pPr>
        <w:rPr>
          <w:color w:val="auto"/>
          <w:sz w:val="28"/>
          <w:szCs w:val="28"/>
          <w:highlight w:val="none"/>
        </w:rPr>
      </w:pPr>
    </w:p>
    <w:p w14:paraId="0D730D47">
      <w:pPr>
        <w:rPr>
          <w:color w:val="auto"/>
          <w:sz w:val="28"/>
          <w:szCs w:val="28"/>
          <w:highlight w:val="none"/>
        </w:rPr>
      </w:pPr>
    </w:p>
    <w:p w14:paraId="2797BF68">
      <w:pPr>
        <w:pStyle w:val="4"/>
        <w:numPr>
          <w:ilvl w:val="0"/>
          <w:numId w:val="0"/>
        </w:numPr>
        <w:jc w:val="center"/>
        <w:rPr>
          <w:rFonts w:hint="eastAsia" w:ascii="宋体" w:hAnsi="宋体" w:eastAsia="宋体" w:cs="宋体"/>
          <w:color w:val="auto"/>
          <w:sz w:val="24"/>
          <w:szCs w:val="24"/>
          <w:highlight w:val="none"/>
        </w:rPr>
      </w:pPr>
      <w:r>
        <w:rPr>
          <w:rFonts w:hint="eastAsia" w:ascii="宋体" w:hAnsi="宋体" w:eastAsia="宋体" w:cs="宋体"/>
          <w:b/>
          <w:sz w:val="24"/>
          <w:highlight w:val="none"/>
        </w:rPr>
        <w:br w:type="page"/>
      </w:r>
      <w:r>
        <w:rPr>
          <w:rFonts w:hint="eastAsia" w:ascii="宋体" w:hAnsi="宋体" w:eastAsia="宋体" w:cs="宋体"/>
          <w:color w:val="auto"/>
          <w:sz w:val="24"/>
          <w:szCs w:val="24"/>
          <w:highlight w:val="none"/>
          <w:lang w:val="en-US" w:eastAsia="zh-CN"/>
        </w:rPr>
        <w:t>10</w:t>
      </w:r>
      <w:r>
        <w:rPr>
          <w:rFonts w:hint="eastAsia" w:ascii="宋体" w:hAnsi="宋体" w:eastAsia="宋体" w:cs="宋体"/>
          <w:b/>
          <w:bCs/>
          <w:color w:val="auto"/>
          <w:sz w:val="24"/>
          <w:szCs w:val="24"/>
          <w:highlight w:val="none"/>
        </w:rPr>
        <w:t>、关于进口产品</w:t>
      </w:r>
    </w:p>
    <w:p w14:paraId="1DA2E553">
      <w:pPr>
        <w:pStyle w:val="80"/>
        <w:ind w:firstLine="210"/>
        <w:rPr>
          <w:rFonts w:hint="eastAsia" w:ascii="宋体" w:hAnsi="宋体" w:eastAsia="宋体" w:cs="宋体"/>
          <w:color w:val="auto"/>
          <w:sz w:val="24"/>
          <w:szCs w:val="24"/>
          <w:highlight w:val="none"/>
        </w:rPr>
      </w:pPr>
    </w:p>
    <w:p w14:paraId="3DE5CC5D">
      <w:pPr>
        <w:numPr>
          <w:ilvl w:val="0"/>
          <w:numId w:val="40"/>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政府采购政策：</w:t>
      </w:r>
    </w:p>
    <w:p w14:paraId="4118060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1.1《政府采购进口产品管理办法》（财库[2007]119 号）</w:t>
      </w:r>
    </w:p>
    <w:p w14:paraId="35DB3383">
      <w:pPr>
        <w:pStyle w:val="80"/>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1.2《财政部办公厅关于政府采购进口产品管理有关问题的通知》（财办库[2008]248号</w:t>
      </w:r>
    </w:p>
    <w:p w14:paraId="7A5A186B">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2、备注</w:t>
      </w:r>
    </w:p>
    <w:p w14:paraId="471A39E6">
      <w:pPr>
        <w:pStyle w:val="189"/>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2.1政府采购应当采购本国产品，不允许采购进口产品，确需采购进口产品的，实行审核管理。</w:t>
      </w:r>
    </w:p>
    <w:p w14:paraId="29FE4CB3">
      <w:pPr>
        <w:pStyle w:val="189"/>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2.2经财政部门审核同意，允许采购进口产品；优先采购向我国企业转让技术、与我国企业签订消化吸收再创新方案的供应商的进口产品。</w:t>
      </w:r>
    </w:p>
    <w:p w14:paraId="68786CD9">
      <w:pPr>
        <w:pStyle w:val="189"/>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2.2根据财库[2007]119 号进口产品是指通过中国海关报关验放进入中国境内且产自关境外的产品。</w:t>
      </w:r>
    </w:p>
    <w:p w14:paraId="0F342619">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根据《财政部办公厅关于政府采购进口产品管理有关问题的通知》（财办库[2008]248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p>
    <w:p w14:paraId="64F1DA67">
      <w:pPr>
        <w:rPr>
          <w:color w:val="auto"/>
          <w:szCs w:val="21"/>
          <w:highlight w:val="none"/>
        </w:rPr>
      </w:pPr>
    </w:p>
    <w:p w14:paraId="244B91EE">
      <w:pPr>
        <w:pStyle w:val="4"/>
        <w:numPr>
          <w:ilvl w:val="0"/>
          <w:numId w:val="0"/>
        </w:numPr>
        <w:ind w:left="420"/>
        <w:rPr>
          <w:rFonts w:hint="eastAsia" w:ascii="宋体" w:hAnsi="宋体" w:eastAsia="宋体" w:cs="宋体"/>
          <w:sz w:val="28"/>
          <w:szCs w:val="28"/>
          <w:highlight w:val="none"/>
        </w:rPr>
      </w:pPr>
      <w:r>
        <w:rPr>
          <w:rFonts w:hint="eastAsia" w:ascii="宋体" w:hAnsi="宋体" w:eastAsia="宋体" w:cs="宋体"/>
          <w:sz w:val="24"/>
          <w:highlight w:val="none"/>
        </w:rPr>
        <w:br w:type="page"/>
      </w:r>
      <w:bookmarkStart w:id="179" w:name="_Toc30402"/>
      <w:bookmarkStart w:id="180" w:name="_Toc29630"/>
      <w:bookmarkStart w:id="181" w:name="_Toc4433"/>
      <w:r>
        <w:rPr>
          <w:rFonts w:hint="eastAsia" w:ascii="宋体" w:hAnsi="宋体" w:eastAsia="宋体" w:cs="宋体"/>
          <w:sz w:val="28"/>
          <w:szCs w:val="28"/>
          <w:highlight w:val="none"/>
        </w:rPr>
        <w:t>1</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.其他资料</w:t>
      </w:r>
      <w:bookmarkEnd w:id="179"/>
      <w:bookmarkEnd w:id="180"/>
      <w:bookmarkEnd w:id="181"/>
    </w:p>
    <w:p w14:paraId="4AD0FAB9">
      <w:pPr>
        <w:pStyle w:val="78"/>
        <w:outlineLvl w:val="9"/>
        <w:rPr>
          <w:rFonts w:hint="eastAsia" w:ascii="宋体" w:hAnsi="宋体" w:cs="宋体"/>
          <w:highlight w:val="none"/>
          <w:lang w:val="zh-CN"/>
        </w:rPr>
      </w:pPr>
      <w:bookmarkStart w:id="182" w:name="_Toc17076"/>
      <w:bookmarkStart w:id="183" w:name="_Toc27443"/>
      <w:r>
        <w:rPr>
          <w:rStyle w:val="104"/>
          <w:rFonts w:hint="eastAsia" w:ascii="宋体" w:hAnsi="宋体" w:eastAsia="宋体" w:cs="宋体"/>
          <w:b/>
          <w:sz w:val="24"/>
          <w:highlight w:val="none"/>
        </w:rPr>
        <w:t>评分办法中要求的相关材料、业绩等</w:t>
      </w:r>
      <w:bookmarkEnd w:id="97"/>
      <w:bookmarkEnd w:id="182"/>
      <w:bookmarkEnd w:id="183"/>
    </w:p>
    <w:sectPr>
      <w:headerReference r:id="rId14" w:type="default"/>
      <w:footerReference r:id="rId15" w:type="default"/>
      <w:pgSz w:w="11906" w:h="16838"/>
      <w:pgMar w:top="1440" w:right="1701" w:bottom="1440" w:left="1701" w:header="851" w:footer="992" w:gutter="0"/>
      <w:pgNumType w:fmt="decimal"/>
      <w:cols w:space="720" w:num="1"/>
      <w:docGrid w:type="linesAndChars" w:linePitch="314" w:charSpace="5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759A16-BB33-4371-B91D-94E9C5C62A3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3273D50-852D-47D9-9EF4-DF6ADD2735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CA186BD-AAC4-4016-ACD3-CC4B930AABB5}"/>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embedRegular r:id="rId4" w:fontKey="{822FC0B7-0CA3-42D0-8B2C-8FC2BA8E9381}"/>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5" w:fontKey="{72457CD8-BFA2-4F3D-A87A-23E9138CD4A7}"/>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楷体-简">
    <w:altName w:val="宋体"/>
    <w:panose1 w:val="00000000000000000000"/>
    <w:charset w:val="86"/>
    <w:family w:val="auto"/>
    <w:pitch w:val="default"/>
    <w:sig w:usb0="00000000" w:usb1="00000000" w:usb2="00000016" w:usb3="00000000" w:csb0="0004001F" w:csb1="00000000"/>
  </w:font>
  <w:font w:name="_x000B__x000C_">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5C792155-E859-41DE-BE31-A64824912F0A}"/>
  </w:font>
  <w:font w:name="Arial Unicode MS">
    <w:altName w:val="宋体"/>
    <w:panose1 w:val="020B0604020202020204"/>
    <w:charset w:val="86"/>
    <w:family w:val="swiss"/>
    <w:pitch w:val="default"/>
    <w:sig w:usb0="00000000" w:usb1="00000000" w:usb2="0000003F" w:usb3="00000000" w:csb0="603F01FF" w:csb1="FFFF0000"/>
  </w:font>
  <w:font w:name="Consolas">
    <w:panose1 w:val="020B0609020204030204"/>
    <w:charset w:val="00"/>
    <w:family w:val="modern"/>
    <w:pitch w:val="default"/>
    <w:sig w:usb0="E00006FF" w:usb1="0000FCFF" w:usb2="00000001" w:usb3="00000000" w:csb0="600001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etaPlusLF">
    <w:altName w:val="黑体"/>
    <w:panose1 w:val="020B0604020202020204"/>
    <w:charset w:val="00"/>
    <w:family w:val="auto"/>
    <w:pitch w:val="default"/>
    <w:sig w:usb0="00000000" w:usb1="00000000" w:usb2="00000000" w:usb3="00000000" w:csb0="00040001" w:csb1="00000000"/>
  </w:font>
  <w:font w:name="DejaVu Serif">
    <w:altName w:val="黑体"/>
    <w:panose1 w:val="02020603050405020304"/>
    <w:charset w:val="00"/>
    <w:family w:val="roman"/>
    <w:pitch w:val="default"/>
    <w:sig w:usb0="00000000" w:usb1="00000000" w:usb2="00000000" w:usb3="00000000" w:csb0="00040001" w:csb1="00000000"/>
  </w:font>
  <w:font w:name="DejaVu Sans">
    <w:altName w:val="Times New Roman"/>
    <w:panose1 w:val="00000000000000000000"/>
    <w:charset w:val="00"/>
    <w:family w:val="roman"/>
    <w:pitch w:val="default"/>
    <w:sig w:usb0="00000000" w:usb1="00000000" w:usb2="00000000"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汉仪中等线简">
    <w:altName w:val="宋体"/>
    <w:panose1 w:val="02010609000101010101"/>
    <w:charset w:val="86"/>
    <w:family w:val="auto"/>
    <w:pitch w:val="default"/>
    <w:sig w:usb0="00000000" w:usb1="00000000" w:usb2="00000002" w:usb3="00000000" w:csb0="00040000" w:csb1="00000000"/>
  </w:font>
  <w:font w:name="方正中雅宋简">
    <w:altName w:val="宋体"/>
    <w:panose1 w:val="02000000000000000000"/>
    <w:charset w:val="86"/>
    <w:family w:val="roman"/>
    <w:pitch w:val="default"/>
    <w:sig w:usb0="00000000" w:usb1="00000000" w:usb2="00000000" w:usb3="00000000" w:csb0="00040000" w:csb1="00000000"/>
    <w:embedRegular r:id="rId7" w:fontKey="{ED4725D9-6E4C-4518-9DB1-34929C767450}"/>
  </w:font>
  <w:font w:name="华文中宋">
    <w:panose1 w:val="02010600040101010101"/>
    <w:charset w:val="86"/>
    <w:family w:val="auto"/>
    <w:pitch w:val="default"/>
    <w:sig w:usb0="00000287" w:usb1="080F0000" w:usb2="00000000" w:usb3="00000000" w:csb0="0004009F" w:csb1="DFD70000"/>
    <w:embedRegular r:id="rId8" w:fontKey="{F83B592C-7E8C-4741-9368-B1CBBC7D028C}"/>
  </w:font>
  <w:font w:name="方正公文小标宋">
    <w:panose1 w:val="02000500000000000000"/>
    <w:charset w:val="86"/>
    <w:family w:val="auto"/>
    <w:pitch w:val="default"/>
    <w:sig w:usb0="A00002BF" w:usb1="38CF7CFA" w:usb2="00000016" w:usb3="00000000" w:csb0="00040001" w:csb1="00000000"/>
    <w:embedRegular r:id="rId9" w:fontKey="{D993BA25-F6A7-4ED5-9ADE-15CC9A4047BB}"/>
  </w:font>
  <w:font w:name="方正楷体_GB2312">
    <w:panose1 w:val="02000000000000000000"/>
    <w:charset w:val="86"/>
    <w:family w:val="auto"/>
    <w:pitch w:val="default"/>
    <w:sig w:usb0="A00002BF" w:usb1="184F6CFA" w:usb2="00000012" w:usb3="00000000" w:csb0="00040001" w:csb1="00000000"/>
    <w:embedRegular r:id="rId10" w:fontKey="{85A7002D-5A9D-4F75-942E-AF5C784A9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C5F0E">
    <w:pPr>
      <w:pStyle w:val="5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6469DBF">
                          <w:pPr>
                            <w:pStyle w:val="5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G9UM3Do&#10;AQAAygMAAA4AAAAAAAAAAQAgAAAAIgEAAGRycy9lMm9Eb2MueG1sUEsFBgAAAAAGAAYAWQEAAHwF&#10;AAAAAA==&#10;">
              <v:fill on="f" focussize="0,0"/>
              <v:stroke on="f" weight="1.25pt"/>
              <v:imagedata o:title=""/>
              <o:lock v:ext="edit" aspectratio="f"/>
              <v:textbox inset="0mm,0mm,0mm,0mm" style="mso-fit-shape-to-text:t;">
                <w:txbxContent>
                  <w:p w14:paraId="56469DBF">
                    <w:pPr>
                      <w:pStyle w:val="5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3B618">
    <w:pPr>
      <w:pStyle w:val="5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3081153">
                          <w:pPr>
                            <w:pStyle w:val="5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&#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5bkvzNIBAAClAwAADgAAAAAAAAABACAAAAAi&#10;AQAAZHJzL2Uyb0RvYy54bWxQSwUGAAAAAAYABgBZAQAAZgUAAAAA&#10;">
              <v:fill on="f" focussize="0,0"/>
              <v:stroke on="f" weight="1.25pt"/>
              <v:imagedata o:title=""/>
              <o:lock v:ext="edit" aspectratio="f"/>
              <v:textbox inset="0mm,0mm,0mm,0mm" style="mso-fit-shape-to-text:t;">
                <w:txbxContent>
                  <w:p w14:paraId="53081153">
                    <w:pPr>
                      <w:pStyle w:val="5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A3796">
    <w:pPr>
      <w:pStyle w:val="5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B85A3F5">
                          <w:pPr>
                            <w:pStyle w:val="5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AmAOgjo&#10;AQAAygMAAA4AAAAAAAAAAQAgAAAAIgEAAGRycy9lMm9Eb2MueG1sUEsFBgAAAAAGAAYAWQEAAHwF&#10;AAAAAA==&#10;">
              <v:fill on="f" focussize="0,0"/>
              <v:stroke on="f" weight="1.25pt"/>
              <v:imagedata o:title=""/>
              <o:lock v:ext="edit" aspectratio="f"/>
              <v:textbox inset="0mm,0mm,0mm,0mm" style="mso-fit-shape-to-text:t;">
                <w:txbxContent>
                  <w:p w14:paraId="6B85A3F5">
                    <w:pPr>
                      <w:pStyle w:val="5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2E25C">
    <w:pPr>
      <w:pStyle w:val="52"/>
      <w:framePr w:wrap="around" w:vAnchor="text" w:hAnchor="margin" w:xAlign="center" w:y="1"/>
      <w:rPr>
        <w:rStyle w:val="88"/>
      </w:rPr>
    </w:pPr>
    <w:r>
      <w:fldChar w:fldCharType="begin"/>
    </w:r>
    <w:r>
      <w:rPr>
        <w:rStyle w:val="88"/>
      </w:rPr>
      <w:instrText xml:space="preserve">PAGE  </w:instrText>
    </w:r>
    <w:r>
      <w:fldChar w:fldCharType="end"/>
    </w:r>
  </w:p>
  <w:p w14:paraId="5DB29163">
    <w:pPr>
      <w:pStyle w:val="5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6E18">
    <w:pPr>
      <w:pStyle w:val="5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1F97398">
                          <w:pPr>
                            <w:pStyle w:val="5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104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GqkC+&#10;6QEAAMwDAAAOAAAAAAAAAAEAIAAAACIBAABkcnMvZTJvRG9jLnhtbFBLBQYAAAAABgAGAFkBAAB9&#10;BQAAAAA=&#10;">
              <v:fill on="f" focussize="0,0"/>
              <v:stroke on="f" weight="1.25pt"/>
              <v:imagedata o:title=""/>
              <o:lock v:ext="edit" aspectratio="f"/>
              <v:textbox inset="0mm,0mm,0mm,0mm" style="mso-fit-shape-to-text:t;">
                <w:txbxContent>
                  <w:p w14:paraId="31F97398">
                    <w:pPr>
                      <w:pStyle w:val="5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BB485">
    <w:pPr>
      <w:pStyle w:val="5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D8D3F7A">
                          <w:pPr>
                            <w:pStyle w:val="5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AZrJxTo&#10;AQAAzAMAAA4AAAAAAAAAAQAgAAAAIgEAAGRycy9lMm9Eb2MueG1sUEsFBgAAAAAGAAYAWQEAAHwF&#10;AAAAAA==&#10;">
              <v:fill on="f" focussize="0,0"/>
              <v:stroke on="f" weight="1.25pt"/>
              <v:imagedata o:title=""/>
              <o:lock v:ext="edit" aspectratio="f"/>
              <v:textbox inset="0mm,0mm,0mm,0mm" style="mso-fit-shape-to-text:t;">
                <w:txbxContent>
                  <w:p w14:paraId="1D8D3F7A">
                    <w:pPr>
                      <w:pStyle w:val="5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EA6F1">
    <w:pPr>
      <w:pStyle w:val="52"/>
      <w:tabs>
        <w:tab w:val="center" w:pos="4312"/>
        <w:tab w:val="left" w:pos="4848"/>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10B14ED">
                          <w:pPr>
                            <w:pStyle w:val="5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102</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104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ULXUTpAQAAzAMAAA4AAABkcnMvZTJvRG9jLnhtbK1TQa7TMBDd&#10;I3EHy3uatKI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eImrCixzODELz++X37+&#10;vvz6Rpbl83WSqHehxsg7h7FxeA0Dhs/3AS8T80F6k/7IiaAfBT5fBRZDJDwlVauqKtHF0TcfEL+4&#10;T3c+xLcCDElGQz1OMAvLTu9DHEPnkFTNwq3SOk9RW9Ij6rp6uc4ZVxeia4tFEoux22TFYT9M1PbQ&#10;npEZPgqs2IH/SkmPK9FQiy+AEv3OouJpe2bDz8Z+NpjlmNjQSMlovonjlh2dV4cu713qN7hXx4g9&#10;ZyqpjbH21B0OOYsxLWTaor/POer+EW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lC11E&#10;6QEAAMwDAAAOAAAAAAAAAAEAIAAAACIBAABkcnMvZTJvRG9jLnhtbFBLBQYAAAAABgAGAFkBAAB9&#10;BQAAAAA=&#10;">
              <v:fill on="f" focussize="0,0"/>
              <v:stroke on="f" weight="1.25pt"/>
              <v:imagedata o:title=""/>
              <o:lock v:ext="edit" aspectratio="f"/>
              <v:textbox inset="0mm,0mm,0mm,0mm" style="mso-fit-shape-to-text:t;">
                <w:txbxContent>
                  <w:p w14:paraId="310B14ED">
                    <w:pPr>
                      <w:pStyle w:val="5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102</w:t>
                    </w:r>
                    <w:r>
                      <w:rPr>
                        <w:rFonts w:hint="eastAsia"/>
                      </w:rPr>
                      <w:fldChar w:fldCharType="end"/>
                    </w:r>
                  </w:p>
                </w:txbxContent>
              </v:textbox>
            </v:shape>
          </w:pict>
        </mc:Fallback>
      </mc:AlternateContent>
    </w:r>
    <w:r>
      <w:rPr>
        <w:rFonts w:hint="eastAsia"/>
      </w:rPr>
      <w:tab/>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84EDB">
    <w:pPr>
      <w:pStyle w:val="5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AAF0">
    <w:pPr>
      <w:pStyle w:val="5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D378C">
    <w:pPr>
      <w:pStyle w:val="5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6F578">
    <w:pPr>
      <w:pStyle w:val="54"/>
      <w:pBdr>
        <w:bottom w:val="none" w:color="auto" w:sz="0" w:space="1"/>
      </w:pBdr>
      <w:jc w:val="left"/>
      <w:rPr>
        <w:rFonts w:hint="eastAsia" w:ascii="方正中雅宋简" w:hAnsi="宋体" w:eastAsia="方正中雅宋简"/>
      </w:rPr>
    </w:pPr>
    <w:r>
      <w:rPr>
        <w:rFonts w:hint="eastAsia" w:ascii="方正中雅宋简" w:hAnsi="宋体" w:eastAsia="方正中雅宋简"/>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74F40">
    <w:pPr>
      <w:pStyle w:val="5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CFC4">
    <w:pPr>
      <w:pStyle w:val="54"/>
      <w:pBdr>
        <w:bottom w:val="none" w:color="auto" w:sz="0" w:space="1"/>
      </w:pBdr>
      <w:jc w:val="left"/>
      <w:rPr>
        <w:rFonts w:hint="eastAsia" w:ascii="方正中雅宋简" w:hAnsi="宋体" w:eastAsia="方正中雅宋简"/>
      </w:rPr>
    </w:pPr>
    <w:r>
      <w:rPr>
        <w:rFonts w:hint="eastAsia" w:ascii="方正中雅宋简" w:hAnsi="宋体" w:eastAsia="方正中雅宋简"/>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37E40"/>
    <w:multiLevelType w:val="singleLevel"/>
    <w:tmpl w:val="A0F37E40"/>
    <w:lvl w:ilvl="0" w:tentative="0">
      <w:start w:val="4"/>
      <w:numFmt w:val="chineseCounting"/>
      <w:suff w:val="nothing"/>
      <w:lvlText w:val="%1、"/>
      <w:lvlJc w:val="left"/>
      <w:rPr>
        <w:rFonts w:hint="eastAsia"/>
      </w:rPr>
    </w:lvl>
  </w:abstractNum>
  <w:abstractNum w:abstractNumId="1">
    <w:nsid w:val="B71E8487"/>
    <w:multiLevelType w:val="singleLevel"/>
    <w:tmpl w:val="B71E8487"/>
    <w:lvl w:ilvl="0" w:tentative="0">
      <w:start w:val="1"/>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D434B2D"/>
    <w:multiLevelType w:val="multilevel"/>
    <w:tmpl w:val="CD434B2D"/>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25C5F9A"/>
    <w:multiLevelType w:val="singleLevel"/>
    <w:tmpl w:val="D25C5F9A"/>
    <w:lvl w:ilvl="0" w:tentative="0">
      <w:start w:val="1"/>
      <w:numFmt w:val="chineseCounting"/>
      <w:suff w:val="space"/>
      <w:lvlText w:val="第%1章"/>
      <w:lvlJc w:val="left"/>
      <w:rPr>
        <w:rFonts w:hint="eastAsia"/>
      </w:rPr>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FFFFFF7F"/>
    <w:multiLevelType w:val="singleLevel"/>
    <w:tmpl w:val="FFFFFF7F"/>
    <w:lvl w:ilvl="0" w:tentative="0">
      <w:start w:val="1"/>
      <w:numFmt w:val="decimal"/>
      <w:pStyle w:val="39"/>
      <w:lvlText w:val="%1."/>
      <w:lvlJc w:val="left"/>
      <w:pPr>
        <w:tabs>
          <w:tab w:val="left" w:pos="780"/>
        </w:tabs>
        <w:ind w:left="780" w:hanging="360"/>
      </w:pPr>
    </w:lvl>
  </w:abstractNum>
  <w:abstractNum w:abstractNumId="11">
    <w:nsid w:val="FFFFFF81"/>
    <w:multiLevelType w:val="singleLevel"/>
    <w:tmpl w:val="FFFFFF81"/>
    <w:lvl w:ilvl="0" w:tentative="0">
      <w:start w:val="1"/>
      <w:numFmt w:val="bullet"/>
      <w:pStyle w:val="35"/>
      <w:lvlText w:val=""/>
      <w:lvlJc w:val="left"/>
      <w:pPr>
        <w:tabs>
          <w:tab w:val="left" w:pos="1620"/>
        </w:tabs>
        <w:ind w:left="1620" w:hanging="360"/>
      </w:pPr>
      <w:rPr>
        <w:rFonts w:hint="default" w:ascii="Wingdings" w:hAnsi="Wingdings"/>
      </w:rPr>
    </w:lvl>
  </w:abstractNum>
  <w:abstractNum w:abstractNumId="12">
    <w:nsid w:val="FFFFFF88"/>
    <w:multiLevelType w:val="singleLevel"/>
    <w:tmpl w:val="FFFFFF88"/>
    <w:lvl w:ilvl="0" w:tentative="0">
      <w:start w:val="1"/>
      <w:numFmt w:val="decimal"/>
      <w:pStyle w:val="45"/>
      <w:lvlText w:val="%1."/>
      <w:lvlJc w:val="left"/>
      <w:pPr>
        <w:tabs>
          <w:tab w:val="left" w:pos="360"/>
        </w:tabs>
        <w:ind w:left="360" w:hanging="360"/>
      </w:pPr>
    </w:lvl>
  </w:abstractNum>
  <w:abstractNum w:abstractNumId="13">
    <w:nsid w:val="FFFFFF89"/>
    <w:multiLevelType w:val="singleLevel"/>
    <w:tmpl w:val="FFFFFF89"/>
    <w:lvl w:ilvl="0" w:tentative="0">
      <w:start w:val="1"/>
      <w:numFmt w:val="bullet"/>
      <w:pStyle w:val="61"/>
      <w:lvlText w:val=""/>
      <w:lvlJc w:val="left"/>
      <w:pPr>
        <w:tabs>
          <w:tab w:val="left" w:pos="360"/>
        </w:tabs>
        <w:ind w:left="360" w:hanging="360"/>
      </w:pPr>
      <w:rPr>
        <w:rFonts w:hint="default" w:ascii="Wingdings" w:hAnsi="Wingdings"/>
      </w:rPr>
    </w:lvl>
  </w:abstractNum>
  <w:abstractNum w:abstractNumId="14">
    <w:nsid w:val="0000001E"/>
    <w:multiLevelType w:val="multilevel"/>
    <w:tmpl w:val="0000001E"/>
    <w:lvl w:ilvl="0" w:tentative="0">
      <w:start w:val="1"/>
      <w:numFmt w:val="decimal"/>
      <w:lvlText w:val="%1."/>
      <w:lvlJc w:val="left"/>
      <w:pPr>
        <w:tabs>
          <w:tab w:val="left" w:pos="1140"/>
        </w:tabs>
        <w:ind w:left="1140" w:hanging="420"/>
      </w:pPr>
      <w:rPr>
        <w:rFonts w:hint="eastAsi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5">
    <w:nsid w:val="0BCD640A"/>
    <w:multiLevelType w:val="multilevel"/>
    <w:tmpl w:val="0BCD640A"/>
    <w:lvl w:ilvl="0" w:tentative="0">
      <w:start w:val="1"/>
      <w:numFmt w:val="decimal"/>
      <w:pStyle w:val="144"/>
      <w:lvlText w:val="%1)"/>
      <w:lvlJc w:val="left"/>
      <w:pPr>
        <w:tabs>
          <w:tab w:val="left" w:pos="420"/>
        </w:tabs>
        <w:ind w:left="420" w:hanging="420"/>
      </w:pPr>
      <w:rPr>
        <w:rFonts w:hint="eastAsia"/>
      </w:rPr>
    </w:lvl>
    <w:lvl w:ilvl="1" w:tentative="0">
      <w:start w:val="4"/>
      <w:numFmt w:val="decimal"/>
      <w:pStyle w:val="4"/>
      <w:lvlText w:val="%2."/>
      <w:lvlJc w:val="left"/>
      <w:pPr>
        <w:tabs>
          <w:tab w:val="left" w:pos="840"/>
        </w:tabs>
        <w:ind w:left="840" w:hanging="42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20"/>
        </w:tabs>
        <w:ind w:left="1620" w:hanging="36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0E754979"/>
    <w:multiLevelType w:val="multilevel"/>
    <w:tmpl w:val="0E754979"/>
    <w:lvl w:ilvl="0" w:tentative="0">
      <w:start w:val="1"/>
      <w:numFmt w:val="decimal"/>
      <w:pStyle w:val="341"/>
      <w:lvlText w:val="%1."/>
      <w:lvlJc w:val="left"/>
      <w:pPr>
        <w:tabs>
          <w:tab w:val="left" w:pos="435"/>
        </w:tabs>
        <w:ind w:left="435" w:hanging="435"/>
      </w:pPr>
      <w:rPr>
        <w:rFonts w:hint="default"/>
      </w:rPr>
    </w:lvl>
    <w:lvl w:ilvl="1" w:tentative="0">
      <w:start w:val="1"/>
      <w:numFmt w:val="decimal"/>
      <w:isLgl/>
      <w:lvlText w:val="%1.%2"/>
      <w:lvlJc w:val="left"/>
      <w:pPr>
        <w:tabs>
          <w:tab w:val="left" w:pos="360"/>
        </w:tabs>
        <w:ind w:left="360" w:hanging="36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440"/>
        </w:tabs>
        <w:ind w:left="1440" w:hanging="144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1800"/>
        </w:tabs>
        <w:ind w:left="1800" w:hanging="1800"/>
      </w:pPr>
      <w:rPr>
        <w:rFonts w:hint="eastAsia"/>
      </w:rPr>
    </w:lvl>
  </w:abstractNum>
  <w:abstractNum w:abstractNumId="17">
    <w:nsid w:val="0EAF7421"/>
    <w:multiLevelType w:val="multilevel"/>
    <w:tmpl w:val="0EAF7421"/>
    <w:lvl w:ilvl="0" w:tentative="0">
      <w:start w:val="1"/>
      <w:numFmt w:val="decimal"/>
      <w:pStyle w:val="23"/>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50A43E0"/>
    <w:multiLevelType w:val="multilevel"/>
    <w:tmpl w:val="150A43E0"/>
    <w:lvl w:ilvl="0" w:tentative="0">
      <w:start w:val="1"/>
      <w:numFmt w:val="decimal"/>
      <w:lvlText w:val="%1"/>
      <w:lvlJc w:val="left"/>
      <w:pPr>
        <w:tabs>
          <w:tab w:val="left" w:pos="630"/>
        </w:tabs>
        <w:ind w:left="630" w:hanging="63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350"/>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19">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12"/>
      <w:suff w:val="nothing"/>
      <w:lvlText w:val="%1.%2　"/>
      <w:lvlJc w:val="left"/>
      <w:pPr>
        <w:ind w:left="525"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376"/>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20837F67"/>
    <w:multiLevelType w:val="multilevel"/>
    <w:tmpl w:val="20837F6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21821FC4"/>
    <w:multiLevelType w:val="multilevel"/>
    <w:tmpl w:val="21821FC4"/>
    <w:lvl w:ilvl="0" w:tentative="0">
      <w:start w:val="1"/>
      <w:numFmt w:val="decimal"/>
      <w:lvlText w:val="%1"/>
      <w:lvlJc w:val="left"/>
      <w:pPr>
        <w:ind w:left="1844" w:hanging="425"/>
      </w:pPr>
      <w:rPr>
        <w:rFonts w:hint="default" w:ascii="宋体" w:hAnsi="宋体" w:eastAsia="宋体" w:cs="宋体"/>
      </w:rPr>
    </w:lvl>
    <w:lvl w:ilvl="1" w:tentative="0">
      <w:start w:val="1"/>
      <w:numFmt w:val="decimal"/>
      <w:lvlText w:val="%1.%2"/>
      <w:lvlJc w:val="left"/>
      <w:pPr>
        <w:ind w:left="992" w:hanging="567"/>
      </w:pPr>
      <w:rPr>
        <w:rFonts w:hint="default" w:ascii="宋体" w:hAnsi="宋体" w:eastAsia="宋体" w:cs="宋体"/>
        <w:sz w:val="24"/>
        <w:szCs w:val="24"/>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2">
    <w:nsid w:val="291637A6"/>
    <w:multiLevelType w:val="singleLevel"/>
    <w:tmpl w:val="291637A6"/>
    <w:lvl w:ilvl="0" w:tentative="0">
      <w:start w:val="1"/>
      <w:numFmt w:val="chineseCounting"/>
      <w:suff w:val="nothing"/>
      <w:lvlText w:val="%1、"/>
      <w:lvlJc w:val="left"/>
      <w:pPr>
        <w:ind w:left="0" w:firstLine="420"/>
      </w:pPr>
      <w:rPr>
        <w:rFonts w:hint="eastAsia"/>
      </w:rPr>
    </w:lvl>
  </w:abstractNum>
  <w:abstractNum w:abstractNumId="23">
    <w:nsid w:val="2E326845"/>
    <w:multiLevelType w:val="multilevel"/>
    <w:tmpl w:val="2E326845"/>
    <w:lvl w:ilvl="0" w:tentative="0">
      <w:start w:val="1"/>
      <w:numFmt w:val="decimal"/>
      <w:pStyle w:val="1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3"/>
      <w:numFmt w:val="decimal"/>
      <w:lvlText w:val="%4）"/>
      <w:lvlJc w:val="left"/>
      <w:pPr>
        <w:ind w:left="786" w:hanging="360"/>
      </w:pPr>
      <w:rPr>
        <w:rFonts w:hint="default"/>
      </w:r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3F7416F7"/>
    <w:multiLevelType w:val="multilevel"/>
    <w:tmpl w:val="3F7416F7"/>
    <w:lvl w:ilvl="0" w:tentative="0">
      <w:start w:val="1"/>
      <w:numFmt w:val="decimal"/>
      <w:lvlText w:val="第%1章"/>
      <w:lvlJc w:val="left"/>
      <w:pPr>
        <w:tabs>
          <w:tab w:val="left" w:pos="3060"/>
        </w:tabs>
        <w:ind w:left="3060" w:hanging="1260"/>
      </w:pPr>
      <w:rPr>
        <w:rFonts w:hint="eastAsia"/>
      </w:rPr>
    </w:lvl>
    <w:lvl w:ilvl="1" w:tentative="0">
      <w:start w:val="1"/>
      <w:numFmt w:val="chineseCountingThousand"/>
      <w:lvlText w:val="第%2章 "/>
      <w:lvlJc w:val="left"/>
      <w:pPr>
        <w:tabs>
          <w:tab w:val="left" w:pos="3425"/>
        </w:tabs>
        <w:ind w:left="2405" w:hanging="420"/>
      </w:pPr>
      <w:rPr>
        <w:rFonts w:hint="eastAsia"/>
      </w:rPr>
    </w:lvl>
    <w:lvl w:ilvl="2" w:tentative="0">
      <w:start w:val="1"/>
      <w:numFmt w:val="decimal"/>
      <w:lvlText w:val="(%3)"/>
      <w:lvlJc w:val="left"/>
      <w:pPr>
        <w:tabs>
          <w:tab w:val="left" w:pos="1485"/>
        </w:tabs>
        <w:ind w:left="1485" w:hanging="360"/>
      </w:pPr>
      <w:rPr>
        <w:rFonts w:hint="eastAsia"/>
        <w:b w:val="0"/>
      </w:rPr>
    </w:lvl>
    <w:lvl w:ilvl="3" w:tentative="0">
      <w:start w:val="1"/>
      <w:numFmt w:val="decimal"/>
      <w:lvlText w:val="%4、"/>
      <w:lvlJc w:val="left"/>
      <w:pPr>
        <w:tabs>
          <w:tab w:val="left" w:pos="2062"/>
        </w:tabs>
        <w:ind w:left="2062" w:hanging="360"/>
      </w:pPr>
      <w:rPr>
        <w:rFonts w:hint="eastAsia"/>
      </w:rPr>
    </w:lvl>
    <w:lvl w:ilvl="4" w:tentative="0">
      <w:start w:val="1"/>
      <w:numFmt w:val="lowerLetter"/>
      <w:lvlText w:val="%5)"/>
      <w:lvlJc w:val="left"/>
      <w:pPr>
        <w:tabs>
          <w:tab w:val="left" w:pos="2385"/>
        </w:tabs>
        <w:ind w:left="2385" w:hanging="420"/>
      </w:pPr>
      <w:rPr>
        <w:rFonts w:hint="eastAsia"/>
      </w:rPr>
    </w:lvl>
    <w:lvl w:ilvl="5" w:tentative="0">
      <w:start w:val="1"/>
      <w:numFmt w:val="lowerRoman"/>
      <w:lvlText w:val="%6."/>
      <w:lvlJc w:val="right"/>
      <w:pPr>
        <w:tabs>
          <w:tab w:val="left" w:pos="2805"/>
        </w:tabs>
        <w:ind w:left="2805" w:hanging="420"/>
      </w:pPr>
      <w:rPr>
        <w:rFonts w:hint="eastAsia"/>
      </w:rPr>
    </w:lvl>
    <w:lvl w:ilvl="6" w:tentative="0">
      <w:start w:val="1"/>
      <w:numFmt w:val="decimal"/>
      <w:lvlText w:val="%7."/>
      <w:lvlJc w:val="left"/>
      <w:pPr>
        <w:tabs>
          <w:tab w:val="left" w:pos="3225"/>
        </w:tabs>
        <w:ind w:left="3225" w:hanging="420"/>
      </w:pPr>
      <w:rPr>
        <w:rFonts w:hint="eastAsia"/>
      </w:rPr>
    </w:lvl>
    <w:lvl w:ilvl="7" w:tentative="0">
      <w:start w:val="1"/>
      <w:numFmt w:val="lowerLetter"/>
      <w:lvlText w:val="%8)"/>
      <w:lvlJc w:val="left"/>
      <w:pPr>
        <w:tabs>
          <w:tab w:val="left" w:pos="3645"/>
        </w:tabs>
        <w:ind w:left="3645" w:hanging="420"/>
      </w:pPr>
      <w:rPr>
        <w:rFonts w:hint="eastAsia"/>
      </w:rPr>
    </w:lvl>
    <w:lvl w:ilvl="8" w:tentative="0">
      <w:start w:val="1"/>
      <w:numFmt w:val="lowerRoman"/>
      <w:lvlText w:val="%9."/>
      <w:lvlJc w:val="right"/>
      <w:pPr>
        <w:tabs>
          <w:tab w:val="left" w:pos="4065"/>
        </w:tabs>
        <w:ind w:left="4065" w:hanging="420"/>
      </w:pPr>
      <w:rPr>
        <w:rFonts w:hint="eastAsia"/>
      </w:rPr>
    </w:lvl>
  </w:abstractNum>
  <w:abstractNum w:abstractNumId="25">
    <w:nsid w:val="41EF30BC"/>
    <w:multiLevelType w:val="multilevel"/>
    <w:tmpl w:val="41EF30BC"/>
    <w:lvl w:ilvl="0" w:tentative="0">
      <w:start w:val="1"/>
      <w:numFmt w:val="chineseCountingThousand"/>
      <w:pStyle w:val="290"/>
      <w:lvlText w:val="第%1条"/>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433187F"/>
    <w:multiLevelType w:val="multilevel"/>
    <w:tmpl w:val="4433187F"/>
    <w:lvl w:ilvl="0" w:tentative="0">
      <w:start w:val="1"/>
      <w:numFmt w:val="chineseCountingThousand"/>
      <w:pStyle w:val="333"/>
      <w:lvlText w:val="%1"/>
      <w:lvlJc w:val="left"/>
      <w:pPr>
        <w:tabs>
          <w:tab w:val="left" w:pos="4360"/>
        </w:tabs>
        <w:ind w:left="4360" w:hanging="425"/>
      </w:pPr>
      <w:rPr>
        <w:rFonts w:hint="eastAsia" w:eastAsia="黑体"/>
        <w:b/>
        <w:i w:val="0"/>
        <w:sz w:val="30"/>
      </w:rPr>
    </w:lvl>
    <w:lvl w:ilvl="1" w:tentative="0">
      <w:start w:val="1"/>
      <w:numFmt w:val="decimal"/>
      <w:lvlText w:val="(%2)"/>
      <w:lvlJc w:val="left"/>
      <w:pPr>
        <w:tabs>
          <w:tab w:val="left" w:pos="900"/>
        </w:tabs>
        <w:ind w:left="900" w:hanging="48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492B33A3"/>
    <w:multiLevelType w:val="multilevel"/>
    <w:tmpl w:val="492B33A3"/>
    <w:lvl w:ilvl="0" w:tentative="0">
      <w:start w:val="2"/>
      <w:numFmt w:val="decimal"/>
      <w:pStyle w:val="268"/>
      <w:lvlText w:val="%1"/>
      <w:lvlJc w:val="left"/>
      <w:pPr>
        <w:tabs>
          <w:tab w:val="left" w:pos="360"/>
        </w:tabs>
        <w:ind w:left="360" w:hanging="360"/>
      </w:pPr>
      <w:rPr>
        <w:rFonts w:hint="eastAsia"/>
        <w:b w:val="0"/>
      </w:rPr>
    </w:lvl>
    <w:lvl w:ilvl="1" w:tentative="0">
      <w:start w:val="2"/>
      <w:numFmt w:val="decimal"/>
      <w:lvlText w:val="%1.%2"/>
      <w:lvlJc w:val="left"/>
      <w:pPr>
        <w:tabs>
          <w:tab w:val="left" w:pos="720"/>
        </w:tabs>
        <w:ind w:left="720" w:hanging="720"/>
      </w:pPr>
      <w:rPr>
        <w:rFonts w:hint="eastAsia"/>
        <w:b w:val="0"/>
      </w:rPr>
    </w:lvl>
    <w:lvl w:ilvl="2" w:tentative="0">
      <w:start w:val="1"/>
      <w:numFmt w:val="decimal"/>
      <w:lvlText w:val="%1.%2.%3"/>
      <w:lvlJc w:val="left"/>
      <w:pPr>
        <w:tabs>
          <w:tab w:val="left" w:pos="720"/>
        </w:tabs>
        <w:ind w:left="720" w:hanging="720"/>
      </w:pPr>
      <w:rPr>
        <w:rFonts w:hint="eastAsia"/>
        <w:b w:val="0"/>
      </w:rPr>
    </w:lvl>
    <w:lvl w:ilvl="3" w:tentative="0">
      <w:start w:val="1"/>
      <w:numFmt w:val="decimal"/>
      <w:lvlText w:val="%1.%2.%3.%4"/>
      <w:lvlJc w:val="left"/>
      <w:pPr>
        <w:tabs>
          <w:tab w:val="left" w:pos="1080"/>
        </w:tabs>
        <w:ind w:left="1080" w:hanging="1080"/>
      </w:pPr>
      <w:rPr>
        <w:rFonts w:hint="eastAsia"/>
        <w:b w:val="0"/>
      </w:rPr>
    </w:lvl>
    <w:lvl w:ilvl="4" w:tentative="0">
      <w:start w:val="1"/>
      <w:numFmt w:val="decimal"/>
      <w:lvlText w:val="%1.%2.%3.%4.%5"/>
      <w:lvlJc w:val="left"/>
      <w:pPr>
        <w:tabs>
          <w:tab w:val="left" w:pos="1440"/>
        </w:tabs>
        <w:ind w:left="1440" w:hanging="1440"/>
      </w:pPr>
      <w:rPr>
        <w:rFonts w:hint="eastAsia"/>
        <w:b w:val="0"/>
      </w:rPr>
    </w:lvl>
    <w:lvl w:ilvl="5" w:tentative="0">
      <w:start w:val="1"/>
      <w:numFmt w:val="decimal"/>
      <w:lvlText w:val="%1.%2.%3.%4.%5.%6"/>
      <w:lvlJc w:val="left"/>
      <w:pPr>
        <w:tabs>
          <w:tab w:val="left" w:pos="1440"/>
        </w:tabs>
        <w:ind w:left="1440" w:hanging="1440"/>
      </w:pPr>
      <w:rPr>
        <w:rFonts w:hint="eastAsia"/>
        <w:b w:val="0"/>
      </w:rPr>
    </w:lvl>
    <w:lvl w:ilvl="6" w:tentative="0">
      <w:start w:val="1"/>
      <w:numFmt w:val="decimal"/>
      <w:lvlText w:val="%1.%2.%3.%4.%5.%6.%7"/>
      <w:lvlJc w:val="left"/>
      <w:pPr>
        <w:tabs>
          <w:tab w:val="left" w:pos="1800"/>
        </w:tabs>
        <w:ind w:left="1800" w:hanging="1800"/>
      </w:pPr>
      <w:rPr>
        <w:rFonts w:hint="eastAsia"/>
        <w:b w:val="0"/>
      </w:rPr>
    </w:lvl>
    <w:lvl w:ilvl="7" w:tentative="0">
      <w:start w:val="1"/>
      <w:numFmt w:val="decimal"/>
      <w:lvlText w:val="%1.%2.%3.%4.%5.%6.%7.%8"/>
      <w:lvlJc w:val="left"/>
      <w:pPr>
        <w:tabs>
          <w:tab w:val="left" w:pos="2160"/>
        </w:tabs>
        <w:ind w:left="2160" w:hanging="2160"/>
      </w:pPr>
      <w:rPr>
        <w:rFonts w:hint="eastAsia"/>
        <w:b w:val="0"/>
      </w:rPr>
    </w:lvl>
    <w:lvl w:ilvl="8" w:tentative="0">
      <w:start w:val="1"/>
      <w:numFmt w:val="decimal"/>
      <w:lvlText w:val="%1.%2.%3.%4.%5.%6.%7.%8.%9"/>
      <w:lvlJc w:val="left"/>
      <w:pPr>
        <w:tabs>
          <w:tab w:val="left" w:pos="2160"/>
        </w:tabs>
        <w:ind w:left="2160" w:hanging="2160"/>
      </w:pPr>
      <w:rPr>
        <w:rFonts w:hint="eastAsia"/>
        <w:b w:val="0"/>
      </w:rPr>
    </w:lvl>
  </w:abstractNum>
  <w:abstractNum w:abstractNumId="28">
    <w:nsid w:val="54B56102"/>
    <w:multiLevelType w:val="multilevel"/>
    <w:tmpl w:val="54B56102"/>
    <w:lvl w:ilvl="0" w:tentative="0">
      <w:start w:val="1"/>
      <w:numFmt w:val="decimal"/>
      <w:pStyle w:val="313"/>
      <w:isLgl/>
      <w:lvlText w:val="%1"/>
      <w:lvlJc w:val="left"/>
      <w:pPr>
        <w:tabs>
          <w:tab w:val="left" w:pos="284"/>
        </w:tabs>
        <w:ind w:left="284" w:hanging="284"/>
      </w:pPr>
    </w:lvl>
    <w:lvl w:ilvl="1" w:tentative="0">
      <w:start w:val="1"/>
      <w:numFmt w:val="decimal"/>
      <w:pStyle w:val="359"/>
      <w:isLgl/>
      <w:lvlText w:val="%1.%2"/>
      <w:lvlJc w:val="left"/>
      <w:pPr>
        <w:tabs>
          <w:tab w:val="left" w:pos="907"/>
        </w:tabs>
        <w:ind w:left="907" w:hanging="623"/>
      </w:pPr>
    </w:lvl>
    <w:lvl w:ilvl="2" w:tentative="0">
      <w:start w:val="1"/>
      <w:numFmt w:val="decimal"/>
      <w:pStyle w:val="357"/>
      <w:isLgl/>
      <w:lvlText w:val="%1.%2.%3"/>
      <w:lvlJc w:val="left"/>
      <w:pPr>
        <w:tabs>
          <w:tab w:val="left" w:pos="1211"/>
        </w:tabs>
        <w:ind w:left="1211" w:hanging="851"/>
      </w:pPr>
    </w:lvl>
    <w:lvl w:ilvl="3" w:tentative="0">
      <w:start w:val="1"/>
      <w:numFmt w:val="decimal"/>
      <w:isLgl/>
      <w:lvlText w:val="%1.%2.%3.%4"/>
      <w:lvlJc w:val="left"/>
      <w:pPr>
        <w:tabs>
          <w:tab w:val="left" w:pos="1531"/>
        </w:tabs>
        <w:ind w:left="1531" w:hanging="1021"/>
      </w:pPr>
    </w:lvl>
    <w:lvl w:ilvl="4" w:tentative="0">
      <w:start w:val="1"/>
      <w:numFmt w:val="decimal"/>
      <w:isLgl/>
      <w:lvlText w:val="%1.%2.%3.%4.%5"/>
      <w:lvlJc w:val="left"/>
      <w:pPr>
        <w:tabs>
          <w:tab w:val="left" w:pos="1814"/>
        </w:tabs>
        <w:ind w:left="1814" w:hanging="1304"/>
      </w:pPr>
    </w:lvl>
    <w:lvl w:ilvl="5" w:tentative="0">
      <w:start w:val="1"/>
      <w:numFmt w:val="decimal"/>
      <w:isLgl/>
      <w:lvlText w:val="%1.%2.%3.%4.%5.%6"/>
      <w:lvlJc w:val="left"/>
      <w:pPr>
        <w:tabs>
          <w:tab w:val="left" w:pos="2098"/>
        </w:tabs>
        <w:ind w:left="2098" w:hanging="1588"/>
      </w:pPr>
    </w:lvl>
    <w:lvl w:ilvl="6" w:tentative="0">
      <w:start w:val="1"/>
      <w:numFmt w:val="decimal"/>
      <w:isLgl/>
      <w:lvlText w:val="%1.%2.%3.%4.%5.%6.%7"/>
      <w:lvlJc w:val="left"/>
      <w:pPr>
        <w:tabs>
          <w:tab w:val="left" w:pos="2325"/>
        </w:tabs>
        <w:ind w:left="2325" w:hanging="1815"/>
      </w:pPr>
    </w:lvl>
    <w:lvl w:ilvl="7" w:tentative="0">
      <w:start w:val="1"/>
      <w:numFmt w:val="decimal"/>
      <w:isLgl/>
      <w:lvlText w:val="%1.%2.%3.%4.%5.%6.%7.%8"/>
      <w:lvlJc w:val="left"/>
      <w:pPr>
        <w:tabs>
          <w:tab w:val="left" w:pos="2608"/>
        </w:tabs>
        <w:ind w:left="2608" w:hanging="2098"/>
      </w:pPr>
    </w:lvl>
    <w:lvl w:ilvl="8" w:tentative="0">
      <w:start w:val="1"/>
      <w:numFmt w:val="decimal"/>
      <w:isLgl/>
      <w:lvlText w:val="%1.%2.%3.%4.%5.%6.%7.%8.%9"/>
      <w:lvlJc w:val="left"/>
      <w:pPr>
        <w:tabs>
          <w:tab w:val="left" w:pos="2835"/>
        </w:tabs>
        <w:ind w:left="2835" w:hanging="2325"/>
      </w:pPr>
    </w:lvl>
  </w:abstractNum>
  <w:abstractNum w:abstractNumId="29">
    <w:nsid w:val="57941581"/>
    <w:multiLevelType w:val="singleLevel"/>
    <w:tmpl w:val="57941581"/>
    <w:lvl w:ilvl="0" w:tentative="0">
      <w:start w:val="1"/>
      <w:numFmt w:val="japaneseCounting"/>
      <w:pStyle w:val="164"/>
      <w:lvlText w:val="%1."/>
      <w:lvlJc w:val="left"/>
      <w:pPr>
        <w:tabs>
          <w:tab w:val="left" w:pos="405"/>
        </w:tabs>
        <w:ind w:left="405" w:hanging="405"/>
      </w:pPr>
      <w:rPr>
        <w:rFonts w:hint="eastAsia"/>
      </w:rPr>
    </w:lvl>
  </w:abstractNum>
  <w:abstractNum w:abstractNumId="30">
    <w:nsid w:val="679B6910"/>
    <w:multiLevelType w:val="multilevel"/>
    <w:tmpl w:val="679B6910"/>
    <w:lvl w:ilvl="0" w:tentative="0">
      <w:start w:val="1"/>
      <w:numFmt w:val="decimal"/>
      <w:pStyle w:val="44"/>
      <w:lvlText w:val="%1."/>
      <w:lvlJc w:val="left"/>
      <w:pPr>
        <w:ind w:left="900" w:hanging="420"/>
      </w:pPr>
    </w:lvl>
    <w:lvl w:ilvl="1" w:tentative="0">
      <w:start w:val="3"/>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6E6909B7"/>
    <w:multiLevelType w:val="multilevel"/>
    <w:tmpl w:val="6E6909B7"/>
    <w:lvl w:ilvl="0" w:tentative="0">
      <w:start w:val="1"/>
      <w:numFmt w:val="chineseCountingThousand"/>
      <w:pStyle w:val="13"/>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72E88A42"/>
    <w:multiLevelType w:val="singleLevel"/>
    <w:tmpl w:val="72E88A42"/>
    <w:lvl w:ilvl="0" w:tentative="0">
      <w:start w:val="6"/>
      <w:numFmt w:val="decimal"/>
      <w:suff w:val="nothing"/>
      <w:lvlText w:val="%1、"/>
      <w:lvlJc w:val="left"/>
    </w:lvl>
  </w:abstractNum>
  <w:abstractNum w:abstractNumId="33">
    <w:nsid w:val="738BCFC2"/>
    <w:multiLevelType w:val="singleLevel"/>
    <w:tmpl w:val="738BCFC2"/>
    <w:lvl w:ilvl="0" w:tentative="0">
      <w:start w:val="11"/>
      <w:numFmt w:val="decimal"/>
      <w:suff w:val="space"/>
      <w:lvlText w:val="%1."/>
      <w:lvlJc w:val="left"/>
    </w:lvl>
  </w:abstractNum>
  <w:abstractNum w:abstractNumId="34">
    <w:nsid w:val="73E45113"/>
    <w:multiLevelType w:val="multilevel"/>
    <w:tmpl w:val="73E45113"/>
    <w:lvl w:ilvl="0" w:tentative="0">
      <w:start w:val="3"/>
      <w:numFmt w:val="bullet"/>
      <w:pStyle w:val="19"/>
      <w:lvlText w:val="□"/>
      <w:lvlJc w:val="left"/>
      <w:pPr>
        <w:ind w:left="2040" w:hanging="360"/>
      </w:pPr>
      <w:rPr>
        <w:rFonts w:hint="eastAsia" w:ascii="宋体" w:hAnsi="宋体" w:eastAsia="宋体" w:cs="Times New Roman"/>
      </w:rPr>
    </w:lvl>
    <w:lvl w:ilvl="1" w:tentative="0">
      <w:start w:val="1"/>
      <w:numFmt w:val="bullet"/>
      <w:lvlText w:val=""/>
      <w:lvlJc w:val="left"/>
      <w:pPr>
        <w:ind w:left="2520" w:hanging="420"/>
      </w:pPr>
      <w:rPr>
        <w:rFonts w:hint="default" w:ascii="Wingdings" w:hAnsi="Wingdings"/>
      </w:rPr>
    </w:lvl>
    <w:lvl w:ilvl="2" w:tentative="0">
      <w:start w:val="1"/>
      <w:numFmt w:val="bullet"/>
      <w:lvlText w:val=""/>
      <w:lvlJc w:val="left"/>
      <w:pPr>
        <w:ind w:left="2940" w:hanging="420"/>
      </w:pPr>
      <w:rPr>
        <w:rFonts w:hint="default" w:ascii="Wingdings" w:hAnsi="Wingdings"/>
      </w:rPr>
    </w:lvl>
    <w:lvl w:ilvl="3" w:tentative="0">
      <w:start w:val="1"/>
      <w:numFmt w:val="bullet"/>
      <w:lvlText w:val=""/>
      <w:lvlJc w:val="left"/>
      <w:pPr>
        <w:ind w:left="3360" w:hanging="420"/>
      </w:pPr>
      <w:rPr>
        <w:rFonts w:hint="default" w:ascii="Wingdings" w:hAnsi="Wingdings"/>
      </w:rPr>
    </w:lvl>
    <w:lvl w:ilvl="4" w:tentative="0">
      <w:start w:val="1"/>
      <w:numFmt w:val="bullet"/>
      <w:lvlText w:val=""/>
      <w:lvlJc w:val="left"/>
      <w:pPr>
        <w:ind w:left="3780" w:hanging="420"/>
      </w:pPr>
      <w:rPr>
        <w:rFonts w:hint="default" w:ascii="Wingdings" w:hAnsi="Wingdings"/>
      </w:rPr>
    </w:lvl>
    <w:lvl w:ilvl="5" w:tentative="0">
      <w:start w:val="1"/>
      <w:numFmt w:val="bullet"/>
      <w:lvlText w:val=""/>
      <w:lvlJc w:val="left"/>
      <w:pPr>
        <w:ind w:left="4200" w:hanging="420"/>
      </w:pPr>
      <w:rPr>
        <w:rFonts w:hint="default" w:ascii="Wingdings" w:hAnsi="Wingdings"/>
      </w:rPr>
    </w:lvl>
    <w:lvl w:ilvl="6" w:tentative="0">
      <w:start w:val="1"/>
      <w:numFmt w:val="bullet"/>
      <w:lvlText w:val=""/>
      <w:lvlJc w:val="left"/>
      <w:pPr>
        <w:ind w:left="4620" w:hanging="420"/>
      </w:pPr>
      <w:rPr>
        <w:rFonts w:hint="default" w:ascii="Wingdings" w:hAnsi="Wingdings"/>
      </w:rPr>
    </w:lvl>
    <w:lvl w:ilvl="7" w:tentative="0">
      <w:start w:val="1"/>
      <w:numFmt w:val="bullet"/>
      <w:lvlText w:val=""/>
      <w:lvlJc w:val="left"/>
      <w:pPr>
        <w:ind w:left="5040" w:hanging="420"/>
      </w:pPr>
      <w:rPr>
        <w:rFonts w:hint="default" w:ascii="Wingdings" w:hAnsi="Wingdings"/>
      </w:rPr>
    </w:lvl>
    <w:lvl w:ilvl="8" w:tentative="0">
      <w:start w:val="1"/>
      <w:numFmt w:val="bullet"/>
      <w:lvlText w:val=""/>
      <w:lvlJc w:val="left"/>
      <w:pPr>
        <w:ind w:left="5460" w:hanging="420"/>
      </w:pPr>
      <w:rPr>
        <w:rFonts w:hint="default" w:ascii="Wingdings" w:hAnsi="Wingdings"/>
      </w:rPr>
    </w:lvl>
  </w:abstractNum>
  <w:abstractNum w:abstractNumId="35">
    <w:nsid w:val="77303788"/>
    <w:multiLevelType w:val="multilevel"/>
    <w:tmpl w:val="77303788"/>
    <w:lvl w:ilvl="0" w:tentative="0">
      <w:start w:val="1"/>
      <w:numFmt w:val="decimal"/>
      <w:pStyle w:val="292"/>
      <w:lvlText w:val="第%1章"/>
      <w:lvlJc w:val="left"/>
      <w:pPr>
        <w:tabs>
          <w:tab w:val="left" w:pos="3060"/>
        </w:tabs>
        <w:ind w:left="3060" w:hanging="1260"/>
      </w:pPr>
      <w:rPr>
        <w:rFonts w:hint="eastAsia"/>
      </w:rPr>
    </w:lvl>
    <w:lvl w:ilvl="1" w:tentative="0">
      <w:start w:val="1"/>
      <w:numFmt w:val="chineseCountingThousand"/>
      <w:pStyle w:val="3"/>
      <w:lvlText w:val="第%2章 "/>
      <w:lvlJc w:val="left"/>
      <w:pPr>
        <w:tabs>
          <w:tab w:val="left" w:pos="3425"/>
        </w:tabs>
        <w:ind w:left="2405" w:hanging="420"/>
      </w:pPr>
      <w:rPr>
        <w:rFonts w:hint="eastAsia"/>
      </w:rPr>
    </w:lvl>
    <w:lvl w:ilvl="2" w:tentative="0">
      <w:start w:val="1"/>
      <w:numFmt w:val="decimal"/>
      <w:lvlText w:val="(%3)"/>
      <w:lvlJc w:val="left"/>
      <w:pPr>
        <w:tabs>
          <w:tab w:val="left" w:pos="1485"/>
        </w:tabs>
        <w:ind w:left="1485" w:hanging="360"/>
      </w:pPr>
      <w:rPr>
        <w:rFonts w:hint="eastAsia"/>
        <w:b w:val="0"/>
      </w:rPr>
    </w:lvl>
    <w:lvl w:ilvl="3" w:tentative="0">
      <w:start w:val="1"/>
      <w:numFmt w:val="decimal"/>
      <w:lvlText w:val="%4、"/>
      <w:lvlJc w:val="left"/>
      <w:pPr>
        <w:tabs>
          <w:tab w:val="left" w:pos="2062"/>
        </w:tabs>
        <w:ind w:left="2062" w:hanging="360"/>
      </w:pPr>
      <w:rPr>
        <w:rFonts w:hint="eastAsia"/>
      </w:rPr>
    </w:lvl>
    <w:lvl w:ilvl="4" w:tentative="0">
      <w:start w:val="1"/>
      <w:numFmt w:val="lowerLetter"/>
      <w:lvlText w:val="%5)"/>
      <w:lvlJc w:val="left"/>
      <w:pPr>
        <w:tabs>
          <w:tab w:val="left" w:pos="2385"/>
        </w:tabs>
        <w:ind w:left="2385" w:hanging="420"/>
      </w:pPr>
      <w:rPr>
        <w:rFonts w:hint="eastAsia"/>
      </w:rPr>
    </w:lvl>
    <w:lvl w:ilvl="5" w:tentative="0">
      <w:start w:val="1"/>
      <w:numFmt w:val="lowerRoman"/>
      <w:lvlText w:val="%6."/>
      <w:lvlJc w:val="right"/>
      <w:pPr>
        <w:tabs>
          <w:tab w:val="left" w:pos="2805"/>
        </w:tabs>
        <w:ind w:left="2805" w:hanging="420"/>
      </w:pPr>
      <w:rPr>
        <w:rFonts w:hint="eastAsia"/>
      </w:rPr>
    </w:lvl>
    <w:lvl w:ilvl="6" w:tentative="0">
      <w:start w:val="1"/>
      <w:numFmt w:val="decimal"/>
      <w:lvlText w:val="%7."/>
      <w:lvlJc w:val="left"/>
      <w:pPr>
        <w:tabs>
          <w:tab w:val="left" w:pos="3225"/>
        </w:tabs>
        <w:ind w:left="3225" w:hanging="420"/>
      </w:pPr>
      <w:rPr>
        <w:rFonts w:hint="eastAsia"/>
      </w:rPr>
    </w:lvl>
    <w:lvl w:ilvl="7" w:tentative="0">
      <w:start w:val="1"/>
      <w:numFmt w:val="lowerLetter"/>
      <w:lvlText w:val="%8)"/>
      <w:lvlJc w:val="left"/>
      <w:pPr>
        <w:tabs>
          <w:tab w:val="left" w:pos="3645"/>
        </w:tabs>
        <w:ind w:left="3645" w:hanging="420"/>
      </w:pPr>
      <w:rPr>
        <w:rFonts w:hint="eastAsia"/>
      </w:rPr>
    </w:lvl>
    <w:lvl w:ilvl="8" w:tentative="0">
      <w:start w:val="1"/>
      <w:numFmt w:val="lowerRoman"/>
      <w:lvlText w:val="%9."/>
      <w:lvlJc w:val="right"/>
      <w:pPr>
        <w:tabs>
          <w:tab w:val="left" w:pos="4065"/>
        </w:tabs>
        <w:ind w:left="4065" w:hanging="420"/>
      </w:pPr>
      <w:rPr>
        <w:rFonts w:hint="eastAsia"/>
      </w:rPr>
    </w:lvl>
  </w:abstractNum>
  <w:abstractNum w:abstractNumId="36">
    <w:nsid w:val="792F63BB"/>
    <w:multiLevelType w:val="singleLevel"/>
    <w:tmpl w:val="792F63BB"/>
    <w:lvl w:ilvl="0" w:tentative="0">
      <w:start w:val="5"/>
      <w:numFmt w:val="decimal"/>
      <w:suff w:val="space"/>
      <w:lvlText w:val="%1）"/>
      <w:lvlJc w:val="left"/>
    </w:lvl>
  </w:abstractNum>
  <w:abstractNum w:abstractNumId="37">
    <w:nsid w:val="7A0F6431"/>
    <w:multiLevelType w:val="singleLevel"/>
    <w:tmpl w:val="7A0F6431"/>
    <w:lvl w:ilvl="0" w:tentative="0">
      <w:start w:val="1"/>
      <w:numFmt w:val="decimal"/>
      <w:suff w:val="space"/>
      <w:lvlText w:val="%1."/>
      <w:lvlJc w:val="left"/>
    </w:lvl>
  </w:abstractNum>
  <w:abstractNum w:abstractNumId="38">
    <w:nsid w:val="7A444BE7"/>
    <w:multiLevelType w:val="multilevel"/>
    <w:tmpl w:val="7A444BE7"/>
    <w:lvl w:ilvl="0" w:tentative="0">
      <w:start w:val="1"/>
      <w:numFmt w:val="decimal"/>
      <w:pStyle w:val="32"/>
      <w:lvlText w:val="%1"/>
      <w:lvlJc w:val="left"/>
      <w:pPr>
        <w:tabs>
          <w:tab w:val="left" w:pos="432"/>
        </w:tabs>
        <w:ind w:left="432" w:hanging="432"/>
      </w:pPr>
      <w:rPr>
        <w:rFonts w:hint="eastAsia"/>
      </w:rPr>
    </w:lvl>
    <w:lvl w:ilvl="1" w:tentative="0">
      <w:start w:val="1"/>
      <w:numFmt w:val="decimal"/>
      <w:lvlRestart w:val="0"/>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color w:val="auto"/>
      </w:rPr>
    </w:lvl>
    <w:lvl w:ilvl="3" w:tentative="0">
      <w:start w:val="1"/>
      <w:numFmt w:val="decimal"/>
      <w:lvlText w:val="%1.%2.%3.%4"/>
      <w:lvlJc w:val="left"/>
      <w:pPr>
        <w:tabs>
          <w:tab w:val="left" w:pos="864"/>
        </w:tabs>
        <w:ind w:left="864" w:hanging="864"/>
      </w:pPr>
      <w:rPr>
        <w:rFonts w:hint="eastAsia"/>
        <w:color w:val="auto"/>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9">
    <w:nsid w:val="7AF36F36"/>
    <w:multiLevelType w:val="singleLevel"/>
    <w:tmpl w:val="7AF36F36"/>
    <w:lvl w:ilvl="0" w:tentative="0">
      <w:start w:val="1"/>
      <w:numFmt w:val="none"/>
      <w:pStyle w:val="5"/>
      <w:suff w:val="nothing"/>
      <w:lvlText w:val="第一章"/>
      <w:lvlJc w:val="left"/>
      <w:pPr>
        <w:ind w:left="0" w:firstLine="420"/>
      </w:pPr>
      <w:rPr>
        <w:rFonts w:hint="default"/>
      </w:rPr>
    </w:lvl>
  </w:abstractNum>
  <w:num w:numId="1">
    <w:abstractNumId w:val="35"/>
  </w:num>
  <w:num w:numId="2">
    <w:abstractNumId w:val="15"/>
  </w:num>
  <w:num w:numId="3">
    <w:abstractNumId w:val="39"/>
  </w:num>
  <w:num w:numId="4">
    <w:abstractNumId w:val="31"/>
  </w:num>
  <w:num w:numId="5">
    <w:abstractNumId w:val="23"/>
  </w:num>
  <w:num w:numId="6">
    <w:abstractNumId w:val="34"/>
  </w:num>
  <w:num w:numId="7">
    <w:abstractNumId w:val="17"/>
  </w:num>
  <w:num w:numId="8">
    <w:abstractNumId w:val="38"/>
  </w:num>
  <w:num w:numId="9">
    <w:abstractNumId w:val="11"/>
  </w:num>
  <w:num w:numId="10">
    <w:abstractNumId w:val="10"/>
  </w:num>
  <w:num w:numId="11">
    <w:abstractNumId w:val="30"/>
  </w:num>
  <w:num w:numId="12">
    <w:abstractNumId w:val="12"/>
  </w:num>
  <w:num w:numId="13">
    <w:abstractNumId w:val="13"/>
  </w:num>
  <w:num w:numId="14">
    <w:abstractNumId w:val="29"/>
  </w:num>
  <w:num w:numId="15">
    <w:abstractNumId w:val="27"/>
  </w:num>
  <w:num w:numId="16">
    <w:abstractNumId w:val="25"/>
  </w:num>
  <w:num w:numId="17">
    <w:abstractNumId w:val="19"/>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18"/>
  </w:num>
  <w:num w:numId="22">
    <w:abstractNumId w:val="5"/>
  </w:num>
  <w:num w:numId="23">
    <w:abstractNumId w:val="0"/>
  </w:num>
  <w:num w:numId="24">
    <w:abstractNumId w:val="22"/>
  </w:num>
  <w:num w:numId="25">
    <w:abstractNumId w:val="37"/>
  </w:num>
  <w:num w:numId="26">
    <w:abstractNumId w:val="4"/>
  </w:num>
  <w:num w:numId="27">
    <w:abstractNumId w:val="9"/>
  </w:num>
  <w:num w:numId="28">
    <w:abstractNumId w:val="7"/>
  </w:num>
  <w:num w:numId="29">
    <w:abstractNumId w:val="6"/>
  </w:num>
  <w:num w:numId="30">
    <w:abstractNumId w:val="2"/>
  </w:num>
  <w:num w:numId="31">
    <w:abstractNumId w:val="8"/>
  </w:num>
  <w:num w:numId="32">
    <w:abstractNumId w:val="33"/>
  </w:num>
  <w:num w:numId="33">
    <w:abstractNumId w:val="32"/>
  </w:num>
  <w:num w:numId="34">
    <w:abstractNumId w:val="21"/>
  </w:num>
  <w:num w:numId="35">
    <w:abstractNumId w:val="20"/>
  </w:num>
  <w:num w:numId="36">
    <w:abstractNumId w:val="36"/>
  </w:num>
  <w:num w:numId="37">
    <w:abstractNumId w:val="24"/>
  </w:num>
  <w:num w:numId="38">
    <w:abstractNumId w:val="14"/>
  </w:num>
  <w:num w:numId="39">
    <w:abstractNumId w:val="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6"/>
  <w:drawingGridVerticalSpacing w:val="157"/>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5MThjMjYyZDcxZjYyNGVmZjIxODE1MDJkN2U2YjQifQ=="/>
    <w:docVar w:name="KSO_WPS_MARK_KEY" w:val="4a5a3c2d-d85f-4086-afd8-e9b7d25330e7"/>
  </w:docVars>
  <w:rsids>
    <w:rsidRoot w:val="00172A27"/>
    <w:rsid w:val="0000015E"/>
    <w:rsid w:val="00000405"/>
    <w:rsid w:val="00003DF3"/>
    <w:rsid w:val="000058E9"/>
    <w:rsid w:val="00005C9D"/>
    <w:rsid w:val="000101AE"/>
    <w:rsid w:val="00012D12"/>
    <w:rsid w:val="00012D95"/>
    <w:rsid w:val="00013F80"/>
    <w:rsid w:val="00015E92"/>
    <w:rsid w:val="000164BE"/>
    <w:rsid w:val="00016F78"/>
    <w:rsid w:val="00020A9B"/>
    <w:rsid w:val="00020C26"/>
    <w:rsid w:val="0002259A"/>
    <w:rsid w:val="0002399D"/>
    <w:rsid w:val="00024959"/>
    <w:rsid w:val="00026F48"/>
    <w:rsid w:val="0002754F"/>
    <w:rsid w:val="000279B4"/>
    <w:rsid w:val="00027A0A"/>
    <w:rsid w:val="0003028F"/>
    <w:rsid w:val="00031205"/>
    <w:rsid w:val="00034608"/>
    <w:rsid w:val="00034B1B"/>
    <w:rsid w:val="000355F1"/>
    <w:rsid w:val="00035F3D"/>
    <w:rsid w:val="00037C9E"/>
    <w:rsid w:val="000400DF"/>
    <w:rsid w:val="00040713"/>
    <w:rsid w:val="000409E9"/>
    <w:rsid w:val="0004274D"/>
    <w:rsid w:val="000435E1"/>
    <w:rsid w:val="000437F1"/>
    <w:rsid w:val="00045505"/>
    <w:rsid w:val="0004796B"/>
    <w:rsid w:val="00053848"/>
    <w:rsid w:val="00054FFC"/>
    <w:rsid w:val="00055740"/>
    <w:rsid w:val="00057EE5"/>
    <w:rsid w:val="00063979"/>
    <w:rsid w:val="00063B34"/>
    <w:rsid w:val="00063EA0"/>
    <w:rsid w:val="00064E99"/>
    <w:rsid w:val="000651E6"/>
    <w:rsid w:val="000656DC"/>
    <w:rsid w:val="000744C8"/>
    <w:rsid w:val="0007482E"/>
    <w:rsid w:val="00074877"/>
    <w:rsid w:val="000748A7"/>
    <w:rsid w:val="00075A78"/>
    <w:rsid w:val="00076B15"/>
    <w:rsid w:val="00080FFC"/>
    <w:rsid w:val="00081278"/>
    <w:rsid w:val="000827E2"/>
    <w:rsid w:val="000838C3"/>
    <w:rsid w:val="000841F9"/>
    <w:rsid w:val="00085224"/>
    <w:rsid w:val="00085FB1"/>
    <w:rsid w:val="00090037"/>
    <w:rsid w:val="00090364"/>
    <w:rsid w:val="00091014"/>
    <w:rsid w:val="0009148D"/>
    <w:rsid w:val="00092548"/>
    <w:rsid w:val="00092E2D"/>
    <w:rsid w:val="0009417A"/>
    <w:rsid w:val="00096174"/>
    <w:rsid w:val="00096AC7"/>
    <w:rsid w:val="000A0179"/>
    <w:rsid w:val="000A084F"/>
    <w:rsid w:val="000A2F80"/>
    <w:rsid w:val="000A32D6"/>
    <w:rsid w:val="000A4077"/>
    <w:rsid w:val="000A52D3"/>
    <w:rsid w:val="000A531C"/>
    <w:rsid w:val="000A6B9A"/>
    <w:rsid w:val="000B458A"/>
    <w:rsid w:val="000B4981"/>
    <w:rsid w:val="000B5578"/>
    <w:rsid w:val="000B7647"/>
    <w:rsid w:val="000C08DD"/>
    <w:rsid w:val="000C132C"/>
    <w:rsid w:val="000C3E40"/>
    <w:rsid w:val="000C5922"/>
    <w:rsid w:val="000D317D"/>
    <w:rsid w:val="000D52FC"/>
    <w:rsid w:val="000D6844"/>
    <w:rsid w:val="000D686D"/>
    <w:rsid w:val="000E28BA"/>
    <w:rsid w:val="000E2B3B"/>
    <w:rsid w:val="000E3448"/>
    <w:rsid w:val="000E409C"/>
    <w:rsid w:val="000E446B"/>
    <w:rsid w:val="000E54B7"/>
    <w:rsid w:val="000E7300"/>
    <w:rsid w:val="000F1217"/>
    <w:rsid w:val="000F2002"/>
    <w:rsid w:val="000F26F5"/>
    <w:rsid w:val="000F388E"/>
    <w:rsid w:val="000F41A1"/>
    <w:rsid w:val="000F570E"/>
    <w:rsid w:val="000F6B5B"/>
    <w:rsid w:val="00101AC5"/>
    <w:rsid w:val="00101D91"/>
    <w:rsid w:val="001037D9"/>
    <w:rsid w:val="001039AA"/>
    <w:rsid w:val="0010606A"/>
    <w:rsid w:val="00106E72"/>
    <w:rsid w:val="00107BD8"/>
    <w:rsid w:val="001101B1"/>
    <w:rsid w:val="00111E62"/>
    <w:rsid w:val="0011218C"/>
    <w:rsid w:val="00112E4A"/>
    <w:rsid w:val="0011591F"/>
    <w:rsid w:val="00115D7A"/>
    <w:rsid w:val="0011726C"/>
    <w:rsid w:val="00117372"/>
    <w:rsid w:val="00122337"/>
    <w:rsid w:val="00124786"/>
    <w:rsid w:val="00125EA6"/>
    <w:rsid w:val="00130FB1"/>
    <w:rsid w:val="00133644"/>
    <w:rsid w:val="00133B83"/>
    <w:rsid w:val="00134974"/>
    <w:rsid w:val="001352A6"/>
    <w:rsid w:val="00135932"/>
    <w:rsid w:val="00136A68"/>
    <w:rsid w:val="00142B94"/>
    <w:rsid w:val="00150EDA"/>
    <w:rsid w:val="0015220D"/>
    <w:rsid w:val="001527D4"/>
    <w:rsid w:val="00153D8E"/>
    <w:rsid w:val="00154B4A"/>
    <w:rsid w:val="001550CB"/>
    <w:rsid w:val="00155184"/>
    <w:rsid w:val="001563BE"/>
    <w:rsid w:val="0015720A"/>
    <w:rsid w:val="0016009D"/>
    <w:rsid w:val="00163102"/>
    <w:rsid w:val="00163F3D"/>
    <w:rsid w:val="00166BBF"/>
    <w:rsid w:val="00167D46"/>
    <w:rsid w:val="001715DE"/>
    <w:rsid w:val="001723A3"/>
    <w:rsid w:val="00172741"/>
    <w:rsid w:val="001731E0"/>
    <w:rsid w:val="00173C8E"/>
    <w:rsid w:val="00174FD9"/>
    <w:rsid w:val="00175BCF"/>
    <w:rsid w:val="00181023"/>
    <w:rsid w:val="0018219B"/>
    <w:rsid w:val="00183729"/>
    <w:rsid w:val="00186E7B"/>
    <w:rsid w:val="00191212"/>
    <w:rsid w:val="00197226"/>
    <w:rsid w:val="00197647"/>
    <w:rsid w:val="001A01B2"/>
    <w:rsid w:val="001A0EF3"/>
    <w:rsid w:val="001A1729"/>
    <w:rsid w:val="001A26AC"/>
    <w:rsid w:val="001A2F37"/>
    <w:rsid w:val="001A3FAF"/>
    <w:rsid w:val="001A4C37"/>
    <w:rsid w:val="001A7849"/>
    <w:rsid w:val="001A7A59"/>
    <w:rsid w:val="001C1CDC"/>
    <w:rsid w:val="001C2165"/>
    <w:rsid w:val="001C2351"/>
    <w:rsid w:val="001C2578"/>
    <w:rsid w:val="001C41E8"/>
    <w:rsid w:val="001C5643"/>
    <w:rsid w:val="001C5D33"/>
    <w:rsid w:val="001C6F08"/>
    <w:rsid w:val="001C7686"/>
    <w:rsid w:val="001C7FF6"/>
    <w:rsid w:val="001D049E"/>
    <w:rsid w:val="001D19AC"/>
    <w:rsid w:val="001D1BF2"/>
    <w:rsid w:val="001D554C"/>
    <w:rsid w:val="001D5772"/>
    <w:rsid w:val="001D5BE0"/>
    <w:rsid w:val="001D6D4D"/>
    <w:rsid w:val="001D7009"/>
    <w:rsid w:val="001D712F"/>
    <w:rsid w:val="001D7293"/>
    <w:rsid w:val="001D72A1"/>
    <w:rsid w:val="001E03B8"/>
    <w:rsid w:val="001E0667"/>
    <w:rsid w:val="001E0A51"/>
    <w:rsid w:val="001E0ED6"/>
    <w:rsid w:val="001E11E5"/>
    <w:rsid w:val="001E29CC"/>
    <w:rsid w:val="001E29D4"/>
    <w:rsid w:val="001E3BC0"/>
    <w:rsid w:val="001E3C11"/>
    <w:rsid w:val="001E43FD"/>
    <w:rsid w:val="001E643B"/>
    <w:rsid w:val="001F1474"/>
    <w:rsid w:val="001F1D26"/>
    <w:rsid w:val="001F4282"/>
    <w:rsid w:val="002009B0"/>
    <w:rsid w:val="00200C4F"/>
    <w:rsid w:val="00200CA8"/>
    <w:rsid w:val="00200E51"/>
    <w:rsid w:val="00201409"/>
    <w:rsid w:val="0020311E"/>
    <w:rsid w:val="0020346A"/>
    <w:rsid w:val="00203513"/>
    <w:rsid w:val="00203610"/>
    <w:rsid w:val="00205C37"/>
    <w:rsid w:val="00210BF6"/>
    <w:rsid w:val="00215011"/>
    <w:rsid w:val="00221B23"/>
    <w:rsid w:val="002237A9"/>
    <w:rsid w:val="00223C0D"/>
    <w:rsid w:val="002242A4"/>
    <w:rsid w:val="0022454B"/>
    <w:rsid w:val="00227CA2"/>
    <w:rsid w:val="00230CA6"/>
    <w:rsid w:val="00232D06"/>
    <w:rsid w:val="002333E2"/>
    <w:rsid w:val="0023392A"/>
    <w:rsid w:val="0023452E"/>
    <w:rsid w:val="00240D8F"/>
    <w:rsid w:val="002419C0"/>
    <w:rsid w:val="00243477"/>
    <w:rsid w:val="00246A1F"/>
    <w:rsid w:val="00246C9F"/>
    <w:rsid w:val="0024705F"/>
    <w:rsid w:val="002471A1"/>
    <w:rsid w:val="00247EF2"/>
    <w:rsid w:val="00251BA9"/>
    <w:rsid w:val="002553EA"/>
    <w:rsid w:val="00257BAA"/>
    <w:rsid w:val="002615C0"/>
    <w:rsid w:val="002615D5"/>
    <w:rsid w:val="00262826"/>
    <w:rsid w:val="00263F8F"/>
    <w:rsid w:val="00264436"/>
    <w:rsid w:val="00264D28"/>
    <w:rsid w:val="00264DB2"/>
    <w:rsid w:val="00265EA9"/>
    <w:rsid w:val="00267973"/>
    <w:rsid w:val="00270313"/>
    <w:rsid w:val="002707A7"/>
    <w:rsid w:val="00270F4D"/>
    <w:rsid w:val="00274126"/>
    <w:rsid w:val="002754F6"/>
    <w:rsid w:val="00275B9C"/>
    <w:rsid w:val="002760B5"/>
    <w:rsid w:val="00276A54"/>
    <w:rsid w:val="00277350"/>
    <w:rsid w:val="00282561"/>
    <w:rsid w:val="00282886"/>
    <w:rsid w:val="00282B35"/>
    <w:rsid w:val="00284AE8"/>
    <w:rsid w:val="002853B7"/>
    <w:rsid w:val="00285A27"/>
    <w:rsid w:val="002864DC"/>
    <w:rsid w:val="00287E4B"/>
    <w:rsid w:val="002901A6"/>
    <w:rsid w:val="00292AE4"/>
    <w:rsid w:val="002A3B58"/>
    <w:rsid w:val="002A438E"/>
    <w:rsid w:val="002A5006"/>
    <w:rsid w:val="002A585B"/>
    <w:rsid w:val="002A6D02"/>
    <w:rsid w:val="002A7D34"/>
    <w:rsid w:val="002B02D4"/>
    <w:rsid w:val="002B2322"/>
    <w:rsid w:val="002B2384"/>
    <w:rsid w:val="002B2850"/>
    <w:rsid w:val="002B3F94"/>
    <w:rsid w:val="002B47F7"/>
    <w:rsid w:val="002B5F4F"/>
    <w:rsid w:val="002B65D6"/>
    <w:rsid w:val="002C031C"/>
    <w:rsid w:val="002C06B0"/>
    <w:rsid w:val="002C0E7C"/>
    <w:rsid w:val="002C14B7"/>
    <w:rsid w:val="002C32B5"/>
    <w:rsid w:val="002C4678"/>
    <w:rsid w:val="002C5BC4"/>
    <w:rsid w:val="002C6B3C"/>
    <w:rsid w:val="002D0F37"/>
    <w:rsid w:val="002D1C0C"/>
    <w:rsid w:val="002D20D8"/>
    <w:rsid w:val="002D2145"/>
    <w:rsid w:val="002D2E8F"/>
    <w:rsid w:val="002D31C7"/>
    <w:rsid w:val="002D33FA"/>
    <w:rsid w:val="002D38D1"/>
    <w:rsid w:val="002D425B"/>
    <w:rsid w:val="002D5FAC"/>
    <w:rsid w:val="002D65DA"/>
    <w:rsid w:val="002E0277"/>
    <w:rsid w:val="002E0D2D"/>
    <w:rsid w:val="002E12F7"/>
    <w:rsid w:val="002E2BDE"/>
    <w:rsid w:val="002E40D6"/>
    <w:rsid w:val="002E720E"/>
    <w:rsid w:val="002E78B5"/>
    <w:rsid w:val="002F0D64"/>
    <w:rsid w:val="002F0EE8"/>
    <w:rsid w:val="002F23CD"/>
    <w:rsid w:val="002F2CAD"/>
    <w:rsid w:val="002F3F79"/>
    <w:rsid w:val="002F585E"/>
    <w:rsid w:val="002F6438"/>
    <w:rsid w:val="002F7662"/>
    <w:rsid w:val="002F7E47"/>
    <w:rsid w:val="002F7E63"/>
    <w:rsid w:val="00300050"/>
    <w:rsid w:val="00301C08"/>
    <w:rsid w:val="00302114"/>
    <w:rsid w:val="0030541A"/>
    <w:rsid w:val="00305F7A"/>
    <w:rsid w:val="003067CD"/>
    <w:rsid w:val="00307D78"/>
    <w:rsid w:val="00310AEC"/>
    <w:rsid w:val="00311FE7"/>
    <w:rsid w:val="00312940"/>
    <w:rsid w:val="0031383B"/>
    <w:rsid w:val="003144E4"/>
    <w:rsid w:val="00315346"/>
    <w:rsid w:val="0031659A"/>
    <w:rsid w:val="00316796"/>
    <w:rsid w:val="003201B9"/>
    <w:rsid w:val="003202AA"/>
    <w:rsid w:val="00321987"/>
    <w:rsid w:val="00321A0B"/>
    <w:rsid w:val="00321AF7"/>
    <w:rsid w:val="00322816"/>
    <w:rsid w:val="003230E5"/>
    <w:rsid w:val="0032413E"/>
    <w:rsid w:val="0032622F"/>
    <w:rsid w:val="00326F06"/>
    <w:rsid w:val="00327860"/>
    <w:rsid w:val="00327FE9"/>
    <w:rsid w:val="00333E21"/>
    <w:rsid w:val="00336B68"/>
    <w:rsid w:val="00340DAF"/>
    <w:rsid w:val="00341521"/>
    <w:rsid w:val="003416C9"/>
    <w:rsid w:val="00343951"/>
    <w:rsid w:val="00343D43"/>
    <w:rsid w:val="00345359"/>
    <w:rsid w:val="00346666"/>
    <w:rsid w:val="00346F69"/>
    <w:rsid w:val="003502CE"/>
    <w:rsid w:val="0035247A"/>
    <w:rsid w:val="003524FF"/>
    <w:rsid w:val="003529B9"/>
    <w:rsid w:val="00353869"/>
    <w:rsid w:val="003548F0"/>
    <w:rsid w:val="0035497F"/>
    <w:rsid w:val="00354CF4"/>
    <w:rsid w:val="00354EE5"/>
    <w:rsid w:val="0036093C"/>
    <w:rsid w:val="00360E24"/>
    <w:rsid w:val="00363512"/>
    <w:rsid w:val="003654C3"/>
    <w:rsid w:val="00367FA0"/>
    <w:rsid w:val="00371478"/>
    <w:rsid w:val="003724BA"/>
    <w:rsid w:val="00372A15"/>
    <w:rsid w:val="0037481B"/>
    <w:rsid w:val="00374D23"/>
    <w:rsid w:val="00374E20"/>
    <w:rsid w:val="00376CA4"/>
    <w:rsid w:val="003807B4"/>
    <w:rsid w:val="00381324"/>
    <w:rsid w:val="00382787"/>
    <w:rsid w:val="00384C9E"/>
    <w:rsid w:val="003878E6"/>
    <w:rsid w:val="003A1953"/>
    <w:rsid w:val="003A1F5D"/>
    <w:rsid w:val="003A204B"/>
    <w:rsid w:val="003A24EC"/>
    <w:rsid w:val="003A34F9"/>
    <w:rsid w:val="003A3D28"/>
    <w:rsid w:val="003A4BBC"/>
    <w:rsid w:val="003A6991"/>
    <w:rsid w:val="003B14C0"/>
    <w:rsid w:val="003B17FB"/>
    <w:rsid w:val="003B468A"/>
    <w:rsid w:val="003B5053"/>
    <w:rsid w:val="003B549F"/>
    <w:rsid w:val="003B593F"/>
    <w:rsid w:val="003B7652"/>
    <w:rsid w:val="003C0C7F"/>
    <w:rsid w:val="003C20BF"/>
    <w:rsid w:val="003C52A3"/>
    <w:rsid w:val="003C576F"/>
    <w:rsid w:val="003D21DB"/>
    <w:rsid w:val="003D2EA2"/>
    <w:rsid w:val="003D3D76"/>
    <w:rsid w:val="003D3FAD"/>
    <w:rsid w:val="003D7EA0"/>
    <w:rsid w:val="003E02AA"/>
    <w:rsid w:val="003E17DE"/>
    <w:rsid w:val="003E191A"/>
    <w:rsid w:val="003E1F7A"/>
    <w:rsid w:val="003E49BE"/>
    <w:rsid w:val="003E5909"/>
    <w:rsid w:val="003E7497"/>
    <w:rsid w:val="003E7A86"/>
    <w:rsid w:val="003F001F"/>
    <w:rsid w:val="003F617E"/>
    <w:rsid w:val="00400612"/>
    <w:rsid w:val="0040253A"/>
    <w:rsid w:val="00402C48"/>
    <w:rsid w:val="00403BA6"/>
    <w:rsid w:val="00404502"/>
    <w:rsid w:val="00405675"/>
    <w:rsid w:val="0040772B"/>
    <w:rsid w:val="00410C5A"/>
    <w:rsid w:val="004125DF"/>
    <w:rsid w:val="00414C1D"/>
    <w:rsid w:val="0042012D"/>
    <w:rsid w:val="0042398B"/>
    <w:rsid w:val="00426710"/>
    <w:rsid w:val="004279F8"/>
    <w:rsid w:val="0043013B"/>
    <w:rsid w:val="004308A7"/>
    <w:rsid w:val="00430EC7"/>
    <w:rsid w:val="00431EF3"/>
    <w:rsid w:val="00434B66"/>
    <w:rsid w:val="00436A7D"/>
    <w:rsid w:val="00436E28"/>
    <w:rsid w:val="00437834"/>
    <w:rsid w:val="00441D8F"/>
    <w:rsid w:val="00443014"/>
    <w:rsid w:val="00447A78"/>
    <w:rsid w:val="00451886"/>
    <w:rsid w:val="00451BEC"/>
    <w:rsid w:val="004546F1"/>
    <w:rsid w:val="00455619"/>
    <w:rsid w:val="0046218E"/>
    <w:rsid w:val="004633B9"/>
    <w:rsid w:val="0046397E"/>
    <w:rsid w:val="00466590"/>
    <w:rsid w:val="004666DC"/>
    <w:rsid w:val="004668B0"/>
    <w:rsid w:val="00467857"/>
    <w:rsid w:val="00467D3C"/>
    <w:rsid w:val="004708FE"/>
    <w:rsid w:val="00470E2D"/>
    <w:rsid w:val="0047156B"/>
    <w:rsid w:val="0047415A"/>
    <w:rsid w:val="00474633"/>
    <w:rsid w:val="00475ADF"/>
    <w:rsid w:val="004772AC"/>
    <w:rsid w:val="00483F71"/>
    <w:rsid w:val="004852FD"/>
    <w:rsid w:val="00485921"/>
    <w:rsid w:val="00487BD5"/>
    <w:rsid w:val="0049248F"/>
    <w:rsid w:val="00492BD6"/>
    <w:rsid w:val="00494258"/>
    <w:rsid w:val="0049472B"/>
    <w:rsid w:val="004950F5"/>
    <w:rsid w:val="00495B8A"/>
    <w:rsid w:val="00495C5B"/>
    <w:rsid w:val="00495E19"/>
    <w:rsid w:val="00495E6A"/>
    <w:rsid w:val="00497273"/>
    <w:rsid w:val="004A02C9"/>
    <w:rsid w:val="004A0704"/>
    <w:rsid w:val="004A1237"/>
    <w:rsid w:val="004A1FE7"/>
    <w:rsid w:val="004A36A3"/>
    <w:rsid w:val="004A5C61"/>
    <w:rsid w:val="004A5F8C"/>
    <w:rsid w:val="004A6553"/>
    <w:rsid w:val="004A65E5"/>
    <w:rsid w:val="004B1B41"/>
    <w:rsid w:val="004B1B54"/>
    <w:rsid w:val="004B2DC9"/>
    <w:rsid w:val="004B390D"/>
    <w:rsid w:val="004B4029"/>
    <w:rsid w:val="004B535F"/>
    <w:rsid w:val="004B73FF"/>
    <w:rsid w:val="004C2C10"/>
    <w:rsid w:val="004C4473"/>
    <w:rsid w:val="004C5D21"/>
    <w:rsid w:val="004C6850"/>
    <w:rsid w:val="004C6EE4"/>
    <w:rsid w:val="004C6F54"/>
    <w:rsid w:val="004C7555"/>
    <w:rsid w:val="004D2F0F"/>
    <w:rsid w:val="004D3A90"/>
    <w:rsid w:val="004D3DC9"/>
    <w:rsid w:val="004D4A8F"/>
    <w:rsid w:val="004D7283"/>
    <w:rsid w:val="004D7643"/>
    <w:rsid w:val="004E0AC4"/>
    <w:rsid w:val="004E1948"/>
    <w:rsid w:val="004E1DFD"/>
    <w:rsid w:val="004E2135"/>
    <w:rsid w:val="004E27A3"/>
    <w:rsid w:val="004E470A"/>
    <w:rsid w:val="004E553B"/>
    <w:rsid w:val="004E65EB"/>
    <w:rsid w:val="004E70E3"/>
    <w:rsid w:val="004F2BDD"/>
    <w:rsid w:val="004F35B3"/>
    <w:rsid w:val="004F4178"/>
    <w:rsid w:val="004F718E"/>
    <w:rsid w:val="004F7BFE"/>
    <w:rsid w:val="005010D6"/>
    <w:rsid w:val="00503613"/>
    <w:rsid w:val="005046A8"/>
    <w:rsid w:val="005057BD"/>
    <w:rsid w:val="00506CCC"/>
    <w:rsid w:val="00506D5E"/>
    <w:rsid w:val="005108EB"/>
    <w:rsid w:val="00511396"/>
    <w:rsid w:val="00511559"/>
    <w:rsid w:val="00511D35"/>
    <w:rsid w:val="00513AC1"/>
    <w:rsid w:val="0051470E"/>
    <w:rsid w:val="00514987"/>
    <w:rsid w:val="0051508F"/>
    <w:rsid w:val="005153E7"/>
    <w:rsid w:val="00516E89"/>
    <w:rsid w:val="0052096E"/>
    <w:rsid w:val="00524003"/>
    <w:rsid w:val="00524168"/>
    <w:rsid w:val="00524D60"/>
    <w:rsid w:val="005251C9"/>
    <w:rsid w:val="00527154"/>
    <w:rsid w:val="00530E5B"/>
    <w:rsid w:val="00533382"/>
    <w:rsid w:val="0053432A"/>
    <w:rsid w:val="005347AC"/>
    <w:rsid w:val="00535125"/>
    <w:rsid w:val="005351DF"/>
    <w:rsid w:val="00535BC5"/>
    <w:rsid w:val="00537457"/>
    <w:rsid w:val="0053757A"/>
    <w:rsid w:val="005401BA"/>
    <w:rsid w:val="00540206"/>
    <w:rsid w:val="00540B57"/>
    <w:rsid w:val="00541254"/>
    <w:rsid w:val="0054130B"/>
    <w:rsid w:val="00541362"/>
    <w:rsid w:val="00541EE1"/>
    <w:rsid w:val="0054266D"/>
    <w:rsid w:val="005429F0"/>
    <w:rsid w:val="00545D06"/>
    <w:rsid w:val="0054797A"/>
    <w:rsid w:val="00547E69"/>
    <w:rsid w:val="00550BF6"/>
    <w:rsid w:val="00550E5F"/>
    <w:rsid w:val="0055118A"/>
    <w:rsid w:val="0055156D"/>
    <w:rsid w:val="00552BF2"/>
    <w:rsid w:val="0055488D"/>
    <w:rsid w:val="00554F3B"/>
    <w:rsid w:val="005550C1"/>
    <w:rsid w:val="0056103D"/>
    <w:rsid w:val="00562661"/>
    <w:rsid w:val="00563EBA"/>
    <w:rsid w:val="005640E2"/>
    <w:rsid w:val="00566973"/>
    <w:rsid w:val="00567107"/>
    <w:rsid w:val="005706C5"/>
    <w:rsid w:val="00570F0B"/>
    <w:rsid w:val="005731A6"/>
    <w:rsid w:val="005746DB"/>
    <w:rsid w:val="005822BF"/>
    <w:rsid w:val="00582539"/>
    <w:rsid w:val="0058445F"/>
    <w:rsid w:val="00585BEE"/>
    <w:rsid w:val="00587A94"/>
    <w:rsid w:val="00590320"/>
    <w:rsid w:val="00590851"/>
    <w:rsid w:val="0059154B"/>
    <w:rsid w:val="00594F0D"/>
    <w:rsid w:val="005954E1"/>
    <w:rsid w:val="005A09D0"/>
    <w:rsid w:val="005A0FB6"/>
    <w:rsid w:val="005A10C7"/>
    <w:rsid w:val="005A5B16"/>
    <w:rsid w:val="005A61F2"/>
    <w:rsid w:val="005A64BF"/>
    <w:rsid w:val="005A6A19"/>
    <w:rsid w:val="005B159E"/>
    <w:rsid w:val="005B182D"/>
    <w:rsid w:val="005B244D"/>
    <w:rsid w:val="005B36F5"/>
    <w:rsid w:val="005B3FB1"/>
    <w:rsid w:val="005B4251"/>
    <w:rsid w:val="005B4BE2"/>
    <w:rsid w:val="005B623F"/>
    <w:rsid w:val="005B75FB"/>
    <w:rsid w:val="005C0891"/>
    <w:rsid w:val="005C655F"/>
    <w:rsid w:val="005C6ADB"/>
    <w:rsid w:val="005C7A65"/>
    <w:rsid w:val="005C7C40"/>
    <w:rsid w:val="005D03A1"/>
    <w:rsid w:val="005D4494"/>
    <w:rsid w:val="005D5C3A"/>
    <w:rsid w:val="005D6D44"/>
    <w:rsid w:val="005E06C6"/>
    <w:rsid w:val="005E523F"/>
    <w:rsid w:val="005E7198"/>
    <w:rsid w:val="005E7AA3"/>
    <w:rsid w:val="005F040D"/>
    <w:rsid w:val="005F12D2"/>
    <w:rsid w:val="005F1703"/>
    <w:rsid w:val="005F1870"/>
    <w:rsid w:val="005F371B"/>
    <w:rsid w:val="005F41F9"/>
    <w:rsid w:val="005F4DDB"/>
    <w:rsid w:val="005F5BBA"/>
    <w:rsid w:val="005F5F50"/>
    <w:rsid w:val="005F653B"/>
    <w:rsid w:val="005F6EE9"/>
    <w:rsid w:val="005F7BC6"/>
    <w:rsid w:val="0060420D"/>
    <w:rsid w:val="00604C5D"/>
    <w:rsid w:val="006079D6"/>
    <w:rsid w:val="00611066"/>
    <w:rsid w:val="00612AFA"/>
    <w:rsid w:val="00612C77"/>
    <w:rsid w:val="0061428B"/>
    <w:rsid w:val="006154F5"/>
    <w:rsid w:val="00615EA1"/>
    <w:rsid w:val="006164E7"/>
    <w:rsid w:val="00621DD2"/>
    <w:rsid w:val="00622253"/>
    <w:rsid w:val="006223A4"/>
    <w:rsid w:val="00625A40"/>
    <w:rsid w:val="0062716B"/>
    <w:rsid w:val="00627264"/>
    <w:rsid w:val="00627A1F"/>
    <w:rsid w:val="00627A78"/>
    <w:rsid w:val="0063027F"/>
    <w:rsid w:val="00630820"/>
    <w:rsid w:val="00631E94"/>
    <w:rsid w:val="00632950"/>
    <w:rsid w:val="00632BB4"/>
    <w:rsid w:val="006344FB"/>
    <w:rsid w:val="00635485"/>
    <w:rsid w:val="006360BD"/>
    <w:rsid w:val="00640B7A"/>
    <w:rsid w:val="006412F5"/>
    <w:rsid w:val="0064186D"/>
    <w:rsid w:val="00643AF9"/>
    <w:rsid w:val="00645E1C"/>
    <w:rsid w:val="00646D99"/>
    <w:rsid w:val="0065004B"/>
    <w:rsid w:val="00651C71"/>
    <w:rsid w:val="00652925"/>
    <w:rsid w:val="00652D15"/>
    <w:rsid w:val="0065486A"/>
    <w:rsid w:val="00654E9C"/>
    <w:rsid w:val="00655707"/>
    <w:rsid w:val="0066032C"/>
    <w:rsid w:val="006605DA"/>
    <w:rsid w:val="006611FA"/>
    <w:rsid w:val="00662AE4"/>
    <w:rsid w:val="00665CA1"/>
    <w:rsid w:val="00666094"/>
    <w:rsid w:val="00666BEE"/>
    <w:rsid w:val="00670BF8"/>
    <w:rsid w:val="00671612"/>
    <w:rsid w:val="00672296"/>
    <w:rsid w:val="00672A3B"/>
    <w:rsid w:val="006731BF"/>
    <w:rsid w:val="00675E1F"/>
    <w:rsid w:val="0068362D"/>
    <w:rsid w:val="00683998"/>
    <w:rsid w:val="006839A6"/>
    <w:rsid w:val="006843DC"/>
    <w:rsid w:val="00686330"/>
    <w:rsid w:val="00687D97"/>
    <w:rsid w:val="0069019E"/>
    <w:rsid w:val="00691A18"/>
    <w:rsid w:val="00692419"/>
    <w:rsid w:val="00693747"/>
    <w:rsid w:val="00694A90"/>
    <w:rsid w:val="00697447"/>
    <w:rsid w:val="006A1D68"/>
    <w:rsid w:val="006A2134"/>
    <w:rsid w:val="006A4728"/>
    <w:rsid w:val="006A5A1E"/>
    <w:rsid w:val="006A754A"/>
    <w:rsid w:val="006B0FBA"/>
    <w:rsid w:val="006B1DAE"/>
    <w:rsid w:val="006B3E67"/>
    <w:rsid w:val="006B5B79"/>
    <w:rsid w:val="006B68E4"/>
    <w:rsid w:val="006C22C1"/>
    <w:rsid w:val="006C465A"/>
    <w:rsid w:val="006D1632"/>
    <w:rsid w:val="006D517A"/>
    <w:rsid w:val="006D54C1"/>
    <w:rsid w:val="006D6D32"/>
    <w:rsid w:val="006D6EA8"/>
    <w:rsid w:val="006E0A37"/>
    <w:rsid w:val="006E0C45"/>
    <w:rsid w:val="006E1435"/>
    <w:rsid w:val="006E26E8"/>
    <w:rsid w:val="006E37E4"/>
    <w:rsid w:val="006E4995"/>
    <w:rsid w:val="006E5E97"/>
    <w:rsid w:val="006F319D"/>
    <w:rsid w:val="006F3574"/>
    <w:rsid w:val="006F507D"/>
    <w:rsid w:val="006F6D15"/>
    <w:rsid w:val="006F7533"/>
    <w:rsid w:val="00701038"/>
    <w:rsid w:val="007028F7"/>
    <w:rsid w:val="007032AB"/>
    <w:rsid w:val="00703CC1"/>
    <w:rsid w:val="00710A30"/>
    <w:rsid w:val="00712EF4"/>
    <w:rsid w:val="007177F2"/>
    <w:rsid w:val="00721A03"/>
    <w:rsid w:val="007236A0"/>
    <w:rsid w:val="007255BB"/>
    <w:rsid w:val="00725935"/>
    <w:rsid w:val="00725D60"/>
    <w:rsid w:val="0073009B"/>
    <w:rsid w:val="00734750"/>
    <w:rsid w:val="00735BFB"/>
    <w:rsid w:val="00735DE7"/>
    <w:rsid w:val="00736CCC"/>
    <w:rsid w:val="007409EB"/>
    <w:rsid w:val="00742A7C"/>
    <w:rsid w:val="00743E1C"/>
    <w:rsid w:val="007448A1"/>
    <w:rsid w:val="00746BA1"/>
    <w:rsid w:val="00747F2B"/>
    <w:rsid w:val="00750755"/>
    <w:rsid w:val="0075085C"/>
    <w:rsid w:val="00751A2F"/>
    <w:rsid w:val="00752579"/>
    <w:rsid w:val="00752995"/>
    <w:rsid w:val="00753576"/>
    <w:rsid w:val="00754A0D"/>
    <w:rsid w:val="00754A92"/>
    <w:rsid w:val="00755EC8"/>
    <w:rsid w:val="0075761A"/>
    <w:rsid w:val="00757BE5"/>
    <w:rsid w:val="0076132A"/>
    <w:rsid w:val="00761E0E"/>
    <w:rsid w:val="00761E68"/>
    <w:rsid w:val="00762025"/>
    <w:rsid w:val="007629C3"/>
    <w:rsid w:val="00763033"/>
    <w:rsid w:val="00766E43"/>
    <w:rsid w:val="00766F57"/>
    <w:rsid w:val="0076721E"/>
    <w:rsid w:val="0077000C"/>
    <w:rsid w:val="00770695"/>
    <w:rsid w:val="00770A02"/>
    <w:rsid w:val="00771A5B"/>
    <w:rsid w:val="007723D0"/>
    <w:rsid w:val="00775333"/>
    <w:rsid w:val="00775385"/>
    <w:rsid w:val="007770CA"/>
    <w:rsid w:val="00777A55"/>
    <w:rsid w:val="00781281"/>
    <w:rsid w:val="00781929"/>
    <w:rsid w:val="00782D54"/>
    <w:rsid w:val="007867E9"/>
    <w:rsid w:val="00790278"/>
    <w:rsid w:val="007939DD"/>
    <w:rsid w:val="00793B2D"/>
    <w:rsid w:val="00795015"/>
    <w:rsid w:val="00796CD0"/>
    <w:rsid w:val="007A04FD"/>
    <w:rsid w:val="007A07A3"/>
    <w:rsid w:val="007A11B6"/>
    <w:rsid w:val="007A17F8"/>
    <w:rsid w:val="007A30A9"/>
    <w:rsid w:val="007A5EC3"/>
    <w:rsid w:val="007A6CEB"/>
    <w:rsid w:val="007A75E7"/>
    <w:rsid w:val="007A7F73"/>
    <w:rsid w:val="007B2AC5"/>
    <w:rsid w:val="007B2D04"/>
    <w:rsid w:val="007B2DD1"/>
    <w:rsid w:val="007B3D3B"/>
    <w:rsid w:val="007B4776"/>
    <w:rsid w:val="007C2A47"/>
    <w:rsid w:val="007C50D6"/>
    <w:rsid w:val="007C5503"/>
    <w:rsid w:val="007C608C"/>
    <w:rsid w:val="007C6582"/>
    <w:rsid w:val="007C6677"/>
    <w:rsid w:val="007C76F5"/>
    <w:rsid w:val="007D0F36"/>
    <w:rsid w:val="007D34D3"/>
    <w:rsid w:val="007D42B9"/>
    <w:rsid w:val="007D7442"/>
    <w:rsid w:val="007D7494"/>
    <w:rsid w:val="007E1BCC"/>
    <w:rsid w:val="007E289D"/>
    <w:rsid w:val="007E3431"/>
    <w:rsid w:val="007E3557"/>
    <w:rsid w:val="007E4138"/>
    <w:rsid w:val="007E49BD"/>
    <w:rsid w:val="007E665C"/>
    <w:rsid w:val="007E7169"/>
    <w:rsid w:val="007F0F8A"/>
    <w:rsid w:val="007F201D"/>
    <w:rsid w:val="007F393B"/>
    <w:rsid w:val="007F4E9D"/>
    <w:rsid w:val="007F72EA"/>
    <w:rsid w:val="007F7CF1"/>
    <w:rsid w:val="00800C07"/>
    <w:rsid w:val="00801238"/>
    <w:rsid w:val="00801249"/>
    <w:rsid w:val="00801D2D"/>
    <w:rsid w:val="00802671"/>
    <w:rsid w:val="00802710"/>
    <w:rsid w:val="00803584"/>
    <w:rsid w:val="008036A8"/>
    <w:rsid w:val="00803770"/>
    <w:rsid w:val="00804D09"/>
    <w:rsid w:val="008067EE"/>
    <w:rsid w:val="0080687E"/>
    <w:rsid w:val="008100E1"/>
    <w:rsid w:val="00813414"/>
    <w:rsid w:val="00815728"/>
    <w:rsid w:val="0081694A"/>
    <w:rsid w:val="00822738"/>
    <w:rsid w:val="008233E6"/>
    <w:rsid w:val="008251D2"/>
    <w:rsid w:val="00827CCE"/>
    <w:rsid w:val="00831AE1"/>
    <w:rsid w:val="00835183"/>
    <w:rsid w:val="00836032"/>
    <w:rsid w:val="008374FA"/>
    <w:rsid w:val="0084054B"/>
    <w:rsid w:val="00840B7D"/>
    <w:rsid w:val="00840B9D"/>
    <w:rsid w:val="00840D90"/>
    <w:rsid w:val="00841BDC"/>
    <w:rsid w:val="00842215"/>
    <w:rsid w:val="00843B25"/>
    <w:rsid w:val="0085044E"/>
    <w:rsid w:val="00850F85"/>
    <w:rsid w:val="0085157D"/>
    <w:rsid w:val="00852E87"/>
    <w:rsid w:val="00853A3A"/>
    <w:rsid w:val="0085423C"/>
    <w:rsid w:val="00856959"/>
    <w:rsid w:val="008610AD"/>
    <w:rsid w:val="008615E0"/>
    <w:rsid w:val="00862B18"/>
    <w:rsid w:val="00871B9B"/>
    <w:rsid w:val="00871D43"/>
    <w:rsid w:val="00872059"/>
    <w:rsid w:val="00872A25"/>
    <w:rsid w:val="00872ABF"/>
    <w:rsid w:val="00872B30"/>
    <w:rsid w:val="00877534"/>
    <w:rsid w:val="008840D2"/>
    <w:rsid w:val="00885F05"/>
    <w:rsid w:val="008867FC"/>
    <w:rsid w:val="008910A6"/>
    <w:rsid w:val="008930FF"/>
    <w:rsid w:val="00893563"/>
    <w:rsid w:val="00897E07"/>
    <w:rsid w:val="008A3660"/>
    <w:rsid w:val="008A671A"/>
    <w:rsid w:val="008A6CC4"/>
    <w:rsid w:val="008A77AC"/>
    <w:rsid w:val="008B0B75"/>
    <w:rsid w:val="008B1ABE"/>
    <w:rsid w:val="008B31AA"/>
    <w:rsid w:val="008B3AD5"/>
    <w:rsid w:val="008B5B41"/>
    <w:rsid w:val="008B5BAF"/>
    <w:rsid w:val="008B61D5"/>
    <w:rsid w:val="008B6F17"/>
    <w:rsid w:val="008C44FC"/>
    <w:rsid w:val="008C527C"/>
    <w:rsid w:val="008C7154"/>
    <w:rsid w:val="008C7431"/>
    <w:rsid w:val="008D282F"/>
    <w:rsid w:val="008D3DE0"/>
    <w:rsid w:val="008D4BF3"/>
    <w:rsid w:val="008E07F1"/>
    <w:rsid w:val="008E297F"/>
    <w:rsid w:val="008E35D0"/>
    <w:rsid w:val="008E6865"/>
    <w:rsid w:val="008E6BB8"/>
    <w:rsid w:val="008F0CC4"/>
    <w:rsid w:val="008F1488"/>
    <w:rsid w:val="008F1EE1"/>
    <w:rsid w:val="008F4690"/>
    <w:rsid w:val="008F4D8F"/>
    <w:rsid w:val="008F5DB2"/>
    <w:rsid w:val="008F745C"/>
    <w:rsid w:val="00901306"/>
    <w:rsid w:val="00901726"/>
    <w:rsid w:val="0090203F"/>
    <w:rsid w:val="00903633"/>
    <w:rsid w:val="0090620F"/>
    <w:rsid w:val="0090635D"/>
    <w:rsid w:val="009073FE"/>
    <w:rsid w:val="009128E1"/>
    <w:rsid w:val="00912FCB"/>
    <w:rsid w:val="00914FDE"/>
    <w:rsid w:val="009221B2"/>
    <w:rsid w:val="00922255"/>
    <w:rsid w:val="00922A67"/>
    <w:rsid w:val="00922D0F"/>
    <w:rsid w:val="00925B3E"/>
    <w:rsid w:val="009261C8"/>
    <w:rsid w:val="00932500"/>
    <w:rsid w:val="0093320E"/>
    <w:rsid w:val="0093333C"/>
    <w:rsid w:val="00935B1C"/>
    <w:rsid w:val="0093659A"/>
    <w:rsid w:val="009404FD"/>
    <w:rsid w:val="00940660"/>
    <w:rsid w:val="00940999"/>
    <w:rsid w:val="009424B6"/>
    <w:rsid w:val="009426CC"/>
    <w:rsid w:val="009430C6"/>
    <w:rsid w:val="00943BFF"/>
    <w:rsid w:val="00943F6C"/>
    <w:rsid w:val="009440A4"/>
    <w:rsid w:val="00946C7E"/>
    <w:rsid w:val="00952DA1"/>
    <w:rsid w:val="00954660"/>
    <w:rsid w:val="009551DF"/>
    <w:rsid w:val="009557EF"/>
    <w:rsid w:val="009563DC"/>
    <w:rsid w:val="0095669C"/>
    <w:rsid w:val="00956C70"/>
    <w:rsid w:val="00956C84"/>
    <w:rsid w:val="00957CE2"/>
    <w:rsid w:val="00964BBE"/>
    <w:rsid w:val="00965A67"/>
    <w:rsid w:val="009663D3"/>
    <w:rsid w:val="00966B5E"/>
    <w:rsid w:val="00966ED4"/>
    <w:rsid w:val="0097269A"/>
    <w:rsid w:val="0097450F"/>
    <w:rsid w:val="00975D0F"/>
    <w:rsid w:val="0097618D"/>
    <w:rsid w:val="00976BD4"/>
    <w:rsid w:val="009807FE"/>
    <w:rsid w:val="009808CB"/>
    <w:rsid w:val="009813A1"/>
    <w:rsid w:val="00981619"/>
    <w:rsid w:val="009828B0"/>
    <w:rsid w:val="0098364A"/>
    <w:rsid w:val="00985988"/>
    <w:rsid w:val="00986B90"/>
    <w:rsid w:val="00987036"/>
    <w:rsid w:val="00990AEE"/>
    <w:rsid w:val="00991485"/>
    <w:rsid w:val="009919F4"/>
    <w:rsid w:val="00991AF9"/>
    <w:rsid w:val="00992974"/>
    <w:rsid w:val="00994CEB"/>
    <w:rsid w:val="009A055E"/>
    <w:rsid w:val="009A1DA6"/>
    <w:rsid w:val="009A2921"/>
    <w:rsid w:val="009A31C0"/>
    <w:rsid w:val="009B132C"/>
    <w:rsid w:val="009B5B70"/>
    <w:rsid w:val="009B674D"/>
    <w:rsid w:val="009B72AF"/>
    <w:rsid w:val="009B7620"/>
    <w:rsid w:val="009B7EA6"/>
    <w:rsid w:val="009C3F1A"/>
    <w:rsid w:val="009C5563"/>
    <w:rsid w:val="009C68C7"/>
    <w:rsid w:val="009C70D3"/>
    <w:rsid w:val="009D038F"/>
    <w:rsid w:val="009D22A5"/>
    <w:rsid w:val="009D23C2"/>
    <w:rsid w:val="009D2C77"/>
    <w:rsid w:val="009D3D9A"/>
    <w:rsid w:val="009D6CD0"/>
    <w:rsid w:val="009D76CB"/>
    <w:rsid w:val="009E4AD2"/>
    <w:rsid w:val="009E5581"/>
    <w:rsid w:val="009F5066"/>
    <w:rsid w:val="009F5361"/>
    <w:rsid w:val="009F6136"/>
    <w:rsid w:val="009F74D0"/>
    <w:rsid w:val="009F77A9"/>
    <w:rsid w:val="00A076EE"/>
    <w:rsid w:val="00A1147A"/>
    <w:rsid w:val="00A12039"/>
    <w:rsid w:val="00A1529D"/>
    <w:rsid w:val="00A156D1"/>
    <w:rsid w:val="00A1745B"/>
    <w:rsid w:val="00A17A0B"/>
    <w:rsid w:val="00A17FDF"/>
    <w:rsid w:val="00A200A5"/>
    <w:rsid w:val="00A21400"/>
    <w:rsid w:val="00A21F16"/>
    <w:rsid w:val="00A22276"/>
    <w:rsid w:val="00A22B3D"/>
    <w:rsid w:val="00A23E35"/>
    <w:rsid w:val="00A25007"/>
    <w:rsid w:val="00A270C3"/>
    <w:rsid w:val="00A33F55"/>
    <w:rsid w:val="00A363A7"/>
    <w:rsid w:val="00A363F7"/>
    <w:rsid w:val="00A369D4"/>
    <w:rsid w:val="00A40102"/>
    <w:rsid w:val="00A40817"/>
    <w:rsid w:val="00A40D0E"/>
    <w:rsid w:val="00A427B3"/>
    <w:rsid w:val="00A4313F"/>
    <w:rsid w:val="00A439A5"/>
    <w:rsid w:val="00A44ADC"/>
    <w:rsid w:val="00A455CB"/>
    <w:rsid w:val="00A47203"/>
    <w:rsid w:val="00A5118A"/>
    <w:rsid w:val="00A521B0"/>
    <w:rsid w:val="00A5324A"/>
    <w:rsid w:val="00A54744"/>
    <w:rsid w:val="00A552BA"/>
    <w:rsid w:val="00A56E99"/>
    <w:rsid w:val="00A60E42"/>
    <w:rsid w:val="00A61E28"/>
    <w:rsid w:val="00A626EE"/>
    <w:rsid w:val="00A635BB"/>
    <w:rsid w:val="00A65353"/>
    <w:rsid w:val="00A67293"/>
    <w:rsid w:val="00A7578B"/>
    <w:rsid w:val="00A8377C"/>
    <w:rsid w:val="00A843D4"/>
    <w:rsid w:val="00A85167"/>
    <w:rsid w:val="00A8720D"/>
    <w:rsid w:val="00A872F2"/>
    <w:rsid w:val="00A9029F"/>
    <w:rsid w:val="00A92F54"/>
    <w:rsid w:val="00A94E5B"/>
    <w:rsid w:val="00A96DE0"/>
    <w:rsid w:val="00A97192"/>
    <w:rsid w:val="00AA098F"/>
    <w:rsid w:val="00AA3A8B"/>
    <w:rsid w:val="00AA5E5F"/>
    <w:rsid w:val="00AA75D8"/>
    <w:rsid w:val="00AB051E"/>
    <w:rsid w:val="00AB0F3D"/>
    <w:rsid w:val="00AB24DA"/>
    <w:rsid w:val="00AB2C1E"/>
    <w:rsid w:val="00AB46BB"/>
    <w:rsid w:val="00AB4961"/>
    <w:rsid w:val="00AB5226"/>
    <w:rsid w:val="00AC218C"/>
    <w:rsid w:val="00AC3ED1"/>
    <w:rsid w:val="00AC473D"/>
    <w:rsid w:val="00AC555C"/>
    <w:rsid w:val="00AC5B41"/>
    <w:rsid w:val="00AD21D3"/>
    <w:rsid w:val="00AD2B00"/>
    <w:rsid w:val="00AD3417"/>
    <w:rsid w:val="00AD5F6E"/>
    <w:rsid w:val="00AD7034"/>
    <w:rsid w:val="00AE126C"/>
    <w:rsid w:val="00AE1ECF"/>
    <w:rsid w:val="00AE20D1"/>
    <w:rsid w:val="00AE2B3C"/>
    <w:rsid w:val="00AE5CEE"/>
    <w:rsid w:val="00AE5CFA"/>
    <w:rsid w:val="00AE5F33"/>
    <w:rsid w:val="00AF37D3"/>
    <w:rsid w:val="00AF498F"/>
    <w:rsid w:val="00B00106"/>
    <w:rsid w:val="00B0011E"/>
    <w:rsid w:val="00B00BD6"/>
    <w:rsid w:val="00B014E6"/>
    <w:rsid w:val="00B0260B"/>
    <w:rsid w:val="00B03E5D"/>
    <w:rsid w:val="00B04971"/>
    <w:rsid w:val="00B04CED"/>
    <w:rsid w:val="00B04CF8"/>
    <w:rsid w:val="00B0571C"/>
    <w:rsid w:val="00B05810"/>
    <w:rsid w:val="00B11120"/>
    <w:rsid w:val="00B156E6"/>
    <w:rsid w:val="00B15C28"/>
    <w:rsid w:val="00B15FB1"/>
    <w:rsid w:val="00B160D2"/>
    <w:rsid w:val="00B221EA"/>
    <w:rsid w:val="00B240E6"/>
    <w:rsid w:val="00B2538A"/>
    <w:rsid w:val="00B26F41"/>
    <w:rsid w:val="00B278F9"/>
    <w:rsid w:val="00B30DEE"/>
    <w:rsid w:val="00B31B87"/>
    <w:rsid w:val="00B32A37"/>
    <w:rsid w:val="00B33A3E"/>
    <w:rsid w:val="00B3561A"/>
    <w:rsid w:val="00B3757E"/>
    <w:rsid w:val="00B37C82"/>
    <w:rsid w:val="00B37FBD"/>
    <w:rsid w:val="00B41599"/>
    <w:rsid w:val="00B45024"/>
    <w:rsid w:val="00B4523A"/>
    <w:rsid w:val="00B479BF"/>
    <w:rsid w:val="00B5034F"/>
    <w:rsid w:val="00B53CDD"/>
    <w:rsid w:val="00B57738"/>
    <w:rsid w:val="00B57F7A"/>
    <w:rsid w:val="00B61EED"/>
    <w:rsid w:val="00B63A0B"/>
    <w:rsid w:val="00B63C1C"/>
    <w:rsid w:val="00B63C20"/>
    <w:rsid w:val="00B65577"/>
    <w:rsid w:val="00B65F66"/>
    <w:rsid w:val="00B6654F"/>
    <w:rsid w:val="00B675D1"/>
    <w:rsid w:val="00B7085E"/>
    <w:rsid w:val="00B72559"/>
    <w:rsid w:val="00B73273"/>
    <w:rsid w:val="00B76B18"/>
    <w:rsid w:val="00B80C3B"/>
    <w:rsid w:val="00B8285D"/>
    <w:rsid w:val="00B82C58"/>
    <w:rsid w:val="00B867E2"/>
    <w:rsid w:val="00B877E1"/>
    <w:rsid w:val="00B879C8"/>
    <w:rsid w:val="00B90A35"/>
    <w:rsid w:val="00B92F59"/>
    <w:rsid w:val="00B97A28"/>
    <w:rsid w:val="00BA019F"/>
    <w:rsid w:val="00BA5909"/>
    <w:rsid w:val="00BA60F3"/>
    <w:rsid w:val="00BA6B09"/>
    <w:rsid w:val="00BA7739"/>
    <w:rsid w:val="00BB0619"/>
    <w:rsid w:val="00BB2682"/>
    <w:rsid w:val="00BB37D5"/>
    <w:rsid w:val="00BB37E6"/>
    <w:rsid w:val="00BB38EB"/>
    <w:rsid w:val="00BB459F"/>
    <w:rsid w:val="00BB5517"/>
    <w:rsid w:val="00BB5FE1"/>
    <w:rsid w:val="00BB776A"/>
    <w:rsid w:val="00BC0DBB"/>
    <w:rsid w:val="00BC199B"/>
    <w:rsid w:val="00BC1BA3"/>
    <w:rsid w:val="00BC21A2"/>
    <w:rsid w:val="00BC35C2"/>
    <w:rsid w:val="00BC3639"/>
    <w:rsid w:val="00BC5376"/>
    <w:rsid w:val="00BD736D"/>
    <w:rsid w:val="00BE081D"/>
    <w:rsid w:val="00BE22A9"/>
    <w:rsid w:val="00BE4720"/>
    <w:rsid w:val="00BE4D99"/>
    <w:rsid w:val="00BE51B7"/>
    <w:rsid w:val="00BE78E4"/>
    <w:rsid w:val="00BE7FA3"/>
    <w:rsid w:val="00BF294B"/>
    <w:rsid w:val="00BF296B"/>
    <w:rsid w:val="00BF3290"/>
    <w:rsid w:val="00BF3324"/>
    <w:rsid w:val="00BF4705"/>
    <w:rsid w:val="00BF49EC"/>
    <w:rsid w:val="00BF585E"/>
    <w:rsid w:val="00C01455"/>
    <w:rsid w:val="00C01C43"/>
    <w:rsid w:val="00C058F1"/>
    <w:rsid w:val="00C05BEF"/>
    <w:rsid w:val="00C1026C"/>
    <w:rsid w:val="00C118D0"/>
    <w:rsid w:val="00C122A8"/>
    <w:rsid w:val="00C12A68"/>
    <w:rsid w:val="00C15252"/>
    <w:rsid w:val="00C158BC"/>
    <w:rsid w:val="00C174BD"/>
    <w:rsid w:val="00C20129"/>
    <w:rsid w:val="00C2053F"/>
    <w:rsid w:val="00C21839"/>
    <w:rsid w:val="00C24490"/>
    <w:rsid w:val="00C2722E"/>
    <w:rsid w:val="00C27696"/>
    <w:rsid w:val="00C27D1D"/>
    <w:rsid w:val="00C316A7"/>
    <w:rsid w:val="00C31BE9"/>
    <w:rsid w:val="00C327AE"/>
    <w:rsid w:val="00C334F8"/>
    <w:rsid w:val="00C37B50"/>
    <w:rsid w:val="00C409F6"/>
    <w:rsid w:val="00C43490"/>
    <w:rsid w:val="00C4359D"/>
    <w:rsid w:val="00C457BE"/>
    <w:rsid w:val="00C458B9"/>
    <w:rsid w:val="00C46CDD"/>
    <w:rsid w:val="00C46F7A"/>
    <w:rsid w:val="00C475A2"/>
    <w:rsid w:val="00C5273F"/>
    <w:rsid w:val="00C53157"/>
    <w:rsid w:val="00C56752"/>
    <w:rsid w:val="00C600F8"/>
    <w:rsid w:val="00C60740"/>
    <w:rsid w:val="00C609D3"/>
    <w:rsid w:val="00C61884"/>
    <w:rsid w:val="00C62677"/>
    <w:rsid w:val="00C626DC"/>
    <w:rsid w:val="00C629D7"/>
    <w:rsid w:val="00C63519"/>
    <w:rsid w:val="00C66E12"/>
    <w:rsid w:val="00C67757"/>
    <w:rsid w:val="00C70A48"/>
    <w:rsid w:val="00C7139C"/>
    <w:rsid w:val="00C755B4"/>
    <w:rsid w:val="00C759B8"/>
    <w:rsid w:val="00C7651D"/>
    <w:rsid w:val="00C77691"/>
    <w:rsid w:val="00C80DC0"/>
    <w:rsid w:val="00C81D70"/>
    <w:rsid w:val="00C82227"/>
    <w:rsid w:val="00C827B9"/>
    <w:rsid w:val="00C8354A"/>
    <w:rsid w:val="00C844D5"/>
    <w:rsid w:val="00C8491C"/>
    <w:rsid w:val="00C84BFA"/>
    <w:rsid w:val="00C86BFF"/>
    <w:rsid w:val="00C91333"/>
    <w:rsid w:val="00C940DF"/>
    <w:rsid w:val="00CA3A2F"/>
    <w:rsid w:val="00CA42C0"/>
    <w:rsid w:val="00CA7143"/>
    <w:rsid w:val="00CB662B"/>
    <w:rsid w:val="00CB7E1B"/>
    <w:rsid w:val="00CC1B7F"/>
    <w:rsid w:val="00CC3F75"/>
    <w:rsid w:val="00CC449E"/>
    <w:rsid w:val="00CC73BF"/>
    <w:rsid w:val="00CC747E"/>
    <w:rsid w:val="00CC7E6E"/>
    <w:rsid w:val="00CD0E29"/>
    <w:rsid w:val="00CD0FEE"/>
    <w:rsid w:val="00CD15C8"/>
    <w:rsid w:val="00CD27A9"/>
    <w:rsid w:val="00CD3FDF"/>
    <w:rsid w:val="00CD41CF"/>
    <w:rsid w:val="00CD421C"/>
    <w:rsid w:val="00CD4B93"/>
    <w:rsid w:val="00CD53FA"/>
    <w:rsid w:val="00CD6013"/>
    <w:rsid w:val="00CD7EAD"/>
    <w:rsid w:val="00CE1672"/>
    <w:rsid w:val="00CE20D8"/>
    <w:rsid w:val="00CE42C3"/>
    <w:rsid w:val="00CE4312"/>
    <w:rsid w:val="00CE53F1"/>
    <w:rsid w:val="00CE54C8"/>
    <w:rsid w:val="00CE56DF"/>
    <w:rsid w:val="00CE6A8F"/>
    <w:rsid w:val="00CE739C"/>
    <w:rsid w:val="00CF1973"/>
    <w:rsid w:val="00CF1D55"/>
    <w:rsid w:val="00CF3B24"/>
    <w:rsid w:val="00CF3B3C"/>
    <w:rsid w:val="00CF43A5"/>
    <w:rsid w:val="00D04554"/>
    <w:rsid w:val="00D04F6C"/>
    <w:rsid w:val="00D0505E"/>
    <w:rsid w:val="00D05FE3"/>
    <w:rsid w:val="00D07BE1"/>
    <w:rsid w:val="00D11A51"/>
    <w:rsid w:val="00D11FB6"/>
    <w:rsid w:val="00D12612"/>
    <w:rsid w:val="00D141A3"/>
    <w:rsid w:val="00D14B8F"/>
    <w:rsid w:val="00D17189"/>
    <w:rsid w:val="00D20219"/>
    <w:rsid w:val="00D2198F"/>
    <w:rsid w:val="00D2281D"/>
    <w:rsid w:val="00D22D63"/>
    <w:rsid w:val="00D23233"/>
    <w:rsid w:val="00D23899"/>
    <w:rsid w:val="00D2464A"/>
    <w:rsid w:val="00D26D9F"/>
    <w:rsid w:val="00D33361"/>
    <w:rsid w:val="00D35C1B"/>
    <w:rsid w:val="00D403A7"/>
    <w:rsid w:val="00D43608"/>
    <w:rsid w:val="00D43762"/>
    <w:rsid w:val="00D43AF8"/>
    <w:rsid w:val="00D44344"/>
    <w:rsid w:val="00D44CEE"/>
    <w:rsid w:val="00D45419"/>
    <w:rsid w:val="00D45623"/>
    <w:rsid w:val="00D46157"/>
    <w:rsid w:val="00D47D99"/>
    <w:rsid w:val="00D5225C"/>
    <w:rsid w:val="00D53764"/>
    <w:rsid w:val="00D53D71"/>
    <w:rsid w:val="00D5485E"/>
    <w:rsid w:val="00D56A51"/>
    <w:rsid w:val="00D5713B"/>
    <w:rsid w:val="00D6023A"/>
    <w:rsid w:val="00D62E72"/>
    <w:rsid w:val="00D6358A"/>
    <w:rsid w:val="00D6444A"/>
    <w:rsid w:val="00D64591"/>
    <w:rsid w:val="00D6615E"/>
    <w:rsid w:val="00D67726"/>
    <w:rsid w:val="00D7164D"/>
    <w:rsid w:val="00D75A85"/>
    <w:rsid w:val="00D77695"/>
    <w:rsid w:val="00D80208"/>
    <w:rsid w:val="00D80594"/>
    <w:rsid w:val="00D809BE"/>
    <w:rsid w:val="00D85B39"/>
    <w:rsid w:val="00D8631C"/>
    <w:rsid w:val="00D923BD"/>
    <w:rsid w:val="00D92CD9"/>
    <w:rsid w:val="00D962A9"/>
    <w:rsid w:val="00D970AA"/>
    <w:rsid w:val="00DA141C"/>
    <w:rsid w:val="00DA2D16"/>
    <w:rsid w:val="00DA5AD3"/>
    <w:rsid w:val="00DA6520"/>
    <w:rsid w:val="00DB01E3"/>
    <w:rsid w:val="00DB02D6"/>
    <w:rsid w:val="00DB08B0"/>
    <w:rsid w:val="00DB5B13"/>
    <w:rsid w:val="00DB7F23"/>
    <w:rsid w:val="00DC4BE0"/>
    <w:rsid w:val="00DC7BCD"/>
    <w:rsid w:val="00DD411D"/>
    <w:rsid w:val="00DD4663"/>
    <w:rsid w:val="00DE0E1B"/>
    <w:rsid w:val="00DE1602"/>
    <w:rsid w:val="00DE39DC"/>
    <w:rsid w:val="00DE3EB6"/>
    <w:rsid w:val="00DE78FE"/>
    <w:rsid w:val="00DF09D7"/>
    <w:rsid w:val="00DF23D7"/>
    <w:rsid w:val="00DF3293"/>
    <w:rsid w:val="00DF6FAD"/>
    <w:rsid w:val="00DF771F"/>
    <w:rsid w:val="00DF7C3C"/>
    <w:rsid w:val="00DF7F60"/>
    <w:rsid w:val="00E0156E"/>
    <w:rsid w:val="00E01D36"/>
    <w:rsid w:val="00E0371B"/>
    <w:rsid w:val="00E04E65"/>
    <w:rsid w:val="00E05112"/>
    <w:rsid w:val="00E06A59"/>
    <w:rsid w:val="00E10C81"/>
    <w:rsid w:val="00E1441F"/>
    <w:rsid w:val="00E153A4"/>
    <w:rsid w:val="00E1612C"/>
    <w:rsid w:val="00E1690C"/>
    <w:rsid w:val="00E20677"/>
    <w:rsid w:val="00E232E9"/>
    <w:rsid w:val="00E24530"/>
    <w:rsid w:val="00E27B1A"/>
    <w:rsid w:val="00E31120"/>
    <w:rsid w:val="00E31A09"/>
    <w:rsid w:val="00E31FBF"/>
    <w:rsid w:val="00E32F41"/>
    <w:rsid w:val="00E35EB1"/>
    <w:rsid w:val="00E4058D"/>
    <w:rsid w:val="00E40CFC"/>
    <w:rsid w:val="00E41372"/>
    <w:rsid w:val="00E41DFA"/>
    <w:rsid w:val="00E42564"/>
    <w:rsid w:val="00E433EC"/>
    <w:rsid w:val="00E44823"/>
    <w:rsid w:val="00E45F41"/>
    <w:rsid w:val="00E45FD0"/>
    <w:rsid w:val="00E46B0A"/>
    <w:rsid w:val="00E5138F"/>
    <w:rsid w:val="00E522AB"/>
    <w:rsid w:val="00E52943"/>
    <w:rsid w:val="00E54A26"/>
    <w:rsid w:val="00E55091"/>
    <w:rsid w:val="00E55165"/>
    <w:rsid w:val="00E55739"/>
    <w:rsid w:val="00E55C9C"/>
    <w:rsid w:val="00E56D6B"/>
    <w:rsid w:val="00E615A0"/>
    <w:rsid w:val="00E61812"/>
    <w:rsid w:val="00E6274B"/>
    <w:rsid w:val="00E630FB"/>
    <w:rsid w:val="00E63D18"/>
    <w:rsid w:val="00E658CF"/>
    <w:rsid w:val="00E71DA7"/>
    <w:rsid w:val="00E7324D"/>
    <w:rsid w:val="00E740E4"/>
    <w:rsid w:val="00E742EF"/>
    <w:rsid w:val="00E746C7"/>
    <w:rsid w:val="00E75F47"/>
    <w:rsid w:val="00E76363"/>
    <w:rsid w:val="00E7772F"/>
    <w:rsid w:val="00E77FB1"/>
    <w:rsid w:val="00E80198"/>
    <w:rsid w:val="00E8131F"/>
    <w:rsid w:val="00E813FE"/>
    <w:rsid w:val="00E819C5"/>
    <w:rsid w:val="00E8344C"/>
    <w:rsid w:val="00E85106"/>
    <w:rsid w:val="00E876CE"/>
    <w:rsid w:val="00E87E59"/>
    <w:rsid w:val="00E907CA"/>
    <w:rsid w:val="00E91E73"/>
    <w:rsid w:val="00E92627"/>
    <w:rsid w:val="00E9270C"/>
    <w:rsid w:val="00E93869"/>
    <w:rsid w:val="00E93CF1"/>
    <w:rsid w:val="00E9403E"/>
    <w:rsid w:val="00E942C7"/>
    <w:rsid w:val="00E94FDE"/>
    <w:rsid w:val="00E95676"/>
    <w:rsid w:val="00E96F2C"/>
    <w:rsid w:val="00E976BC"/>
    <w:rsid w:val="00EA0FA6"/>
    <w:rsid w:val="00EA3076"/>
    <w:rsid w:val="00EA5ADD"/>
    <w:rsid w:val="00EA607B"/>
    <w:rsid w:val="00EB4AFC"/>
    <w:rsid w:val="00EB6390"/>
    <w:rsid w:val="00EB7EEC"/>
    <w:rsid w:val="00EC00AD"/>
    <w:rsid w:val="00EC015C"/>
    <w:rsid w:val="00EC0595"/>
    <w:rsid w:val="00EC05F6"/>
    <w:rsid w:val="00EC3AF7"/>
    <w:rsid w:val="00EC770E"/>
    <w:rsid w:val="00ED0401"/>
    <w:rsid w:val="00ED047B"/>
    <w:rsid w:val="00ED2008"/>
    <w:rsid w:val="00ED3717"/>
    <w:rsid w:val="00ED3719"/>
    <w:rsid w:val="00ED4331"/>
    <w:rsid w:val="00ED7DD8"/>
    <w:rsid w:val="00EE3DD5"/>
    <w:rsid w:val="00EE3E18"/>
    <w:rsid w:val="00EF063D"/>
    <w:rsid w:val="00EF0A66"/>
    <w:rsid w:val="00EF35AF"/>
    <w:rsid w:val="00EF37D2"/>
    <w:rsid w:val="00EF386C"/>
    <w:rsid w:val="00EF7517"/>
    <w:rsid w:val="00F02A2A"/>
    <w:rsid w:val="00F15FED"/>
    <w:rsid w:val="00F17389"/>
    <w:rsid w:val="00F1793B"/>
    <w:rsid w:val="00F20AC6"/>
    <w:rsid w:val="00F20B1A"/>
    <w:rsid w:val="00F20BB2"/>
    <w:rsid w:val="00F21188"/>
    <w:rsid w:val="00F240F2"/>
    <w:rsid w:val="00F26237"/>
    <w:rsid w:val="00F27AC1"/>
    <w:rsid w:val="00F32081"/>
    <w:rsid w:val="00F422B8"/>
    <w:rsid w:val="00F4279F"/>
    <w:rsid w:val="00F46DD1"/>
    <w:rsid w:val="00F51105"/>
    <w:rsid w:val="00F5116B"/>
    <w:rsid w:val="00F51BFE"/>
    <w:rsid w:val="00F51F28"/>
    <w:rsid w:val="00F53283"/>
    <w:rsid w:val="00F537E7"/>
    <w:rsid w:val="00F53D47"/>
    <w:rsid w:val="00F57568"/>
    <w:rsid w:val="00F61748"/>
    <w:rsid w:val="00F647CE"/>
    <w:rsid w:val="00F65317"/>
    <w:rsid w:val="00F6653A"/>
    <w:rsid w:val="00F67187"/>
    <w:rsid w:val="00F704AE"/>
    <w:rsid w:val="00F7065E"/>
    <w:rsid w:val="00F70C9B"/>
    <w:rsid w:val="00F72F48"/>
    <w:rsid w:val="00F73DEC"/>
    <w:rsid w:val="00F74A8A"/>
    <w:rsid w:val="00F7507F"/>
    <w:rsid w:val="00F765BF"/>
    <w:rsid w:val="00F82528"/>
    <w:rsid w:val="00F8344A"/>
    <w:rsid w:val="00F85FD5"/>
    <w:rsid w:val="00F86135"/>
    <w:rsid w:val="00F87B28"/>
    <w:rsid w:val="00F93765"/>
    <w:rsid w:val="00F93A19"/>
    <w:rsid w:val="00F94F3C"/>
    <w:rsid w:val="00F9578A"/>
    <w:rsid w:val="00F96751"/>
    <w:rsid w:val="00FA0EE9"/>
    <w:rsid w:val="00FA1108"/>
    <w:rsid w:val="00FA16AC"/>
    <w:rsid w:val="00FA1CE0"/>
    <w:rsid w:val="00FA2B26"/>
    <w:rsid w:val="00FA3D9B"/>
    <w:rsid w:val="00FA3DE8"/>
    <w:rsid w:val="00FA3F06"/>
    <w:rsid w:val="00FA4FBF"/>
    <w:rsid w:val="00FA5C25"/>
    <w:rsid w:val="00FA6821"/>
    <w:rsid w:val="00FB0359"/>
    <w:rsid w:val="00FB0E36"/>
    <w:rsid w:val="00FB164E"/>
    <w:rsid w:val="00FB3F57"/>
    <w:rsid w:val="00FB4422"/>
    <w:rsid w:val="00FB4547"/>
    <w:rsid w:val="00FB63C3"/>
    <w:rsid w:val="00FB6C24"/>
    <w:rsid w:val="00FC025B"/>
    <w:rsid w:val="00FC355C"/>
    <w:rsid w:val="00FC357F"/>
    <w:rsid w:val="00FC415C"/>
    <w:rsid w:val="00FC47A5"/>
    <w:rsid w:val="00FC493B"/>
    <w:rsid w:val="00FC67CA"/>
    <w:rsid w:val="00FC776C"/>
    <w:rsid w:val="00FC785A"/>
    <w:rsid w:val="00FC7E62"/>
    <w:rsid w:val="00FD06FC"/>
    <w:rsid w:val="00FD0787"/>
    <w:rsid w:val="00FD1AAB"/>
    <w:rsid w:val="00FD265A"/>
    <w:rsid w:val="00FD765E"/>
    <w:rsid w:val="00FE215E"/>
    <w:rsid w:val="00FE45F3"/>
    <w:rsid w:val="00FE68EC"/>
    <w:rsid w:val="00FF02C5"/>
    <w:rsid w:val="00FF104C"/>
    <w:rsid w:val="00FF2AB0"/>
    <w:rsid w:val="00FF6703"/>
    <w:rsid w:val="010001DB"/>
    <w:rsid w:val="01144456"/>
    <w:rsid w:val="013A721E"/>
    <w:rsid w:val="01481854"/>
    <w:rsid w:val="014E721E"/>
    <w:rsid w:val="01622744"/>
    <w:rsid w:val="016C53B0"/>
    <w:rsid w:val="017B162A"/>
    <w:rsid w:val="0182106A"/>
    <w:rsid w:val="01885C73"/>
    <w:rsid w:val="019D73AC"/>
    <w:rsid w:val="019E7250"/>
    <w:rsid w:val="01A56261"/>
    <w:rsid w:val="01B23AF9"/>
    <w:rsid w:val="01B974D3"/>
    <w:rsid w:val="01BD7A4F"/>
    <w:rsid w:val="01C632CD"/>
    <w:rsid w:val="01D86637"/>
    <w:rsid w:val="01DC4FD9"/>
    <w:rsid w:val="01F93E30"/>
    <w:rsid w:val="02190433"/>
    <w:rsid w:val="02447E52"/>
    <w:rsid w:val="02653F7F"/>
    <w:rsid w:val="02704AC1"/>
    <w:rsid w:val="02753CA4"/>
    <w:rsid w:val="028E13EB"/>
    <w:rsid w:val="02B80216"/>
    <w:rsid w:val="02C2434F"/>
    <w:rsid w:val="0301072B"/>
    <w:rsid w:val="03040189"/>
    <w:rsid w:val="030516AD"/>
    <w:rsid w:val="03052CB0"/>
    <w:rsid w:val="03054A7E"/>
    <w:rsid w:val="03235AB0"/>
    <w:rsid w:val="032C2AE6"/>
    <w:rsid w:val="033402B2"/>
    <w:rsid w:val="033E4BBF"/>
    <w:rsid w:val="03443CE9"/>
    <w:rsid w:val="03597F07"/>
    <w:rsid w:val="035E49E4"/>
    <w:rsid w:val="03703672"/>
    <w:rsid w:val="03771E7F"/>
    <w:rsid w:val="03921274"/>
    <w:rsid w:val="039A7D83"/>
    <w:rsid w:val="03DE2A22"/>
    <w:rsid w:val="03F713C4"/>
    <w:rsid w:val="040F3CD3"/>
    <w:rsid w:val="04172A7E"/>
    <w:rsid w:val="041C0B4B"/>
    <w:rsid w:val="0421427E"/>
    <w:rsid w:val="04330C9C"/>
    <w:rsid w:val="045A2EB3"/>
    <w:rsid w:val="046E5030"/>
    <w:rsid w:val="0475744C"/>
    <w:rsid w:val="047B14FB"/>
    <w:rsid w:val="04E81A9D"/>
    <w:rsid w:val="04EF1347"/>
    <w:rsid w:val="05015EA4"/>
    <w:rsid w:val="05485881"/>
    <w:rsid w:val="055C757F"/>
    <w:rsid w:val="05657104"/>
    <w:rsid w:val="057F772E"/>
    <w:rsid w:val="059B5FE0"/>
    <w:rsid w:val="059D5931"/>
    <w:rsid w:val="05A133DB"/>
    <w:rsid w:val="05A36F5B"/>
    <w:rsid w:val="05AB32F5"/>
    <w:rsid w:val="05CB6B17"/>
    <w:rsid w:val="05CE7FF0"/>
    <w:rsid w:val="05D33567"/>
    <w:rsid w:val="060519C4"/>
    <w:rsid w:val="06567839"/>
    <w:rsid w:val="069C4BBA"/>
    <w:rsid w:val="06A905A2"/>
    <w:rsid w:val="06B36FAA"/>
    <w:rsid w:val="06B64A6C"/>
    <w:rsid w:val="06B70F10"/>
    <w:rsid w:val="06C9108E"/>
    <w:rsid w:val="06CE4CC6"/>
    <w:rsid w:val="06D37C78"/>
    <w:rsid w:val="06D67C71"/>
    <w:rsid w:val="06E96BF0"/>
    <w:rsid w:val="06FA0DFD"/>
    <w:rsid w:val="072E6CF9"/>
    <w:rsid w:val="07455B40"/>
    <w:rsid w:val="07550944"/>
    <w:rsid w:val="07643681"/>
    <w:rsid w:val="076444C8"/>
    <w:rsid w:val="077406EA"/>
    <w:rsid w:val="077A281D"/>
    <w:rsid w:val="07893F2F"/>
    <w:rsid w:val="078F3753"/>
    <w:rsid w:val="07976EB3"/>
    <w:rsid w:val="07B90CE3"/>
    <w:rsid w:val="07C66F31"/>
    <w:rsid w:val="07CA04FE"/>
    <w:rsid w:val="07D72EEC"/>
    <w:rsid w:val="07D93D40"/>
    <w:rsid w:val="07E15B19"/>
    <w:rsid w:val="07E662D5"/>
    <w:rsid w:val="07E66CC3"/>
    <w:rsid w:val="08057A5A"/>
    <w:rsid w:val="08186260"/>
    <w:rsid w:val="08427C9D"/>
    <w:rsid w:val="085817FB"/>
    <w:rsid w:val="085D21B9"/>
    <w:rsid w:val="08827515"/>
    <w:rsid w:val="08D51B22"/>
    <w:rsid w:val="09376339"/>
    <w:rsid w:val="09385CEE"/>
    <w:rsid w:val="093C07E0"/>
    <w:rsid w:val="094D75DE"/>
    <w:rsid w:val="095A3400"/>
    <w:rsid w:val="095D1FFF"/>
    <w:rsid w:val="096C1A6C"/>
    <w:rsid w:val="0973372F"/>
    <w:rsid w:val="09750C0F"/>
    <w:rsid w:val="09867C99"/>
    <w:rsid w:val="09BB1A78"/>
    <w:rsid w:val="09CC000F"/>
    <w:rsid w:val="09D1411B"/>
    <w:rsid w:val="09E006C0"/>
    <w:rsid w:val="09E1304E"/>
    <w:rsid w:val="09E37A7D"/>
    <w:rsid w:val="09F36A6E"/>
    <w:rsid w:val="0A067F10"/>
    <w:rsid w:val="0A0A7AA7"/>
    <w:rsid w:val="0A0D1E05"/>
    <w:rsid w:val="0A195A3E"/>
    <w:rsid w:val="0A1D3702"/>
    <w:rsid w:val="0A1D5CB7"/>
    <w:rsid w:val="0A395004"/>
    <w:rsid w:val="0A5151D8"/>
    <w:rsid w:val="0A5B7B22"/>
    <w:rsid w:val="0A5C7AE5"/>
    <w:rsid w:val="0A611FBF"/>
    <w:rsid w:val="0A781198"/>
    <w:rsid w:val="0A7A58B7"/>
    <w:rsid w:val="0AA95459"/>
    <w:rsid w:val="0AAB60D4"/>
    <w:rsid w:val="0ADA1A52"/>
    <w:rsid w:val="0AF1071D"/>
    <w:rsid w:val="0B030120"/>
    <w:rsid w:val="0B1A0C31"/>
    <w:rsid w:val="0B246449"/>
    <w:rsid w:val="0B69477D"/>
    <w:rsid w:val="0B8503AF"/>
    <w:rsid w:val="0B8B2A06"/>
    <w:rsid w:val="0B963F4C"/>
    <w:rsid w:val="0BB858A0"/>
    <w:rsid w:val="0BE24D76"/>
    <w:rsid w:val="0BEC0D94"/>
    <w:rsid w:val="0C1D2395"/>
    <w:rsid w:val="0C244DD1"/>
    <w:rsid w:val="0C265565"/>
    <w:rsid w:val="0C2F32F7"/>
    <w:rsid w:val="0C3B56A9"/>
    <w:rsid w:val="0C5066B2"/>
    <w:rsid w:val="0C5965C6"/>
    <w:rsid w:val="0C6457E9"/>
    <w:rsid w:val="0C6D34A6"/>
    <w:rsid w:val="0CBC1AD9"/>
    <w:rsid w:val="0CBD3602"/>
    <w:rsid w:val="0CF81FEF"/>
    <w:rsid w:val="0D2A6040"/>
    <w:rsid w:val="0D316356"/>
    <w:rsid w:val="0D406EA2"/>
    <w:rsid w:val="0D564F20"/>
    <w:rsid w:val="0D6706D0"/>
    <w:rsid w:val="0D670BA5"/>
    <w:rsid w:val="0D684CB5"/>
    <w:rsid w:val="0D6B5E10"/>
    <w:rsid w:val="0D95362E"/>
    <w:rsid w:val="0D9744BB"/>
    <w:rsid w:val="0DB96BB7"/>
    <w:rsid w:val="0DE82F84"/>
    <w:rsid w:val="0DFD71AB"/>
    <w:rsid w:val="0E0E3991"/>
    <w:rsid w:val="0E0F365A"/>
    <w:rsid w:val="0E107158"/>
    <w:rsid w:val="0E274F55"/>
    <w:rsid w:val="0E303CE1"/>
    <w:rsid w:val="0E320E7D"/>
    <w:rsid w:val="0E4B66E2"/>
    <w:rsid w:val="0E540297"/>
    <w:rsid w:val="0E646E23"/>
    <w:rsid w:val="0E785A24"/>
    <w:rsid w:val="0E9142EE"/>
    <w:rsid w:val="0E9E124D"/>
    <w:rsid w:val="0EBC067F"/>
    <w:rsid w:val="0EC75A69"/>
    <w:rsid w:val="0ECB0393"/>
    <w:rsid w:val="0ECB43D6"/>
    <w:rsid w:val="0EE16FFF"/>
    <w:rsid w:val="0EFC008F"/>
    <w:rsid w:val="0F601A19"/>
    <w:rsid w:val="0F62526F"/>
    <w:rsid w:val="0F655282"/>
    <w:rsid w:val="0F692FC4"/>
    <w:rsid w:val="0FB31ECA"/>
    <w:rsid w:val="0FB4323F"/>
    <w:rsid w:val="0FBB6C59"/>
    <w:rsid w:val="0FBD7DC8"/>
    <w:rsid w:val="0FC44AA1"/>
    <w:rsid w:val="0FDC36B6"/>
    <w:rsid w:val="10274C2E"/>
    <w:rsid w:val="10505215"/>
    <w:rsid w:val="105E2EE4"/>
    <w:rsid w:val="10A71157"/>
    <w:rsid w:val="10B176E5"/>
    <w:rsid w:val="10D26ABC"/>
    <w:rsid w:val="10D813A0"/>
    <w:rsid w:val="10DB067E"/>
    <w:rsid w:val="10FC532C"/>
    <w:rsid w:val="110411F6"/>
    <w:rsid w:val="11145517"/>
    <w:rsid w:val="113D64B6"/>
    <w:rsid w:val="114B45D8"/>
    <w:rsid w:val="115B2DE0"/>
    <w:rsid w:val="11731ED8"/>
    <w:rsid w:val="118B2EDC"/>
    <w:rsid w:val="118B7221"/>
    <w:rsid w:val="11A237FF"/>
    <w:rsid w:val="11B147AE"/>
    <w:rsid w:val="11D010D8"/>
    <w:rsid w:val="11E153F8"/>
    <w:rsid w:val="11E86ECE"/>
    <w:rsid w:val="120742A1"/>
    <w:rsid w:val="120E7E53"/>
    <w:rsid w:val="122B27B2"/>
    <w:rsid w:val="122B630F"/>
    <w:rsid w:val="12301D87"/>
    <w:rsid w:val="123A18F0"/>
    <w:rsid w:val="12493E79"/>
    <w:rsid w:val="12555A81"/>
    <w:rsid w:val="125676AC"/>
    <w:rsid w:val="12616425"/>
    <w:rsid w:val="126F07D1"/>
    <w:rsid w:val="12810808"/>
    <w:rsid w:val="12894D08"/>
    <w:rsid w:val="12A016D2"/>
    <w:rsid w:val="12B3367A"/>
    <w:rsid w:val="12BC7205"/>
    <w:rsid w:val="12BF5770"/>
    <w:rsid w:val="12DD0AC8"/>
    <w:rsid w:val="12E36BE9"/>
    <w:rsid w:val="12EF7DDA"/>
    <w:rsid w:val="12F47F79"/>
    <w:rsid w:val="13122E44"/>
    <w:rsid w:val="13174C6B"/>
    <w:rsid w:val="131B16FD"/>
    <w:rsid w:val="132A4818"/>
    <w:rsid w:val="13641E77"/>
    <w:rsid w:val="13781A7E"/>
    <w:rsid w:val="138676EA"/>
    <w:rsid w:val="13943688"/>
    <w:rsid w:val="13B10A95"/>
    <w:rsid w:val="13C22CA3"/>
    <w:rsid w:val="13CE00C6"/>
    <w:rsid w:val="13E56A59"/>
    <w:rsid w:val="14026EBD"/>
    <w:rsid w:val="14043122"/>
    <w:rsid w:val="14180D8A"/>
    <w:rsid w:val="142A3B2F"/>
    <w:rsid w:val="14345850"/>
    <w:rsid w:val="146C1D38"/>
    <w:rsid w:val="14720554"/>
    <w:rsid w:val="14795AC0"/>
    <w:rsid w:val="14797E5E"/>
    <w:rsid w:val="147C1E6E"/>
    <w:rsid w:val="14AD7C36"/>
    <w:rsid w:val="14B5755A"/>
    <w:rsid w:val="14CD7B51"/>
    <w:rsid w:val="14FE7749"/>
    <w:rsid w:val="151F2F4A"/>
    <w:rsid w:val="15323E58"/>
    <w:rsid w:val="15763FF5"/>
    <w:rsid w:val="157D344D"/>
    <w:rsid w:val="157F78DA"/>
    <w:rsid w:val="1582093B"/>
    <w:rsid w:val="15D9752D"/>
    <w:rsid w:val="15DA1475"/>
    <w:rsid w:val="15EB3A81"/>
    <w:rsid w:val="15F34097"/>
    <w:rsid w:val="161A5018"/>
    <w:rsid w:val="16244F21"/>
    <w:rsid w:val="162830BA"/>
    <w:rsid w:val="162D47A2"/>
    <w:rsid w:val="164B51D1"/>
    <w:rsid w:val="16585B40"/>
    <w:rsid w:val="16D77A92"/>
    <w:rsid w:val="16E371E8"/>
    <w:rsid w:val="16E75C15"/>
    <w:rsid w:val="17084E70"/>
    <w:rsid w:val="170C7261"/>
    <w:rsid w:val="170D6925"/>
    <w:rsid w:val="171C091C"/>
    <w:rsid w:val="17607114"/>
    <w:rsid w:val="17795D6E"/>
    <w:rsid w:val="177C3E26"/>
    <w:rsid w:val="17832749"/>
    <w:rsid w:val="178C5AA1"/>
    <w:rsid w:val="17B46DA6"/>
    <w:rsid w:val="17EF05EB"/>
    <w:rsid w:val="18034CD0"/>
    <w:rsid w:val="18036C90"/>
    <w:rsid w:val="181B2563"/>
    <w:rsid w:val="18207F46"/>
    <w:rsid w:val="18240F4D"/>
    <w:rsid w:val="182A04B9"/>
    <w:rsid w:val="18351C95"/>
    <w:rsid w:val="18436124"/>
    <w:rsid w:val="18470AF1"/>
    <w:rsid w:val="1868093A"/>
    <w:rsid w:val="186B574C"/>
    <w:rsid w:val="187F1F88"/>
    <w:rsid w:val="1881312C"/>
    <w:rsid w:val="18814357"/>
    <w:rsid w:val="18932FB7"/>
    <w:rsid w:val="189F57BA"/>
    <w:rsid w:val="18A60D34"/>
    <w:rsid w:val="18A62B93"/>
    <w:rsid w:val="18B232E6"/>
    <w:rsid w:val="18C8706E"/>
    <w:rsid w:val="18F96594"/>
    <w:rsid w:val="192304CD"/>
    <w:rsid w:val="193E6ACE"/>
    <w:rsid w:val="195E521C"/>
    <w:rsid w:val="195F10E1"/>
    <w:rsid w:val="198459F8"/>
    <w:rsid w:val="199E5BC6"/>
    <w:rsid w:val="19A4672F"/>
    <w:rsid w:val="19A63831"/>
    <w:rsid w:val="19DD4DA6"/>
    <w:rsid w:val="19E35721"/>
    <w:rsid w:val="19E528E3"/>
    <w:rsid w:val="1A0C094E"/>
    <w:rsid w:val="1A0F7DAE"/>
    <w:rsid w:val="1A2C7D4A"/>
    <w:rsid w:val="1A420A2C"/>
    <w:rsid w:val="1A531173"/>
    <w:rsid w:val="1A717C42"/>
    <w:rsid w:val="1A737B44"/>
    <w:rsid w:val="1AE07837"/>
    <w:rsid w:val="1AEA7477"/>
    <w:rsid w:val="1AF34C36"/>
    <w:rsid w:val="1AF56035"/>
    <w:rsid w:val="1B00449B"/>
    <w:rsid w:val="1B0E3BC1"/>
    <w:rsid w:val="1B1A2D80"/>
    <w:rsid w:val="1B1F09DB"/>
    <w:rsid w:val="1B373EED"/>
    <w:rsid w:val="1B44364E"/>
    <w:rsid w:val="1B573585"/>
    <w:rsid w:val="1B6233C8"/>
    <w:rsid w:val="1B787A45"/>
    <w:rsid w:val="1B9B4E8B"/>
    <w:rsid w:val="1BA333BA"/>
    <w:rsid w:val="1BB7189B"/>
    <w:rsid w:val="1BBA3BF3"/>
    <w:rsid w:val="1BCA6B98"/>
    <w:rsid w:val="1BCC1758"/>
    <w:rsid w:val="1BF63E31"/>
    <w:rsid w:val="1C0F6CA1"/>
    <w:rsid w:val="1C2769D7"/>
    <w:rsid w:val="1C401CC6"/>
    <w:rsid w:val="1C536B8E"/>
    <w:rsid w:val="1C541956"/>
    <w:rsid w:val="1C6A29E0"/>
    <w:rsid w:val="1C7D6C93"/>
    <w:rsid w:val="1C8B4285"/>
    <w:rsid w:val="1CB76FD4"/>
    <w:rsid w:val="1CCB1CE0"/>
    <w:rsid w:val="1CCD0920"/>
    <w:rsid w:val="1CDE389D"/>
    <w:rsid w:val="1CE104FE"/>
    <w:rsid w:val="1CE261A0"/>
    <w:rsid w:val="1CF4365A"/>
    <w:rsid w:val="1D12728D"/>
    <w:rsid w:val="1D1B6C8D"/>
    <w:rsid w:val="1D3D7D6E"/>
    <w:rsid w:val="1D491A3B"/>
    <w:rsid w:val="1D5C1A72"/>
    <w:rsid w:val="1D5D2F46"/>
    <w:rsid w:val="1D5F54DF"/>
    <w:rsid w:val="1D677A63"/>
    <w:rsid w:val="1D713046"/>
    <w:rsid w:val="1D7E7C3A"/>
    <w:rsid w:val="1D8855B2"/>
    <w:rsid w:val="1DB878B6"/>
    <w:rsid w:val="1DBB76C9"/>
    <w:rsid w:val="1DC43DFA"/>
    <w:rsid w:val="1DCD0BC2"/>
    <w:rsid w:val="1DF654F5"/>
    <w:rsid w:val="1DFD5675"/>
    <w:rsid w:val="1E2E40A4"/>
    <w:rsid w:val="1E3602DD"/>
    <w:rsid w:val="1E4075E6"/>
    <w:rsid w:val="1E573964"/>
    <w:rsid w:val="1E5D4D9D"/>
    <w:rsid w:val="1E6D6433"/>
    <w:rsid w:val="1E761159"/>
    <w:rsid w:val="1E9706E2"/>
    <w:rsid w:val="1E9D6710"/>
    <w:rsid w:val="1EA00084"/>
    <w:rsid w:val="1EB1415C"/>
    <w:rsid w:val="1EB304AB"/>
    <w:rsid w:val="1ED61CF8"/>
    <w:rsid w:val="1ED71599"/>
    <w:rsid w:val="1EED6A69"/>
    <w:rsid w:val="1F045887"/>
    <w:rsid w:val="1F0E216B"/>
    <w:rsid w:val="1F212F73"/>
    <w:rsid w:val="1F4175E1"/>
    <w:rsid w:val="1F42299D"/>
    <w:rsid w:val="1F4C5C72"/>
    <w:rsid w:val="1F6972E9"/>
    <w:rsid w:val="1F8B76A4"/>
    <w:rsid w:val="1FAE5C03"/>
    <w:rsid w:val="1FC328E1"/>
    <w:rsid w:val="1FE17F61"/>
    <w:rsid w:val="1FE30229"/>
    <w:rsid w:val="200107FC"/>
    <w:rsid w:val="2006291D"/>
    <w:rsid w:val="200B2A7E"/>
    <w:rsid w:val="202F346E"/>
    <w:rsid w:val="20485679"/>
    <w:rsid w:val="20610331"/>
    <w:rsid w:val="207F2515"/>
    <w:rsid w:val="208856F2"/>
    <w:rsid w:val="20A0611A"/>
    <w:rsid w:val="20A8480D"/>
    <w:rsid w:val="20BA6C43"/>
    <w:rsid w:val="20C25685"/>
    <w:rsid w:val="20C444FE"/>
    <w:rsid w:val="20C5739A"/>
    <w:rsid w:val="21010DC3"/>
    <w:rsid w:val="210C5CAC"/>
    <w:rsid w:val="212A1A8D"/>
    <w:rsid w:val="212B1A12"/>
    <w:rsid w:val="213E784D"/>
    <w:rsid w:val="214D6E1C"/>
    <w:rsid w:val="215C0FF2"/>
    <w:rsid w:val="2168611F"/>
    <w:rsid w:val="216A648E"/>
    <w:rsid w:val="219043E0"/>
    <w:rsid w:val="21E61B8E"/>
    <w:rsid w:val="21F4671D"/>
    <w:rsid w:val="21FD0179"/>
    <w:rsid w:val="220A342E"/>
    <w:rsid w:val="221E19EC"/>
    <w:rsid w:val="22221F7A"/>
    <w:rsid w:val="22250772"/>
    <w:rsid w:val="2274785E"/>
    <w:rsid w:val="22A01657"/>
    <w:rsid w:val="22B33B7E"/>
    <w:rsid w:val="22B763EB"/>
    <w:rsid w:val="22D327D6"/>
    <w:rsid w:val="22F24386"/>
    <w:rsid w:val="230D1CDB"/>
    <w:rsid w:val="2317064B"/>
    <w:rsid w:val="232B2612"/>
    <w:rsid w:val="235F3653"/>
    <w:rsid w:val="23612088"/>
    <w:rsid w:val="23704841"/>
    <w:rsid w:val="23770DEF"/>
    <w:rsid w:val="23812A5D"/>
    <w:rsid w:val="23842ABB"/>
    <w:rsid w:val="23917DF5"/>
    <w:rsid w:val="23A016DF"/>
    <w:rsid w:val="23CD1A1B"/>
    <w:rsid w:val="23CF098D"/>
    <w:rsid w:val="23DB7328"/>
    <w:rsid w:val="23E7576C"/>
    <w:rsid w:val="23EA4E22"/>
    <w:rsid w:val="23F1682F"/>
    <w:rsid w:val="23F70746"/>
    <w:rsid w:val="23FC71CF"/>
    <w:rsid w:val="241172CF"/>
    <w:rsid w:val="24212F0F"/>
    <w:rsid w:val="242157C3"/>
    <w:rsid w:val="242379C9"/>
    <w:rsid w:val="24361F53"/>
    <w:rsid w:val="244D65B8"/>
    <w:rsid w:val="246B4C91"/>
    <w:rsid w:val="24714D1D"/>
    <w:rsid w:val="24A905D5"/>
    <w:rsid w:val="24A96539"/>
    <w:rsid w:val="24E26372"/>
    <w:rsid w:val="24FB212D"/>
    <w:rsid w:val="2513335E"/>
    <w:rsid w:val="25302162"/>
    <w:rsid w:val="2533549E"/>
    <w:rsid w:val="25352D24"/>
    <w:rsid w:val="25540E18"/>
    <w:rsid w:val="259103E3"/>
    <w:rsid w:val="25A5045E"/>
    <w:rsid w:val="25C66622"/>
    <w:rsid w:val="25EA5EF6"/>
    <w:rsid w:val="25F3318F"/>
    <w:rsid w:val="26062EC3"/>
    <w:rsid w:val="26116869"/>
    <w:rsid w:val="2624580C"/>
    <w:rsid w:val="262A585D"/>
    <w:rsid w:val="26550880"/>
    <w:rsid w:val="26773DC1"/>
    <w:rsid w:val="268343FE"/>
    <w:rsid w:val="26841A61"/>
    <w:rsid w:val="268F7129"/>
    <w:rsid w:val="26A928DB"/>
    <w:rsid w:val="26AC4383"/>
    <w:rsid w:val="26CF46B1"/>
    <w:rsid w:val="26CF59AB"/>
    <w:rsid w:val="26E44511"/>
    <w:rsid w:val="26F0248E"/>
    <w:rsid w:val="27277595"/>
    <w:rsid w:val="273622DD"/>
    <w:rsid w:val="274F34B7"/>
    <w:rsid w:val="277326BB"/>
    <w:rsid w:val="27786FD0"/>
    <w:rsid w:val="279164E8"/>
    <w:rsid w:val="27A00371"/>
    <w:rsid w:val="281B1BA7"/>
    <w:rsid w:val="28250DE0"/>
    <w:rsid w:val="283E66DB"/>
    <w:rsid w:val="2849353B"/>
    <w:rsid w:val="284D153E"/>
    <w:rsid w:val="285A7E7A"/>
    <w:rsid w:val="285F4185"/>
    <w:rsid w:val="28697739"/>
    <w:rsid w:val="28B255FA"/>
    <w:rsid w:val="28D63020"/>
    <w:rsid w:val="28D81ABA"/>
    <w:rsid w:val="28EF0B0A"/>
    <w:rsid w:val="28F96D0F"/>
    <w:rsid w:val="29051210"/>
    <w:rsid w:val="29063FFF"/>
    <w:rsid w:val="290731DA"/>
    <w:rsid w:val="29082A16"/>
    <w:rsid w:val="29170A04"/>
    <w:rsid w:val="29366314"/>
    <w:rsid w:val="293A32D5"/>
    <w:rsid w:val="295C2DFA"/>
    <w:rsid w:val="295F6FD6"/>
    <w:rsid w:val="29A27FCC"/>
    <w:rsid w:val="29CA0660"/>
    <w:rsid w:val="29DC57D6"/>
    <w:rsid w:val="29ED5E2A"/>
    <w:rsid w:val="29F344B3"/>
    <w:rsid w:val="2A13054A"/>
    <w:rsid w:val="2A1462B5"/>
    <w:rsid w:val="2A55737E"/>
    <w:rsid w:val="2A585F5F"/>
    <w:rsid w:val="2A8E3487"/>
    <w:rsid w:val="2AA1729E"/>
    <w:rsid w:val="2AAA4888"/>
    <w:rsid w:val="2AAD417B"/>
    <w:rsid w:val="2ACD57DF"/>
    <w:rsid w:val="2B304BD8"/>
    <w:rsid w:val="2B6E7D13"/>
    <w:rsid w:val="2B721B41"/>
    <w:rsid w:val="2BAD6352"/>
    <w:rsid w:val="2BC25E5B"/>
    <w:rsid w:val="2BCC070B"/>
    <w:rsid w:val="2BF51A0F"/>
    <w:rsid w:val="2BF6436C"/>
    <w:rsid w:val="2C002162"/>
    <w:rsid w:val="2C2C2F57"/>
    <w:rsid w:val="2C5F50DB"/>
    <w:rsid w:val="2C87259F"/>
    <w:rsid w:val="2CB56BE9"/>
    <w:rsid w:val="2CC11743"/>
    <w:rsid w:val="2CCF7EB5"/>
    <w:rsid w:val="2CFF066C"/>
    <w:rsid w:val="2D0143C8"/>
    <w:rsid w:val="2D0B5263"/>
    <w:rsid w:val="2D121C69"/>
    <w:rsid w:val="2D1279E7"/>
    <w:rsid w:val="2D17147E"/>
    <w:rsid w:val="2D1934DC"/>
    <w:rsid w:val="2D3449DC"/>
    <w:rsid w:val="2D3F7570"/>
    <w:rsid w:val="2D4F15F3"/>
    <w:rsid w:val="2D58634B"/>
    <w:rsid w:val="2D5D6D53"/>
    <w:rsid w:val="2D5F4233"/>
    <w:rsid w:val="2D6D56B6"/>
    <w:rsid w:val="2D884C2B"/>
    <w:rsid w:val="2D9843BC"/>
    <w:rsid w:val="2D992706"/>
    <w:rsid w:val="2DAD2BF7"/>
    <w:rsid w:val="2DDA1E90"/>
    <w:rsid w:val="2DE51610"/>
    <w:rsid w:val="2E104251"/>
    <w:rsid w:val="2E36630F"/>
    <w:rsid w:val="2E60060C"/>
    <w:rsid w:val="2E6214AD"/>
    <w:rsid w:val="2E8157DC"/>
    <w:rsid w:val="2E9B4583"/>
    <w:rsid w:val="2EE7332E"/>
    <w:rsid w:val="2EFD3C9E"/>
    <w:rsid w:val="2F023FAD"/>
    <w:rsid w:val="2F1608F3"/>
    <w:rsid w:val="2F1E17E3"/>
    <w:rsid w:val="2F25260C"/>
    <w:rsid w:val="2F3A5774"/>
    <w:rsid w:val="2F462CAA"/>
    <w:rsid w:val="2F553118"/>
    <w:rsid w:val="2F6639AE"/>
    <w:rsid w:val="2F762AAE"/>
    <w:rsid w:val="2FA46F03"/>
    <w:rsid w:val="2FA55630"/>
    <w:rsid w:val="2FB1675F"/>
    <w:rsid w:val="2FCF7513"/>
    <w:rsid w:val="2FE36023"/>
    <w:rsid w:val="304E57C8"/>
    <w:rsid w:val="305558AE"/>
    <w:rsid w:val="30717AD3"/>
    <w:rsid w:val="30825923"/>
    <w:rsid w:val="309F5E5A"/>
    <w:rsid w:val="30B73737"/>
    <w:rsid w:val="30C23098"/>
    <w:rsid w:val="30C35AB4"/>
    <w:rsid w:val="30DB6CFA"/>
    <w:rsid w:val="30F02110"/>
    <w:rsid w:val="310432AA"/>
    <w:rsid w:val="311E0784"/>
    <w:rsid w:val="312C2E3D"/>
    <w:rsid w:val="313B5D84"/>
    <w:rsid w:val="314C1D36"/>
    <w:rsid w:val="317B2046"/>
    <w:rsid w:val="318A2A24"/>
    <w:rsid w:val="319E66A5"/>
    <w:rsid w:val="31A83080"/>
    <w:rsid w:val="31D40319"/>
    <w:rsid w:val="31E625EE"/>
    <w:rsid w:val="31ED3189"/>
    <w:rsid w:val="31F566FD"/>
    <w:rsid w:val="320A3B2C"/>
    <w:rsid w:val="32246828"/>
    <w:rsid w:val="3264199E"/>
    <w:rsid w:val="32787A6C"/>
    <w:rsid w:val="32891103"/>
    <w:rsid w:val="329442EF"/>
    <w:rsid w:val="32B969D9"/>
    <w:rsid w:val="32BC3C77"/>
    <w:rsid w:val="32CE6303"/>
    <w:rsid w:val="32DB3EB5"/>
    <w:rsid w:val="32E4458C"/>
    <w:rsid w:val="32E751E1"/>
    <w:rsid w:val="32F3657D"/>
    <w:rsid w:val="32F551D9"/>
    <w:rsid w:val="32FF3839"/>
    <w:rsid w:val="3321133C"/>
    <w:rsid w:val="33291F9F"/>
    <w:rsid w:val="3344327C"/>
    <w:rsid w:val="33525999"/>
    <w:rsid w:val="33533269"/>
    <w:rsid w:val="33627850"/>
    <w:rsid w:val="337339BD"/>
    <w:rsid w:val="338F612A"/>
    <w:rsid w:val="33A61841"/>
    <w:rsid w:val="33BE6B8B"/>
    <w:rsid w:val="33CC6F48"/>
    <w:rsid w:val="33EB36F8"/>
    <w:rsid w:val="341154FE"/>
    <w:rsid w:val="342D7E02"/>
    <w:rsid w:val="344A250B"/>
    <w:rsid w:val="344E43B3"/>
    <w:rsid w:val="346003DF"/>
    <w:rsid w:val="346E0042"/>
    <w:rsid w:val="34740178"/>
    <w:rsid w:val="3475296C"/>
    <w:rsid w:val="347A2B7B"/>
    <w:rsid w:val="347D07F4"/>
    <w:rsid w:val="34834961"/>
    <w:rsid w:val="34857FE8"/>
    <w:rsid w:val="348857C5"/>
    <w:rsid w:val="348E64BB"/>
    <w:rsid w:val="34991F16"/>
    <w:rsid w:val="34B16D93"/>
    <w:rsid w:val="34C31CF0"/>
    <w:rsid w:val="34E22D4D"/>
    <w:rsid w:val="34F51129"/>
    <w:rsid w:val="35303AB8"/>
    <w:rsid w:val="353F1794"/>
    <w:rsid w:val="35407D5C"/>
    <w:rsid w:val="356149F8"/>
    <w:rsid w:val="35683252"/>
    <w:rsid w:val="358931C8"/>
    <w:rsid w:val="359A124C"/>
    <w:rsid w:val="35BC17F0"/>
    <w:rsid w:val="35CA4BE6"/>
    <w:rsid w:val="35E67DBD"/>
    <w:rsid w:val="35ED19A9"/>
    <w:rsid w:val="35F33805"/>
    <w:rsid w:val="35FA308B"/>
    <w:rsid w:val="36161D25"/>
    <w:rsid w:val="361C0008"/>
    <w:rsid w:val="365613E6"/>
    <w:rsid w:val="365F7201"/>
    <w:rsid w:val="3676374D"/>
    <w:rsid w:val="371B3370"/>
    <w:rsid w:val="3724008B"/>
    <w:rsid w:val="372F7E43"/>
    <w:rsid w:val="374D1B27"/>
    <w:rsid w:val="374F3F98"/>
    <w:rsid w:val="37AD3678"/>
    <w:rsid w:val="37B75FCB"/>
    <w:rsid w:val="37DA68F5"/>
    <w:rsid w:val="37DF1EB6"/>
    <w:rsid w:val="37F25055"/>
    <w:rsid w:val="380C2B8E"/>
    <w:rsid w:val="38186543"/>
    <w:rsid w:val="382F0057"/>
    <w:rsid w:val="38583AFE"/>
    <w:rsid w:val="388E7609"/>
    <w:rsid w:val="389548E6"/>
    <w:rsid w:val="389600D6"/>
    <w:rsid w:val="38CC3CA3"/>
    <w:rsid w:val="38F462A6"/>
    <w:rsid w:val="38F66DC7"/>
    <w:rsid w:val="39341A4B"/>
    <w:rsid w:val="39577479"/>
    <w:rsid w:val="39602492"/>
    <w:rsid w:val="39697347"/>
    <w:rsid w:val="39792FF3"/>
    <w:rsid w:val="399A0030"/>
    <w:rsid w:val="39B365A0"/>
    <w:rsid w:val="39B9648E"/>
    <w:rsid w:val="39C44DDD"/>
    <w:rsid w:val="39CB3DB0"/>
    <w:rsid w:val="39D36573"/>
    <w:rsid w:val="39F47576"/>
    <w:rsid w:val="3A1F40FB"/>
    <w:rsid w:val="3A974889"/>
    <w:rsid w:val="3AD62A0C"/>
    <w:rsid w:val="3AEF4EDD"/>
    <w:rsid w:val="3AF13CEA"/>
    <w:rsid w:val="3AFA7A6F"/>
    <w:rsid w:val="3AFC105C"/>
    <w:rsid w:val="3AFD3B6C"/>
    <w:rsid w:val="3B0D5A94"/>
    <w:rsid w:val="3B56248A"/>
    <w:rsid w:val="3B6F4C0F"/>
    <w:rsid w:val="3B714E2B"/>
    <w:rsid w:val="3B756579"/>
    <w:rsid w:val="3B9A7EDD"/>
    <w:rsid w:val="3BA90120"/>
    <w:rsid w:val="3BAE5737"/>
    <w:rsid w:val="3BBE5774"/>
    <w:rsid w:val="3BC276D1"/>
    <w:rsid w:val="3BE13D5E"/>
    <w:rsid w:val="3C095063"/>
    <w:rsid w:val="3C191C0F"/>
    <w:rsid w:val="3C4D13F4"/>
    <w:rsid w:val="3C551804"/>
    <w:rsid w:val="3C552056"/>
    <w:rsid w:val="3C553E04"/>
    <w:rsid w:val="3C756500"/>
    <w:rsid w:val="3C790A6D"/>
    <w:rsid w:val="3C865C0C"/>
    <w:rsid w:val="3C930ECE"/>
    <w:rsid w:val="3C9C5901"/>
    <w:rsid w:val="3CB66F99"/>
    <w:rsid w:val="3CD92F92"/>
    <w:rsid w:val="3CF47BC9"/>
    <w:rsid w:val="3D0F6A16"/>
    <w:rsid w:val="3D1300D3"/>
    <w:rsid w:val="3D1912D6"/>
    <w:rsid w:val="3D3F79E5"/>
    <w:rsid w:val="3D424389"/>
    <w:rsid w:val="3D4A5DC7"/>
    <w:rsid w:val="3D6E1622"/>
    <w:rsid w:val="3D7A616C"/>
    <w:rsid w:val="3D8F7864"/>
    <w:rsid w:val="3D9E76F3"/>
    <w:rsid w:val="3DB44C4D"/>
    <w:rsid w:val="3DC15BF5"/>
    <w:rsid w:val="3DCC13B2"/>
    <w:rsid w:val="3DD65A11"/>
    <w:rsid w:val="3DE47641"/>
    <w:rsid w:val="3DFA6ED2"/>
    <w:rsid w:val="3E061922"/>
    <w:rsid w:val="3E154ECE"/>
    <w:rsid w:val="3E1C107E"/>
    <w:rsid w:val="3ECF2E68"/>
    <w:rsid w:val="3EDF71CC"/>
    <w:rsid w:val="3EE64621"/>
    <w:rsid w:val="3EF01D96"/>
    <w:rsid w:val="3F081602"/>
    <w:rsid w:val="3F152DF8"/>
    <w:rsid w:val="3F1F5199"/>
    <w:rsid w:val="3F2F6B8F"/>
    <w:rsid w:val="3F32553B"/>
    <w:rsid w:val="3F3D443F"/>
    <w:rsid w:val="3F497AC6"/>
    <w:rsid w:val="3F606D45"/>
    <w:rsid w:val="3F8073EA"/>
    <w:rsid w:val="3F816961"/>
    <w:rsid w:val="3F8707AB"/>
    <w:rsid w:val="3F907C64"/>
    <w:rsid w:val="3FA4132B"/>
    <w:rsid w:val="3FB377C0"/>
    <w:rsid w:val="3FBA0B4E"/>
    <w:rsid w:val="3FE7584F"/>
    <w:rsid w:val="40041DC9"/>
    <w:rsid w:val="40055B41"/>
    <w:rsid w:val="400F24EB"/>
    <w:rsid w:val="40290165"/>
    <w:rsid w:val="404734AC"/>
    <w:rsid w:val="40777E00"/>
    <w:rsid w:val="40860A30"/>
    <w:rsid w:val="40BE4A10"/>
    <w:rsid w:val="40C5251C"/>
    <w:rsid w:val="40E97D90"/>
    <w:rsid w:val="40F0234E"/>
    <w:rsid w:val="41114C52"/>
    <w:rsid w:val="413B5CBF"/>
    <w:rsid w:val="413F7AA0"/>
    <w:rsid w:val="4146784B"/>
    <w:rsid w:val="41481AD8"/>
    <w:rsid w:val="41654AEA"/>
    <w:rsid w:val="416E162D"/>
    <w:rsid w:val="417101A4"/>
    <w:rsid w:val="41711E03"/>
    <w:rsid w:val="417B444B"/>
    <w:rsid w:val="41872CB2"/>
    <w:rsid w:val="41A878BC"/>
    <w:rsid w:val="41B415CD"/>
    <w:rsid w:val="41BE1CC8"/>
    <w:rsid w:val="41C41349"/>
    <w:rsid w:val="41C41FA6"/>
    <w:rsid w:val="41E06866"/>
    <w:rsid w:val="41EF0857"/>
    <w:rsid w:val="41F90D90"/>
    <w:rsid w:val="41FB71FC"/>
    <w:rsid w:val="42167C70"/>
    <w:rsid w:val="424961B9"/>
    <w:rsid w:val="42703746"/>
    <w:rsid w:val="42846F62"/>
    <w:rsid w:val="42D31F27"/>
    <w:rsid w:val="42E016F4"/>
    <w:rsid w:val="42E56500"/>
    <w:rsid w:val="42EA4018"/>
    <w:rsid w:val="42EB1E90"/>
    <w:rsid w:val="430A54DA"/>
    <w:rsid w:val="43294FA3"/>
    <w:rsid w:val="43302539"/>
    <w:rsid w:val="43326C4D"/>
    <w:rsid w:val="434434D6"/>
    <w:rsid w:val="436632D7"/>
    <w:rsid w:val="4370040C"/>
    <w:rsid w:val="437508FB"/>
    <w:rsid w:val="43754CD1"/>
    <w:rsid w:val="439C596E"/>
    <w:rsid w:val="43D34C48"/>
    <w:rsid w:val="43D7213C"/>
    <w:rsid w:val="43EA7528"/>
    <w:rsid w:val="43F56CC7"/>
    <w:rsid w:val="44100212"/>
    <w:rsid w:val="443D0338"/>
    <w:rsid w:val="444430DC"/>
    <w:rsid w:val="446F2E9B"/>
    <w:rsid w:val="447B33B1"/>
    <w:rsid w:val="44A57B32"/>
    <w:rsid w:val="44BB7E66"/>
    <w:rsid w:val="44BC7116"/>
    <w:rsid w:val="44D04970"/>
    <w:rsid w:val="45210212"/>
    <w:rsid w:val="454809AA"/>
    <w:rsid w:val="456816EF"/>
    <w:rsid w:val="457C33B0"/>
    <w:rsid w:val="458A7047"/>
    <w:rsid w:val="45CA5863"/>
    <w:rsid w:val="45D679CC"/>
    <w:rsid w:val="45E014A6"/>
    <w:rsid w:val="46065411"/>
    <w:rsid w:val="46093CB8"/>
    <w:rsid w:val="465057B6"/>
    <w:rsid w:val="46696E2A"/>
    <w:rsid w:val="466A7513"/>
    <w:rsid w:val="46873259"/>
    <w:rsid w:val="46916165"/>
    <w:rsid w:val="469767EC"/>
    <w:rsid w:val="46A41167"/>
    <w:rsid w:val="46B02CAB"/>
    <w:rsid w:val="46BD4B02"/>
    <w:rsid w:val="46D36DE5"/>
    <w:rsid w:val="46D7153C"/>
    <w:rsid w:val="46E6045B"/>
    <w:rsid w:val="46E82445"/>
    <w:rsid w:val="46EB25F4"/>
    <w:rsid w:val="46EF114A"/>
    <w:rsid w:val="4707281C"/>
    <w:rsid w:val="470D4618"/>
    <w:rsid w:val="47330D35"/>
    <w:rsid w:val="47460F19"/>
    <w:rsid w:val="47545E58"/>
    <w:rsid w:val="47574ED5"/>
    <w:rsid w:val="476D3C1D"/>
    <w:rsid w:val="47776091"/>
    <w:rsid w:val="47986AED"/>
    <w:rsid w:val="479A6BDB"/>
    <w:rsid w:val="47B75973"/>
    <w:rsid w:val="47D4106D"/>
    <w:rsid w:val="47D91D8D"/>
    <w:rsid w:val="47DE1BA2"/>
    <w:rsid w:val="47FD322E"/>
    <w:rsid w:val="481244BC"/>
    <w:rsid w:val="482F4D3A"/>
    <w:rsid w:val="4832793C"/>
    <w:rsid w:val="48331A23"/>
    <w:rsid w:val="48684EBF"/>
    <w:rsid w:val="48925235"/>
    <w:rsid w:val="48CA7928"/>
    <w:rsid w:val="48E22EC4"/>
    <w:rsid w:val="48FF3A76"/>
    <w:rsid w:val="49112BB4"/>
    <w:rsid w:val="49264BA7"/>
    <w:rsid w:val="493F20C4"/>
    <w:rsid w:val="495B7A11"/>
    <w:rsid w:val="49600C44"/>
    <w:rsid w:val="496D6C31"/>
    <w:rsid w:val="49935F6C"/>
    <w:rsid w:val="49B27FB0"/>
    <w:rsid w:val="49CF3448"/>
    <w:rsid w:val="49D6446F"/>
    <w:rsid w:val="49DE08B3"/>
    <w:rsid w:val="4A0A26D2"/>
    <w:rsid w:val="4A153F99"/>
    <w:rsid w:val="4A3F3E25"/>
    <w:rsid w:val="4A464E3B"/>
    <w:rsid w:val="4A621AA2"/>
    <w:rsid w:val="4A62606A"/>
    <w:rsid w:val="4A6D0155"/>
    <w:rsid w:val="4A6E70B6"/>
    <w:rsid w:val="4AA173B4"/>
    <w:rsid w:val="4AAC3C91"/>
    <w:rsid w:val="4AAC432F"/>
    <w:rsid w:val="4AAD305D"/>
    <w:rsid w:val="4AAD588A"/>
    <w:rsid w:val="4AB37332"/>
    <w:rsid w:val="4AC25E0B"/>
    <w:rsid w:val="4AC26683"/>
    <w:rsid w:val="4B1D5AF2"/>
    <w:rsid w:val="4B28675E"/>
    <w:rsid w:val="4B5005B9"/>
    <w:rsid w:val="4B5A1526"/>
    <w:rsid w:val="4B5E0F27"/>
    <w:rsid w:val="4B640E9C"/>
    <w:rsid w:val="4BA677B0"/>
    <w:rsid w:val="4BD06B7A"/>
    <w:rsid w:val="4BF35AFA"/>
    <w:rsid w:val="4BF74ED8"/>
    <w:rsid w:val="4C374735"/>
    <w:rsid w:val="4C6C1090"/>
    <w:rsid w:val="4C856040"/>
    <w:rsid w:val="4C89771F"/>
    <w:rsid w:val="4C9E7311"/>
    <w:rsid w:val="4CC94F66"/>
    <w:rsid w:val="4CD07C03"/>
    <w:rsid w:val="4CD6689C"/>
    <w:rsid w:val="4CE27750"/>
    <w:rsid w:val="4CEE1E37"/>
    <w:rsid w:val="4CF42A82"/>
    <w:rsid w:val="4CFE0076"/>
    <w:rsid w:val="4D135D42"/>
    <w:rsid w:val="4D3A023F"/>
    <w:rsid w:val="4D5457D6"/>
    <w:rsid w:val="4D6B792C"/>
    <w:rsid w:val="4D722A68"/>
    <w:rsid w:val="4D7560B4"/>
    <w:rsid w:val="4D841F79"/>
    <w:rsid w:val="4D9A1FBF"/>
    <w:rsid w:val="4DB746DD"/>
    <w:rsid w:val="4DC31516"/>
    <w:rsid w:val="4DE07E22"/>
    <w:rsid w:val="4DE97029"/>
    <w:rsid w:val="4E1221A2"/>
    <w:rsid w:val="4E1738D6"/>
    <w:rsid w:val="4E1C6E78"/>
    <w:rsid w:val="4E3F66C2"/>
    <w:rsid w:val="4E4F2DA9"/>
    <w:rsid w:val="4E800832"/>
    <w:rsid w:val="4E932C8F"/>
    <w:rsid w:val="4E977C02"/>
    <w:rsid w:val="4EB26E94"/>
    <w:rsid w:val="4EB4296E"/>
    <w:rsid w:val="4ECF3BCE"/>
    <w:rsid w:val="4ED46700"/>
    <w:rsid w:val="4EEE3186"/>
    <w:rsid w:val="4EFD4B4E"/>
    <w:rsid w:val="4F14306E"/>
    <w:rsid w:val="4F5573EE"/>
    <w:rsid w:val="4F681F31"/>
    <w:rsid w:val="4F6B48F0"/>
    <w:rsid w:val="4F7F35E3"/>
    <w:rsid w:val="4FA7451F"/>
    <w:rsid w:val="4FF2321D"/>
    <w:rsid w:val="4FFF145B"/>
    <w:rsid w:val="500953AE"/>
    <w:rsid w:val="500A51EE"/>
    <w:rsid w:val="501E48C5"/>
    <w:rsid w:val="5023004A"/>
    <w:rsid w:val="5025169E"/>
    <w:rsid w:val="503C735D"/>
    <w:rsid w:val="506568B4"/>
    <w:rsid w:val="5066185A"/>
    <w:rsid w:val="50724B2D"/>
    <w:rsid w:val="507679EE"/>
    <w:rsid w:val="507769E5"/>
    <w:rsid w:val="50795EBC"/>
    <w:rsid w:val="508342C9"/>
    <w:rsid w:val="50923421"/>
    <w:rsid w:val="50926F7D"/>
    <w:rsid w:val="50961ECB"/>
    <w:rsid w:val="50AF7B2F"/>
    <w:rsid w:val="50C16F5A"/>
    <w:rsid w:val="50CB423A"/>
    <w:rsid w:val="50CE3AAC"/>
    <w:rsid w:val="50DD2267"/>
    <w:rsid w:val="510836ED"/>
    <w:rsid w:val="511E6E43"/>
    <w:rsid w:val="512A18AC"/>
    <w:rsid w:val="51347CB7"/>
    <w:rsid w:val="51736937"/>
    <w:rsid w:val="518025C6"/>
    <w:rsid w:val="5181771E"/>
    <w:rsid w:val="51856AE2"/>
    <w:rsid w:val="51901BE4"/>
    <w:rsid w:val="51B41A53"/>
    <w:rsid w:val="51BA7F1C"/>
    <w:rsid w:val="51BC69A8"/>
    <w:rsid w:val="51C47505"/>
    <w:rsid w:val="51C92E73"/>
    <w:rsid w:val="51C954AB"/>
    <w:rsid w:val="51EB4166"/>
    <w:rsid w:val="51F55C72"/>
    <w:rsid w:val="521A11BF"/>
    <w:rsid w:val="525070F0"/>
    <w:rsid w:val="527655A8"/>
    <w:rsid w:val="527728CF"/>
    <w:rsid w:val="52966529"/>
    <w:rsid w:val="52C12D88"/>
    <w:rsid w:val="52FE1F8A"/>
    <w:rsid w:val="53140E40"/>
    <w:rsid w:val="534C3295"/>
    <w:rsid w:val="535C025E"/>
    <w:rsid w:val="53624A84"/>
    <w:rsid w:val="536F2BEC"/>
    <w:rsid w:val="53784B50"/>
    <w:rsid w:val="5386726D"/>
    <w:rsid w:val="539354E6"/>
    <w:rsid w:val="539B77F9"/>
    <w:rsid w:val="53A519CB"/>
    <w:rsid w:val="53EC0C79"/>
    <w:rsid w:val="5420418E"/>
    <w:rsid w:val="54364BD1"/>
    <w:rsid w:val="54387E3C"/>
    <w:rsid w:val="543F4202"/>
    <w:rsid w:val="544A72F2"/>
    <w:rsid w:val="546649A9"/>
    <w:rsid w:val="546D21DB"/>
    <w:rsid w:val="548B7868"/>
    <w:rsid w:val="549239F0"/>
    <w:rsid w:val="549245D3"/>
    <w:rsid w:val="54932597"/>
    <w:rsid w:val="549F3F36"/>
    <w:rsid w:val="54A70211"/>
    <w:rsid w:val="54B36435"/>
    <w:rsid w:val="54C73958"/>
    <w:rsid w:val="54D60E0A"/>
    <w:rsid w:val="54E12167"/>
    <w:rsid w:val="54F04487"/>
    <w:rsid w:val="550F5D61"/>
    <w:rsid w:val="551F1D4C"/>
    <w:rsid w:val="552B1B0C"/>
    <w:rsid w:val="553B73E2"/>
    <w:rsid w:val="55614AB4"/>
    <w:rsid w:val="559C4BEE"/>
    <w:rsid w:val="55A4785E"/>
    <w:rsid w:val="55AD03B6"/>
    <w:rsid w:val="55AE00FB"/>
    <w:rsid w:val="55F5158B"/>
    <w:rsid w:val="55F85C97"/>
    <w:rsid w:val="55FA7A9F"/>
    <w:rsid w:val="56024E0D"/>
    <w:rsid w:val="5637470C"/>
    <w:rsid w:val="56405D96"/>
    <w:rsid w:val="56440D1A"/>
    <w:rsid w:val="56546B51"/>
    <w:rsid w:val="56621DAD"/>
    <w:rsid w:val="56665893"/>
    <w:rsid w:val="56692571"/>
    <w:rsid w:val="56B45E9F"/>
    <w:rsid w:val="56EF6ED8"/>
    <w:rsid w:val="56F444EE"/>
    <w:rsid w:val="57232251"/>
    <w:rsid w:val="572951A4"/>
    <w:rsid w:val="572A6162"/>
    <w:rsid w:val="576A78C0"/>
    <w:rsid w:val="57835872"/>
    <w:rsid w:val="57884171"/>
    <w:rsid w:val="57C33004"/>
    <w:rsid w:val="57D73305"/>
    <w:rsid w:val="57D91936"/>
    <w:rsid w:val="58096ED6"/>
    <w:rsid w:val="58104E13"/>
    <w:rsid w:val="582C5F09"/>
    <w:rsid w:val="584A342C"/>
    <w:rsid w:val="58605EAA"/>
    <w:rsid w:val="58873873"/>
    <w:rsid w:val="58AE4D30"/>
    <w:rsid w:val="58B55EFF"/>
    <w:rsid w:val="58BB7642"/>
    <w:rsid w:val="58BC103B"/>
    <w:rsid w:val="58ED1D58"/>
    <w:rsid w:val="58F34BD5"/>
    <w:rsid w:val="5909649B"/>
    <w:rsid w:val="592231AE"/>
    <w:rsid w:val="594069F9"/>
    <w:rsid w:val="59801728"/>
    <w:rsid w:val="598D0F45"/>
    <w:rsid w:val="5996188C"/>
    <w:rsid w:val="599B3347"/>
    <w:rsid w:val="599E2E23"/>
    <w:rsid w:val="59B44408"/>
    <w:rsid w:val="59BC5EAE"/>
    <w:rsid w:val="59F24F7E"/>
    <w:rsid w:val="59FA26DD"/>
    <w:rsid w:val="59FB0D56"/>
    <w:rsid w:val="5A1D3B98"/>
    <w:rsid w:val="5A2D48C0"/>
    <w:rsid w:val="5A2D4F6A"/>
    <w:rsid w:val="5A313210"/>
    <w:rsid w:val="5A33357F"/>
    <w:rsid w:val="5A5F730A"/>
    <w:rsid w:val="5A6D6C57"/>
    <w:rsid w:val="5A93010C"/>
    <w:rsid w:val="5AA87D95"/>
    <w:rsid w:val="5AAF7BCE"/>
    <w:rsid w:val="5B1038C0"/>
    <w:rsid w:val="5B117656"/>
    <w:rsid w:val="5B4812AC"/>
    <w:rsid w:val="5B751975"/>
    <w:rsid w:val="5B77229F"/>
    <w:rsid w:val="5B7D3997"/>
    <w:rsid w:val="5B8502C6"/>
    <w:rsid w:val="5B921FE3"/>
    <w:rsid w:val="5B9F7AB2"/>
    <w:rsid w:val="5BA159E3"/>
    <w:rsid w:val="5BA81D4B"/>
    <w:rsid w:val="5BC112B9"/>
    <w:rsid w:val="5BD3501A"/>
    <w:rsid w:val="5BE51D65"/>
    <w:rsid w:val="5C0E68DE"/>
    <w:rsid w:val="5C116B57"/>
    <w:rsid w:val="5C4813D0"/>
    <w:rsid w:val="5C621EFA"/>
    <w:rsid w:val="5C7D2BB8"/>
    <w:rsid w:val="5C7D6D34"/>
    <w:rsid w:val="5C8D6F93"/>
    <w:rsid w:val="5C8F4CC0"/>
    <w:rsid w:val="5CB246CA"/>
    <w:rsid w:val="5CB5166D"/>
    <w:rsid w:val="5CC46711"/>
    <w:rsid w:val="5CC853A2"/>
    <w:rsid w:val="5CCF3C73"/>
    <w:rsid w:val="5CEC7FAF"/>
    <w:rsid w:val="5CF177D7"/>
    <w:rsid w:val="5D333896"/>
    <w:rsid w:val="5D3A0AEA"/>
    <w:rsid w:val="5D40723B"/>
    <w:rsid w:val="5D504448"/>
    <w:rsid w:val="5D526C52"/>
    <w:rsid w:val="5D530617"/>
    <w:rsid w:val="5D6B3030"/>
    <w:rsid w:val="5D7A1F3F"/>
    <w:rsid w:val="5D816F12"/>
    <w:rsid w:val="5DC264EF"/>
    <w:rsid w:val="5DC943F2"/>
    <w:rsid w:val="5E1A0311"/>
    <w:rsid w:val="5E3315C9"/>
    <w:rsid w:val="5E347CCE"/>
    <w:rsid w:val="5E374D9F"/>
    <w:rsid w:val="5E442DDC"/>
    <w:rsid w:val="5E443BEF"/>
    <w:rsid w:val="5E4C006B"/>
    <w:rsid w:val="5E5B12F6"/>
    <w:rsid w:val="5E622685"/>
    <w:rsid w:val="5E6944CE"/>
    <w:rsid w:val="5E6B035D"/>
    <w:rsid w:val="5E7E6D93"/>
    <w:rsid w:val="5E873EEA"/>
    <w:rsid w:val="5E8D25C5"/>
    <w:rsid w:val="5E9345EC"/>
    <w:rsid w:val="5EA54345"/>
    <w:rsid w:val="5EA74766"/>
    <w:rsid w:val="5EAF096B"/>
    <w:rsid w:val="5ECC1EFE"/>
    <w:rsid w:val="5EE035AA"/>
    <w:rsid w:val="5EE904DC"/>
    <w:rsid w:val="5EF25817"/>
    <w:rsid w:val="5EF77271"/>
    <w:rsid w:val="5F0968BF"/>
    <w:rsid w:val="5F207F2C"/>
    <w:rsid w:val="5F425007"/>
    <w:rsid w:val="5F441705"/>
    <w:rsid w:val="5F4C1528"/>
    <w:rsid w:val="5F65716A"/>
    <w:rsid w:val="5F71058C"/>
    <w:rsid w:val="5F747449"/>
    <w:rsid w:val="5F7A755A"/>
    <w:rsid w:val="5F9878F8"/>
    <w:rsid w:val="5FC411B3"/>
    <w:rsid w:val="5FD3008D"/>
    <w:rsid w:val="601F63FB"/>
    <w:rsid w:val="603B559B"/>
    <w:rsid w:val="604B5B34"/>
    <w:rsid w:val="606A3A73"/>
    <w:rsid w:val="607C684B"/>
    <w:rsid w:val="60964868"/>
    <w:rsid w:val="609F06ED"/>
    <w:rsid w:val="60B34AC6"/>
    <w:rsid w:val="60C96BDA"/>
    <w:rsid w:val="60CA22BA"/>
    <w:rsid w:val="60CD3C9D"/>
    <w:rsid w:val="60D90BAB"/>
    <w:rsid w:val="610572F8"/>
    <w:rsid w:val="612268D2"/>
    <w:rsid w:val="612429C6"/>
    <w:rsid w:val="612B408F"/>
    <w:rsid w:val="6141250F"/>
    <w:rsid w:val="614524A9"/>
    <w:rsid w:val="614B7400"/>
    <w:rsid w:val="61534EEA"/>
    <w:rsid w:val="615564D1"/>
    <w:rsid w:val="61752118"/>
    <w:rsid w:val="61827C1A"/>
    <w:rsid w:val="619568CD"/>
    <w:rsid w:val="61A12AA9"/>
    <w:rsid w:val="61A34DB9"/>
    <w:rsid w:val="61B729D3"/>
    <w:rsid w:val="61B825BC"/>
    <w:rsid w:val="61BD0FF3"/>
    <w:rsid w:val="61C92D37"/>
    <w:rsid w:val="61CF3D16"/>
    <w:rsid w:val="61D83514"/>
    <w:rsid w:val="62255EA3"/>
    <w:rsid w:val="62261C1B"/>
    <w:rsid w:val="622639C9"/>
    <w:rsid w:val="623C143F"/>
    <w:rsid w:val="62462E25"/>
    <w:rsid w:val="62712E97"/>
    <w:rsid w:val="62883D16"/>
    <w:rsid w:val="62913722"/>
    <w:rsid w:val="629D1EDE"/>
    <w:rsid w:val="629F24D0"/>
    <w:rsid w:val="62A019CE"/>
    <w:rsid w:val="62B123BC"/>
    <w:rsid w:val="62BD07C7"/>
    <w:rsid w:val="62E37112"/>
    <w:rsid w:val="62E73B4A"/>
    <w:rsid w:val="635F7193"/>
    <w:rsid w:val="6370314E"/>
    <w:rsid w:val="63803B23"/>
    <w:rsid w:val="63814C5E"/>
    <w:rsid w:val="63892462"/>
    <w:rsid w:val="63950E07"/>
    <w:rsid w:val="63AA4849"/>
    <w:rsid w:val="63AB690F"/>
    <w:rsid w:val="63ED479F"/>
    <w:rsid w:val="63EE6769"/>
    <w:rsid w:val="63F26F48"/>
    <w:rsid w:val="641C5084"/>
    <w:rsid w:val="64351548"/>
    <w:rsid w:val="64656A2B"/>
    <w:rsid w:val="647749B0"/>
    <w:rsid w:val="647C6F60"/>
    <w:rsid w:val="64AD2B77"/>
    <w:rsid w:val="64AF2BA2"/>
    <w:rsid w:val="64C546E3"/>
    <w:rsid w:val="64E71F99"/>
    <w:rsid w:val="65070338"/>
    <w:rsid w:val="65136487"/>
    <w:rsid w:val="651C1118"/>
    <w:rsid w:val="6532373D"/>
    <w:rsid w:val="65335221"/>
    <w:rsid w:val="653C35B3"/>
    <w:rsid w:val="656071F2"/>
    <w:rsid w:val="657F2FB4"/>
    <w:rsid w:val="659869FB"/>
    <w:rsid w:val="65CD0D2C"/>
    <w:rsid w:val="65D8322D"/>
    <w:rsid w:val="65D84658"/>
    <w:rsid w:val="65E329B5"/>
    <w:rsid w:val="661E5B72"/>
    <w:rsid w:val="66303069"/>
    <w:rsid w:val="663F32AC"/>
    <w:rsid w:val="667C4500"/>
    <w:rsid w:val="669968FB"/>
    <w:rsid w:val="66A17AC3"/>
    <w:rsid w:val="66A27BA4"/>
    <w:rsid w:val="66AC41AA"/>
    <w:rsid w:val="66B14D08"/>
    <w:rsid w:val="66BC66AA"/>
    <w:rsid w:val="66EA3218"/>
    <w:rsid w:val="670342D9"/>
    <w:rsid w:val="671324B0"/>
    <w:rsid w:val="67161904"/>
    <w:rsid w:val="672B1D1E"/>
    <w:rsid w:val="67513297"/>
    <w:rsid w:val="6778303F"/>
    <w:rsid w:val="67AD3D0D"/>
    <w:rsid w:val="67C16183"/>
    <w:rsid w:val="67C50AEA"/>
    <w:rsid w:val="67D92BEA"/>
    <w:rsid w:val="67D92CC5"/>
    <w:rsid w:val="680800CB"/>
    <w:rsid w:val="683C5CF5"/>
    <w:rsid w:val="68572B2F"/>
    <w:rsid w:val="685F28CB"/>
    <w:rsid w:val="68693230"/>
    <w:rsid w:val="68811240"/>
    <w:rsid w:val="68866F70"/>
    <w:rsid w:val="689A1AD9"/>
    <w:rsid w:val="689A6A7D"/>
    <w:rsid w:val="68D257F0"/>
    <w:rsid w:val="68DB59E0"/>
    <w:rsid w:val="68EB3277"/>
    <w:rsid w:val="68F420D2"/>
    <w:rsid w:val="690F5A98"/>
    <w:rsid w:val="69207028"/>
    <w:rsid w:val="695E544A"/>
    <w:rsid w:val="6960266F"/>
    <w:rsid w:val="696372B1"/>
    <w:rsid w:val="69845BA5"/>
    <w:rsid w:val="69892E73"/>
    <w:rsid w:val="698A6F3B"/>
    <w:rsid w:val="69935C72"/>
    <w:rsid w:val="69C72D1C"/>
    <w:rsid w:val="69D64DEA"/>
    <w:rsid w:val="6A1D4FC2"/>
    <w:rsid w:val="6A481A52"/>
    <w:rsid w:val="6A560518"/>
    <w:rsid w:val="6A575068"/>
    <w:rsid w:val="6A5D139E"/>
    <w:rsid w:val="6A6652AB"/>
    <w:rsid w:val="6A6C5686"/>
    <w:rsid w:val="6A975089"/>
    <w:rsid w:val="6AA47B81"/>
    <w:rsid w:val="6AA67D9D"/>
    <w:rsid w:val="6AE94A3D"/>
    <w:rsid w:val="6AF82DE7"/>
    <w:rsid w:val="6B012E20"/>
    <w:rsid w:val="6B0673F6"/>
    <w:rsid w:val="6B175FA8"/>
    <w:rsid w:val="6B1865D2"/>
    <w:rsid w:val="6B2D7B0E"/>
    <w:rsid w:val="6B3561E1"/>
    <w:rsid w:val="6B3E76AB"/>
    <w:rsid w:val="6B6C63F9"/>
    <w:rsid w:val="6B6D696B"/>
    <w:rsid w:val="6B98073B"/>
    <w:rsid w:val="6BA640DF"/>
    <w:rsid w:val="6BB63954"/>
    <w:rsid w:val="6BB63F0B"/>
    <w:rsid w:val="6BBF602C"/>
    <w:rsid w:val="6BCF6B89"/>
    <w:rsid w:val="6BD862CC"/>
    <w:rsid w:val="6BE52805"/>
    <w:rsid w:val="6BED4C41"/>
    <w:rsid w:val="6C022DB1"/>
    <w:rsid w:val="6C05718A"/>
    <w:rsid w:val="6C082886"/>
    <w:rsid w:val="6C186A79"/>
    <w:rsid w:val="6C262405"/>
    <w:rsid w:val="6C296590"/>
    <w:rsid w:val="6C536F6E"/>
    <w:rsid w:val="6C6E48EB"/>
    <w:rsid w:val="6C713933"/>
    <w:rsid w:val="6C792A11"/>
    <w:rsid w:val="6C821EA0"/>
    <w:rsid w:val="6C871422"/>
    <w:rsid w:val="6C876151"/>
    <w:rsid w:val="6C9E5846"/>
    <w:rsid w:val="6CAA04DD"/>
    <w:rsid w:val="6CB12F1C"/>
    <w:rsid w:val="6CB24E83"/>
    <w:rsid w:val="6CC8224D"/>
    <w:rsid w:val="6CEE3381"/>
    <w:rsid w:val="6CF36F0D"/>
    <w:rsid w:val="6D0B3EE8"/>
    <w:rsid w:val="6D11111E"/>
    <w:rsid w:val="6D247F92"/>
    <w:rsid w:val="6D3A093B"/>
    <w:rsid w:val="6D433682"/>
    <w:rsid w:val="6D5269A8"/>
    <w:rsid w:val="6D657A9C"/>
    <w:rsid w:val="6D67132B"/>
    <w:rsid w:val="6D745B31"/>
    <w:rsid w:val="6D920165"/>
    <w:rsid w:val="6E0E5A3E"/>
    <w:rsid w:val="6E2E03ED"/>
    <w:rsid w:val="6E5502EF"/>
    <w:rsid w:val="6EBB7166"/>
    <w:rsid w:val="6EBF7216"/>
    <w:rsid w:val="6EC4234C"/>
    <w:rsid w:val="6ECC76A7"/>
    <w:rsid w:val="6EDC5B3C"/>
    <w:rsid w:val="6F0B7B22"/>
    <w:rsid w:val="6F5032B2"/>
    <w:rsid w:val="6FB24AEE"/>
    <w:rsid w:val="6FBB6761"/>
    <w:rsid w:val="6FDA6215"/>
    <w:rsid w:val="6FF70753"/>
    <w:rsid w:val="704A10CB"/>
    <w:rsid w:val="705838E8"/>
    <w:rsid w:val="70904E30"/>
    <w:rsid w:val="70960F4A"/>
    <w:rsid w:val="709B04C9"/>
    <w:rsid w:val="70B52AE8"/>
    <w:rsid w:val="70C1148D"/>
    <w:rsid w:val="70C8102F"/>
    <w:rsid w:val="70C90342"/>
    <w:rsid w:val="70CB295F"/>
    <w:rsid w:val="70D65F75"/>
    <w:rsid w:val="70E658BD"/>
    <w:rsid w:val="70FF335A"/>
    <w:rsid w:val="710547C7"/>
    <w:rsid w:val="71075032"/>
    <w:rsid w:val="710A284E"/>
    <w:rsid w:val="71166067"/>
    <w:rsid w:val="71257C6E"/>
    <w:rsid w:val="713036D2"/>
    <w:rsid w:val="713C6D66"/>
    <w:rsid w:val="713D1AA9"/>
    <w:rsid w:val="71470970"/>
    <w:rsid w:val="714B50B3"/>
    <w:rsid w:val="71540FDE"/>
    <w:rsid w:val="716562BC"/>
    <w:rsid w:val="717E4AFD"/>
    <w:rsid w:val="71A44787"/>
    <w:rsid w:val="71AC35C3"/>
    <w:rsid w:val="71AD7560"/>
    <w:rsid w:val="71D119D0"/>
    <w:rsid w:val="71D23226"/>
    <w:rsid w:val="71E520B3"/>
    <w:rsid w:val="71EC51CB"/>
    <w:rsid w:val="71FB09CF"/>
    <w:rsid w:val="720857D7"/>
    <w:rsid w:val="72096764"/>
    <w:rsid w:val="721101F2"/>
    <w:rsid w:val="72296778"/>
    <w:rsid w:val="725A6D49"/>
    <w:rsid w:val="7263175A"/>
    <w:rsid w:val="726512A6"/>
    <w:rsid w:val="726A5682"/>
    <w:rsid w:val="727D6387"/>
    <w:rsid w:val="7287640D"/>
    <w:rsid w:val="72914E8F"/>
    <w:rsid w:val="72920032"/>
    <w:rsid w:val="729A7428"/>
    <w:rsid w:val="72B01610"/>
    <w:rsid w:val="72BD4A9C"/>
    <w:rsid w:val="72C17BCA"/>
    <w:rsid w:val="72E10ACF"/>
    <w:rsid w:val="72E20892"/>
    <w:rsid w:val="72F63D81"/>
    <w:rsid w:val="73160C1A"/>
    <w:rsid w:val="732A7EAB"/>
    <w:rsid w:val="732B308B"/>
    <w:rsid w:val="732D19AE"/>
    <w:rsid w:val="734B7A1C"/>
    <w:rsid w:val="73641EF5"/>
    <w:rsid w:val="736A1B31"/>
    <w:rsid w:val="73857529"/>
    <w:rsid w:val="73A771EE"/>
    <w:rsid w:val="73B52DFF"/>
    <w:rsid w:val="73F36180"/>
    <w:rsid w:val="743B4F19"/>
    <w:rsid w:val="7447614D"/>
    <w:rsid w:val="74485A21"/>
    <w:rsid w:val="744F6710"/>
    <w:rsid w:val="745B3FC8"/>
    <w:rsid w:val="74753BD4"/>
    <w:rsid w:val="7476258E"/>
    <w:rsid w:val="74786307"/>
    <w:rsid w:val="747E2ACC"/>
    <w:rsid w:val="747F48E4"/>
    <w:rsid w:val="74840D96"/>
    <w:rsid w:val="748922C2"/>
    <w:rsid w:val="748B2E71"/>
    <w:rsid w:val="748D2266"/>
    <w:rsid w:val="748F4756"/>
    <w:rsid w:val="74935B2C"/>
    <w:rsid w:val="74A55344"/>
    <w:rsid w:val="74B9597F"/>
    <w:rsid w:val="74C3429E"/>
    <w:rsid w:val="74D15A17"/>
    <w:rsid w:val="74D65E5E"/>
    <w:rsid w:val="74EB5D60"/>
    <w:rsid w:val="750C6A4F"/>
    <w:rsid w:val="75154BEA"/>
    <w:rsid w:val="752A730C"/>
    <w:rsid w:val="752C426B"/>
    <w:rsid w:val="7532121E"/>
    <w:rsid w:val="75581C94"/>
    <w:rsid w:val="757C299D"/>
    <w:rsid w:val="759A0322"/>
    <w:rsid w:val="75B64057"/>
    <w:rsid w:val="75D90251"/>
    <w:rsid w:val="76261822"/>
    <w:rsid w:val="76432944"/>
    <w:rsid w:val="764C17F9"/>
    <w:rsid w:val="76653DEA"/>
    <w:rsid w:val="767C0B42"/>
    <w:rsid w:val="768774D0"/>
    <w:rsid w:val="76966F18"/>
    <w:rsid w:val="76A67006"/>
    <w:rsid w:val="76B349DE"/>
    <w:rsid w:val="76B61368"/>
    <w:rsid w:val="76CC435D"/>
    <w:rsid w:val="76D10B32"/>
    <w:rsid w:val="76D17F50"/>
    <w:rsid w:val="76EC7B96"/>
    <w:rsid w:val="77040D55"/>
    <w:rsid w:val="770714A8"/>
    <w:rsid w:val="772C5186"/>
    <w:rsid w:val="773E1AA5"/>
    <w:rsid w:val="77441A9D"/>
    <w:rsid w:val="774C75D7"/>
    <w:rsid w:val="77681D74"/>
    <w:rsid w:val="77942F58"/>
    <w:rsid w:val="77A223BC"/>
    <w:rsid w:val="77B34070"/>
    <w:rsid w:val="77CB52DC"/>
    <w:rsid w:val="77ED1A00"/>
    <w:rsid w:val="77FA5D85"/>
    <w:rsid w:val="78037A7C"/>
    <w:rsid w:val="78137BEC"/>
    <w:rsid w:val="781C4AB6"/>
    <w:rsid w:val="78252301"/>
    <w:rsid w:val="78656BA2"/>
    <w:rsid w:val="787827F2"/>
    <w:rsid w:val="788E7498"/>
    <w:rsid w:val="78B71B58"/>
    <w:rsid w:val="78BD69DE"/>
    <w:rsid w:val="78F671A8"/>
    <w:rsid w:val="790C34C1"/>
    <w:rsid w:val="791F735E"/>
    <w:rsid w:val="79344625"/>
    <w:rsid w:val="79BC6C95"/>
    <w:rsid w:val="79C8563A"/>
    <w:rsid w:val="79E32D63"/>
    <w:rsid w:val="79E3321A"/>
    <w:rsid w:val="79E824B0"/>
    <w:rsid w:val="7A1261C1"/>
    <w:rsid w:val="7A140880"/>
    <w:rsid w:val="7A1479CB"/>
    <w:rsid w:val="7A881E55"/>
    <w:rsid w:val="7A9B68AB"/>
    <w:rsid w:val="7A9D2FB1"/>
    <w:rsid w:val="7AA24CA4"/>
    <w:rsid w:val="7AA31C03"/>
    <w:rsid w:val="7AA426BC"/>
    <w:rsid w:val="7AAB101F"/>
    <w:rsid w:val="7AB05986"/>
    <w:rsid w:val="7AB7705B"/>
    <w:rsid w:val="7AC9377A"/>
    <w:rsid w:val="7AEB0C24"/>
    <w:rsid w:val="7AF22B81"/>
    <w:rsid w:val="7AFF2FA2"/>
    <w:rsid w:val="7B147078"/>
    <w:rsid w:val="7B21296D"/>
    <w:rsid w:val="7B22252F"/>
    <w:rsid w:val="7B247F7B"/>
    <w:rsid w:val="7B2E2A7A"/>
    <w:rsid w:val="7B2F4661"/>
    <w:rsid w:val="7B3920F4"/>
    <w:rsid w:val="7B3F1056"/>
    <w:rsid w:val="7B4E49E1"/>
    <w:rsid w:val="7B5707A7"/>
    <w:rsid w:val="7B845591"/>
    <w:rsid w:val="7B8C7C65"/>
    <w:rsid w:val="7B9D6584"/>
    <w:rsid w:val="7BC53646"/>
    <w:rsid w:val="7BCE3A85"/>
    <w:rsid w:val="7BE424D4"/>
    <w:rsid w:val="7BEB3862"/>
    <w:rsid w:val="7BF5648F"/>
    <w:rsid w:val="7BF87D2D"/>
    <w:rsid w:val="7C2167D2"/>
    <w:rsid w:val="7C232FFC"/>
    <w:rsid w:val="7C2B3E35"/>
    <w:rsid w:val="7C2C6B84"/>
    <w:rsid w:val="7C490589"/>
    <w:rsid w:val="7C4911D8"/>
    <w:rsid w:val="7C4B1921"/>
    <w:rsid w:val="7C4D1802"/>
    <w:rsid w:val="7C5960ED"/>
    <w:rsid w:val="7C632139"/>
    <w:rsid w:val="7C651285"/>
    <w:rsid w:val="7C734371"/>
    <w:rsid w:val="7C7816C9"/>
    <w:rsid w:val="7C7874ED"/>
    <w:rsid w:val="7C847763"/>
    <w:rsid w:val="7C8F0691"/>
    <w:rsid w:val="7CA37FBD"/>
    <w:rsid w:val="7CB2612E"/>
    <w:rsid w:val="7CB974BC"/>
    <w:rsid w:val="7CC70CCA"/>
    <w:rsid w:val="7CE24C65"/>
    <w:rsid w:val="7CF348C8"/>
    <w:rsid w:val="7D11653A"/>
    <w:rsid w:val="7D376633"/>
    <w:rsid w:val="7D4C71C2"/>
    <w:rsid w:val="7D5B42F0"/>
    <w:rsid w:val="7D7F0706"/>
    <w:rsid w:val="7D814E70"/>
    <w:rsid w:val="7D8A1A54"/>
    <w:rsid w:val="7D954286"/>
    <w:rsid w:val="7DA02BF8"/>
    <w:rsid w:val="7DDE6E7D"/>
    <w:rsid w:val="7DE5777F"/>
    <w:rsid w:val="7DEC7E34"/>
    <w:rsid w:val="7DF10ED8"/>
    <w:rsid w:val="7DF73679"/>
    <w:rsid w:val="7E0E1A8A"/>
    <w:rsid w:val="7E2117BD"/>
    <w:rsid w:val="7E2E3EDA"/>
    <w:rsid w:val="7E314C4F"/>
    <w:rsid w:val="7E470AF8"/>
    <w:rsid w:val="7EA67E8F"/>
    <w:rsid w:val="7EB1229B"/>
    <w:rsid w:val="7EC62364"/>
    <w:rsid w:val="7EED4EF8"/>
    <w:rsid w:val="7F1B26B0"/>
    <w:rsid w:val="7F3D2627"/>
    <w:rsid w:val="7F4A66B8"/>
    <w:rsid w:val="7F660B97"/>
    <w:rsid w:val="7F723995"/>
    <w:rsid w:val="7F7E6C38"/>
    <w:rsid w:val="7F923611"/>
    <w:rsid w:val="7FA0348D"/>
    <w:rsid w:val="7FB77725"/>
    <w:rsid w:val="7FC248DA"/>
    <w:rsid w:val="7FD821AA"/>
    <w:rsid w:val="7FE7505E"/>
    <w:rsid w:val="7FF32293"/>
    <w:rsid w:val="7FF501B8"/>
    <w:rsid w:val="7FFA72CF"/>
    <w:rsid w:val="7FFF631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nhideWhenUsed="0" w:uiPriority="35" w:semiHidden="0" w:name="caption"/>
    <w:lsdException w:qFormat="1" w:uiPriority="99" w:semiHidden="0" w:name="table of figures"/>
    <w:lsdException w:qFormat="1" w:uiPriority="99"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99" w:semiHidden="0" w:name="endnote text"/>
    <w:lsdException w:qFormat="1" w:uiPriority="99" w:semiHidden="0" w:name="table of authorities"/>
    <w:lsdException w:qFormat="1" w:uiPriority="99" w:semiHidden="0" w:name="macro"/>
    <w:lsdException w:qFormat="1" w:uiPriority="99" w:semiHidden="0" w:name="toa heading"/>
    <w:lsdException w:qFormat="1" w:unhideWhenUsed="0" w:uiPriority="99" w:semiHidden="0" w:name="List"/>
    <w:lsdException w:qFormat="1" w:uiPriority="99" w:semiHidden="0" w:name="List Bullet"/>
    <w:lsdException w:qFormat="1" w:uiPriority="99" w:semiHidden="0" w:name="List Number"/>
    <w:lsdException w:qFormat="1" w:unhideWhenUsed="0" w:uiPriority="99" w:semiHidden="0" w:name="List 2"/>
    <w:lsdException w:qFormat="1" w:uiPriority="99" w:semiHidden="0" w:name="List 3"/>
    <w:lsdException w:qFormat="1" w:unhideWhenUsed="0" w:uiPriority="99" w:semiHidden="0" w:name="List 4"/>
    <w:lsdException w:qFormat="1" w:unhideWhenUsed="0"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0" w:semiHidden="0" w:name="Title"/>
    <w:lsdException w:qFormat="1" w:uiPriority="99" w:semiHidden="0" w:name="Closing"/>
    <w:lsdException w:qFormat="1" w:uiPriority="99" w:semiHidden="0" w:name="Signature"/>
    <w:lsdException w:qFormat="1" w:unhideWhenUsed="0" w:uiPriority="0"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0" w:semiHidden="0" w:name="Subtitle"/>
    <w:lsdException w:qFormat="1"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iPriority="99" w:semiHidden="0" w:name="E-mail Signature"/>
    <w:lsdException w:qFormat="1" w:unhideWhenUsed="0" w:uiPriority="99" w:semiHidden="0" w:name="Normal (Web)"/>
    <w:lsdException w:qFormat="1" w:unhideWhenUsed="0" w:uiPriority="0" w:semiHidden="0" w:name="HTML Acronym"/>
    <w:lsdException w:qFormat="1" w:uiPriority="99"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29" w:semiHidden="0" w:name="Colorful Grid Accent 1"/>
    <w:lsdException w:qFormat="1" w:unhideWhenUsed="0" w:uiPriority="3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3"/>
    <w:qFormat/>
    <w:uiPriority w:val="0"/>
    <w:pPr>
      <w:keepNext/>
      <w:keepLines/>
      <w:numPr>
        <w:ilvl w:val="1"/>
        <w:numId w:val="1"/>
      </w:numPr>
      <w:tabs>
        <w:tab w:val="left" w:pos="5410"/>
      </w:tabs>
      <w:spacing w:line="578" w:lineRule="auto"/>
      <w:outlineLvl w:val="0"/>
    </w:pPr>
    <w:rPr>
      <w:rFonts w:ascii="Calibri" w:hAnsi="Calibri" w:eastAsia="楷体_GB2312"/>
      <w:b/>
      <w:kern w:val="44"/>
      <w:sz w:val="44"/>
      <w:szCs w:val="20"/>
    </w:rPr>
  </w:style>
  <w:style w:type="paragraph" w:styleId="4">
    <w:name w:val="heading 2"/>
    <w:basedOn w:val="1"/>
    <w:next w:val="1"/>
    <w:link w:val="104"/>
    <w:qFormat/>
    <w:uiPriority w:val="0"/>
    <w:pPr>
      <w:keepNext/>
      <w:keepLines/>
      <w:numPr>
        <w:ilvl w:val="1"/>
        <w:numId w:val="2"/>
      </w:numPr>
      <w:spacing w:before="260" w:after="260" w:line="416" w:lineRule="auto"/>
      <w:jc w:val="center"/>
      <w:outlineLvl w:val="1"/>
    </w:pPr>
    <w:rPr>
      <w:rFonts w:ascii="Arial" w:hAnsi="Arial" w:eastAsia="黑体"/>
      <w:b/>
      <w:sz w:val="32"/>
      <w:szCs w:val="20"/>
    </w:rPr>
  </w:style>
  <w:style w:type="paragraph" w:styleId="5">
    <w:name w:val="heading 3"/>
    <w:basedOn w:val="1"/>
    <w:next w:val="1"/>
    <w:link w:val="105"/>
    <w:qFormat/>
    <w:uiPriority w:val="0"/>
    <w:pPr>
      <w:keepNext/>
      <w:keepLines/>
      <w:numPr>
        <w:ilvl w:val="0"/>
        <w:numId w:val="3"/>
      </w:numPr>
      <w:spacing w:before="260" w:after="260" w:line="416" w:lineRule="auto"/>
      <w:ind w:left="420"/>
      <w:jc w:val="center"/>
      <w:outlineLvl w:val="2"/>
    </w:pPr>
    <w:rPr>
      <w:rFonts w:ascii="Calibri" w:hAnsi="Calibri" w:eastAsia="新宋体"/>
      <w:b/>
      <w:sz w:val="28"/>
      <w:szCs w:val="20"/>
    </w:rPr>
  </w:style>
  <w:style w:type="paragraph" w:styleId="6">
    <w:name w:val="heading 4"/>
    <w:basedOn w:val="1"/>
    <w:next w:val="1"/>
    <w:link w:val="106"/>
    <w:qFormat/>
    <w:uiPriority w:val="0"/>
    <w:pPr>
      <w:keepNext/>
      <w:outlineLvl w:val="3"/>
    </w:pPr>
    <w:rPr>
      <w:rFonts w:ascii="Calibri" w:hAnsi="Calibri"/>
      <w:sz w:val="32"/>
      <w:szCs w:val="20"/>
    </w:rPr>
  </w:style>
  <w:style w:type="paragraph" w:styleId="7">
    <w:name w:val="heading 5"/>
    <w:basedOn w:val="1"/>
    <w:next w:val="1"/>
    <w:link w:val="107"/>
    <w:qFormat/>
    <w:uiPriority w:val="0"/>
    <w:pPr>
      <w:keepNext/>
      <w:outlineLvl w:val="4"/>
    </w:pPr>
    <w:rPr>
      <w:b/>
      <w:bCs/>
    </w:rPr>
  </w:style>
  <w:style w:type="paragraph" w:styleId="8">
    <w:name w:val="heading 6"/>
    <w:basedOn w:val="1"/>
    <w:next w:val="1"/>
    <w:link w:val="108"/>
    <w:qFormat/>
    <w:uiPriority w:val="0"/>
    <w:pPr>
      <w:keepNext/>
      <w:keepLines/>
      <w:spacing w:before="240" w:after="64" w:line="320" w:lineRule="auto"/>
      <w:outlineLvl w:val="5"/>
    </w:pPr>
    <w:rPr>
      <w:rFonts w:ascii="Cambria" w:hAnsi="Cambria"/>
      <w:b/>
      <w:bCs/>
      <w:kern w:val="0"/>
      <w:sz w:val="24"/>
    </w:rPr>
  </w:style>
  <w:style w:type="paragraph" w:styleId="9">
    <w:name w:val="heading 7"/>
    <w:basedOn w:val="1"/>
    <w:next w:val="1"/>
    <w:link w:val="109"/>
    <w:qFormat/>
    <w:uiPriority w:val="0"/>
    <w:pPr>
      <w:keepNext/>
      <w:keepLines/>
      <w:spacing w:before="240" w:after="64" w:line="320" w:lineRule="auto"/>
      <w:ind w:left="1296" w:hanging="1296"/>
      <w:outlineLvl w:val="6"/>
    </w:pPr>
    <w:rPr>
      <w:rFonts w:ascii="Calibri" w:hAnsi="Calibri"/>
      <w:b/>
      <w:bCs/>
      <w:sz w:val="24"/>
      <w:lang w:eastAsia="en-US"/>
    </w:rPr>
  </w:style>
  <w:style w:type="paragraph" w:styleId="10">
    <w:name w:val="heading 8"/>
    <w:basedOn w:val="1"/>
    <w:next w:val="1"/>
    <w:link w:val="110"/>
    <w:qFormat/>
    <w:uiPriority w:val="0"/>
    <w:pPr>
      <w:keepNext/>
      <w:keepLines/>
      <w:spacing w:before="240" w:after="64" w:line="320" w:lineRule="auto"/>
      <w:ind w:left="1440" w:hanging="1440"/>
      <w:outlineLvl w:val="7"/>
    </w:pPr>
    <w:rPr>
      <w:rFonts w:ascii="Calibri Light" w:hAnsi="Calibri Light"/>
      <w:sz w:val="24"/>
      <w:lang w:eastAsia="en-US"/>
    </w:rPr>
  </w:style>
  <w:style w:type="paragraph" w:styleId="11">
    <w:name w:val="heading 9"/>
    <w:basedOn w:val="1"/>
    <w:next w:val="1"/>
    <w:link w:val="111"/>
    <w:qFormat/>
    <w:uiPriority w:val="0"/>
    <w:pPr>
      <w:keepNext/>
      <w:keepLines/>
      <w:spacing w:before="240" w:after="64" w:line="320" w:lineRule="auto"/>
      <w:ind w:left="1584" w:hanging="1584"/>
      <w:outlineLvl w:val="8"/>
    </w:pPr>
    <w:rPr>
      <w:rFonts w:ascii="Calibri Light" w:hAnsi="Calibri Light"/>
      <w:szCs w:val="21"/>
      <w:lang w:eastAsia="en-US"/>
    </w:rPr>
  </w:style>
  <w:style w:type="character" w:default="1" w:styleId="86">
    <w:name w:val="Default Paragraph Font"/>
    <w:qFormat/>
    <w:uiPriority w:val="0"/>
    <w:rPr>
      <w:rFonts w:ascii="Verdana" w:hAnsi="Verdana"/>
      <w:kern w:val="0"/>
      <w:sz w:val="20"/>
      <w:szCs w:val="20"/>
      <w:lang w:eastAsia="en-US"/>
    </w:rPr>
  </w:style>
  <w:style w:type="table" w:default="1" w:styleId="82">
    <w:name w:val="Normal Table"/>
    <w:semiHidden/>
    <w:qFormat/>
    <w:uiPriority w:val="0"/>
    <w:tblPr>
      <w:tblCellMar>
        <w:top w:w="0" w:type="dxa"/>
        <w:left w:w="108" w:type="dxa"/>
        <w:bottom w:w="0" w:type="dxa"/>
        <w:right w:w="108" w:type="dxa"/>
      </w:tblCellMar>
    </w:tblPr>
  </w:style>
  <w:style w:type="paragraph" w:styleId="2">
    <w:name w:val="macro"/>
    <w:link w:val="102"/>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100" w:afterAutospacing="1"/>
    </w:pPr>
    <w:rPr>
      <w:rFonts w:ascii="Courier New" w:hAnsi="Courier New" w:eastAsia="宋体" w:cs="Courier New"/>
      <w:kern w:val="2"/>
      <w:sz w:val="24"/>
      <w:szCs w:val="24"/>
      <w:lang w:val="en-US" w:eastAsia="zh-CN" w:bidi="ar-SA"/>
    </w:rPr>
  </w:style>
  <w:style w:type="paragraph" w:styleId="12">
    <w:name w:val="List 3"/>
    <w:basedOn w:val="1"/>
    <w:unhideWhenUsed/>
    <w:qFormat/>
    <w:uiPriority w:val="99"/>
    <w:pPr>
      <w:spacing w:after="100" w:afterAutospacing="1"/>
      <w:ind w:left="100" w:leftChars="400" w:hanging="200" w:hangingChars="200"/>
      <w:contextualSpacing/>
    </w:pPr>
  </w:style>
  <w:style w:type="paragraph" w:styleId="13">
    <w:name w:val="List Number 2"/>
    <w:basedOn w:val="1"/>
    <w:unhideWhenUsed/>
    <w:qFormat/>
    <w:uiPriority w:val="99"/>
    <w:pPr>
      <w:numPr>
        <w:ilvl w:val="0"/>
        <w:numId w:val="4"/>
      </w:numPr>
      <w:tabs>
        <w:tab w:val="left" w:pos="780"/>
      </w:tabs>
      <w:spacing w:after="100" w:afterAutospacing="1"/>
      <w:contextualSpacing/>
    </w:pPr>
  </w:style>
  <w:style w:type="paragraph" w:styleId="14">
    <w:name w:val="table of authorities"/>
    <w:basedOn w:val="1"/>
    <w:next w:val="1"/>
    <w:unhideWhenUsed/>
    <w:qFormat/>
    <w:uiPriority w:val="99"/>
    <w:pPr>
      <w:spacing w:after="100" w:afterAutospacing="1"/>
      <w:ind w:left="420" w:leftChars="200"/>
    </w:pPr>
  </w:style>
  <w:style w:type="paragraph" w:styleId="15">
    <w:name w:val="Note Heading"/>
    <w:basedOn w:val="1"/>
    <w:next w:val="1"/>
    <w:link w:val="112"/>
    <w:unhideWhenUsed/>
    <w:qFormat/>
    <w:uiPriority w:val="99"/>
    <w:pPr>
      <w:spacing w:after="100" w:afterAutospacing="1"/>
      <w:jc w:val="center"/>
    </w:pPr>
  </w:style>
  <w:style w:type="paragraph" w:styleId="16">
    <w:name w:val="List Bullet 4"/>
    <w:basedOn w:val="1"/>
    <w:unhideWhenUsed/>
    <w:qFormat/>
    <w:uiPriority w:val="99"/>
    <w:pPr>
      <w:numPr>
        <w:ilvl w:val="0"/>
        <w:numId w:val="5"/>
      </w:numPr>
      <w:tabs>
        <w:tab w:val="left" w:pos="1620"/>
      </w:tabs>
      <w:spacing w:after="100" w:afterAutospacing="1"/>
      <w:contextualSpacing/>
    </w:pPr>
  </w:style>
  <w:style w:type="paragraph" w:styleId="17">
    <w:name w:val="index 8"/>
    <w:basedOn w:val="1"/>
    <w:next w:val="1"/>
    <w:unhideWhenUsed/>
    <w:qFormat/>
    <w:uiPriority w:val="99"/>
    <w:pPr>
      <w:spacing w:after="100" w:afterAutospacing="1"/>
      <w:ind w:left="1400" w:leftChars="1400"/>
    </w:pPr>
  </w:style>
  <w:style w:type="paragraph" w:styleId="18">
    <w:name w:val="E-mail Signature"/>
    <w:basedOn w:val="1"/>
    <w:link w:val="113"/>
    <w:unhideWhenUsed/>
    <w:qFormat/>
    <w:uiPriority w:val="99"/>
    <w:pPr>
      <w:spacing w:after="100" w:afterAutospacing="1"/>
    </w:pPr>
  </w:style>
  <w:style w:type="paragraph" w:styleId="19">
    <w:name w:val="List Number"/>
    <w:basedOn w:val="1"/>
    <w:unhideWhenUsed/>
    <w:qFormat/>
    <w:uiPriority w:val="99"/>
    <w:pPr>
      <w:numPr>
        <w:ilvl w:val="0"/>
        <w:numId w:val="6"/>
      </w:numPr>
      <w:tabs>
        <w:tab w:val="left" w:pos="360"/>
      </w:tabs>
      <w:spacing w:after="100" w:afterAutospacing="1"/>
      <w:contextualSpacing/>
    </w:pPr>
  </w:style>
  <w:style w:type="paragraph" w:styleId="20">
    <w:name w:val="Normal Indent"/>
    <w:basedOn w:val="1"/>
    <w:link w:val="114"/>
    <w:qFormat/>
    <w:uiPriority w:val="0"/>
    <w:pPr>
      <w:ind w:firstLine="420"/>
    </w:pPr>
    <w:rPr>
      <w:rFonts w:ascii="Calibri" w:hAnsi="Calibri"/>
      <w:szCs w:val="20"/>
    </w:rPr>
  </w:style>
  <w:style w:type="paragraph" w:styleId="21">
    <w:name w:val="caption"/>
    <w:basedOn w:val="1"/>
    <w:next w:val="1"/>
    <w:qFormat/>
    <w:uiPriority w:val="35"/>
    <w:pPr>
      <w:spacing w:after="100" w:afterAutospacing="1"/>
    </w:pPr>
    <w:rPr>
      <w:rFonts w:ascii="Cambria" w:hAnsi="Cambria" w:eastAsia="黑体"/>
      <w:sz w:val="20"/>
      <w:szCs w:val="20"/>
    </w:rPr>
  </w:style>
  <w:style w:type="paragraph" w:styleId="22">
    <w:name w:val="index 5"/>
    <w:basedOn w:val="1"/>
    <w:next w:val="1"/>
    <w:unhideWhenUsed/>
    <w:qFormat/>
    <w:uiPriority w:val="99"/>
    <w:pPr>
      <w:spacing w:after="100" w:afterAutospacing="1"/>
      <w:ind w:left="800" w:leftChars="800"/>
    </w:pPr>
  </w:style>
  <w:style w:type="paragraph" w:styleId="23">
    <w:name w:val="List Bullet"/>
    <w:basedOn w:val="1"/>
    <w:unhideWhenUsed/>
    <w:qFormat/>
    <w:uiPriority w:val="99"/>
    <w:pPr>
      <w:numPr>
        <w:ilvl w:val="0"/>
        <w:numId w:val="7"/>
      </w:numPr>
      <w:tabs>
        <w:tab w:val="left" w:pos="360"/>
      </w:tabs>
      <w:spacing w:after="100" w:afterAutospacing="1"/>
      <w:contextualSpacing/>
    </w:pPr>
  </w:style>
  <w:style w:type="paragraph" w:styleId="24">
    <w:name w:val="envelope address"/>
    <w:basedOn w:val="1"/>
    <w:unhideWhenUsed/>
    <w:qFormat/>
    <w:uiPriority w:val="99"/>
    <w:pPr>
      <w:framePr w:w="7920" w:h="1980" w:hRule="exact" w:hSpace="180" w:wrap="around" w:vAnchor="margin" w:hAnchor="page" w:xAlign="center" w:yAlign="bottom"/>
      <w:snapToGrid w:val="0"/>
      <w:spacing w:after="100" w:afterAutospacing="1"/>
      <w:ind w:left="100" w:leftChars="1400"/>
    </w:pPr>
    <w:rPr>
      <w:rFonts w:ascii="Cambria" w:hAnsi="Cambria"/>
      <w:sz w:val="24"/>
    </w:rPr>
  </w:style>
  <w:style w:type="paragraph" w:styleId="25">
    <w:name w:val="Document Map"/>
    <w:basedOn w:val="1"/>
    <w:link w:val="115"/>
    <w:semiHidden/>
    <w:qFormat/>
    <w:uiPriority w:val="0"/>
    <w:pPr>
      <w:shd w:val="clear" w:color="auto" w:fill="000080"/>
    </w:pPr>
  </w:style>
  <w:style w:type="paragraph" w:styleId="26">
    <w:name w:val="toa heading"/>
    <w:basedOn w:val="1"/>
    <w:next w:val="1"/>
    <w:unhideWhenUsed/>
    <w:qFormat/>
    <w:uiPriority w:val="99"/>
    <w:pPr>
      <w:spacing w:before="120" w:after="100" w:afterAutospacing="1"/>
    </w:pPr>
    <w:rPr>
      <w:rFonts w:ascii="Cambria" w:hAnsi="Cambria"/>
      <w:sz w:val="24"/>
    </w:rPr>
  </w:style>
  <w:style w:type="paragraph" w:styleId="27">
    <w:name w:val="annotation text"/>
    <w:basedOn w:val="1"/>
    <w:link w:val="116"/>
    <w:qFormat/>
    <w:uiPriority w:val="99"/>
    <w:pPr>
      <w:jc w:val="left"/>
    </w:pPr>
    <w:rPr>
      <w:rFonts w:ascii="Calibri" w:hAnsi="Calibri"/>
    </w:rPr>
  </w:style>
  <w:style w:type="paragraph" w:styleId="28">
    <w:name w:val="index 6"/>
    <w:basedOn w:val="1"/>
    <w:next w:val="1"/>
    <w:unhideWhenUsed/>
    <w:qFormat/>
    <w:uiPriority w:val="99"/>
    <w:pPr>
      <w:spacing w:after="100" w:afterAutospacing="1"/>
      <w:ind w:left="1000" w:leftChars="1000"/>
    </w:pPr>
  </w:style>
  <w:style w:type="paragraph" w:styleId="29">
    <w:name w:val="Salutation"/>
    <w:basedOn w:val="1"/>
    <w:next w:val="1"/>
    <w:link w:val="117"/>
    <w:unhideWhenUsed/>
    <w:qFormat/>
    <w:uiPriority w:val="99"/>
    <w:pPr>
      <w:spacing w:after="100" w:afterAutospacing="1"/>
    </w:pPr>
  </w:style>
  <w:style w:type="paragraph" w:styleId="30">
    <w:name w:val="Body Text 3"/>
    <w:basedOn w:val="1"/>
    <w:link w:val="118"/>
    <w:qFormat/>
    <w:uiPriority w:val="99"/>
    <w:rPr>
      <w:b/>
      <w:bCs/>
      <w:kern w:val="0"/>
      <w:sz w:val="24"/>
    </w:rPr>
  </w:style>
  <w:style w:type="paragraph" w:styleId="31">
    <w:name w:val="Closing"/>
    <w:basedOn w:val="1"/>
    <w:link w:val="119"/>
    <w:unhideWhenUsed/>
    <w:qFormat/>
    <w:uiPriority w:val="99"/>
    <w:pPr>
      <w:spacing w:after="100" w:afterAutospacing="1"/>
      <w:ind w:left="100" w:leftChars="2100"/>
    </w:pPr>
  </w:style>
  <w:style w:type="paragraph" w:styleId="32">
    <w:name w:val="List Bullet 3"/>
    <w:basedOn w:val="1"/>
    <w:unhideWhenUsed/>
    <w:qFormat/>
    <w:uiPriority w:val="99"/>
    <w:pPr>
      <w:numPr>
        <w:ilvl w:val="0"/>
        <w:numId w:val="8"/>
      </w:numPr>
      <w:tabs>
        <w:tab w:val="left" w:pos="1200"/>
      </w:tabs>
      <w:spacing w:after="100" w:afterAutospacing="1"/>
      <w:contextualSpacing/>
    </w:pPr>
  </w:style>
  <w:style w:type="paragraph" w:styleId="33">
    <w:name w:val="Body Text"/>
    <w:basedOn w:val="1"/>
    <w:next w:val="1"/>
    <w:link w:val="120"/>
    <w:qFormat/>
    <w:uiPriority w:val="99"/>
    <w:pPr>
      <w:adjustRightInd w:val="0"/>
      <w:jc w:val="left"/>
      <w:textAlignment w:val="baseline"/>
    </w:pPr>
    <w:rPr>
      <w:rFonts w:ascii="楷体_GB2312" w:hAnsi="Calibri" w:eastAsia="楷体_GB2312"/>
      <w:kern w:val="0"/>
      <w:sz w:val="28"/>
      <w:szCs w:val="20"/>
    </w:rPr>
  </w:style>
  <w:style w:type="paragraph" w:styleId="34">
    <w:name w:val="Body Text Indent"/>
    <w:basedOn w:val="1"/>
    <w:next w:val="1"/>
    <w:link w:val="121"/>
    <w:qFormat/>
    <w:uiPriority w:val="99"/>
    <w:pPr>
      <w:spacing w:after="120"/>
      <w:ind w:left="420" w:leftChars="200"/>
    </w:pPr>
    <w:rPr>
      <w:rFonts w:ascii="Calibri" w:hAnsi="Calibri"/>
    </w:rPr>
  </w:style>
  <w:style w:type="paragraph" w:styleId="35">
    <w:name w:val="List Number 3"/>
    <w:basedOn w:val="1"/>
    <w:unhideWhenUsed/>
    <w:qFormat/>
    <w:uiPriority w:val="99"/>
    <w:pPr>
      <w:numPr>
        <w:ilvl w:val="0"/>
        <w:numId w:val="9"/>
      </w:numPr>
      <w:tabs>
        <w:tab w:val="left" w:pos="1200"/>
      </w:tabs>
      <w:spacing w:after="100" w:afterAutospacing="1"/>
      <w:contextualSpacing/>
    </w:pPr>
  </w:style>
  <w:style w:type="paragraph" w:styleId="36">
    <w:name w:val="List 2"/>
    <w:basedOn w:val="1"/>
    <w:qFormat/>
    <w:uiPriority w:val="99"/>
    <w:pPr>
      <w:ind w:left="100" w:leftChars="200" w:hanging="200" w:hangingChars="200"/>
    </w:pPr>
    <w:rPr>
      <w:rFonts w:ascii="Times New Roman" w:hAnsi="Times New Roman"/>
      <w:szCs w:val="20"/>
    </w:rPr>
  </w:style>
  <w:style w:type="paragraph" w:styleId="37">
    <w:name w:val="List Continue"/>
    <w:basedOn w:val="1"/>
    <w:qFormat/>
    <w:uiPriority w:val="99"/>
    <w:pPr>
      <w:spacing w:after="120"/>
      <w:ind w:left="420"/>
    </w:pPr>
    <w:rPr>
      <w:rFonts w:eastAsia="楷体_GB2312"/>
      <w:sz w:val="32"/>
      <w:szCs w:val="20"/>
    </w:rPr>
  </w:style>
  <w:style w:type="paragraph" w:styleId="38">
    <w:name w:val="Block Text"/>
    <w:basedOn w:val="1"/>
    <w:unhideWhenUsed/>
    <w:qFormat/>
    <w:uiPriority w:val="99"/>
    <w:pPr>
      <w:spacing w:after="100" w:afterAutospacing="1"/>
      <w:ind w:left="1440" w:leftChars="700" w:right="1440" w:rightChars="700"/>
    </w:pPr>
  </w:style>
  <w:style w:type="paragraph" w:styleId="39">
    <w:name w:val="List Bullet 2"/>
    <w:basedOn w:val="1"/>
    <w:unhideWhenUsed/>
    <w:qFormat/>
    <w:uiPriority w:val="99"/>
    <w:pPr>
      <w:numPr>
        <w:ilvl w:val="0"/>
        <w:numId w:val="10"/>
      </w:numPr>
      <w:spacing w:after="100" w:afterAutospacing="1"/>
      <w:contextualSpacing/>
    </w:pPr>
  </w:style>
  <w:style w:type="paragraph" w:styleId="40">
    <w:name w:val="HTML Address"/>
    <w:basedOn w:val="1"/>
    <w:link w:val="122"/>
    <w:unhideWhenUsed/>
    <w:qFormat/>
    <w:uiPriority w:val="99"/>
    <w:pPr>
      <w:spacing w:after="100" w:afterAutospacing="1"/>
    </w:pPr>
    <w:rPr>
      <w:i/>
      <w:iCs/>
    </w:rPr>
  </w:style>
  <w:style w:type="paragraph" w:styleId="41">
    <w:name w:val="index 4"/>
    <w:basedOn w:val="1"/>
    <w:next w:val="1"/>
    <w:unhideWhenUsed/>
    <w:qFormat/>
    <w:uiPriority w:val="99"/>
    <w:pPr>
      <w:spacing w:after="100" w:afterAutospacing="1"/>
      <w:ind w:left="600" w:leftChars="600"/>
    </w:pPr>
  </w:style>
  <w:style w:type="paragraph" w:styleId="42">
    <w:name w:val="toc 3"/>
    <w:basedOn w:val="1"/>
    <w:next w:val="1"/>
    <w:qFormat/>
    <w:uiPriority w:val="39"/>
    <w:pPr>
      <w:tabs>
        <w:tab w:val="left" w:pos="840"/>
        <w:tab w:val="right" w:leader="dot" w:pos="8296"/>
      </w:tabs>
      <w:ind w:left="420"/>
      <w:jc w:val="left"/>
    </w:pPr>
    <w:rPr>
      <w:iCs/>
    </w:rPr>
  </w:style>
  <w:style w:type="paragraph" w:styleId="43">
    <w:name w:val="Plain Text"/>
    <w:basedOn w:val="1"/>
    <w:link w:val="123"/>
    <w:qFormat/>
    <w:uiPriority w:val="0"/>
    <w:rPr>
      <w:rFonts w:ascii="宋体" w:hAnsi="Courier New"/>
      <w:szCs w:val="20"/>
    </w:rPr>
  </w:style>
  <w:style w:type="paragraph" w:styleId="44">
    <w:name w:val="List Bullet 5"/>
    <w:basedOn w:val="1"/>
    <w:unhideWhenUsed/>
    <w:qFormat/>
    <w:uiPriority w:val="99"/>
    <w:pPr>
      <w:numPr>
        <w:ilvl w:val="0"/>
        <w:numId w:val="11"/>
      </w:numPr>
      <w:tabs>
        <w:tab w:val="left" w:pos="2040"/>
      </w:tabs>
      <w:spacing w:after="100" w:afterAutospacing="1"/>
      <w:contextualSpacing/>
    </w:pPr>
  </w:style>
  <w:style w:type="paragraph" w:styleId="45">
    <w:name w:val="List Number 4"/>
    <w:basedOn w:val="1"/>
    <w:unhideWhenUsed/>
    <w:qFormat/>
    <w:uiPriority w:val="99"/>
    <w:pPr>
      <w:numPr>
        <w:ilvl w:val="0"/>
        <w:numId w:val="12"/>
      </w:numPr>
      <w:tabs>
        <w:tab w:val="left" w:pos="1620"/>
      </w:tabs>
      <w:spacing w:after="100" w:afterAutospacing="1"/>
      <w:contextualSpacing/>
    </w:pPr>
  </w:style>
  <w:style w:type="paragraph" w:styleId="46">
    <w:name w:val="index 3"/>
    <w:basedOn w:val="1"/>
    <w:next w:val="1"/>
    <w:unhideWhenUsed/>
    <w:qFormat/>
    <w:uiPriority w:val="99"/>
    <w:pPr>
      <w:spacing w:after="100" w:afterAutospacing="1"/>
      <w:ind w:left="400" w:leftChars="400"/>
    </w:pPr>
  </w:style>
  <w:style w:type="paragraph" w:styleId="47">
    <w:name w:val="Date"/>
    <w:basedOn w:val="1"/>
    <w:next w:val="1"/>
    <w:link w:val="124"/>
    <w:qFormat/>
    <w:uiPriority w:val="99"/>
    <w:pPr>
      <w:adjustRightInd w:val="0"/>
      <w:spacing w:line="360" w:lineRule="atLeast"/>
      <w:textAlignment w:val="baseline"/>
    </w:pPr>
    <w:rPr>
      <w:rFonts w:ascii="Calibri" w:hAnsi="Calibri"/>
      <w:kern w:val="0"/>
      <w:sz w:val="28"/>
      <w:szCs w:val="20"/>
    </w:rPr>
  </w:style>
  <w:style w:type="paragraph" w:styleId="48">
    <w:name w:val="Body Text Indent 2"/>
    <w:basedOn w:val="1"/>
    <w:link w:val="125"/>
    <w:qFormat/>
    <w:uiPriority w:val="99"/>
    <w:pPr>
      <w:spacing w:line="360" w:lineRule="auto"/>
      <w:ind w:left="1140"/>
    </w:pPr>
    <w:rPr>
      <w:rFonts w:ascii="宋体" w:hAnsi="Calibri"/>
      <w:sz w:val="24"/>
      <w:szCs w:val="20"/>
    </w:rPr>
  </w:style>
  <w:style w:type="paragraph" w:styleId="49">
    <w:name w:val="endnote text"/>
    <w:basedOn w:val="1"/>
    <w:link w:val="126"/>
    <w:unhideWhenUsed/>
    <w:qFormat/>
    <w:uiPriority w:val="99"/>
    <w:pPr>
      <w:snapToGrid w:val="0"/>
      <w:spacing w:after="100" w:afterAutospacing="1"/>
      <w:jc w:val="left"/>
    </w:pPr>
  </w:style>
  <w:style w:type="paragraph" w:styleId="50">
    <w:name w:val="List Continue 5"/>
    <w:basedOn w:val="1"/>
    <w:unhideWhenUsed/>
    <w:qFormat/>
    <w:uiPriority w:val="99"/>
    <w:pPr>
      <w:spacing w:after="100" w:afterAutospacing="1"/>
      <w:ind w:left="2100" w:leftChars="1000"/>
      <w:contextualSpacing/>
    </w:pPr>
  </w:style>
  <w:style w:type="paragraph" w:styleId="51">
    <w:name w:val="Balloon Text"/>
    <w:basedOn w:val="1"/>
    <w:link w:val="127"/>
    <w:qFormat/>
    <w:uiPriority w:val="99"/>
    <w:rPr>
      <w:sz w:val="18"/>
      <w:szCs w:val="18"/>
    </w:rPr>
  </w:style>
  <w:style w:type="paragraph" w:styleId="52">
    <w:name w:val="footer"/>
    <w:basedOn w:val="1"/>
    <w:link w:val="128"/>
    <w:qFormat/>
    <w:uiPriority w:val="0"/>
    <w:pPr>
      <w:tabs>
        <w:tab w:val="center" w:pos="4153"/>
        <w:tab w:val="right" w:pos="8306"/>
      </w:tabs>
      <w:snapToGrid w:val="0"/>
      <w:jc w:val="left"/>
    </w:pPr>
    <w:rPr>
      <w:sz w:val="18"/>
      <w:szCs w:val="18"/>
    </w:rPr>
  </w:style>
  <w:style w:type="paragraph" w:styleId="53">
    <w:name w:val="envelope return"/>
    <w:basedOn w:val="1"/>
    <w:unhideWhenUsed/>
    <w:qFormat/>
    <w:uiPriority w:val="99"/>
    <w:pPr>
      <w:snapToGrid w:val="0"/>
      <w:spacing w:after="100" w:afterAutospacing="1"/>
    </w:pPr>
    <w:rPr>
      <w:rFonts w:ascii="Cambria" w:hAnsi="Cambria"/>
    </w:rPr>
  </w:style>
  <w:style w:type="paragraph" w:styleId="54">
    <w:name w:val="header"/>
    <w:basedOn w:val="1"/>
    <w:link w:val="129"/>
    <w:qFormat/>
    <w:uiPriority w:val="0"/>
    <w:pPr>
      <w:pBdr>
        <w:bottom w:val="single" w:color="auto" w:sz="6" w:space="1"/>
      </w:pBdr>
      <w:tabs>
        <w:tab w:val="center" w:pos="4153"/>
        <w:tab w:val="right" w:pos="8306"/>
      </w:tabs>
      <w:snapToGrid w:val="0"/>
      <w:jc w:val="center"/>
    </w:pPr>
    <w:rPr>
      <w:sz w:val="18"/>
      <w:szCs w:val="18"/>
    </w:rPr>
  </w:style>
  <w:style w:type="paragraph" w:styleId="55">
    <w:name w:val="Signature"/>
    <w:basedOn w:val="1"/>
    <w:link w:val="130"/>
    <w:unhideWhenUsed/>
    <w:qFormat/>
    <w:uiPriority w:val="99"/>
    <w:pPr>
      <w:spacing w:after="100" w:afterAutospacing="1"/>
      <w:ind w:left="100" w:leftChars="2100"/>
    </w:pPr>
  </w:style>
  <w:style w:type="paragraph" w:styleId="56">
    <w:name w:val="toc 1"/>
    <w:basedOn w:val="1"/>
    <w:next w:val="1"/>
    <w:qFormat/>
    <w:uiPriority w:val="39"/>
    <w:pPr>
      <w:spacing w:before="120" w:after="120"/>
      <w:jc w:val="left"/>
    </w:pPr>
    <w:rPr>
      <w:b/>
      <w:bCs/>
      <w:caps/>
    </w:rPr>
  </w:style>
  <w:style w:type="paragraph" w:styleId="57">
    <w:name w:val="List Continue 4"/>
    <w:basedOn w:val="1"/>
    <w:unhideWhenUsed/>
    <w:qFormat/>
    <w:uiPriority w:val="99"/>
    <w:pPr>
      <w:spacing w:after="100" w:afterAutospacing="1"/>
      <w:ind w:left="1680" w:leftChars="800"/>
      <w:contextualSpacing/>
    </w:pPr>
  </w:style>
  <w:style w:type="paragraph" w:styleId="58">
    <w:name w:val="index heading"/>
    <w:basedOn w:val="1"/>
    <w:next w:val="59"/>
    <w:unhideWhenUsed/>
    <w:qFormat/>
    <w:uiPriority w:val="99"/>
    <w:pPr>
      <w:spacing w:after="100" w:afterAutospacing="1"/>
    </w:pPr>
    <w:rPr>
      <w:rFonts w:ascii="Cambria" w:hAnsi="Cambria"/>
      <w:b/>
      <w:bCs/>
    </w:rPr>
  </w:style>
  <w:style w:type="paragraph" w:styleId="59">
    <w:name w:val="index 1"/>
    <w:basedOn w:val="1"/>
    <w:next w:val="1"/>
    <w:unhideWhenUsed/>
    <w:qFormat/>
    <w:uiPriority w:val="99"/>
    <w:pPr>
      <w:spacing w:after="100" w:afterAutospacing="1"/>
    </w:pPr>
  </w:style>
  <w:style w:type="paragraph" w:styleId="60">
    <w:name w:val="Subtitle"/>
    <w:basedOn w:val="1"/>
    <w:next w:val="1"/>
    <w:link w:val="131"/>
    <w:qFormat/>
    <w:uiPriority w:val="0"/>
    <w:pPr>
      <w:spacing w:before="240" w:after="60"/>
      <w:jc w:val="center"/>
      <w:outlineLvl w:val="1"/>
    </w:pPr>
    <w:rPr>
      <w:rFonts w:ascii="Cambria" w:hAnsi="Cambria"/>
      <w:b/>
      <w:bCs/>
      <w:kern w:val="28"/>
      <w:sz w:val="32"/>
      <w:szCs w:val="32"/>
    </w:rPr>
  </w:style>
  <w:style w:type="paragraph" w:styleId="61">
    <w:name w:val="List Number 5"/>
    <w:basedOn w:val="1"/>
    <w:unhideWhenUsed/>
    <w:qFormat/>
    <w:uiPriority w:val="99"/>
    <w:pPr>
      <w:numPr>
        <w:ilvl w:val="0"/>
        <w:numId w:val="13"/>
      </w:numPr>
      <w:tabs>
        <w:tab w:val="left" w:pos="2040"/>
      </w:tabs>
      <w:spacing w:after="100" w:afterAutospacing="1"/>
      <w:contextualSpacing/>
    </w:pPr>
  </w:style>
  <w:style w:type="paragraph" w:styleId="62">
    <w:name w:val="List"/>
    <w:basedOn w:val="1"/>
    <w:qFormat/>
    <w:uiPriority w:val="99"/>
    <w:pPr>
      <w:ind w:left="420" w:hanging="420"/>
    </w:pPr>
    <w:rPr>
      <w:rFonts w:eastAsia="楷体_GB2312"/>
      <w:sz w:val="32"/>
      <w:szCs w:val="20"/>
    </w:rPr>
  </w:style>
  <w:style w:type="paragraph" w:styleId="63">
    <w:name w:val="footnote text"/>
    <w:basedOn w:val="1"/>
    <w:link w:val="132"/>
    <w:unhideWhenUsed/>
    <w:qFormat/>
    <w:uiPriority w:val="99"/>
    <w:pPr>
      <w:snapToGrid w:val="0"/>
      <w:spacing w:after="100" w:afterAutospacing="1"/>
      <w:jc w:val="left"/>
    </w:pPr>
    <w:rPr>
      <w:sz w:val="18"/>
      <w:szCs w:val="18"/>
    </w:rPr>
  </w:style>
  <w:style w:type="paragraph" w:styleId="64">
    <w:name w:val="List 5"/>
    <w:basedOn w:val="1"/>
    <w:qFormat/>
    <w:uiPriority w:val="99"/>
    <w:pPr>
      <w:ind w:left="2100" w:hanging="420"/>
    </w:pPr>
    <w:rPr>
      <w:rFonts w:eastAsia="楷体_GB2312"/>
      <w:sz w:val="32"/>
      <w:szCs w:val="20"/>
    </w:rPr>
  </w:style>
  <w:style w:type="paragraph" w:styleId="65">
    <w:name w:val="Body Text Indent 3"/>
    <w:basedOn w:val="1"/>
    <w:link w:val="133"/>
    <w:qFormat/>
    <w:uiPriority w:val="99"/>
    <w:pPr>
      <w:ind w:firstLine="540" w:firstLineChars="225"/>
    </w:pPr>
    <w:rPr>
      <w:sz w:val="24"/>
      <w:szCs w:val="20"/>
    </w:rPr>
  </w:style>
  <w:style w:type="paragraph" w:styleId="66">
    <w:name w:val="index 7"/>
    <w:basedOn w:val="1"/>
    <w:next w:val="1"/>
    <w:unhideWhenUsed/>
    <w:qFormat/>
    <w:uiPriority w:val="99"/>
    <w:pPr>
      <w:spacing w:after="100" w:afterAutospacing="1"/>
      <w:ind w:left="1200" w:leftChars="1200"/>
    </w:pPr>
  </w:style>
  <w:style w:type="paragraph" w:styleId="67">
    <w:name w:val="index 9"/>
    <w:basedOn w:val="1"/>
    <w:next w:val="1"/>
    <w:unhideWhenUsed/>
    <w:qFormat/>
    <w:uiPriority w:val="99"/>
    <w:pPr>
      <w:spacing w:after="100" w:afterAutospacing="1"/>
      <w:ind w:left="1600" w:leftChars="1600"/>
    </w:pPr>
  </w:style>
  <w:style w:type="paragraph" w:styleId="68">
    <w:name w:val="table of figures"/>
    <w:basedOn w:val="1"/>
    <w:next w:val="1"/>
    <w:unhideWhenUsed/>
    <w:qFormat/>
    <w:uiPriority w:val="99"/>
    <w:pPr>
      <w:spacing w:after="100" w:afterAutospacing="1"/>
      <w:ind w:left="200" w:leftChars="200" w:hanging="200" w:hangingChars="200"/>
    </w:pPr>
  </w:style>
  <w:style w:type="paragraph" w:styleId="69">
    <w:name w:val="toc 2"/>
    <w:basedOn w:val="1"/>
    <w:next w:val="1"/>
    <w:qFormat/>
    <w:uiPriority w:val="39"/>
    <w:pPr>
      <w:ind w:left="210"/>
      <w:jc w:val="left"/>
    </w:pPr>
    <w:rPr>
      <w:smallCaps/>
    </w:rPr>
  </w:style>
  <w:style w:type="paragraph" w:styleId="70">
    <w:name w:val="Body Text 2"/>
    <w:basedOn w:val="1"/>
    <w:link w:val="134"/>
    <w:qFormat/>
    <w:uiPriority w:val="99"/>
    <w:pPr>
      <w:spacing w:line="360" w:lineRule="auto"/>
    </w:pPr>
    <w:rPr>
      <w:rFonts w:ascii="Calibri" w:hAnsi="Calibri"/>
      <w:sz w:val="24"/>
      <w:szCs w:val="20"/>
    </w:rPr>
  </w:style>
  <w:style w:type="paragraph" w:styleId="71">
    <w:name w:val="List 4"/>
    <w:basedOn w:val="1"/>
    <w:qFormat/>
    <w:uiPriority w:val="99"/>
    <w:pPr>
      <w:ind w:left="1680" w:hanging="420"/>
    </w:pPr>
    <w:rPr>
      <w:rFonts w:eastAsia="楷体_GB2312"/>
      <w:sz w:val="32"/>
      <w:szCs w:val="20"/>
    </w:rPr>
  </w:style>
  <w:style w:type="paragraph" w:styleId="72">
    <w:name w:val="List Continue 2"/>
    <w:basedOn w:val="1"/>
    <w:unhideWhenUsed/>
    <w:qFormat/>
    <w:uiPriority w:val="99"/>
    <w:pPr>
      <w:spacing w:after="100" w:afterAutospacing="1"/>
      <w:ind w:left="840" w:leftChars="400"/>
      <w:contextualSpacing/>
    </w:pPr>
  </w:style>
  <w:style w:type="paragraph" w:styleId="73">
    <w:name w:val="Message Header"/>
    <w:basedOn w:val="1"/>
    <w:link w:val="135"/>
    <w:unhideWhenUsed/>
    <w:qFormat/>
    <w:uiPriority w:val="99"/>
    <w:pPr>
      <w:pBdr>
        <w:top w:val="single" w:color="auto" w:sz="6" w:space="1"/>
        <w:left w:val="single" w:color="auto" w:sz="6" w:space="1"/>
        <w:bottom w:val="single" w:color="auto" w:sz="6" w:space="1"/>
        <w:right w:val="single" w:color="auto" w:sz="6" w:space="1"/>
      </w:pBdr>
      <w:shd w:val="pct20" w:color="auto" w:fill="auto"/>
      <w:spacing w:after="100" w:afterAutospacing="1"/>
      <w:ind w:left="1080" w:leftChars="500" w:hanging="1080" w:hangingChars="500"/>
    </w:pPr>
    <w:rPr>
      <w:rFonts w:ascii="Cambria" w:hAnsi="Cambria"/>
      <w:sz w:val="24"/>
    </w:rPr>
  </w:style>
  <w:style w:type="paragraph" w:styleId="74">
    <w:name w:val="HTML Preformatted"/>
    <w:basedOn w:val="1"/>
    <w:link w:val="13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7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76">
    <w:name w:val="List Continue 3"/>
    <w:basedOn w:val="1"/>
    <w:unhideWhenUsed/>
    <w:qFormat/>
    <w:uiPriority w:val="99"/>
    <w:pPr>
      <w:spacing w:after="100" w:afterAutospacing="1"/>
      <w:ind w:left="1260" w:leftChars="600"/>
      <w:contextualSpacing/>
    </w:pPr>
  </w:style>
  <w:style w:type="paragraph" w:styleId="77">
    <w:name w:val="index 2"/>
    <w:basedOn w:val="1"/>
    <w:next w:val="1"/>
    <w:unhideWhenUsed/>
    <w:qFormat/>
    <w:uiPriority w:val="99"/>
    <w:pPr>
      <w:spacing w:after="100" w:afterAutospacing="1"/>
      <w:ind w:left="200" w:leftChars="200"/>
    </w:pPr>
  </w:style>
  <w:style w:type="paragraph" w:styleId="78">
    <w:name w:val="Title"/>
    <w:basedOn w:val="1"/>
    <w:next w:val="1"/>
    <w:link w:val="137"/>
    <w:qFormat/>
    <w:uiPriority w:val="0"/>
    <w:pPr>
      <w:jc w:val="center"/>
      <w:outlineLvl w:val="0"/>
    </w:pPr>
    <w:rPr>
      <w:rFonts w:ascii="Arial" w:hAnsi="Arial" w:eastAsia="黑体"/>
      <w:b/>
      <w:sz w:val="44"/>
      <w:szCs w:val="20"/>
    </w:rPr>
  </w:style>
  <w:style w:type="paragraph" w:styleId="79">
    <w:name w:val="annotation subject"/>
    <w:basedOn w:val="27"/>
    <w:next w:val="27"/>
    <w:link w:val="138"/>
    <w:qFormat/>
    <w:uiPriority w:val="0"/>
    <w:rPr>
      <w:rFonts w:ascii="Times New Roman" w:hAnsi="Times New Roman"/>
      <w:b/>
      <w:bCs/>
    </w:rPr>
  </w:style>
  <w:style w:type="paragraph" w:styleId="80">
    <w:name w:val="Body Text First Indent"/>
    <w:basedOn w:val="33"/>
    <w:next w:val="81"/>
    <w:link w:val="139"/>
    <w:qFormat/>
    <w:uiPriority w:val="99"/>
    <w:pPr>
      <w:adjustRightInd/>
      <w:spacing w:after="120"/>
      <w:ind w:firstLine="420"/>
      <w:jc w:val="both"/>
      <w:textAlignment w:val="auto"/>
    </w:pPr>
    <w:rPr>
      <w:rFonts w:ascii="Times New Roman"/>
      <w:kern w:val="2"/>
      <w:sz w:val="32"/>
    </w:rPr>
  </w:style>
  <w:style w:type="paragraph" w:styleId="81">
    <w:name w:val="Body Text First Indent 2"/>
    <w:basedOn w:val="34"/>
    <w:next w:val="1"/>
    <w:link w:val="140"/>
    <w:qFormat/>
    <w:uiPriority w:val="99"/>
    <w:pPr>
      <w:ind w:firstLine="420" w:firstLineChars="200"/>
    </w:pPr>
    <w:rPr>
      <w:rFonts w:ascii="Times New Roman" w:hAnsi="Times New Roman" w:eastAsia="楷体_GB2312"/>
      <w:b/>
      <w:kern w:val="44"/>
      <w:sz w:val="44"/>
      <w:szCs w:val="20"/>
      <w:lang w:val="en-US" w:eastAsia="zh-CN"/>
    </w:rPr>
  </w:style>
  <w:style w:type="table" w:styleId="83">
    <w:name w:val="Table Grid"/>
    <w:basedOn w:val="82"/>
    <w:qFormat/>
    <w:uiPriority w:val="59"/>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4">
    <w:name w:val="Light Shading Accent 2"/>
    <w:basedOn w:val="82"/>
    <w:qFormat/>
    <w:uiPriority w:val="30"/>
    <w:rPr>
      <w:b/>
      <w:bCs/>
      <w:i/>
      <w:iCs/>
      <w:color w:val="4F81BD"/>
      <w:kern w:val="2"/>
      <w:sz w:val="21"/>
      <w:szCs w:val="24"/>
    </w:rPr>
    <w:tblPr>
      <w:tblBorders>
        <w:top w:val="single" w:color="ED7D31" w:sz="8" w:space="0"/>
        <w:bottom w:val="single" w:color="ED7D31" w:sz="8" w:space="0"/>
      </w:tblBorders>
    </w:tblPr>
    <w:tblStylePr w:type="firstRow">
      <w:pPr>
        <w:spacing w:before="0" w:after="0" w:line="240" w:lineRule="auto"/>
      </w:pPr>
      <w:rPr>
        <w:b/>
        <w:bCs/>
      </w:rPr>
      <w:tblPr/>
      <w:tcPr>
        <w:tcBorders>
          <w:top w:val="single" w:color="ED7D31" w:sz="8" w:space="0"/>
          <w:left w:val="single" w:color="ED7D31"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ED7D31" w:sz="8" w:space="0"/>
          <w:left w:val="single" w:color="ED7D31"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styleId="85">
    <w:name w:val="Colorful Grid Accent 1"/>
    <w:basedOn w:val="82"/>
    <w:qFormat/>
    <w:uiPriority w:val="29"/>
    <w:rPr>
      <w:i/>
      <w:iCs/>
      <w:color w:val="000000"/>
      <w:kern w:val="2"/>
      <w:sz w:val="21"/>
      <w:szCs w:val="24"/>
    </w:rPr>
    <w:tblPr>
      <w:tblBorders>
        <w:insideH w:val="single" w:color="FFFFFF" w:sz="4" w:space="0"/>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styleId="87">
    <w:name w:val="Strong"/>
    <w:qFormat/>
    <w:uiPriority w:val="22"/>
    <w:rPr>
      <w:b/>
      <w:bCs/>
    </w:rPr>
  </w:style>
  <w:style w:type="character" w:styleId="88">
    <w:name w:val="page number"/>
    <w:qFormat/>
    <w:uiPriority w:val="0"/>
    <w:rPr>
      <w:lang w:eastAsia="en-US"/>
    </w:rPr>
  </w:style>
  <w:style w:type="character" w:styleId="89">
    <w:name w:val="FollowedHyperlink"/>
    <w:qFormat/>
    <w:uiPriority w:val="0"/>
    <w:rPr>
      <w:rFonts w:ascii="Verdana" w:hAnsi="Verdana"/>
      <w:color w:val="333333"/>
      <w:kern w:val="0"/>
      <w:sz w:val="20"/>
      <w:szCs w:val="20"/>
      <w:u w:val="none"/>
      <w:lang w:eastAsia="en-US"/>
    </w:rPr>
  </w:style>
  <w:style w:type="character" w:styleId="90">
    <w:name w:val="Emphasis"/>
    <w:qFormat/>
    <w:uiPriority w:val="0"/>
    <w:rPr>
      <w:rFonts w:ascii="Arial" w:hAnsi="Arial" w:cs="Arial"/>
      <w:sz w:val="20"/>
      <w:szCs w:val="20"/>
    </w:rPr>
  </w:style>
  <w:style w:type="character" w:styleId="91">
    <w:name w:val="HTML Definition"/>
    <w:qFormat/>
    <w:uiPriority w:val="0"/>
    <w:rPr>
      <w:rFonts w:ascii="Verdana" w:hAnsi="Verdana"/>
      <w:kern w:val="0"/>
      <w:sz w:val="20"/>
      <w:szCs w:val="20"/>
      <w:lang w:eastAsia="en-US"/>
    </w:rPr>
  </w:style>
  <w:style w:type="character" w:styleId="92">
    <w:name w:val="HTML Typewriter"/>
    <w:qFormat/>
    <w:uiPriority w:val="0"/>
    <w:rPr>
      <w:rFonts w:hint="default" w:ascii="monospace" w:hAnsi="monospace" w:eastAsia="monospace" w:cs="monospace"/>
      <w:kern w:val="0"/>
      <w:sz w:val="20"/>
      <w:szCs w:val="20"/>
      <w:lang w:eastAsia="en-US"/>
    </w:rPr>
  </w:style>
  <w:style w:type="character" w:styleId="93">
    <w:name w:val="HTML Acronym"/>
    <w:qFormat/>
    <w:uiPriority w:val="0"/>
    <w:rPr>
      <w:lang w:eastAsia="en-US"/>
    </w:rPr>
  </w:style>
  <w:style w:type="character" w:styleId="94">
    <w:name w:val="HTML Variable"/>
    <w:qFormat/>
    <w:uiPriority w:val="0"/>
    <w:rPr>
      <w:rFonts w:ascii="Verdana" w:hAnsi="Verdana"/>
      <w:kern w:val="0"/>
      <w:sz w:val="20"/>
      <w:szCs w:val="20"/>
      <w:lang w:eastAsia="en-US"/>
    </w:rPr>
  </w:style>
  <w:style w:type="character" w:styleId="95">
    <w:name w:val="Hyperlink"/>
    <w:qFormat/>
    <w:uiPriority w:val="99"/>
    <w:rPr>
      <w:rFonts w:ascii="Verdana" w:hAnsi="Verdana"/>
      <w:color w:val="333333"/>
      <w:kern w:val="0"/>
      <w:sz w:val="20"/>
      <w:szCs w:val="20"/>
      <w:u w:val="none"/>
      <w:lang w:eastAsia="en-US"/>
    </w:rPr>
  </w:style>
  <w:style w:type="character" w:styleId="96">
    <w:name w:val="HTML Code"/>
    <w:qFormat/>
    <w:uiPriority w:val="0"/>
    <w:rPr>
      <w:rFonts w:hint="default" w:ascii="monospace" w:hAnsi="monospace" w:eastAsia="monospace" w:cs="monospace"/>
      <w:kern w:val="0"/>
      <w:sz w:val="20"/>
      <w:szCs w:val="20"/>
      <w:lang w:eastAsia="en-US"/>
    </w:rPr>
  </w:style>
  <w:style w:type="character" w:styleId="97">
    <w:name w:val="annotation reference"/>
    <w:qFormat/>
    <w:uiPriority w:val="99"/>
    <w:rPr>
      <w:sz w:val="21"/>
      <w:szCs w:val="21"/>
    </w:rPr>
  </w:style>
  <w:style w:type="character" w:styleId="98">
    <w:name w:val="HTML Cite"/>
    <w:qFormat/>
    <w:uiPriority w:val="0"/>
    <w:rPr>
      <w:rFonts w:ascii="Verdana" w:hAnsi="Verdana"/>
      <w:kern w:val="0"/>
      <w:sz w:val="20"/>
      <w:szCs w:val="20"/>
      <w:lang w:eastAsia="en-US"/>
    </w:rPr>
  </w:style>
  <w:style w:type="character" w:styleId="99">
    <w:name w:val="HTML Keyboard"/>
    <w:qFormat/>
    <w:uiPriority w:val="0"/>
    <w:rPr>
      <w:rFonts w:ascii="monospace" w:hAnsi="monospace" w:eastAsia="monospace" w:cs="monospace"/>
      <w:kern w:val="0"/>
      <w:sz w:val="20"/>
      <w:szCs w:val="20"/>
      <w:lang w:eastAsia="en-US"/>
    </w:rPr>
  </w:style>
  <w:style w:type="character" w:styleId="100">
    <w:name w:val="HTML Sample"/>
    <w:qFormat/>
    <w:uiPriority w:val="0"/>
    <w:rPr>
      <w:rFonts w:hint="default" w:ascii="monospace" w:hAnsi="monospace" w:eastAsia="monospace" w:cs="monospace"/>
      <w:kern w:val="0"/>
      <w:sz w:val="20"/>
      <w:szCs w:val="20"/>
      <w:lang w:eastAsia="en-US"/>
    </w:rPr>
  </w:style>
  <w:style w:type="paragraph" w:customStyle="1" w:styleId="101">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102">
    <w:name w:val="宏文本 字符"/>
    <w:link w:val="2"/>
    <w:qFormat/>
    <w:uiPriority w:val="99"/>
    <w:rPr>
      <w:rFonts w:ascii="Courier New" w:hAnsi="Courier New" w:cs="Courier New"/>
      <w:kern w:val="2"/>
      <w:sz w:val="24"/>
      <w:szCs w:val="24"/>
      <w:lang w:val="en-US" w:eastAsia="zh-CN" w:bidi="ar-SA"/>
    </w:rPr>
  </w:style>
  <w:style w:type="character" w:customStyle="1" w:styleId="103">
    <w:name w:val="标题 1 字符"/>
    <w:link w:val="3"/>
    <w:qFormat/>
    <w:uiPriority w:val="0"/>
    <w:rPr>
      <w:rFonts w:ascii="Calibri" w:hAnsi="Calibri" w:eastAsia="楷体_GB2312"/>
      <w:b/>
      <w:kern w:val="44"/>
      <w:sz w:val="44"/>
    </w:rPr>
  </w:style>
  <w:style w:type="character" w:customStyle="1" w:styleId="104">
    <w:name w:val="标题 2 字符"/>
    <w:link w:val="4"/>
    <w:qFormat/>
    <w:uiPriority w:val="0"/>
    <w:rPr>
      <w:rFonts w:ascii="Arial" w:hAnsi="Arial" w:eastAsia="黑体"/>
      <w:b/>
      <w:kern w:val="2"/>
      <w:sz w:val="32"/>
    </w:rPr>
  </w:style>
  <w:style w:type="character" w:customStyle="1" w:styleId="105">
    <w:name w:val="标题 3 字符"/>
    <w:link w:val="5"/>
    <w:qFormat/>
    <w:uiPriority w:val="0"/>
    <w:rPr>
      <w:rFonts w:ascii="Calibri" w:hAnsi="Calibri" w:eastAsia="新宋体"/>
      <w:b/>
      <w:kern w:val="2"/>
      <w:sz w:val="28"/>
      <w:lang w:bidi="ar-SA"/>
    </w:rPr>
  </w:style>
  <w:style w:type="character" w:customStyle="1" w:styleId="106">
    <w:name w:val="标题 4 字符"/>
    <w:link w:val="6"/>
    <w:qFormat/>
    <w:uiPriority w:val="0"/>
    <w:rPr>
      <w:rFonts w:ascii="Calibri" w:hAnsi="Calibri" w:eastAsia="宋体"/>
      <w:kern w:val="2"/>
      <w:sz w:val="32"/>
      <w:lang w:val="en-US" w:eastAsia="zh-CN" w:bidi="ar-SA"/>
    </w:rPr>
  </w:style>
  <w:style w:type="character" w:customStyle="1" w:styleId="107">
    <w:name w:val="标题 5 字符1"/>
    <w:link w:val="7"/>
    <w:qFormat/>
    <w:uiPriority w:val="0"/>
    <w:rPr>
      <w:b/>
      <w:bCs/>
      <w:kern w:val="2"/>
      <w:sz w:val="21"/>
      <w:szCs w:val="24"/>
    </w:rPr>
  </w:style>
  <w:style w:type="character" w:customStyle="1" w:styleId="108">
    <w:name w:val="标题 6 字符"/>
    <w:link w:val="8"/>
    <w:qFormat/>
    <w:uiPriority w:val="0"/>
    <w:rPr>
      <w:rFonts w:ascii="Cambria" w:hAnsi="Cambria"/>
      <w:b/>
      <w:bCs/>
      <w:sz w:val="24"/>
      <w:szCs w:val="24"/>
    </w:rPr>
  </w:style>
  <w:style w:type="character" w:customStyle="1" w:styleId="109">
    <w:name w:val="标题 7 字符"/>
    <w:link w:val="9"/>
    <w:qFormat/>
    <w:uiPriority w:val="0"/>
    <w:rPr>
      <w:rFonts w:ascii="Calibri" w:hAnsi="Calibri"/>
      <w:b/>
      <w:bCs/>
      <w:kern w:val="2"/>
      <w:sz w:val="24"/>
      <w:szCs w:val="24"/>
      <w:lang w:eastAsia="en-US"/>
    </w:rPr>
  </w:style>
  <w:style w:type="character" w:customStyle="1" w:styleId="110">
    <w:name w:val="标题 8 字符"/>
    <w:link w:val="10"/>
    <w:qFormat/>
    <w:uiPriority w:val="0"/>
    <w:rPr>
      <w:rFonts w:ascii="Calibri Light" w:hAnsi="Calibri Light"/>
      <w:kern w:val="2"/>
      <w:sz w:val="24"/>
      <w:szCs w:val="24"/>
      <w:lang w:eastAsia="en-US"/>
    </w:rPr>
  </w:style>
  <w:style w:type="character" w:customStyle="1" w:styleId="111">
    <w:name w:val="标题 9 字符"/>
    <w:link w:val="11"/>
    <w:qFormat/>
    <w:uiPriority w:val="0"/>
    <w:rPr>
      <w:rFonts w:ascii="Calibri Light" w:hAnsi="Calibri Light"/>
      <w:kern w:val="2"/>
      <w:sz w:val="21"/>
      <w:szCs w:val="21"/>
      <w:lang w:eastAsia="en-US"/>
    </w:rPr>
  </w:style>
  <w:style w:type="character" w:customStyle="1" w:styleId="112">
    <w:name w:val="注释标题 字符"/>
    <w:link w:val="15"/>
    <w:qFormat/>
    <w:uiPriority w:val="99"/>
    <w:rPr>
      <w:kern w:val="2"/>
      <w:sz w:val="21"/>
      <w:szCs w:val="24"/>
    </w:rPr>
  </w:style>
  <w:style w:type="character" w:customStyle="1" w:styleId="113">
    <w:name w:val="电子邮件签名 字符"/>
    <w:link w:val="18"/>
    <w:qFormat/>
    <w:uiPriority w:val="99"/>
    <w:rPr>
      <w:kern w:val="2"/>
      <w:sz w:val="21"/>
      <w:szCs w:val="24"/>
    </w:rPr>
  </w:style>
  <w:style w:type="character" w:customStyle="1" w:styleId="114">
    <w:name w:val="正文缩进 字符"/>
    <w:link w:val="20"/>
    <w:qFormat/>
    <w:uiPriority w:val="0"/>
    <w:rPr>
      <w:rFonts w:ascii="Calibri" w:hAnsi="Calibri" w:eastAsia="宋体"/>
      <w:kern w:val="2"/>
      <w:sz w:val="21"/>
      <w:lang w:val="en-US" w:eastAsia="zh-CN" w:bidi="ar-SA"/>
    </w:rPr>
  </w:style>
  <w:style w:type="character" w:customStyle="1" w:styleId="115">
    <w:name w:val="文档结构图 字符"/>
    <w:link w:val="25"/>
    <w:qFormat/>
    <w:uiPriority w:val="0"/>
    <w:rPr>
      <w:rFonts w:eastAsia="宋体"/>
      <w:kern w:val="2"/>
      <w:sz w:val="21"/>
      <w:szCs w:val="24"/>
      <w:lang w:val="en-US" w:eastAsia="zh-CN" w:bidi="ar-SA"/>
    </w:rPr>
  </w:style>
  <w:style w:type="character" w:customStyle="1" w:styleId="116">
    <w:name w:val="批注文字 字符"/>
    <w:link w:val="27"/>
    <w:qFormat/>
    <w:uiPriority w:val="99"/>
    <w:rPr>
      <w:rFonts w:ascii="Calibri" w:hAnsi="Calibri" w:eastAsia="宋体"/>
      <w:kern w:val="2"/>
      <w:sz w:val="21"/>
      <w:szCs w:val="24"/>
      <w:lang w:val="en-US" w:eastAsia="zh-CN" w:bidi="ar-SA"/>
    </w:rPr>
  </w:style>
  <w:style w:type="character" w:customStyle="1" w:styleId="117">
    <w:name w:val="称呼 字符"/>
    <w:link w:val="29"/>
    <w:qFormat/>
    <w:uiPriority w:val="99"/>
    <w:rPr>
      <w:kern w:val="2"/>
      <w:sz w:val="21"/>
      <w:szCs w:val="24"/>
    </w:rPr>
  </w:style>
  <w:style w:type="character" w:customStyle="1" w:styleId="118">
    <w:name w:val="正文文本 3 字符"/>
    <w:link w:val="30"/>
    <w:qFormat/>
    <w:uiPriority w:val="99"/>
    <w:rPr>
      <w:b/>
      <w:bCs/>
      <w:sz w:val="24"/>
      <w:szCs w:val="24"/>
    </w:rPr>
  </w:style>
  <w:style w:type="character" w:customStyle="1" w:styleId="119">
    <w:name w:val="结束语 字符"/>
    <w:link w:val="31"/>
    <w:qFormat/>
    <w:uiPriority w:val="99"/>
    <w:rPr>
      <w:kern w:val="2"/>
      <w:sz w:val="21"/>
      <w:szCs w:val="24"/>
    </w:rPr>
  </w:style>
  <w:style w:type="character" w:customStyle="1" w:styleId="120">
    <w:name w:val="正文文本 字符"/>
    <w:link w:val="33"/>
    <w:qFormat/>
    <w:uiPriority w:val="99"/>
    <w:rPr>
      <w:rFonts w:ascii="楷体_GB2312" w:hAnsi="Calibri" w:eastAsia="楷体_GB2312"/>
      <w:sz w:val="28"/>
    </w:rPr>
  </w:style>
  <w:style w:type="character" w:customStyle="1" w:styleId="121">
    <w:name w:val="正文文本缩进 字符"/>
    <w:link w:val="34"/>
    <w:qFormat/>
    <w:uiPriority w:val="99"/>
    <w:rPr>
      <w:rFonts w:ascii="Calibri" w:hAnsi="Calibri"/>
      <w:kern w:val="2"/>
      <w:sz w:val="21"/>
      <w:szCs w:val="24"/>
    </w:rPr>
  </w:style>
  <w:style w:type="character" w:customStyle="1" w:styleId="122">
    <w:name w:val="HTML 地址 字符"/>
    <w:link w:val="40"/>
    <w:qFormat/>
    <w:uiPriority w:val="99"/>
    <w:rPr>
      <w:i/>
      <w:iCs/>
      <w:kern w:val="2"/>
      <w:sz w:val="21"/>
      <w:szCs w:val="24"/>
    </w:rPr>
  </w:style>
  <w:style w:type="character" w:customStyle="1" w:styleId="123">
    <w:name w:val="纯文本 字符"/>
    <w:link w:val="43"/>
    <w:qFormat/>
    <w:uiPriority w:val="0"/>
    <w:rPr>
      <w:rFonts w:ascii="宋体" w:hAnsi="Courier New" w:eastAsia="宋体"/>
      <w:kern w:val="2"/>
      <w:sz w:val="21"/>
      <w:lang w:val="en-US" w:eastAsia="zh-CN" w:bidi="ar-SA"/>
    </w:rPr>
  </w:style>
  <w:style w:type="character" w:customStyle="1" w:styleId="124">
    <w:name w:val="日期 字符"/>
    <w:link w:val="47"/>
    <w:qFormat/>
    <w:uiPriority w:val="99"/>
    <w:rPr>
      <w:rFonts w:ascii="Calibri" w:hAnsi="Calibri"/>
      <w:sz w:val="28"/>
    </w:rPr>
  </w:style>
  <w:style w:type="character" w:customStyle="1" w:styleId="125">
    <w:name w:val="正文文本缩进 2 字符"/>
    <w:link w:val="48"/>
    <w:qFormat/>
    <w:uiPriority w:val="99"/>
    <w:rPr>
      <w:rFonts w:ascii="宋体" w:hAnsi="Calibri"/>
      <w:kern w:val="2"/>
      <w:sz w:val="24"/>
    </w:rPr>
  </w:style>
  <w:style w:type="character" w:customStyle="1" w:styleId="126">
    <w:name w:val="尾注文本 字符"/>
    <w:link w:val="49"/>
    <w:qFormat/>
    <w:uiPriority w:val="99"/>
    <w:rPr>
      <w:kern w:val="2"/>
      <w:sz w:val="21"/>
      <w:szCs w:val="24"/>
    </w:rPr>
  </w:style>
  <w:style w:type="character" w:customStyle="1" w:styleId="127">
    <w:name w:val="批注框文本 字符"/>
    <w:link w:val="51"/>
    <w:qFormat/>
    <w:uiPriority w:val="99"/>
    <w:rPr>
      <w:rFonts w:eastAsia="宋体"/>
      <w:kern w:val="2"/>
      <w:sz w:val="18"/>
      <w:szCs w:val="18"/>
      <w:lang w:val="en-US" w:eastAsia="zh-CN" w:bidi="ar-SA"/>
    </w:rPr>
  </w:style>
  <w:style w:type="character" w:customStyle="1" w:styleId="128">
    <w:name w:val="页脚 字符"/>
    <w:link w:val="52"/>
    <w:qFormat/>
    <w:uiPriority w:val="0"/>
    <w:rPr>
      <w:rFonts w:eastAsia="宋体"/>
      <w:kern w:val="2"/>
      <w:sz w:val="18"/>
      <w:szCs w:val="18"/>
      <w:lang w:val="en-US" w:eastAsia="zh-CN" w:bidi="ar-SA"/>
    </w:rPr>
  </w:style>
  <w:style w:type="character" w:customStyle="1" w:styleId="129">
    <w:name w:val="页眉 字符"/>
    <w:link w:val="54"/>
    <w:qFormat/>
    <w:uiPriority w:val="0"/>
    <w:rPr>
      <w:rFonts w:eastAsia="宋体"/>
      <w:kern w:val="2"/>
      <w:sz w:val="18"/>
      <w:szCs w:val="18"/>
      <w:lang w:val="en-US" w:eastAsia="zh-CN" w:bidi="ar-SA"/>
    </w:rPr>
  </w:style>
  <w:style w:type="character" w:customStyle="1" w:styleId="130">
    <w:name w:val="签名 字符"/>
    <w:link w:val="55"/>
    <w:qFormat/>
    <w:uiPriority w:val="99"/>
    <w:rPr>
      <w:kern w:val="2"/>
      <w:sz w:val="21"/>
      <w:szCs w:val="24"/>
    </w:rPr>
  </w:style>
  <w:style w:type="character" w:customStyle="1" w:styleId="131">
    <w:name w:val="副标题 字符"/>
    <w:link w:val="60"/>
    <w:qFormat/>
    <w:uiPriority w:val="0"/>
    <w:rPr>
      <w:rFonts w:ascii="Cambria" w:hAnsi="Cambria" w:eastAsia="宋体"/>
      <w:b/>
      <w:bCs/>
      <w:kern w:val="28"/>
      <w:sz w:val="32"/>
      <w:szCs w:val="32"/>
      <w:lang w:val="en-US" w:eastAsia="zh-CN" w:bidi="ar-SA"/>
    </w:rPr>
  </w:style>
  <w:style w:type="character" w:customStyle="1" w:styleId="132">
    <w:name w:val="脚注文本 字符"/>
    <w:link w:val="63"/>
    <w:qFormat/>
    <w:uiPriority w:val="99"/>
    <w:rPr>
      <w:kern w:val="2"/>
      <w:sz w:val="18"/>
      <w:szCs w:val="18"/>
    </w:rPr>
  </w:style>
  <w:style w:type="character" w:customStyle="1" w:styleId="133">
    <w:name w:val="正文文本缩进 3 字符"/>
    <w:link w:val="65"/>
    <w:qFormat/>
    <w:uiPriority w:val="99"/>
    <w:rPr>
      <w:kern w:val="2"/>
      <w:sz w:val="24"/>
    </w:rPr>
  </w:style>
  <w:style w:type="character" w:customStyle="1" w:styleId="134">
    <w:name w:val="正文文本 2 字符"/>
    <w:link w:val="70"/>
    <w:qFormat/>
    <w:uiPriority w:val="99"/>
    <w:rPr>
      <w:rFonts w:ascii="Calibri" w:hAnsi="Calibri"/>
      <w:kern w:val="2"/>
      <w:sz w:val="24"/>
    </w:rPr>
  </w:style>
  <w:style w:type="character" w:customStyle="1" w:styleId="135">
    <w:name w:val="信息标题 字符"/>
    <w:link w:val="73"/>
    <w:qFormat/>
    <w:uiPriority w:val="99"/>
    <w:rPr>
      <w:rFonts w:ascii="Cambria" w:hAnsi="Cambria"/>
      <w:kern w:val="2"/>
      <w:sz w:val="24"/>
      <w:szCs w:val="24"/>
      <w:shd w:val="pct20" w:color="auto" w:fill="auto"/>
    </w:rPr>
  </w:style>
  <w:style w:type="character" w:customStyle="1" w:styleId="136">
    <w:name w:val="HTML 预设格式 字符"/>
    <w:link w:val="74"/>
    <w:qFormat/>
    <w:uiPriority w:val="99"/>
    <w:rPr>
      <w:rFonts w:ascii="宋体" w:hAnsi="宋体" w:cs="宋体"/>
      <w:sz w:val="24"/>
      <w:szCs w:val="24"/>
    </w:rPr>
  </w:style>
  <w:style w:type="character" w:customStyle="1" w:styleId="137">
    <w:name w:val="标题 字符"/>
    <w:link w:val="78"/>
    <w:qFormat/>
    <w:uiPriority w:val="0"/>
    <w:rPr>
      <w:rFonts w:ascii="Arial" w:hAnsi="Arial" w:eastAsia="黑体"/>
      <w:b/>
      <w:kern w:val="2"/>
      <w:sz w:val="44"/>
      <w:lang w:bidi="ar-SA"/>
    </w:rPr>
  </w:style>
  <w:style w:type="character" w:customStyle="1" w:styleId="138">
    <w:name w:val="批注主题 字符"/>
    <w:link w:val="79"/>
    <w:qFormat/>
    <w:uiPriority w:val="0"/>
    <w:rPr>
      <w:b/>
      <w:bCs/>
      <w:kern w:val="2"/>
      <w:sz w:val="21"/>
      <w:szCs w:val="24"/>
      <w:lang w:bidi="ar-SA"/>
    </w:rPr>
  </w:style>
  <w:style w:type="character" w:customStyle="1" w:styleId="139">
    <w:name w:val="正文文本首行缩进 字符"/>
    <w:link w:val="80"/>
    <w:qFormat/>
    <w:uiPriority w:val="99"/>
    <w:rPr>
      <w:rFonts w:hAnsi="Calibri" w:eastAsia="楷体_GB2312"/>
      <w:kern w:val="2"/>
      <w:sz w:val="32"/>
    </w:rPr>
  </w:style>
  <w:style w:type="character" w:customStyle="1" w:styleId="140">
    <w:name w:val="正文文本首行缩进 2 字符"/>
    <w:link w:val="81"/>
    <w:qFormat/>
    <w:uiPriority w:val="99"/>
    <w:rPr>
      <w:rFonts w:eastAsia="楷体_GB2312"/>
      <w:b/>
      <w:kern w:val="44"/>
      <w:sz w:val="44"/>
      <w:lang w:val="en-US" w:eastAsia="zh-CN" w:bidi="ar-SA"/>
    </w:rPr>
  </w:style>
  <w:style w:type="paragraph" w:customStyle="1" w:styleId="14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42">
    <w:name w:val="样式 正文首行缩进 2 + Arial"/>
    <w:basedOn w:val="1"/>
    <w:next w:val="1"/>
    <w:link w:val="143"/>
    <w:qFormat/>
    <w:uiPriority w:val="0"/>
    <w:pPr>
      <w:spacing w:after="120" w:line="320" w:lineRule="atLeast"/>
      <w:ind w:firstLine="200" w:firstLineChars="200"/>
    </w:pPr>
    <w:rPr>
      <w:rFonts w:ascii="Arial" w:hAnsi="Arial"/>
      <w:kern w:val="0"/>
    </w:rPr>
  </w:style>
  <w:style w:type="character" w:customStyle="1" w:styleId="143">
    <w:name w:val="样式 正文首行缩进 2 + Arial Char Char"/>
    <w:link w:val="142"/>
    <w:qFormat/>
    <w:uiPriority w:val="0"/>
    <w:rPr>
      <w:rFonts w:ascii="Arial" w:hAnsi="Arial" w:eastAsia="宋体"/>
      <w:sz w:val="21"/>
      <w:szCs w:val="24"/>
      <w:lang w:val="en-US" w:eastAsia="zh-CN" w:bidi="ar-SA"/>
    </w:rPr>
  </w:style>
  <w:style w:type="paragraph" w:customStyle="1" w:styleId="144">
    <w:name w:val="Aufzählung Ebene 2"/>
    <w:qFormat/>
    <w:uiPriority w:val="0"/>
    <w:pPr>
      <w:numPr>
        <w:ilvl w:val="0"/>
        <w:numId w:val="2"/>
      </w:numPr>
      <w:tabs>
        <w:tab w:val="left" w:pos="360"/>
      </w:tabs>
      <w:spacing w:after="20"/>
      <w:ind w:left="568" w:hanging="284"/>
    </w:pPr>
    <w:rPr>
      <w:rFonts w:ascii="Verdana" w:hAnsi="Verdana" w:eastAsia="宋体" w:cs="Times New Roman"/>
      <w:szCs w:val="24"/>
      <w:lang w:val="de-DE" w:eastAsia="de-DE" w:bidi="ar-SA"/>
    </w:rPr>
  </w:style>
  <w:style w:type="character" w:customStyle="1" w:styleId="145">
    <w:name w:val="shouchang1"/>
    <w:qFormat/>
    <w:uiPriority w:val="0"/>
    <w:rPr>
      <w:color w:val="000000"/>
      <w:sz w:val="12"/>
      <w:szCs w:val="12"/>
      <w:u w:val="none"/>
    </w:rPr>
  </w:style>
  <w:style w:type="character" w:customStyle="1" w:styleId="146">
    <w:name w:val="style111"/>
    <w:qFormat/>
    <w:uiPriority w:val="0"/>
    <w:rPr>
      <w:color w:val="0000FF"/>
    </w:rPr>
  </w:style>
  <w:style w:type="character" w:customStyle="1" w:styleId="147">
    <w:name w:val="font11"/>
    <w:qFormat/>
    <w:uiPriority w:val="0"/>
    <w:rPr>
      <w:rFonts w:hint="default" w:ascii="Times New Roman" w:hAnsi="Times New Roman" w:cs="Times New Roman"/>
      <w:color w:val="000000"/>
      <w:sz w:val="22"/>
      <w:szCs w:val="22"/>
      <w:u w:val="none"/>
      <w:lang w:eastAsia="en-US"/>
    </w:rPr>
  </w:style>
  <w:style w:type="character" w:customStyle="1" w:styleId="148">
    <w:name w:val="font161"/>
    <w:qFormat/>
    <w:uiPriority w:val="0"/>
    <w:rPr>
      <w:rFonts w:hint="default" w:ascii="Times New Roman" w:hAnsi="Times New Roman" w:cs="Times New Roman"/>
      <w:color w:val="000000"/>
      <w:sz w:val="22"/>
      <w:szCs w:val="22"/>
      <w:u w:val="none"/>
    </w:rPr>
  </w:style>
  <w:style w:type="character" w:customStyle="1" w:styleId="149">
    <w:name w:val="批注框文本 Char"/>
    <w:qFormat/>
    <w:uiPriority w:val="99"/>
    <w:rPr>
      <w:kern w:val="2"/>
      <w:sz w:val="18"/>
      <w:szCs w:val="18"/>
    </w:rPr>
  </w:style>
  <w:style w:type="character" w:customStyle="1" w:styleId="150">
    <w:name w:val="浅色底纹 - 着色 2 Char"/>
    <w:qFormat/>
    <w:uiPriority w:val="30"/>
    <w:rPr>
      <w:b/>
      <w:bCs/>
      <w:i/>
      <w:iCs/>
      <w:color w:val="4F81BD"/>
      <w:kern w:val="2"/>
      <w:sz w:val="21"/>
      <w:szCs w:val="24"/>
    </w:rPr>
  </w:style>
  <w:style w:type="character" w:customStyle="1" w:styleId="151">
    <w:name w:val="标题 Char1"/>
    <w:qFormat/>
    <w:uiPriority w:val="10"/>
    <w:rPr>
      <w:rFonts w:ascii="Cambria" w:hAnsi="Cambria" w:cs="Times New Roman"/>
      <w:b/>
      <w:bCs/>
      <w:kern w:val="2"/>
      <w:sz w:val="32"/>
      <w:szCs w:val="32"/>
    </w:rPr>
  </w:style>
  <w:style w:type="character" w:customStyle="1" w:styleId="152">
    <w:name w:val="副标题 Char1"/>
    <w:qFormat/>
    <w:uiPriority w:val="11"/>
    <w:rPr>
      <w:rFonts w:ascii="Cambria" w:hAnsi="Cambria" w:cs="Times New Roman"/>
      <w:b/>
      <w:bCs/>
      <w:kern w:val="28"/>
      <w:sz w:val="32"/>
      <w:szCs w:val="32"/>
    </w:rPr>
  </w:style>
  <w:style w:type="character" w:customStyle="1" w:styleId="153">
    <w:name w:val="icon_gys"/>
    <w:qFormat/>
    <w:uiPriority w:val="0"/>
    <w:rPr>
      <w:rFonts w:ascii="Verdana" w:hAnsi="Verdana"/>
      <w:kern w:val="0"/>
      <w:sz w:val="16"/>
      <w:szCs w:val="16"/>
      <w:lang w:eastAsia="en-US"/>
    </w:rPr>
  </w:style>
  <w:style w:type="character" w:customStyle="1" w:styleId="154">
    <w:name w:val="font71"/>
    <w:qFormat/>
    <w:uiPriority w:val="0"/>
    <w:rPr>
      <w:rFonts w:hint="default" w:ascii="Times New Roman" w:hAnsi="Times New Roman" w:cs="Times New Roman"/>
      <w:color w:val="000000"/>
      <w:sz w:val="20"/>
      <w:szCs w:val="20"/>
      <w:vertAlign w:val="subscript"/>
    </w:rPr>
  </w:style>
  <w:style w:type="character" w:customStyle="1" w:styleId="155">
    <w:name w:val="style231"/>
    <w:qFormat/>
    <w:uiPriority w:val="0"/>
    <w:rPr>
      <w:sz w:val="21"/>
      <w:szCs w:val="21"/>
    </w:rPr>
  </w:style>
  <w:style w:type="character" w:customStyle="1" w:styleId="156">
    <w:name w:val="信息标题 Char"/>
    <w:qFormat/>
    <w:uiPriority w:val="99"/>
    <w:rPr>
      <w:rFonts w:ascii="Calibri Light" w:hAnsi="Calibri Light" w:eastAsia="宋体" w:cs="Times New Roman"/>
      <w:kern w:val="2"/>
      <w:sz w:val="24"/>
      <w:szCs w:val="24"/>
      <w:shd w:val="pct20" w:color="auto" w:fill="auto"/>
      <w:lang w:eastAsia="en-US"/>
    </w:rPr>
  </w:style>
  <w:style w:type="character" w:customStyle="1" w:styleId="157">
    <w:name w:val=" Char Char11"/>
    <w:qFormat/>
    <w:uiPriority w:val="0"/>
    <w:rPr>
      <w:rFonts w:ascii="Verdana" w:hAnsi="Verdana" w:eastAsia="宋体"/>
      <w:b/>
      <w:bCs/>
      <w:color w:val="000000"/>
      <w:kern w:val="2"/>
      <w:sz w:val="27"/>
      <w:szCs w:val="27"/>
      <w:lang w:val="en-US" w:eastAsia="zh-CN" w:bidi="ar-SA"/>
    </w:rPr>
  </w:style>
  <w:style w:type="character" w:customStyle="1" w:styleId="158">
    <w:name w:val="注释标题 Char"/>
    <w:qFormat/>
    <w:uiPriority w:val="99"/>
    <w:rPr>
      <w:rFonts w:ascii="Calibri" w:hAnsi="Calibri"/>
      <w:kern w:val="2"/>
      <w:sz w:val="21"/>
      <w:szCs w:val="24"/>
      <w:lang w:eastAsia="en-US"/>
    </w:rPr>
  </w:style>
  <w:style w:type="character" w:customStyle="1" w:styleId="159">
    <w:name w:val=" Char Char5"/>
    <w:qFormat/>
    <w:uiPriority w:val="0"/>
    <w:rPr>
      <w:rFonts w:ascii="Times New Roman" w:hAnsi="Times New Roman"/>
      <w:kern w:val="2"/>
      <w:sz w:val="18"/>
      <w:szCs w:val="18"/>
    </w:rPr>
  </w:style>
  <w:style w:type="character" w:customStyle="1" w:styleId="160">
    <w:name w:val="xiadan"/>
    <w:qFormat/>
    <w:uiPriority w:val="0"/>
    <w:rPr>
      <w:rFonts w:ascii="Verdana" w:hAnsi="Verdana"/>
      <w:kern w:val="0"/>
      <w:sz w:val="20"/>
      <w:szCs w:val="20"/>
      <w:shd w:val="clear" w:color="auto" w:fill="E4393C"/>
      <w:lang w:eastAsia="en-US"/>
    </w:rPr>
  </w:style>
  <w:style w:type="character" w:customStyle="1" w:styleId="161">
    <w:name w:val="aboutus"/>
    <w:qFormat/>
    <w:uiPriority w:val="0"/>
    <w:rPr>
      <w:lang w:eastAsia="en-US"/>
    </w:rPr>
  </w:style>
  <w:style w:type="character" w:customStyle="1" w:styleId="162">
    <w:name w:val="Char Char5"/>
    <w:qFormat/>
    <w:uiPriority w:val="0"/>
    <w:rPr>
      <w:b/>
      <w:bCs/>
      <w:kern w:val="2"/>
      <w:sz w:val="32"/>
      <w:szCs w:val="32"/>
    </w:rPr>
  </w:style>
  <w:style w:type="character" w:customStyle="1" w:styleId="163">
    <w:name w:val="Aufzählung Ebene 1 Zchn"/>
    <w:link w:val="164"/>
    <w:qFormat/>
    <w:uiPriority w:val="0"/>
    <w:rPr>
      <w:rFonts w:ascii="Verdana" w:hAnsi="Verdana"/>
      <w:szCs w:val="24"/>
      <w:lang w:val="de-DE" w:eastAsia="de-DE" w:bidi="ar-SA"/>
    </w:rPr>
  </w:style>
  <w:style w:type="paragraph" w:customStyle="1" w:styleId="164">
    <w:name w:val="Aufzählung Ebene 1"/>
    <w:link w:val="163"/>
    <w:qFormat/>
    <w:uiPriority w:val="0"/>
    <w:pPr>
      <w:numPr>
        <w:ilvl w:val="0"/>
        <w:numId w:val="14"/>
      </w:numPr>
      <w:tabs>
        <w:tab w:val="left" w:pos="360"/>
      </w:tabs>
      <w:spacing w:after="20"/>
      <w:ind w:left="284"/>
    </w:pPr>
    <w:rPr>
      <w:rFonts w:ascii="Verdana" w:hAnsi="Verdana" w:eastAsia="宋体" w:cs="Times New Roman"/>
      <w:szCs w:val="24"/>
      <w:lang w:val="de-DE" w:eastAsia="de-DE" w:bidi="ar-SA"/>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脚注文本 Char"/>
    <w:qFormat/>
    <w:uiPriority w:val="99"/>
    <w:rPr>
      <w:rFonts w:ascii="Calibri" w:hAnsi="Calibri"/>
      <w:kern w:val="2"/>
      <w:sz w:val="18"/>
      <w:szCs w:val="18"/>
      <w:lang w:eastAsia="en-US"/>
    </w:rPr>
  </w:style>
  <w:style w:type="character" w:customStyle="1" w:styleId="167">
    <w:name w:val="kleintab"/>
    <w:qFormat/>
    <w:uiPriority w:val="0"/>
    <w:rPr>
      <w:lang w:eastAsia="en-US"/>
    </w:rPr>
  </w:style>
  <w:style w:type="character" w:customStyle="1" w:styleId="168">
    <w:name w:val="z101"/>
    <w:qFormat/>
    <w:uiPriority w:val="0"/>
    <w:rPr>
      <w:sz w:val="24"/>
      <w:szCs w:val="24"/>
    </w:rPr>
  </w:style>
  <w:style w:type="character" w:customStyle="1" w:styleId="169">
    <w:name w:val="unnamed11"/>
    <w:qFormat/>
    <w:uiPriority w:val="0"/>
    <w:rPr>
      <w:color w:val="000000"/>
      <w:sz w:val="20"/>
      <w:szCs w:val="20"/>
    </w:rPr>
  </w:style>
  <w:style w:type="character" w:customStyle="1" w:styleId="170">
    <w:name w:val="font171"/>
    <w:qFormat/>
    <w:uiPriority w:val="0"/>
    <w:rPr>
      <w:rFonts w:hint="default" w:ascii="Times New Roman" w:hAnsi="Times New Roman" w:cs="Times New Roman"/>
      <w:color w:val="000000"/>
      <w:sz w:val="20"/>
      <w:szCs w:val="20"/>
      <w:u w:val="none"/>
    </w:rPr>
  </w:style>
  <w:style w:type="character" w:customStyle="1" w:styleId="171">
    <w:name w:val="font101"/>
    <w:qFormat/>
    <w:uiPriority w:val="0"/>
    <w:rPr>
      <w:rFonts w:hint="eastAsia" w:ascii="宋体" w:hAnsi="宋体" w:eastAsia="宋体" w:cs="宋体"/>
      <w:color w:val="FF0000"/>
      <w:sz w:val="21"/>
      <w:szCs w:val="21"/>
      <w:u w:val="none"/>
    </w:rPr>
  </w:style>
  <w:style w:type="character" w:customStyle="1" w:styleId="172">
    <w:name w:val="明显引用 Char"/>
    <w:qFormat/>
    <w:uiPriority w:val="99"/>
    <w:rPr>
      <w:rFonts w:ascii="Tahoma" w:hAnsi="Tahoma"/>
      <w:b/>
      <w:bCs/>
      <w:i/>
      <w:iCs/>
      <w:color w:val="4F81BD"/>
      <w:sz w:val="22"/>
      <w:szCs w:val="22"/>
    </w:rPr>
  </w:style>
  <w:style w:type="character" w:customStyle="1" w:styleId="173">
    <w:name w:val="文档结构图 Char"/>
    <w:qFormat/>
    <w:uiPriority w:val="0"/>
    <w:rPr>
      <w:rFonts w:ascii="宋体" w:eastAsia="宋体"/>
      <w:kern w:val="2"/>
      <w:sz w:val="18"/>
      <w:szCs w:val="18"/>
      <w:lang w:val="en-US" w:eastAsia="zh-CN" w:bidi="ar-SA"/>
    </w:rPr>
  </w:style>
  <w:style w:type="character" w:customStyle="1" w:styleId="174">
    <w:name w:val="param-name param-explain"/>
    <w:qFormat/>
    <w:uiPriority w:val="0"/>
    <w:rPr>
      <w:lang w:eastAsia="en-US"/>
    </w:rPr>
  </w:style>
  <w:style w:type="character" w:customStyle="1" w:styleId="175">
    <w:name w:val="hover2"/>
    <w:qFormat/>
    <w:uiPriority w:val="0"/>
    <w:rPr>
      <w:color w:val="2590EB"/>
      <w:lang w:eastAsia="en-US"/>
    </w:rPr>
  </w:style>
  <w:style w:type="character" w:customStyle="1" w:styleId="176">
    <w:name w:val="style241"/>
    <w:qFormat/>
    <w:uiPriority w:val="0"/>
    <w:rPr>
      <w:color w:val="FF0000"/>
      <w:sz w:val="21"/>
      <w:szCs w:val="21"/>
    </w:rPr>
  </w:style>
  <w:style w:type="character" w:customStyle="1" w:styleId="177">
    <w:name w:val="Char Char4"/>
    <w:qFormat/>
    <w:uiPriority w:val="0"/>
    <w:rPr>
      <w:rFonts w:ascii="Arial" w:hAnsi="Arial" w:eastAsia="黑体"/>
      <w:b/>
      <w:bCs/>
      <w:kern w:val="2"/>
      <w:sz w:val="28"/>
      <w:szCs w:val="28"/>
    </w:rPr>
  </w:style>
  <w:style w:type="character" w:customStyle="1" w:styleId="178">
    <w:name w:val="aa1"/>
    <w:qFormat/>
    <w:uiPriority w:val="0"/>
    <w:rPr>
      <w:sz w:val="25"/>
      <w:szCs w:val="25"/>
    </w:rPr>
  </w:style>
  <w:style w:type="character" w:customStyle="1" w:styleId="179">
    <w:name w:val="normal1"/>
    <w:qFormat/>
    <w:uiPriority w:val="0"/>
    <w:rPr>
      <w:rFonts w:hint="default" w:ascii="ˎ̥" w:hAnsi="ˎ̥"/>
      <w:sz w:val="20"/>
      <w:u w:val="none"/>
    </w:rPr>
  </w:style>
  <w:style w:type="character" w:customStyle="1" w:styleId="180">
    <w:name w:val="15"/>
    <w:qFormat/>
    <w:uiPriority w:val="0"/>
    <w:rPr>
      <w:rFonts w:hint="default" w:ascii="Times New Roman" w:hAnsi="Times New Roman" w:cs="Times New Roman"/>
      <w:sz w:val="20"/>
      <w:szCs w:val="20"/>
    </w:rPr>
  </w:style>
  <w:style w:type="character" w:customStyle="1" w:styleId="181">
    <w:name w:val="批注文字 字符1"/>
    <w:semiHidden/>
    <w:qFormat/>
    <w:uiPriority w:val="99"/>
    <w:rPr>
      <w:rFonts w:ascii="Calibri" w:hAnsi="Calibri" w:eastAsia="宋体" w:cs="Times New Roman"/>
      <w:kern w:val="0"/>
      <w:sz w:val="20"/>
      <w:szCs w:val="24"/>
      <w:lang w:eastAsia="en-US"/>
    </w:rPr>
  </w:style>
  <w:style w:type="character" w:customStyle="1" w:styleId="182">
    <w:name w:val="称呼 Char"/>
    <w:qFormat/>
    <w:uiPriority w:val="99"/>
    <w:rPr>
      <w:rFonts w:ascii="Calibri" w:hAnsi="Calibri"/>
      <w:kern w:val="2"/>
      <w:sz w:val="21"/>
      <w:szCs w:val="24"/>
      <w:lang w:eastAsia="en-US"/>
    </w:rPr>
  </w:style>
  <w:style w:type="character" w:customStyle="1" w:styleId="183">
    <w:name w:val="标题 4 Char"/>
    <w:qFormat/>
    <w:uiPriority w:val="0"/>
    <w:rPr>
      <w:rFonts w:eastAsia="宋体"/>
      <w:b/>
      <w:bCs/>
      <w:kern w:val="2"/>
      <w:sz w:val="28"/>
      <w:szCs w:val="28"/>
      <w:lang w:val="en-US" w:eastAsia="zh-CN" w:bidi="ar-SA"/>
    </w:rPr>
  </w:style>
  <w:style w:type="character" w:customStyle="1" w:styleId="184">
    <w:name w:val="尾注文本 Char"/>
    <w:qFormat/>
    <w:uiPriority w:val="99"/>
    <w:rPr>
      <w:rFonts w:ascii="Calibri" w:hAnsi="Calibri"/>
      <w:kern w:val="2"/>
      <w:sz w:val="21"/>
      <w:szCs w:val="24"/>
      <w:lang w:eastAsia="en-US"/>
    </w:rPr>
  </w:style>
  <w:style w:type="character" w:customStyle="1" w:styleId="185">
    <w:name w:val="px14"/>
    <w:qFormat/>
    <w:uiPriority w:val="0"/>
    <w:rPr>
      <w:lang w:eastAsia="en-US"/>
    </w:rPr>
  </w:style>
  <w:style w:type="character" w:customStyle="1" w:styleId="186">
    <w:name w:val="标题 3-3.1.1 Char"/>
    <w:qFormat/>
    <w:uiPriority w:val="0"/>
    <w:rPr>
      <w:rFonts w:ascii="Times New Roman" w:hAnsi="Times New Roman" w:eastAsia="宋体" w:cs="Times New Roman"/>
      <w:b/>
      <w:bCs/>
      <w:sz w:val="32"/>
      <w:szCs w:val="32"/>
    </w:rPr>
  </w:style>
  <w:style w:type="character" w:customStyle="1" w:styleId="187">
    <w:name w:val="pda_span1"/>
    <w:qFormat/>
    <w:uiPriority w:val="0"/>
    <w:rPr>
      <w:rFonts w:ascii="Arial" w:hAnsi="Arial" w:cs="Arial"/>
      <w:sz w:val="20"/>
      <w:szCs w:val="20"/>
    </w:rPr>
  </w:style>
  <w:style w:type="character" w:customStyle="1" w:styleId="188">
    <w:name w:val="列出段落 字符"/>
    <w:link w:val="189"/>
    <w:qFormat/>
    <w:locked/>
    <w:uiPriority w:val="34"/>
    <w:rPr>
      <w:rFonts w:ascii="Tahoma" w:hAnsi="Tahoma" w:eastAsia="微软雅黑"/>
      <w:sz w:val="22"/>
      <w:szCs w:val="22"/>
    </w:rPr>
  </w:style>
  <w:style w:type="paragraph" w:customStyle="1" w:styleId="189">
    <w:name w:val="列表段落1"/>
    <w:basedOn w:val="1"/>
    <w:link w:val="188"/>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190">
    <w:name w:val="bodytext_black1"/>
    <w:qFormat/>
    <w:uiPriority w:val="0"/>
    <w:rPr>
      <w:rFonts w:hint="eastAsia" w:ascii="宋体" w:hAnsi="宋体" w:eastAsia="宋体"/>
      <w:color w:val="000000"/>
      <w:sz w:val="24"/>
      <w:szCs w:val="24"/>
    </w:rPr>
  </w:style>
  <w:style w:type="character" w:customStyle="1" w:styleId="191">
    <w:name w:val="标题 3 Char"/>
    <w:qFormat/>
    <w:uiPriority w:val="0"/>
    <w:rPr>
      <w:rFonts w:ascii="Times New Roman" w:hAnsi="Times New Roman" w:eastAsia="楷体-简" w:cs="Times New Roman"/>
      <w:bCs/>
      <w:kern w:val="2"/>
      <w:sz w:val="28"/>
      <w:szCs w:val="32"/>
    </w:rPr>
  </w:style>
  <w:style w:type="character" w:customStyle="1" w:styleId="192">
    <w:name w:val="style941"/>
    <w:qFormat/>
    <w:uiPriority w:val="0"/>
    <w:rPr>
      <w:color w:val="003366"/>
    </w:rPr>
  </w:style>
  <w:style w:type="character" w:customStyle="1" w:styleId="193">
    <w:name w:val="apple-style-span"/>
    <w:qFormat/>
    <w:uiPriority w:val="0"/>
    <w:rPr>
      <w:lang w:eastAsia="en-US"/>
    </w:rPr>
  </w:style>
  <w:style w:type="character" w:customStyle="1" w:styleId="194">
    <w:name w:val="font91"/>
    <w:qFormat/>
    <w:uiPriority w:val="0"/>
    <w:rPr>
      <w:rFonts w:hint="default" w:ascii="Times New Roman" w:hAnsi="Times New Roman" w:cs="Times New Roman"/>
      <w:color w:val="000000"/>
      <w:sz w:val="20"/>
      <w:szCs w:val="20"/>
      <w:lang w:eastAsia="en-US"/>
    </w:rPr>
  </w:style>
  <w:style w:type="character" w:customStyle="1" w:styleId="195">
    <w:name w:val="font21"/>
    <w:qFormat/>
    <w:uiPriority w:val="0"/>
    <w:rPr>
      <w:rFonts w:hint="eastAsia" w:ascii="宋体" w:hAnsi="宋体" w:eastAsia="宋体" w:cs="宋体"/>
      <w:color w:val="000000"/>
      <w:sz w:val="22"/>
      <w:szCs w:val="22"/>
      <w:u w:val="none"/>
      <w:lang w:eastAsia="en-US"/>
    </w:rPr>
  </w:style>
  <w:style w:type="character" w:customStyle="1" w:styleId="196">
    <w:name w:val="页码1"/>
    <w:qFormat/>
    <w:uiPriority w:val="0"/>
  </w:style>
  <w:style w:type="character" w:customStyle="1" w:styleId="197">
    <w:name w:val="unnamed1"/>
    <w:qFormat/>
    <w:uiPriority w:val="0"/>
    <w:rPr>
      <w:lang w:eastAsia="en-US"/>
    </w:rPr>
  </w:style>
  <w:style w:type="character" w:customStyle="1" w:styleId="198">
    <w:name w:val="hover3"/>
    <w:qFormat/>
    <w:uiPriority w:val="0"/>
    <w:rPr>
      <w:lang w:eastAsia="en-US"/>
    </w:rPr>
  </w:style>
  <w:style w:type="character" w:customStyle="1" w:styleId="199">
    <w:name w:val="font61"/>
    <w:qFormat/>
    <w:uiPriority w:val="0"/>
    <w:rPr>
      <w:rFonts w:hint="default" w:ascii="Times New Roman" w:hAnsi="Times New Roman" w:cs="Times New Roman"/>
      <w:color w:val="000000"/>
      <w:sz w:val="24"/>
      <w:szCs w:val="24"/>
      <w:u w:val="none"/>
    </w:rPr>
  </w:style>
  <w:style w:type="character" w:customStyle="1" w:styleId="200">
    <w:name w:val="标题 2 Char"/>
    <w:qFormat/>
    <w:uiPriority w:val="0"/>
    <w:rPr>
      <w:rFonts w:ascii="Arial" w:hAnsi="Arial" w:eastAsia="黑体"/>
      <w:b/>
      <w:kern w:val="2"/>
      <w:sz w:val="32"/>
      <w:lang w:val="en-US" w:eastAsia="zh-CN" w:bidi="ar-SA"/>
    </w:rPr>
  </w:style>
  <w:style w:type="character" w:customStyle="1" w:styleId="201">
    <w:name w:val="引用 Char"/>
    <w:qFormat/>
    <w:uiPriority w:val="99"/>
    <w:rPr>
      <w:rFonts w:ascii="Tahoma" w:hAnsi="Tahoma"/>
      <w:i/>
      <w:iCs/>
      <w:color w:val="000000"/>
      <w:sz w:val="22"/>
      <w:szCs w:val="22"/>
    </w:rPr>
  </w:style>
  <w:style w:type="character" w:customStyle="1" w:styleId="202">
    <w:name w:val="页眉 Char"/>
    <w:qFormat/>
    <w:uiPriority w:val="99"/>
    <w:rPr>
      <w:rFonts w:eastAsia="宋体"/>
      <w:kern w:val="2"/>
      <w:sz w:val="18"/>
      <w:szCs w:val="18"/>
      <w:lang w:val="en-US" w:eastAsia="zh-CN" w:bidi="ar-SA"/>
    </w:rPr>
  </w:style>
  <w:style w:type="character" w:customStyle="1" w:styleId="203">
    <w:name w:val="font01"/>
    <w:qFormat/>
    <w:uiPriority w:val="0"/>
    <w:rPr>
      <w:rFonts w:hint="eastAsia" w:ascii="宋体" w:hAnsi="宋体" w:eastAsia="宋体" w:cs="宋体"/>
      <w:color w:val="auto"/>
      <w:sz w:val="24"/>
      <w:szCs w:val="24"/>
      <w:u w:val="none"/>
      <w:lang w:eastAsia="en-US"/>
    </w:rPr>
  </w:style>
  <w:style w:type="character" w:customStyle="1" w:styleId="204">
    <w:name w:val="style2"/>
    <w:qFormat/>
    <w:uiPriority w:val="0"/>
    <w:rPr>
      <w:lang w:eastAsia="en-US"/>
    </w:rPr>
  </w:style>
  <w:style w:type="character" w:customStyle="1" w:styleId="205">
    <w:name w:val="apple-converted-space"/>
    <w:qFormat/>
    <w:uiPriority w:val="0"/>
    <w:rPr>
      <w:rFonts w:ascii="Arial" w:hAnsi="Arial" w:cs="Arial"/>
      <w:sz w:val="20"/>
      <w:szCs w:val="20"/>
    </w:rPr>
  </w:style>
  <w:style w:type="character" w:customStyle="1" w:styleId="206">
    <w:name w:val="style4"/>
    <w:qFormat/>
    <w:uiPriority w:val="0"/>
    <w:rPr>
      <w:rFonts w:ascii="Arial" w:hAnsi="Arial" w:cs="Arial"/>
      <w:sz w:val="20"/>
      <w:szCs w:val="20"/>
    </w:rPr>
  </w:style>
  <w:style w:type="character" w:customStyle="1" w:styleId="207">
    <w:name w:val="hover1"/>
    <w:qFormat/>
    <w:uiPriority w:val="0"/>
    <w:rPr>
      <w:color w:val="2590EB"/>
      <w:lang w:eastAsia="en-US"/>
    </w:rPr>
  </w:style>
  <w:style w:type="character" w:customStyle="1" w:styleId="208">
    <w:name w:val="font141"/>
    <w:qFormat/>
    <w:uiPriority w:val="0"/>
    <w:rPr>
      <w:rFonts w:hint="eastAsia" w:ascii="宋体" w:hAnsi="宋体" w:eastAsia="宋体" w:cs="宋体"/>
      <w:color w:val="000000"/>
      <w:sz w:val="22"/>
      <w:szCs w:val="22"/>
      <w:u w:val="none"/>
    </w:rPr>
  </w:style>
  <w:style w:type="character" w:customStyle="1" w:styleId="209">
    <w:name w:val="10"/>
    <w:qFormat/>
    <w:uiPriority w:val="0"/>
    <w:rPr>
      <w:rFonts w:hint="default" w:ascii="Times New Roman" w:hAnsi="Times New Roman" w:cs="Times New Roman"/>
    </w:rPr>
  </w:style>
  <w:style w:type="character" w:customStyle="1" w:styleId="210">
    <w:name w:val=" Char Char15"/>
    <w:qFormat/>
    <w:uiPriority w:val="0"/>
    <w:rPr>
      <w:rFonts w:eastAsia="宋体"/>
      <w:kern w:val="2"/>
      <w:sz w:val="21"/>
      <w:szCs w:val="24"/>
      <w:lang w:val="en-US" w:eastAsia="zh-CN" w:bidi="ar-SA"/>
    </w:rPr>
  </w:style>
  <w:style w:type="character" w:customStyle="1" w:styleId="211">
    <w:name w:val="H4 Char"/>
    <w:qFormat/>
    <w:uiPriority w:val="0"/>
    <w:rPr>
      <w:rFonts w:ascii="Arial" w:hAnsi="Arial" w:eastAsia="黑体" w:cs="Times New Roman"/>
      <w:b/>
      <w:bCs/>
      <w:sz w:val="28"/>
      <w:szCs w:val="28"/>
    </w:rPr>
  </w:style>
  <w:style w:type="character" w:customStyle="1" w:styleId="212">
    <w:name w:val=" Char Char17"/>
    <w:qFormat/>
    <w:uiPriority w:val="0"/>
    <w:rPr>
      <w:rFonts w:eastAsia="宋体"/>
      <w:b/>
      <w:kern w:val="2"/>
      <w:sz w:val="32"/>
      <w:lang w:val="en-US" w:eastAsia="zh-CN" w:bidi="ar-SA"/>
    </w:rPr>
  </w:style>
  <w:style w:type="character" w:customStyle="1" w:styleId="213">
    <w:name w:val="结束语 Char"/>
    <w:qFormat/>
    <w:uiPriority w:val="99"/>
    <w:rPr>
      <w:rFonts w:ascii="Calibri" w:hAnsi="Calibri"/>
      <w:kern w:val="2"/>
      <w:sz w:val="21"/>
      <w:szCs w:val="24"/>
      <w:lang w:eastAsia="en-US"/>
    </w:rPr>
  </w:style>
  <w:style w:type="character" w:customStyle="1" w:styleId="214">
    <w:name w:val="font31"/>
    <w:qFormat/>
    <w:uiPriority w:val="0"/>
    <w:rPr>
      <w:rFonts w:hint="eastAsia" w:ascii="宋体" w:hAnsi="宋体" w:eastAsia="宋体" w:cs="宋体"/>
      <w:color w:val="000000"/>
      <w:sz w:val="21"/>
      <w:szCs w:val="21"/>
      <w:u w:val="none"/>
      <w:lang w:eastAsia="en-US"/>
    </w:rPr>
  </w:style>
  <w:style w:type="character" w:customStyle="1" w:styleId="215">
    <w:name w:val="Char Char1"/>
    <w:qFormat/>
    <w:uiPriority w:val="0"/>
    <w:rPr>
      <w:kern w:val="2"/>
      <w:sz w:val="18"/>
      <w:szCs w:val="18"/>
    </w:rPr>
  </w:style>
  <w:style w:type="character" w:customStyle="1" w:styleId="216">
    <w:name w:val="17"/>
    <w:qFormat/>
    <w:uiPriority w:val="0"/>
    <w:rPr>
      <w:rFonts w:hint="default" w:ascii="Times New Roman" w:hAnsi="Times New Roman" w:cs="Times New Roman"/>
      <w:color w:val="000000"/>
    </w:rPr>
  </w:style>
  <w:style w:type="character" w:customStyle="1" w:styleId="217">
    <w:name w:val="中等深浅网格 2 Char"/>
    <w:qFormat/>
    <w:uiPriority w:val="1"/>
    <w:rPr>
      <w:rFonts w:ascii="Calibri" w:hAnsi="Calibri"/>
      <w:sz w:val="22"/>
      <w:szCs w:val="22"/>
    </w:rPr>
  </w:style>
  <w:style w:type="character" w:customStyle="1" w:styleId="218">
    <w:name w:val="105"/>
    <w:qFormat/>
    <w:uiPriority w:val="0"/>
    <w:rPr>
      <w:rFonts w:ascii="Arial" w:hAnsi="Arial" w:cs="Arial"/>
      <w:sz w:val="20"/>
      <w:szCs w:val="20"/>
    </w:rPr>
  </w:style>
  <w:style w:type="character" w:customStyle="1" w:styleId="219">
    <w:name w:val="A8"/>
    <w:qFormat/>
    <w:uiPriority w:val="0"/>
    <w:rPr>
      <w:rFonts w:cs="Calibri"/>
      <w:color w:val="211D1E"/>
      <w:sz w:val="12"/>
      <w:szCs w:val="12"/>
    </w:rPr>
  </w:style>
  <w:style w:type="character" w:customStyle="1" w:styleId="220">
    <w:name w:val="smalltitle"/>
    <w:qFormat/>
    <w:uiPriority w:val="0"/>
  </w:style>
  <w:style w:type="character" w:customStyle="1" w:styleId="221">
    <w:name w:val="批注主题 Char1"/>
    <w:qFormat/>
    <w:uiPriority w:val="99"/>
    <w:rPr>
      <w:b/>
      <w:bCs/>
      <w:kern w:val="2"/>
      <w:sz w:val="21"/>
      <w:szCs w:val="24"/>
    </w:rPr>
  </w:style>
  <w:style w:type="character" w:customStyle="1" w:styleId="222">
    <w:name w:val="font51"/>
    <w:qFormat/>
    <w:uiPriority w:val="0"/>
    <w:rPr>
      <w:rFonts w:hint="eastAsia" w:ascii="宋体" w:hAnsi="宋体" w:eastAsia="宋体" w:cs="宋体"/>
      <w:color w:val="auto"/>
      <w:sz w:val="24"/>
      <w:szCs w:val="24"/>
      <w:u w:val="none"/>
      <w:lang w:eastAsia="en-US"/>
    </w:rPr>
  </w:style>
  <w:style w:type="character" w:customStyle="1" w:styleId="223">
    <w:name w:val=" Char Char16"/>
    <w:qFormat/>
    <w:uiPriority w:val="0"/>
    <w:rPr>
      <w:rFonts w:eastAsia="宋体"/>
      <w:kern w:val="2"/>
      <w:sz w:val="32"/>
      <w:lang w:val="en-US" w:eastAsia="zh-CN" w:bidi="ar-SA"/>
    </w:rPr>
  </w:style>
  <w:style w:type="character" w:customStyle="1" w:styleId="224">
    <w:name w:val="A9"/>
    <w:qFormat/>
    <w:uiPriority w:val="0"/>
    <w:rPr>
      <w:rFonts w:ascii="Calibri" w:hAnsi="Calibri" w:cs="Calibri"/>
      <w:color w:val="211D1E"/>
      <w:sz w:val="7"/>
      <w:szCs w:val="7"/>
    </w:rPr>
  </w:style>
  <w:style w:type="character" w:customStyle="1" w:styleId="225">
    <w:name w:val=" Char Char14"/>
    <w:qFormat/>
    <w:uiPriority w:val="0"/>
    <w:rPr>
      <w:rFonts w:eastAsia="楷体_GB2312"/>
      <w:b/>
      <w:kern w:val="44"/>
      <w:sz w:val="44"/>
      <w:lang w:val="en-US" w:eastAsia="zh-CN" w:bidi="ar-SA"/>
    </w:rPr>
  </w:style>
  <w:style w:type="character" w:customStyle="1" w:styleId="226">
    <w:name w:val="jianjie11"/>
    <w:qFormat/>
    <w:uiPriority w:val="0"/>
    <w:rPr>
      <w:spacing w:val="24"/>
    </w:rPr>
  </w:style>
  <w:style w:type="character" w:customStyle="1" w:styleId="227">
    <w:name w:val="1.1  heading 2 Char"/>
    <w:qFormat/>
    <w:uiPriority w:val="0"/>
    <w:rPr>
      <w:rFonts w:ascii="Arial" w:hAnsi="Arial" w:eastAsia="黑体" w:cs="Times New Roman"/>
      <w:b/>
      <w:bCs/>
      <w:sz w:val="32"/>
      <w:szCs w:val="32"/>
    </w:rPr>
  </w:style>
  <w:style w:type="character" w:customStyle="1" w:styleId="228">
    <w:name w:val="para"/>
    <w:qFormat/>
    <w:uiPriority w:val="0"/>
    <w:rPr>
      <w:lang w:eastAsia="en-US"/>
    </w:rPr>
  </w:style>
  <w:style w:type="character" w:customStyle="1" w:styleId="229">
    <w:name w:val="批注文字 Char"/>
    <w:qFormat/>
    <w:uiPriority w:val="99"/>
    <w:rPr>
      <w:rFonts w:ascii="Tahoma" w:hAnsi="Tahoma"/>
      <w:sz w:val="22"/>
      <w:szCs w:val="22"/>
    </w:rPr>
  </w:style>
  <w:style w:type="character" w:customStyle="1" w:styleId="230">
    <w:name w:val="font151"/>
    <w:qFormat/>
    <w:uiPriority w:val="0"/>
    <w:rPr>
      <w:rFonts w:hint="eastAsia" w:ascii="宋体" w:hAnsi="宋体" w:eastAsia="宋体" w:cs="宋体"/>
      <w:color w:val="000000"/>
      <w:sz w:val="20"/>
      <w:szCs w:val="20"/>
      <w:u w:val="none"/>
    </w:rPr>
  </w:style>
  <w:style w:type="character" w:customStyle="1" w:styleId="231">
    <w:name w:val="标题 1 Char"/>
    <w:qFormat/>
    <w:uiPriority w:val="0"/>
    <w:rPr>
      <w:rFonts w:ascii="Calibri" w:hAnsi="Calibri" w:eastAsia="楷体-简" w:cs="Times New Roman"/>
      <w:b/>
      <w:kern w:val="44"/>
      <w:sz w:val="44"/>
      <w:szCs w:val="22"/>
    </w:rPr>
  </w:style>
  <w:style w:type="character" w:customStyle="1" w:styleId="232">
    <w:name w:val="纯文本 Char1"/>
    <w:qFormat/>
    <w:uiPriority w:val="99"/>
    <w:rPr>
      <w:rFonts w:ascii="宋体" w:hAnsi="Courier New" w:cs="Courier New"/>
      <w:kern w:val="2"/>
      <w:sz w:val="21"/>
      <w:szCs w:val="21"/>
    </w:rPr>
  </w:style>
  <w:style w:type="character" w:customStyle="1" w:styleId="233">
    <w:name w:val="普通文字 Char Char Char"/>
    <w:qFormat/>
    <w:uiPriority w:val="0"/>
    <w:rPr>
      <w:rFonts w:ascii="宋体" w:hAnsi="Courier New" w:eastAsia="宋体" w:cs="Times New Roman"/>
      <w:szCs w:val="20"/>
    </w:rPr>
  </w:style>
  <w:style w:type="character" w:customStyle="1" w:styleId="234">
    <w:name w:val="style51"/>
    <w:qFormat/>
    <w:uiPriority w:val="0"/>
    <w:rPr>
      <w:rFonts w:hint="eastAsia" w:ascii="宋体" w:hAnsi="宋体" w:eastAsia="宋体"/>
      <w:sz w:val="16"/>
      <w:szCs w:val="16"/>
    </w:rPr>
  </w:style>
  <w:style w:type="character" w:customStyle="1" w:styleId="235">
    <w:name w:val="电子邮件签名 Char"/>
    <w:qFormat/>
    <w:uiPriority w:val="99"/>
    <w:rPr>
      <w:rFonts w:ascii="Calibri" w:hAnsi="Calibri"/>
      <w:kern w:val="2"/>
      <w:sz w:val="21"/>
      <w:szCs w:val="24"/>
      <w:lang w:eastAsia="en-US"/>
    </w:rPr>
  </w:style>
  <w:style w:type="character" w:customStyle="1" w:styleId="236">
    <w:name w:val="font1"/>
    <w:qFormat/>
    <w:uiPriority w:val="0"/>
    <w:rPr>
      <w:rFonts w:hint="default" w:ascii="Arial" w:hAnsi="Arial" w:cs="Arial"/>
      <w:color w:val="666666"/>
      <w:sz w:val="18"/>
      <w:szCs w:val="18"/>
      <w:u w:val="none"/>
    </w:rPr>
  </w:style>
  <w:style w:type="character" w:customStyle="1" w:styleId="237">
    <w:name w:val="副标题 Char"/>
    <w:qFormat/>
    <w:uiPriority w:val="11"/>
    <w:rPr>
      <w:rFonts w:ascii="Cambria" w:hAnsi="Cambria" w:eastAsia="宋体"/>
      <w:b/>
      <w:bCs/>
      <w:kern w:val="28"/>
      <w:sz w:val="32"/>
      <w:szCs w:val="32"/>
      <w:lang w:val="en-US" w:eastAsia="zh-CN" w:bidi="ar-SA"/>
    </w:rPr>
  </w:style>
  <w:style w:type="character" w:customStyle="1" w:styleId="238">
    <w:name w:val="纯文本 Char"/>
    <w:qFormat/>
    <w:uiPriority w:val="99"/>
    <w:rPr>
      <w:rFonts w:ascii="宋体" w:hAnsi="Courier New" w:eastAsia="宋体" w:cs="Courier New"/>
      <w:kern w:val="2"/>
      <w:sz w:val="21"/>
      <w:szCs w:val="21"/>
      <w:lang w:val="en-US" w:eastAsia="zh-CN" w:bidi="ar-SA"/>
    </w:rPr>
  </w:style>
  <w:style w:type="character" w:customStyle="1" w:styleId="239">
    <w:name w:val="font81"/>
    <w:qFormat/>
    <w:uiPriority w:val="0"/>
    <w:rPr>
      <w:rFonts w:hint="eastAsia" w:ascii="宋体" w:hAnsi="宋体" w:eastAsia="宋体" w:cs="宋体"/>
      <w:color w:val="000000"/>
      <w:sz w:val="24"/>
      <w:szCs w:val="24"/>
      <w:u w:val="none"/>
    </w:rPr>
  </w:style>
  <w:style w:type="character" w:customStyle="1" w:styleId="240">
    <w:name w:val="font121"/>
    <w:qFormat/>
    <w:uiPriority w:val="0"/>
    <w:rPr>
      <w:rFonts w:hint="default" w:ascii="Times New Roman" w:hAnsi="Times New Roman" w:cs="Times New Roman"/>
      <w:color w:val="FF0000"/>
      <w:sz w:val="21"/>
      <w:szCs w:val="21"/>
      <w:u w:val="none"/>
    </w:rPr>
  </w:style>
  <w:style w:type="character" w:customStyle="1" w:styleId="241">
    <w:name w:val="Char Char3"/>
    <w:qFormat/>
    <w:uiPriority w:val="0"/>
    <w:rPr>
      <w:rFonts w:eastAsia="宋体"/>
      <w:kern w:val="2"/>
      <w:sz w:val="18"/>
      <w:szCs w:val="18"/>
      <w:lang w:val="en-US" w:eastAsia="zh-CN" w:bidi="ar-SA"/>
    </w:rPr>
  </w:style>
  <w:style w:type="character" w:customStyle="1" w:styleId="242">
    <w:name w:val="宏文本 Char"/>
    <w:qFormat/>
    <w:uiPriority w:val="99"/>
    <w:rPr>
      <w:rFonts w:ascii="Courier New" w:hAnsi="Courier New" w:cs="Courier New"/>
      <w:kern w:val="2"/>
      <w:sz w:val="24"/>
      <w:szCs w:val="24"/>
      <w:lang w:eastAsia="en-US"/>
    </w:rPr>
  </w:style>
  <w:style w:type="character" w:customStyle="1" w:styleId="243">
    <w:name w:val="b titlename wangputoptitle"/>
    <w:qFormat/>
    <w:uiPriority w:val="0"/>
    <w:rPr>
      <w:rFonts w:ascii="Arial" w:hAnsi="Arial" w:cs="Arial"/>
      <w:sz w:val="20"/>
      <w:szCs w:val="20"/>
    </w:rPr>
  </w:style>
  <w:style w:type="character" w:customStyle="1" w:styleId="244">
    <w:name w:val="blue1"/>
    <w:qFormat/>
    <w:uiPriority w:val="0"/>
    <w:rPr>
      <w:lang w:eastAsia="en-US"/>
    </w:rPr>
  </w:style>
  <w:style w:type="character" w:customStyle="1" w:styleId="245">
    <w:name w:val="c lh15"/>
    <w:qFormat/>
    <w:uiPriority w:val="0"/>
    <w:rPr>
      <w:lang w:eastAsia="en-US"/>
    </w:rPr>
  </w:style>
  <w:style w:type="character" w:customStyle="1" w:styleId="246">
    <w:name w:val=" Char Char9"/>
    <w:qFormat/>
    <w:uiPriority w:val="0"/>
    <w:rPr>
      <w:rFonts w:eastAsia="宋体"/>
      <w:kern w:val="2"/>
      <w:sz w:val="21"/>
      <w:lang w:val="en-US" w:eastAsia="zh-CN" w:bidi="ar-SA"/>
    </w:rPr>
  </w:style>
  <w:style w:type="character" w:customStyle="1" w:styleId="247">
    <w:name w:val="标准文本 Char Char"/>
    <w:link w:val="248"/>
    <w:qFormat/>
    <w:uiPriority w:val="0"/>
    <w:rPr>
      <w:rFonts w:eastAsia="宋体"/>
      <w:sz w:val="24"/>
      <w:lang w:bidi="ar-SA"/>
    </w:rPr>
  </w:style>
  <w:style w:type="paragraph" w:customStyle="1" w:styleId="248">
    <w:name w:val="标准文本"/>
    <w:basedOn w:val="1"/>
    <w:link w:val="247"/>
    <w:qFormat/>
    <w:uiPriority w:val="0"/>
    <w:pPr>
      <w:spacing w:line="360" w:lineRule="auto"/>
      <w:ind w:firstLine="480" w:firstLineChars="200"/>
    </w:pPr>
    <w:rPr>
      <w:kern w:val="0"/>
      <w:sz w:val="24"/>
      <w:szCs w:val="20"/>
    </w:rPr>
  </w:style>
  <w:style w:type="character" w:customStyle="1" w:styleId="249">
    <w:name w:val="style221"/>
    <w:qFormat/>
    <w:uiPriority w:val="0"/>
    <w:rPr>
      <w:color w:val="FF0000"/>
    </w:rPr>
  </w:style>
  <w:style w:type="character" w:customStyle="1" w:styleId="250">
    <w:name w:val="gray6"/>
    <w:qFormat/>
    <w:uiPriority w:val="0"/>
    <w:rPr>
      <w:lang w:eastAsia="en-US"/>
    </w:rPr>
  </w:style>
  <w:style w:type="character" w:customStyle="1" w:styleId="251">
    <w:name w:val="Plain Text Char"/>
    <w:qFormat/>
    <w:uiPriority w:val="0"/>
    <w:rPr>
      <w:rFonts w:ascii="宋体" w:hAnsi="Courier New" w:eastAsia="宋体" w:cs="Courier New"/>
      <w:kern w:val="2"/>
      <w:sz w:val="21"/>
      <w:szCs w:val="21"/>
      <w:lang w:val="en-US" w:eastAsia="zh-CN" w:bidi="ar-SA"/>
    </w:rPr>
  </w:style>
  <w:style w:type="character" w:customStyle="1" w:styleId="252">
    <w:name w:val="标题 5 字符"/>
    <w:qFormat/>
    <w:uiPriority w:val="0"/>
    <w:rPr>
      <w:b/>
      <w:bCs/>
      <w:kern w:val="2"/>
      <w:sz w:val="28"/>
      <w:szCs w:val="28"/>
    </w:rPr>
  </w:style>
  <w:style w:type="character" w:customStyle="1" w:styleId="253">
    <w:name w:val="彩色网格 - 着色 1 Char"/>
    <w:qFormat/>
    <w:uiPriority w:val="29"/>
    <w:rPr>
      <w:i/>
      <w:iCs/>
      <w:color w:val="000000"/>
      <w:kern w:val="2"/>
      <w:sz w:val="21"/>
      <w:szCs w:val="24"/>
    </w:rPr>
  </w:style>
  <w:style w:type="character" w:customStyle="1" w:styleId="254">
    <w:name w:val="title1"/>
    <w:qFormat/>
    <w:uiPriority w:val="0"/>
    <w:rPr>
      <w:rFonts w:ascii="Arial" w:hAnsi="Arial" w:cs="Arial"/>
      <w:b/>
      <w:bCs/>
      <w:color w:val="990099"/>
      <w:sz w:val="27"/>
      <w:szCs w:val="27"/>
    </w:rPr>
  </w:style>
  <w:style w:type="character" w:customStyle="1" w:styleId="255">
    <w:name w:val="签名 Char"/>
    <w:qFormat/>
    <w:uiPriority w:val="99"/>
    <w:rPr>
      <w:rFonts w:ascii="Calibri" w:hAnsi="Calibri"/>
      <w:kern w:val="2"/>
      <w:sz w:val="21"/>
      <w:szCs w:val="24"/>
      <w:lang w:eastAsia="en-US"/>
    </w:rPr>
  </w:style>
  <w:style w:type="character" w:customStyle="1" w:styleId="256">
    <w:name w:val=" Char Char19"/>
    <w:qFormat/>
    <w:uiPriority w:val="0"/>
    <w:rPr>
      <w:rFonts w:eastAsia="楷体_GB2312"/>
      <w:b/>
      <w:kern w:val="44"/>
      <w:sz w:val="44"/>
      <w:lang w:val="en-US" w:eastAsia="zh-CN" w:bidi="ar-SA"/>
    </w:rPr>
  </w:style>
  <w:style w:type="character" w:customStyle="1" w:styleId="257">
    <w:name w:val="NormalCharacter"/>
    <w:qFormat/>
    <w:uiPriority w:val="0"/>
    <w:rPr>
      <w:rFonts w:ascii="Times New Roman" w:hAnsi="Times New Roman" w:eastAsia="宋体" w:cs="Times New Roman"/>
      <w:kern w:val="2"/>
      <w:sz w:val="21"/>
      <w:szCs w:val="24"/>
      <w:lang w:val="en-US" w:eastAsia="zh-CN" w:bidi="ar-SA"/>
    </w:rPr>
  </w:style>
  <w:style w:type="character" w:customStyle="1" w:styleId="258">
    <w:name w:val="HTML 地址 Char"/>
    <w:qFormat/>
    <w:uiPriority w:val="99"/>
    <w:rPr>
      <w:rFonts w:ascii="Calibri" w:hAnsi="Calibri"/>
      <w:i/>
      <w:iCs/>
      <w:kern w:val="2"/>
      <w:sz w:val="21"/>
      <w:szCs w:val="24"/>
      <w:lang w:eastAsia="en-US"/>
    </w:rPr>
  </w:style>
  <w:style w:type="character" w:customStyle="1" w:styleId="259">
    <w:name w:val="icon_ds1"/>
    <w:qFormat/>
    <w:uiPriority w:val="0"/>
    <w:rPr>
      <w:rFonts w:ascii="Verdana" w:hAnsi="Verdana"/>
      <w:kern w:val="0"/>
      <w:sz w:val="16"/>
      <w:szCs w:val="16"/>
      <w:lang w:eastAsia="en-US"/>
    </w:rPr>
  </w:style>
  <w:style w:type="character" w:customStyle="1" w:styleId="260">
    <w:name w:val="icon_ds"/>
    <w:qFormat/>
    <w:uiPriority w:val="0"/>
    <w:rPr>
      <w:rFonts w:ascii="Verdana" w:hAnsi="Verdana"/>
      <w:kern w:val="0"/>
      <w:sz w:val="20"/>
      <w:szCs w:val="20"/>
      <w:lang w:eastAsia="en-US"/>
    </w:rPr>
  </w:style>
  <w:style w:type="character" w:customStyle="1" w:styleId="261">
    <w:name w:val="列出段落 Char"/>
    <w:link w:val="262"/>
    <w:qFormat/>
    <w:locked/>
    <w:uiPriority w:val="34"/>
    <w:rPr>
      <w:rFonts w:ascii="Calibri" w:hAnsi="Calibri" w:eastAsia="宋体"/>
      <w:kern w:val="2"/>
      <w:sz w:val="21"/>
      <w:szCs w:val="22"/>
      <w:lang w:val="en-US" w:eastAsia="zh-CN" w:bidi="ar-SA"/>
    </w:rPr>
  </w:style>
  <w:style w:type="paragraph" w:customStyle="1" w:styleId="262">
    <w:name w:val="List Paragraph1"/>
    <w:basedOn w:val="1"/>
    <w:link w:val="261"/>
    <w:qFormat/>
    <w:uiPriority w:val="34"/>
    <w:pPr>
      <w:ind w:firstLine="420" w:firstLineChars="200"/>
    </w:pPr>
    <w:rPr>
      <w:rFonts w:ascii="Calibri" w:hAnsi="Calibri"/>
      <w:szCs w:val="22"/>
    </w:rPr>
  </w:style>
  <w:style w:type="character" w:customStyle="1" w:styleId="263">
    <w:name w:val="font111"/>
    <w:qFormat/>
    <w:uiPriority w:val="0"/>
    <w:rPr>
      <w:rFonts w:hint="default" w:ascii="Times New Roman" w:hAnsi="Times New Roman" w:cs="Times New Roman"/>
      <w:color w:val="000000"/>
      <w:sz w:val="21"/>
      <w:szCs w:val="21"/>
      <w:u w:val="none"/>
    </w:rPr>
  </w:style>
  <w:style w:type="character" w:customStyle="1" w:styleId="264">
    <w:name w:val="title_emph1"/>
    <w:qFormat/>
    <w:uiPriority w:val="0"/>
    <w:rPr>
      <w:rFonts w:hint="default" w:ascii="Arial" w:hAnsi="Arial" w:cs="Arial"/>
      <w:b/>
      <w:bCs/>
      <w:sz w:val="18"/>
      <w:szCs w:val="18"/>
    </w:rPr>
  </w:style>
  <w:style w:type="character" w:customStyle="1" w:styleId="265">
    <w:name w:val="wz1"/>
    <w:qFormat/>
    <w:uiPriority w:val="0"/>
    <w:rPr>
      <w:rFonts w:hint="eastAsia" w:ascii="宋体" w:hAnsi="宋体" w:eastAsia="宋体"/>
      <w:color w:val="000000"/>
      <w:sz w:val="18"/>
      <w:szCs w:val="18"/>
      <w:u w:val="none"/>
    </w:rPr>
  </w:style>
  <w:style w:type="character" w:customStyle="1" w:styleId="266">
    <w:name w:val="纯文本 Char2"/>
    <w:qFormat/>
    <w:uiPriority w:val="0"/>
    <w:rPr>
      <w:rFonts w:ascii="宋体" w:hAnsi="Courier New" w:eastAsia="宋体"/>
      <w:kern w:val="2"/>
      <w:sz w:val="20"/>
      <w:szCs w:val="20"/>
      <w:lang w:val="en-US" w:eastAsia="zh-CN" w:bidi="ar-SA"/>
    </w:rPr>
  </w:style>
  <w:style w:type="character" w:customStyle="1" w:styleId="267">
    <w:name w:val="Position en Zchn Zchn"/>
    <w:link w:val="268"/>
    <w:qFormat/>
    <w:uiPriority w:val="0"/>
    <w:rPr>
      <w:rFonts w:ascii="Verdana" w:hAnsi="Verdana"/>
      <w:b/>
      <w:lang w:val="de-DE" w:eastAsia="de-DE" w:bidi="ar-SA"/>
    </w:rPr>
  </w:style>
  <w:style w:type="paragraph" w:customStyle="1" w:styleId="268">
    <w:name w:val="Position en"/>
    <w:link w:val="267"/>
    <w:qFormat/>
    <w:uiPriority w:val="0"/>
    <w:pPr>
      <w:numPr>
        <w:ilvl w:val="0"/>
        <w:numId w:val="15"/>
      </w:numPr>
      <w:spacing w:line="240" w:lineRule="atLeast"/>
      <w:ind w:left="0"/>
    </w:pPr>
    <w:rPr>
      <w:rFonts w:ascii="Verdana" w:hAnsi="Verdana" w:eastAsia="宋体" w:cs="Times New Roman"/>
      <w:b/>
      <w:lang w:val="de-DE" w:eastAsia="de-DE" w:bidi="ar-SA"/>
    </w:rPr>
  </w:style>
  <w:style w:type="character" w:customStyle="1" w:styleId="269">
    <w:name w:val="Char Char2"/>
    <w:qFormat/>
    <w:uiPriority w:val="0"/>
    <w:rPr>
      <w:rFonts w:eastAsia="宋体"/>
      <w:kern w:val="2"/>
      <w:sz w:val="18"/>
      <w:szCs w:val="18"/>
      <w:lang w:val="en-US" w:eastAsia="zh-CN" w:bidi="ar-SA"/>
    </w:rPr>
  </w:style>
  <w:style w:type="character" w:customStyle="1" w:styleId="270">
    <w:name w:val="style5 style15"/>
    <w:qFormat/>
    <w:uiPriority w:val="0"/>
    <w:rPr>
      <w:rFonts w:ascii="Arial" w:hAnsi="Arial" w:cs="Arial"/>
      <w:sz w:val="20"/>
      <w:szCs w:val="20"/>
    </w:rPr>
  </w:style>
  <w:style w:type="character" w:customStyle="1" w:styleId="271">
    <w:name w:val="fix1"/>
    <w:qFormat/>
    <w:uiPriority w:val="0"/>
    <w:rPr>
      <w:sz w:val="18"/>
      <w:szCs w:val="18"/>
    </w:rPr>
  </w:style>
  <w:style w:type="character" w:customStyle="1" w:styleId="272">
    <w:name w:val="标题 Char"/>
    <w:qFormat/>
    <w:uiPriority w:val="10"/>
    <w:rPr>
      <w:rFonts w:ascii="Arial" w:hAnsi="Arial" w:eastAsia="宋体" w:cs="Arial"/>
      <w:b/>
      <w:bCs/>
      <w:kern w:val="2"/>
      <w:sz w:val="32"/>
      <w:szCs w:val="32"/>
      <w:lang w:val="en-US" w:eastAsia="zh-CN" w:bidi="ar-SA"/>
    </w:rPr>
  </w:style>
  <w:style w:type="character" w:customStyle="1" w:styleId="273">
    <w:name w:val="页脚 Char"/>
    <w:qFormat/>
    <w:uiPriority w:val="99"/>
    <w:rPr>
      <w:rFonts w:ascii="Tahoma" w:hAnsi="Tahoma"/>
      <w:sz w:val="18"/>
      <w:szCs w:val="18"/>
    </w:rPr>
  </w:style>
  <w:style w:type="character" w:customStyle="1" w:styleId="274">
    <w:name w:val="font191"/>
    <w:qFormat/>
    <w:uiPriority w:val="0"/>
    <w:rPr>
      <w:rFonts w:hint="eastAsia" w:ascii="宋体" w:hAnsi="宋体" w:eastAsia="宋体" w:cs="宋体"/>
      <w:color w:val="000000"/>
      <w:sz w:val="22"/>
      <w:szCs w:val="22"/>
      <w:u w:val="none"/>
    </w:rPr>
  </w:style>
  <w:style w:type="character" w:customStyle="1" w:styleId="275">
    <w:name w:val="fr"/>
    <w:qFormat/>
    <w:uiPriority w:val="0"/>
    <w:rPr>
      <w:lang w:eastAsia="en-US"/>
    </w:rPr>
  </w:style>
  <w:style w:type="character" w:customStyle="1" w:styleId="276">
    <w:name w:val="font41"/>
    <w:qFormat/>
    <w:uiPriority w:val="0"/>
    <w:rPr>
      <w:rFonts w:hint="eastAsia" w:ascii="宋体" w:hAnsi="宋体" w:eastAsia="宋体" w:cs="宋体"/>
      <w:b/>
      <w:color w:val="000000"/>
      <w:kern w:val="0"/>
      <w:sz w:val="20"/>
      <w:szCs w:val="20"/>
      <w:u w:val="none"/>
      <w:lang w:eastAsia="en-US"/>
    </w:rPr>
  </w:style>
  <w:style w:type="character" w:customStyle="1" w:styleId="277">
    <w:name w:val="16"/>
    <w:qFormat/>
    <w:uiPriority w:val="0"/>
    <w:rPr>
      <w:rFonts w:ascii="Arial" w:hAnsi="Arial" w:cs="Arial"/>
      <w:sz w:val="20"/>
      <w:szCs w:val="20"/>
    </w:rPr>
  </w:style>
  <w:style w:type="character" w:customStyle="1" w:styleId="278">
    <w:name w:val="text_b1"/>
    <w:qFormat/>
    <w:uiPriority w:val="0"/>
    <w:rPr>
      <w:rFonts w:hint="default" w:ascii="_x000B__x000C_" w:hAnsi="_x000B__x000C_"/>
      <w:color w:val="000000"/>
      <w:sz w:val="18"/>
      <w:szCs w:val="18"/>
      <w:u w:val="none"/>
    </w:rPr>
  </w:style>
  <w:style w:type="character" w:customStyle="1" w:styleId="279">
    <w:name w:val="无间隔 字符"/>
    <w:link w:val="280"/>
    <w:qFormat/>
    <w:uiPriority w:val="0"/>
    <w:rPr>
      <w:rFonts w:eastAsia="Times New Roman"/>
      <w:kern w:val="2"/>
      <w:sz w:val="21"/>
      <w:szCs w:val="24"/>
      <w:lang w:val="en-US" w:eastAsia="zh-CN" w:bidi="ar-SA"/>
    </w:rPr>
  </w:style>
  <w:style w:type="paragraph" w:styleId="280">
    <w:name w:val="No Spacing"/>
    <w:link w:val="279"/>
    <w:qFormat/>
    <w:uiPriority w:val="0"/>
    <w:pPr>
      <w:widowControl w:val="0"/>
      <w:jc w:val="both"/>
    </w:pPr>
    <w:rPr>
      <w:rFonts w:ascii="Times New Roman" w:hAnsi="Times New Roman" w:eastAsia="Times New Roman" w:cs="Times New Roman"/>
      <w:kern w:val="2"/>
      <w:sz w:val="21"/>
      <w:szCs w:val="24"/>
      <w:lang w:val="en-US" w:eastAsia="zh-CN" w:bidi="ar-SA"/>
    </w:rPr>
  </w:style>
  <w:style w:type="character" w:customStyle="1" w:styleId="281">
    <w:name w:val=" Char Char18"/>
    <w:qFormat/>
    <w:uiPriority w:val="0"/>
    <w:rPr>
      <w:rFonts w:ascii="Arial" w:hAnsi="Arial" w:eastAsia="黑体"/>
      <w:b/>
      <w:kern w:val="2"/>
      <w:sz w:val="32"/>
      <w:lang w:val="en-US" w:eastAsia="zh-CN" w:bidi="ar-SA"/>
    </w:rPr>
  </w:style>
  <w:style w:type="character" w:customStyle="1" w:styleId="282">
    <w:name w:val=" Char Char13"/>
    <w:qFormat/>
    <w:uiPriority w:val="0"/>
    <w:rPr>
      <w:rFonts w:eastAsia="楷体_GB2312"/>
      <w:b/>
      <w:kern w:val="44"/>
      <w:sz w:val="44"/>
      <w:lang w:val="en-US" w:eastAsia="zh-CN" w:bidi="ar-SA"/>
    </w:rPr>
  </w:style>
  <w:style w:type="character" w:customStyle="1" w:styleId="283">
    <w:name w:val="正文首行缩进 2 Char"/>
    <w:qFormat/>
    <w:uiPriority w:val="99"/>
    <w:rPr>
      <w:rFonts w:ascii="Calibri" w:hAnsi="Calibri"/>
      <w:lang w:val="en-US" w:eastAsia="zh-CN" w:bidi="ar-SA"/>
    </w:rPr>
  </w:style>
  <w:style w:type="character" w:customStyle="1" w:styleId="284">
    <w:name w:val="标准文本 Char"/>
    <w:qFormat/>
    <w:uiPriority w:val="0"/>
    <w:rPr>
      <w:rFonts w:cs="宋体"/>
      <w:kern w:val="2"/>
      <w:sz w:val="24"/>
    </w:rPr>
  </w:style>
  <w:style w:type="character" w:customStyle="1" w:styleId="285">
    <w:name w:val="s012"/>
    <w:qFormat/>
    <w:uiPriority w:val="0"/>
    <w:rPr>
      <w:rFonts w:hint="eastAsia" w:ascii="宋体" w:hAnsi="宋体" w:eastAsia="宋体"/>
      <w:color w:val="000000"/>
      <w:sz w:val="20"/>
      <w:szCs w:val="20"/>
      <w:u w:val="none"/>
    </w:rPr>
  </w:style>
  <w:style w:type="character" w:customStyle="1" w:styleId="286">
    <w:name w:val="hover"/>
    <w:qFormat/>
    <w:uiPriority w:val="0"/>
    <w:rPr>
      <w:color w:val="2590EB"/>
      <w:shd w:val="clear" w:color="auto" w:fill="E9F4FD"/>
      <w:lang w:eastAsia="en-US"/>
    </w:rPr>
  </w:style>
  <w:style w:type="character" w:customStyle="1" w:styleId="287">
    <w:name w:val=" Char Char12"/>
    <w:qFormat/>
    <w:uiPriority w:val="0"/>
    <w:rPr>
      <w:rFonts w:ascii="Arial" w:hAnsi="Arial" w:eastAsia="黑体"/>
      <w:b/>
      <w:kern w:val="2"/>
      <w:sz w:val="32"/>
      <w:lang w:val="en-US" w:eastAsia="zh-CN" w:bidi="ar-SA"/>
    </w:rPr>
  </w:style>
  <w:style w:type="character" w:customStyle="1" w:styleId="288">
    <w:name w:val="style11"/>
    <w:qFormat/>
    <w:uiPriority w:val="0"/>
    <w:rPr>
      <w:rFonts w:hint="default" w:ascii="Times New Roman" w:hAnsi="Times New Roman" w:cs="Times New Roman"/>
      <w:sz w:val="18"/>
      <w:szCs w:val="18"/>
    </w:rPr>
  </w:style>
  <w:style w:type="character" w:customStyle="1" w:styleId="289">
    <w:name w:val="hover4"/>
    <w:qFormat/>
    <w:uiPriority w:val="0"/>
    <w:rPr>
      <w:color w:val="2590EB"/>
      <w:shd w:val="clear" w:color="auto" w:fill="E9F4FD"/>
      <w:lang w:eastAsia="en-US"/>
    </w:rPr>
  </w:style>
  <w:style w:type="paragraph" w:customStyle="1" w:styleId="290">
    <w:name w:val="DS-正文样式"/>
    <w:basedOn w:val="1"/>
    <w:qFormat/>
    <w:uiPriority w:val="0"/>
    <w:pPr>
      <w:numPr>
        <w:ilvl w:val="0"/>
        <w:numId w:val="16"/>
      </w:numPr>
      <w:spacing w:line="420" w:lineRule="exact"/>
      <w:ind w:firstLine="0"/>
    </w:pPr>
    <w:rPr>
      <w:rFonts w:ascii="仿宋_GB2312" w:hAnsi="仿宋_GB2312" w:eastAsia="仿宋_GB2312" w:cs="宋体"/>
      <w:szCs w:val="20"/>
    </w:rPr>
  </w:style>
  <w:style w:type="paragraph" w:customStyle="1" w:styleId="291">
    <w:name w:val=" Char Char Char Char Char Char Char Char Char Char"/>
    <w:basedOn w:val="1"/>
    <w:qFormat/>
    <w:uiPriority w:val="0"/>
    <w:rPr>
      <w:rFonts w:ascii="Times New Roman" w:hAnsi="Times New Roman"/>
      <w:szCs w:val="20"/>
    </w:rPr>
  </w:style>
  <w:style w:type="paragraph" w:customStyle="1" w:styleId="292">
    <w:name w:val="Aufzählung Ebene 4"/>
    <w:qFormat/>
    <w:uiPriority w:val="0"/>
    <w:pPr>
      <w:numPr>
        <w:ilvl w:val="0"/>
        <w:numId w:val="1"/>
      </w:numPr>
      <w:tabs>
        <w:tab w:val="left" w:pos="420"/>
        <w:tab w:val="left" w:pos="2265"/>
      </w:tabs>
      <w:spacing w:after="20"/>
      <w:ind w:left="1135" w:hanging="284"/>
    </w:pPr>
    <w:rPr>
      <w:rFonts w:ascii="Verdana" w:hAnsi="Verdana" w:eastAsia="宋体" w:cs="Times New Roman"/>
      <w:szCs w:val="24"/>
      <w:lang w:val="de-DE" w:eastAsia="de-DE" w:bidi="ar-SA"/>
    </w:rPr>
  </w:style>
  <w:style w:type="paragraph" w:customStyle="1" w:styleId="293">
    <w:name w:val=" Char1 Char Char Char Char"/>
    <w:basedOn w:val="1"/>
    <w:qFormat/>
    <w:uiPriority w:val="0"/>
    <w:rPr>
      <w:rFonts w:ascii="Tahoma" w:hAnsi="Tahoma"/>
      <w:sz w:val="24"/>
      <w:szCs w:val="20"/>
    </w:rPr>
  </w:style>
  <w:style w:type="paragraph" w:customStyle="1" w:styleId="294">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95">
    <w:name w:val="Char"/>
    <w:basedOn w:val="1"/>
    <w:qFormat/>
    <w:uiPriority w:val="0"/>
    <w:pPr>
      <w:widowControl/>
      <w:spacing w:line="400" w:lineRule="exact"/>
      <w:jc w:val="center"/>
    </w:pPr>
    <w:rPr>
      <w:rFonts w:ascii="Verdana" w:hAnsi="Verdana"/>
      <w:kern w:val="0"/>
      <w:szCs w:val="20"/>
      <w:lang w:eastAsia="en-US"/>
    </w:rPr>
  </w:style>
  <w:style w:type="paragraph" w:customStyle="1" w:styleId="296">
    <w:name w:val="_Style 18"/>
    <w:basedOn w:val="1"/>
    <w:qFormat/>
    <w:uiPriority w:val="0"/>
    <w:rPr>
      <w:rFonts w:ascii="Arial" w:hAnsi="Arial" w:cs="Arial"/>
      <w:sz w:val="20"/>
      <w:szCs w:val="20"/>
    </w:rPr>
  </w:style>
  <w:style w:type="paragraph" w:customStyle="1" w:styleId="297">
    <w:name w:val="_Style 8"/>
    <w:basedOn w:val="1"/>
    <w:next w:val="1"/>
    <w:qFormat/>
    <w:uiPriority w:val="0"/>
    <w:pPr>
      <w:pBdr>
        <w:top w:val="single" w:color="auto" w:sz="6" w:space="1"/>
      </w:pBdr>
      <w:jc w:val="center"/>
    </w:pPr>
    <w:rPr>
      <w:rFonts w:ascii="Arial" w:cs="Arial"/>
      <w:vanish/>
      <w:sz w:val="16"/>
      <w:szCs w:val="16"/>
    </w:rPr>
  </w:style>
  <w:style w:type="paragraph" w:customStyle="1" w:styleId="298">
    <w:name w:val=" Char Char Char Char Char Char Char"/>
    <w:basedOn w:val="1"/>
    <w:qFormat/>
    <w:uiPriority w:val="0"/>
    <w:pPr>
      <w:tabs>
        <w:tab w:val="left" w:pos="432"/>
      </w:tabs>
      <w:ind w:left="432" w:hanging="432"/>
    </w:pPr>
    <w:rPr>
      <w:rFonts w:ascii="Tahoma" w:hAnsi="Tahoma"/>
      <w:sz w:val="24"/>
      <w:szCs w:val="20"/>
    </w:rPr>
  </w:style>
  <w:style w:type="paragraph" w:customStyle="1" w:styleId="299">
    <w:name w:val="正文 A"/>
    <w:qFormat/>
    <w:uiPriority w:val="0"/>
    <w:pPr>
      <w:framePr w:wrap="around" w:vAnchor="margin" w:hAnchor="text" w:y="1"/>
      <w:widowControl w:val="0"/>
      <w:jc w:val="both"/>
    </w:pPr>
    <w:rPr>
      <w:rFonts w:ascii="Arial Unicode MS" w:hAnsi="Arial Unicode MS" w:eastAsia="Arial Unicode MS" w:cs="Arial Unicode MS"/>
      <w:color w:val="000000"/>
      <w:kern w:val="2"/>
      <w:sz w:val="32"/>
      <w:szCs w:val="32"/>
      <w:u w:val="none" w:color="000000"/>
      <w:lang w:val="zh-TW" w:eastAsia="zh-TW" w:bidi="ar-SA"/>
    </w:rPr>
  </w:style>
  <w:style w:type="paragraph" w:customStyle="1" w:styleId="300">
    <w:name w:val="二级标题-1"/>
    <w:qFormat/>
    <w:uiPriority w:val="0"/>
    <w:pPr>
      <w:spacing w:line="360" w:lineRule="auto"/>
    </w:pPr>
    <w:rPr>
      <w:rFonts w:ascii="仿宋_GB2312" w:hAnsi="仿宋_GB2312" w:eastAsia="宋体" w:cs="Times New Roman"/>
      <w:b/>
      <w:kern w:val="2"/>
      <w:sz w:val="21"/>
      <w:szCs w:val="24"/>
      <w:lang w:val="en-US" w:eastAsia="zh-CN" w:bidi="ar-SA"/>
    </w:rPr>
  </w:style>
  <w:style w:type="paragraph" w:customStyle="1" w:styleId="301">
    <w:name w:val="0"/>
    <w:basedOn w:val="1"/>
    <w:qFormat/>
    <w:uiPriority w:val="0"/>
    <w:pPr>
      <w:widowControl/>
      <w:spacing w:before="100" w:beforeAutospacing="1" w:after="100" w:afterAutospacing="1"/>
      <w:jc w:val="left"/>
    </w:pPr>
    <w:rPr>
      <w:rFonts w:ascii="宋体" w:hAnsi="宋体" w:cs="宋体"/>
      <w:kern w:val="0"/>
      <w:sz w:val="24"/>
    </w:rPr>
  </w:style>
  <w:style w:type="paragraph" w:customStyle="1" w:styleId="302">
    <w:name w:val="样式 标题 2 + Times New Roman 四号 非加粗 段前: 5 磅 段后: 0 磅 行距: 固定值 20..."/>
    <w:basedOn w:val="4"/>
    <w:qFormat/>
    <w:uiPriority w:val="0"/>
    <w:pPr>
      <w:numPr>
        <w:ilvl w:val="1"/>
        <w:numId w:val="0"/>
      </w:numPr>
      <w:spacing w:before="100" w:after="0" w:line="400" w:lineRule="exact"/>
      <w:jc w:val="both"/>
    </w:pPr>
    <w:rPr>
      <w:rFonts w:ascii="Times New Roman" w:hAnsi="Times New Roman" w:cs="宋体"/>
      <w:b w:val="0"/>
      <w:sz w:val="28"/>
    </w:rPr>
  </w:style>
  <w:style w:type="paragraph" w:customStyle="1" w:styleId="303">
    <w:name w:val="_Style 5"/>
    <w:basedOn w:val="1"/>
    <w:qFormat/>
    <w:uiPriority w:val="0"/>
    <w:rPr>
      <w:rFonts w:ascii="Tahoma" w:hAnsi="Tahoma"/>
      <w:sz w:val="24"/>
      <w:szCs w:val="20"/>
    </w:rPr>
  </w:style>
  <w:style w:type="paragraph" w:customStyle="1" w:styleId="304">
    <w:name w:val="作者"/>
    <w:basedOn w:val="1"/>
    <w:qFormat/>
    <w:uiPriority w:val="0"/>
    <w:pPr>
      <w:widowControl/>
      <w:spacing w:beforeLines="100" w:after="100" w:afterLines="100" w:afterAutospacing="1" w:line="360" w:lineRule="auto"/>
      <w:jc w:val="right"/>
    </w:pPr>
    <w:rPr>
      <w:rFonts w:ascii="宋体" w:hAnsi="宋体"/>
      <w:b/>
      <w:kern w:val="0"/>
      <w:sz w:val="30"/>
      <w:szCs w:val="30"/>
    </w:rPr>
  </w:style>
  <w:style w:type="paragraph" w:customStyle="1" w:styleId="305">
    <w:name w:val=" Char Char Char Char Char Char1 Char Char Char Char"/>
    <w:basedOn w:val="25"/>
    <w:qFormat/>
    <w:uiPriority w:val="0"/>
    <w:rPr>
      <w:rFonts w:ascii="Tahoma" w:hAnsi="Tahoma"/>
      <w:sz w:val="24"/>
    </w:rPr>
  </w:style>
  <w:style w:type="paragraph" w:customStyle="1" w:styleId="306">
    <w:name w:val=" Char Char Char Char Char Char Char Char Char Char Char Char"/>
    <w:basedOn w:val="1"/>
    <w:qFormat/>
    <w:uiPriority w:val="0"/>
    <w:pPr>
      <w:spacing w:line="300" w:lineRule="auto"/>
    </w:pPr>
    <w:rPr>
      <w:rFonts w:ascii="宋体" w:hAnsi="宋体"/>
      <w:b/>
      <w:bCs/>
      <w:color w:val="000000"/>
      <w:spacing w:val="8"/>
      <w:kern w:val="0"/>
      <w:sz w:val="24"/>
    </w:rPr>
  </w:style>
  <w:style w:type="paragraph" w:customStyle="1" w:styleId="307">
    <w:name w:val="表格"/>
    <w:basedOn w:val="1"/>
    <w:qFormat/>
    <w:uiPriority w:val="0"/>
    <w:rPr>
      <w:rFonts w:ascii="仿宋" w:hAnsi="仿宋" w:eastAsia="仿宋"/>
      <w:sz w:val="24"/>
      <w:szCs w:val="28"/>
    </w:rPr>
  </w:style>
  <w:style w:type="paragraph" w:customStyle="1" w:styleId="308">
    <w:name w:val="纯文本1"/>
    <w:basedOn w:val="1"/>
    <w:qFormat/>
    <w:uiPriority w:val="0"/>
    <w:pPr>
      <w:widowControl/>
      <w:suppressAutoHyphens/>
      <w:jc w:val="left"/>
    </w:pPr>
    <w:rPr>
      <w:rFonts w:ascii="Consolas" w:hAnsi="Consolas" w:eastAsia="PMingLiU"/>
      <w:kern w:val="1"/>
      <w:szCs w:val="21"/>
      <w:lang w:eastAsia="ar-SA"/>
    </w:rPr>
  </w:style>
  <w:style w:type="paragraph" w:customStyle="1" w:styleId="309">
    <w:name w:val=" Char1 Char Char Char Char Char Char"/>
    <w:basedOn w:val="1"/>
    <w:qFormat/>
    <w:uiPriority w:val="0"/>
    <w:rPr>
      <w:rFonts w:ascii="Tahoma" w:hAnsi="Tahoma"/>
      <w:sz w:val="24"/>
      <w:szCs w:val="20"/>
    </w:rPr>
  </w:style>
  <w:style w:type="paragraph" w:customStyle="1" w:styleId="310">
    <w:name w:val="列出段落1"/>
    <w:basedOn w:val="1"/>
    <w:qFormat/>
    <w:uiPriority w:val="34"/>
    <w:pPr>
      <w:ind w:firstLine="420" w:firstLineChars="200"/>
    </w:pPr>
    <w:rPr>
      <w:rFonts w:ascii="Times New Roman" w:hAnsi="Times New Roman"/>
    </w:rPr>
  </w:style>
  <w:style w:type="paragraph" w:customStyle="1" w:styleId="31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2">
    <w:name w:val="一级条标题"/>
    <w:next w:val="1"/>
    <w:qFormat/>
    <w:uiPriority w:val="0"/>
    <w:pPr>
      <w:numPr>
        <w:ilvl w:val="1"/>
        <w:numId w:val="17"/>
      </w:numPr>
      <w:spacing w:beforeLines="50" w:afterLines="50"/>
      <w:outlineLvl w:val="2"/>
    </w:pPr>
    <w:rPr>
      <w:rFonts w:ascii="黑体" w:hAnsi="Times New Roman" w:eastAsia="黑体" w:cs="Times New Roman"/>
      <w:sz w:val="21"/>
      <w:szCs w:val="21"/>
      <w:lang w:val="en-US" w:eastAsia="zh-CN" w:bidi="ar-SA"/>
    </w:rPr>
  </w:style>
  <w:style w:type="paragraph" w:customStyle="1" w:styleId="313">
    <w:name w:val="1级标题"/>
    <w:basedOn w:val="3"/>
    <w:qFormat/>
    <w:uiPriority w:val="0"/>
    <w:pPr>
      <w:numPr>
        <w:ilvl w:val="0"/>
        <w:numId w:val="18"/>
      </w:numPr>
      <w:spacing w:line="360" w:lineRule="auto"/>
    </w:pPr>
    <w:rPr>
      <w:rFonts w:ascii="黑体" w:hAnsi="Calibri" w:eastAsia="黑体" w:cs="Times New Roman"/>
      <w:b w:val="0"/>
      <w:sz w:val="28"/>
      <w:szCs w:val="28"/>
    </w:rPr>
  </w:style>
  <w:style w:type="paragraph" w:customStyle="1" w:styleId="314">
    <w:name w:val=" Char Char3 Char Char Char Char Char Char Char Char"/>
    <w:basedOn w:val="1"/>
    <w:qFormat/>
    <w:uiPriority w:val="0"/>
  </w:style>
  <w:style w:type="paragraph" w:customStyle="1" w:styleId="315">
    <w:name w:val="_Style 29"/>
    <w:basedOn w:val="1"/>
    <w:qFormat/>
    <w:uiPriority w:val="0"/>
    <w:rPr>
      <w:rFonts w:ascii="Tahoma" w:hAnsi="Tahoma"/>
      <w:sz w:val="24"/>
      <w:szCs w:val="20"/>
    </w:rPr>
  </w:style>
  <w:style w:type="paragraph" w:customStyle="1" w:styleId="316">
    <w:name w:val="标书正文"/>
    <w:basedOn w:val="1"/>
    <w:qFormat/>
    <w:uiPriority w:val="0"/>
    <w:pPr>
      <w:tabs>
        <w:tab w:val="left" w:pos="600"/>
      </w:tabs>
      <w:snapToGrid w:val="0"/>
      <w:spacing w:line="480" w:lineRule="atLeast"/>
      <w:ind w:firstLine="480" w:firstLineChars="200"/>
    </w:pPr>
    <w:rPr>
      <w:rFonts w:ascii="Calibri" w:hAnsi="Calibri"/>
      <w:color w:val="000000"/>
      <w:sz w:val="24"/>
    </w:rPr>
  </w:style>
  <w:style w:type="paragraph" w:customStyle="1" w:styleId="317">
    <w:name w:val="Produktüberschrift"/>
    <w:qFormat/>
    <w:uiPriority w:val="0"/>
    <w:pPr>
      <w:spacing w:after="80" w:line="240" w:lineRule="atLeast"/>
    </w:pPr>
    <w:rPr>
      <w:rFonts w:ascii="Verdana" w:hAnsi="Verdana" w:eastAsia="宋体" w:cs="Times New Roman"/>
      <w:b/>
      <w:lang w:val="de-DE" w:eastAsia="de-DE" w:bidi="ar-SA"/>
    </w:rPr>
  </w:style>
  <w:style w:type="paragraph" w:customStyle="1" w:styleId="318">
    <w:name w:val="[Normal]"/>
    <w:basedOn w:val="1"/>
    <w:next w:val="1"/>
    <w:qFormat/>
    <w:uiPriority w:val="0"/>
    <w:pPr>
      <w:widowControl/>
      <w:jc w:val="left"/>
    </w:pPr>
    <w:rPr>
      <w:rFonts w:ascii="MetaPlusLF" w:hAnsi="MetaPlusLF"/>
      <w:kern w:val="0"/>
      <w:sz w:val="20"/>
      <w:szCs w:val="20"/>
      <w:lang w:val="en-GB" w:eastAsia="de-DE"/>
    </w:rPr>
  </w:style>
  <w:style w:type="paragraph" w:customStyle="1" w:styleId="319">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320">
    <w:name w:val="样式1"/>
    <w:basedOn w:val="1"/>
    <w:qFormat/>
    <w:uiPriority w:val="99"/>
    <w:pPr>
      <w:spacing w:line="360" w:lineRule="auto"/>
      <w:ind w:firstLine="471" w:firstLineChars="200"/>
    </w:pPr>
    <w:rPr>
      <w:rFonts w:ascii="宋体" w:hAnsi="宋体"/>
      <w:bCs/>
      <w:sz w:val="24"/>
      <w:szCs w:val="20"/>
    </w:rPr>
  </w:style>
  <w:style w:type="paragraph" w:customStyle="1" w:styleId="321">
    <w:name w:val="_Style 3"/>
    <w:basedOn w:val="1"/>
    <w:qFormat/>
    <w:uiPriority w:val="0"/>
    <w:pPr>
      <w:ind w:firstLine="420" w:firstLineChars="200"/>
    </w:pPr>
    <w:rPr>
      <w:szCs w:val="22"/>
    </w:rPr>
  </w:style>
  <w:style w:type="paragraph" w:customStyle="1" w:styleId="322">
    <w:name w:val="item1.1"/>
    <w:basedOn w:val="1"/>
    <w:qFormat/>
    <w:uiPriority w:val="0"/>
    <w:pPr>
      <w:adjustRightInd w:val="0"/>
      <w:spacing w:line="480" w:lineRule="exact"/>
      <w:textAlignment w:val="baseline"/>
    </w:pPr>
    <w:rPr>
      <w:rFonts w:ascii="宋体" w:hAnsi="Calibri"/>
      <w:sz w:val="28"/>
    </w:rPr>
  </w:style>
  <w:style w:type="paragraph" w:customStyle="1" w:styleId="323">
    <w:name w:val="1 Char Char Char Char"/>
    <w:basedOn w:val="1"/>
    <w:qFormat/>
    <w:uiPriority w:val="0"/>
    <w:rPr>
      <w:rFonts w:ascii="Tahoma" w:hAnsi="Tahoma"/>
      <w:sz w:val="24"/>
      <w:szCs w:val="20"/>
    </w:rPr>
  </w:style>
  <w:style w:type="paragraph" w:customStyle="1" w:styleId="324">
    <w:name w:val="Standard fett"/>
    <w:basedOn w:val="1"/>
    <w:qFormat/>
    <w:uiPriority w:val="0"/>
    <w:pPr>
      <w:widowControl/>
      <w:jc w:val="left"/>
    </w:pPr>
    <w:rPr>
      <w:rFonts w:ascii="Arial" w:hAnsi="Arial" w:eastAsia="PMingLiU"/>
      <w:b/>
      <w:bCs/>
      <w:kern w:val="0"/>
      <w:sz w:val="22"/>
      <w:szCs w:val="20"/>
      <w:lang w:val="de-DE" w:eastAsia="de-DE"/>
    </w:rPr>
  </w:style>
  <w:style w:type="paragraph" w:customStyle="1" w:styleId="325">
    <w:name w:val="_Style 181"/>
    <w:basedOn w:val="1"/>
    <w:qFormat/>
    <w:uiPriority w:val="0"/>
    <w:rPr>
      <w:rFonts w:ascii="Arial" w:hAnsi="Arial" w:cs="Arial"/>
      <w:sz w:val="20"/>
      <w:szCs w:val="20"/>
    </w:rPr>
  </w:style>
  <w:style w:type="paragraph" w:customStyle="1" w:styleId="326">
    <w:name w:val=" Char"/>
    <w:basedOn w:val="1"/>
    <w:qFormat/>
    <w:uiPriority w:val="0"/>
    <w:rPr>
      <w:rFonts w:ascii="Times New Roman" w:hAnsi="Times New Roman" w:eastAsia="Times New Roman"/>
      <w:kern w:val="0"/>
      <w:sz w:val="20"/>
    </w:rPr>
  </w:style>
  <w:style w:type="paragraph" w:customStyle="1" w:styleId="327">
    <w:name w:val="_Style 2"/>
    <w:basedOn w:val="1"/>
    <w:qFormat/>
    <w:uiPriority w:val="0"/>
    <w:pPr>
      <w:ind w:firstLine="420" w:firstLineChars="200"/>
    </w:pPr>
    <w:rPr>
      <w:rFonts w:ascii="Times New Roman" w:hAnsi="Times New Roman"/>
    </w:rPr>
  </w:style>
  <w:style w:type="paragraph" w:customStyle="1" w:styleId="328">
    <w:name w:val="_Style 4"/>
    <w:basedOn w:val="1"/>
    <w:qFormat/>
    <w:uiPriority w:val="0"/>
    <w:pPr>
      <w:ind w:firstLine="420" w:firstLineChars="200"/>
    </w:pPr>
    <w:rPr>
      <w:szCs w:val="22"/>
    </w:rPr>
  </w:style>
  <w:style w:type="paragraph" w:customStyle="1" w:styleId="329">
    <w:name w:val="彩色底纹 - 着色 31"/>
    <w:basedOn w:val="1"/>
    <w:qFormat/>
    <w:uiPriority w:val="34"/>
    <w:pPr>
      <w:ind w:firstLine="420" w:firstLineChars="200"/>
    </w:pPr>
    <w:rPr>
      <w:rFonts w:ascii="Calibri" w:hAnsi="Calibri" w:eastAsia="宋体" w:cs="Times New Roman"/>
    </w:rPr>
  </w:style>
  <w:style w:type="paragraph" w:customStyle="1" w:styleId="330">
    <w:name w:val="Char Char1 Char Char Char Char Char Char 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331">
    <w:name w:val="xl25"/>
    <w:basedOn w:val="1"/>
    <w:qFormat/>
    <w:uiPriority w:val="0"/>
    <w:pPr>
      <w:widowControl/>
      <w:pBdr>
        <w:bottom w:val="single" w:color="auto" w:sz="8" w:space="0"/>
        <w:right w:val="single" w:color="auto" w:sz="8" w:space="0"/>
      </w:pBdr>
      <w:spacing w:before="100" w:beforeAutospacing="1" w:after="100" w:afterAutospacing="1"/>
    </w:pPr>
    <w:rPr>
      <w:rFonts w:ascii="Times New Roman" w:hAnsi="Times New Roman"/>
      <w:kern w:val="0"/>
      <w:szCs w:val="21"/>
    </w:rPr>
  </w:style>
  <w:style w:type="paragraph" w:customStyle="1" w:styleId="332">
    <w:name w:val="Char1 Char Char Char Char Char Char"/>
    <w:basedOn w:val="1"/>
    <w:qFormat/>
    <w:uiPriority w:val="0"/>
    <w:rPr>
      <w:rFonts w:ascii="Tahoma" w:hAnsi="Tahoma"/>
      <w:sz w:val="24"/>
      <w:szCs w:val="20"/>
    </w:rPr>
  </w:style>
  <w:style w:type="paragraph" w:customStyle="1" w:styleId="333">
    <w:name w:val="Briefbody"/>
    <w:qFormat/>
    <w:uiPriority w:val="0"/>
    <w:pPr>
      <w:numPr>
        <w:ilvl w:val="0"/>
        <w:numId w:val="19"/>
      </w:numPr>
      <w:ind w:left="0"/>
    </w:pPr>
    <w:rPr>
      <w:rFonts w:ascii="Verdana" w:hAnsi="Verdana" w:eastAsia="宋体" w:cs="Verdana"/>
      <w:lang w:val="de-DE" w:eastAsia="de-DE" w:bidi="ar-SA"/>
    </w:rPr>
  </w:style>
  <w:style w:type="paragraph" w:customStyle="1" w:styleId="334">
    <w:name w:val="Paragraf"/>
    <w:basedOn w:val="1"/>
    <w:qFormat/>
    <w:uiPriority w:val="0"/>
    <w:pPr>
      <w:widowControl/>
      <w:overflowPunct w:val="0"/>
      <w:autoSpaceDE w:val="0"/>
      <w:autoSpaceDN w:val="0"/>
      <w:adjustRightInd w:val="0"/>
      <w:spacing w:before="120"/>
      <w:ind w:left="454" w:hanging="454"/>
      <w:jc w:val="left"/>
      <w:textAlignment w:val="baseline"/>
    </w:pPr>
    <w:rPr>
      <w:rFonts w:ascii="Times New Roman" w:hAnsi="Times New Roman" w:eastAsia="Times New Roman"/>
      <w:kern w:val="0"/>
      <w:sz w:val="22"/>
      <w:szCs w:val="20"/>
      <w:lang w:val="en-GB" w:eastAsia="en-US"/>
    </w:rPr>
  </w:style>
  <w:style w:type="paragraph" w:customStyle="1" w:styleId="335">
    <w:name w:val="正文_13_0"/>
    <w:basedOn w:val="1"/>
    <w:qFormat/>
    <w:uiPriority w:val="0"/>
    <w:rPr>
      <w:rFonts w:ascii="Times New Roman" w:hAnsi="Times New Roman"/>
      <w:szCs w:val="21"/>
    </w:rPr>
  </w:style>
  <w:style w:type="paragraph" w:customStyle="1" w:styleId="336">
    <w:name w:val="默认段落字体 Para Char Char Char Char"/>
    <w:basedOn w:val="1"/>
    <w:qFormat/>
    <w:uiPriority w:val="0"/>
    <w:pPr>
      <w:snapToGrid w:val="0"/>
      <w:spacing w:line="360" w:lineRule="auto"/>
      <w:ind w:firstLine="200" w:firstLineChars="200"/>
    </w:pPr>
    <w:rPr>
      <w:rFonts w:eastAsia="仿宋_GB2312"/>
      <w:sz w:val="24"/>
    </w:rPr>
  </w:style>
  <w:style w:type="paragraph" w:customStyle="1" w:styleId="337">
    <w:name w:val="List Paragraph2"/>
    <w:basedOn w:val="1"/>
    <w:qFormat/>
    <w:uiPriority w:val="0"/>
    <w:pPr>
      <w:ind w:firstLine="420" w:firstLineChars="200"/>
    </w:pPr>
    <w:rPr>
      <w:rFonts w:ascii="Times New Roman" w:hAnsi="Times New Roman"/>
    </w:rPr>
  </w:style>
  <w:style w:type="paragraph" w:customStyle="1" w:styleId="338">
    <w:name w:val="Position Text"/>
    <w:basedOn w:val="1"/>
    <w:qFormat/>
    <w:uiPriority w:val="0"/>
    <w:pPr>
      <w:widowControl/>
      <w:tabs>
        <w:tab w:val="center" w:pos="4536"/>
        <w:tab w:val="right" w:pos="9072"/>
      </w:tabs>
      <w:jc w:val="left"/>
    </w:pPr>
    <w:rPr>
      <w:rFonts w:ascii="MetaPlusLF" w:hAnsi="MetaPlusLF"/>
      <w:kern w:val="0"/>
      <w:sz w:val="16"/>
      <w:szCs w:val="20"/>
      <w:lang w:val="de-DE" w:eastAsia="de-DE"/>
    </w:rPr>
  </w:style>
  <w:style w:type="paragraph" w:customStyle="1" w:styleId="339">
    <w:name w:val="默认"/>
    <w:qFormat/>
    <w:uiPriority w:val="0"/>
    <w:pPr>
      <w:widowControl w:val="0"/>
      <w:tabs>
        <w:tab w:val="left" w:pos="420"/>
      </w:tabs>
      <w:suppressAutoHyphens/>
    </w:pPr>
    <w:rPr>
      <w:rFonts w:ascii="DejaVu Serif" w:hAnsi="DejaVu Serif" w:eastAsia="DejaVu Sans" w:cs="DejaVu Sans"/>
      <w:kern w:val="2"/>
      <w:sz w:val="24"/>
      <w:szCs w:val="24"/>
      <w:lang w:val="en-US" w:eastAsia="zh-CN" w:bidi="hi-IN"/>
    </w:rPr>
  </w:style>
  <w:style w:type="paragraph" w:customStyle="1" w:styleId="340">
    <w:name w:val="首页标题"/>
    <w:basedOn w:val="1"/>
    <w:qFormat/>
    <w:uiPriority w:val="0"/>
    <w:pPr>
      <w:spacing w:before="100" w:beforeAutospacing="1" w:after="100" w:afterAutospacing="1"/>
      <w:jc w:val="center"/>
    </w:pPr>
    <w:rPr>
      <w:rFonts w:ascii="宋体" w:hAnsi="宋体" w:cs="宋体"/>
      <w:b/>
      <w:bCs/>
      <w:sz w:val="44"/>
      <w:szCs w:val="20"/>
    </w:rPr>
  </w:style>
  <w:style w:type="paragraph" w:customStyle="1" w:styleId="341">
    <w:name w:val="Aufzählung Ebene 3"/>
    <w:qFormat/>
    <w:uiPriority w:val="0"/>
    <w:pPr>
      <w:numPr>
        <w:ilvl w:val="0"/>
        <w:numId w:val="20"/>
      </w:numPr>
      <w:tabs>
        <w:tab w:val="left" w:pos="851"/>
      </w:tabs>
      <w:spacing w:after="20"/>
      <w:ind w:left="851"/>
    </w:pPr>
    <w:rPr>
      <w:rFonts w:ascii="Verdana" w:hAnsi="Verdana" w:eastAsia="宋体" w:cs="Times New Roman"/>
      <w:szCs w:val="24"/>
      <w:lang w:val="de-DE" w:eastAsia="de-DE" w:bidi="ar-SA"/>
    </w:rPr>
  </w:style>
  <w:style w:type="paragraph" w:styleId="342">
    <w:name w:val="List Paragraph"/>
    <w:basedOn w:val="1"/>
    <w:qFormat/>
    <w:uiPriority w:val="34"/>
    <w:pPr>
      <w:ind w:firstLine="420" w:firstLineChars="200"/>
    </w:pPr>
    <w:rPr>
      <w:rFonts w:ascii="Times New Roman" w:hAnsi="Times New Roman"/>
    </w:rPr>
  </w:style>
  <w:style w:type="paragraph" w:customStyle="1" w:styleId="343">
    <w:name w:val="_Style 342"/>
    <w:unhideWhenUsed/>
    <w:qFormat/>
    <w:uiPriority w:val="99"/>
    <w:rPr>
      <w:rFonts w:ascii="Times New Roman" w:hAnsi="Times New Roman" w:eastAsia="宋体" w:cs="Times New Roman"/>
      <w:kern w:val="2"/>
      <w:sz w:val="21"/>
      <w:szCs w:val="24"/>
      <w:lang w:val="en-US" w:eastAsia="zh-CN" w:bidi="ar-SA"/>
    </w:rPr>
  </w:style>
  <w:style w:type="paragraph" w:customStyle="1" w:styleId="344">
    <w:name w:val=" Char Char1 Char Char Char Char Char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345">
    <w:name w:val="样式 项目名称"/>
    <w:basedOn w:val="1"/>
    <w:qFormat/>
    <w:uiPriority w:val="0"/>
    <w:pPr>
      <w:widowControl/>
      <w:spacing w:beforeLines="100" w:after="100" w:afterLines="100" w:afterAutospacing="1"/>
      <w:jc w:val="right"/>
    </w:pPr>
    <w:rPr>
      <w:rFonts w:eastAsia="华文新魏" w:cs="宋体"/>
      <w:b/>
      <w:bCs/>
      <w:kern w:val="0"/>
      <w:sz w:val="52"/>
      <w:szCs w:val="20"/>
      <w:lang w:eastAsia="en-US"/>
    </w:rPr>
  </w:style>
  <w:style w:type="paragraph" w:customStyle="1" w:styleId="346">
    <w:name w:val="Char Char Char1 Char Char Char Char"/>
    <w:basedOn w:val="1"/>
    <w:qFormat/>
    <w:uiPriority w:val="0"/>
    <w:pPr>
      <w:widowControl/>
      <w:snapToGrid w:val="0"/>
      <w:spacing w:after="160" w:afterLines="0" w:line="300" w:lineRule="auto"/>
      <w:jc w:val="left"/>
    </w:pPr>
  </w:style>
  <w:style w:type="paragraph" w:customStyle="1" w:styleId="347">
    <w:name w:val="列出段落2"/>
    <w:basedOn w:val="1"/>
    <w:unhideWhenUsed/>
    <w:qFormat/>
    <w:uiPriority w:val="0"/>
    <w:pPr>
      <w:ind w:firstLine="420" w:firstLineChars="200"/>
    </w:pPr>
    <w:rPr>
      <w:rFonts w:ascii="Times New Roman" w:hAnsi="Times New Roman"/>
    </w:rPr>
  </w:style>
  <w:style w:type="paragraph" w:customStyle="1" w:styleId="348">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9">
    <w:name w:val="[基本段落]"/>
    <w:basedOn w:val="1"/>
    <w:qFormat/>
    <w:uiPriority w:val="0"/>
    <w:pPr>
      <w:autoSpaceDE w:val="0"/>
      <w:autoSpaceDN w:val="0"/>
      <w:adjustRightInd w:val="0"/>
      <w:spacing w:line="280" w:lineRule="atLeast"/>
      <w:textAlignment w:val="center"/>
    </w:pPr>
    <w:rPr>
      <w:rFonts w:ascii="汉仪中等线简" w:hAnsi="Times New Roman" w:cs="宋体"/>
      <w:color w:val="000000"/>
      <w:kern w:val="0"/>
      <w:sz w:val="16"/>
      <w:szCs w:val="16"/>
    </w:rPr>
  </w:style>
  <w:style w:type="paragraph" w:customStyle="1" w:styleId="350">
    <w:name w:val="自定义标题4"/>
    <w:basedOn w:val="6"/>
    <w:next w:val="1"/>
    <w:qFormat/>
    <w:uiPriority w:val="0"/>
    <w:pPr>
      <w:keepLines/>
      <w:numPr>
        <w:ilvl w:val="3"/>
        <w:numId w:val="21"/>
      </w:numPr>
      <w:spacing w:before="280" w:after="290" w:line="377" w:lineRule="auto"/>
    </w:pPr>
    <w:rPr>
      <w:rFonts w:ascii="Arial" w:hAnsi="Arial" w:eastAsia="黑体"/>
      <w:b/>
      <w:bCs/>
      <w:color w:val="000000"/>
      <w:sz w:val="28"/>
      <w:szCs w:val="28"/>
    </w:rPr>
  </w:style>
  <w:style w:type="paragraph" w:customStyle="1" w:styleId="351">
    <w:name w:val=" Char1"/>
    <w:basedOn w:val="1"/>
    <w:qFormat/>
    <w:uiPriority w:val="0"/>
    <w:pPr>
      <w:tabs>
        <w:tab w:val="left" w:pos="360"/>
      </w:tabs>
      <w:ind w:left="360" w:hanging="360" w:hangingChars="200"/>
    </w:pPr>
    <w:rPr>
      <w:rFonts w:ascii="Times New Roman" w:hAnsi="Times New Roman"/>
      <w:sz w:val="24"/>
    </w:rPr>
  </w:style>
  <w:style w:type="paragraph" w:customStyle="1" w:styleId="352">
    <w:name w:val="样式 文件编号"/>
    <w:basedOn w:val="1"/>
    <w:qFormat/>
    <w:uiPriority w:val="0"/>
    <w:pPr>
      <w:widowControl/>
      <w:spacing w:beforeLines="100" w:after="100" w:afterLines="100" w:afterAutospacing="1" w:line="360" w:lineRule="auto"/>
      <w:jc w:val="right"/>
    </w:pPr>
    <w:rPr>
      <w:rFonts w:cs="宋体"/>
      <w:b/>
      <w:bCs/>
      <w:kern w:val="0"/>
      <w:sz w:val="30"/>
      <w:szCs w:val="20"/>
    </w:rPr>
  </w:style>
  <w:style w:type="paragraph" w:customStyle="1" w:styleId="353">
    <w:name w:val="Char Char"/>
    <w:basedOn w:val="1"/>
    <w:qFormat/>
    <w:uiPriority w:val="0"/>
    <w:rPr>
      <w:rFonts w:ascii="Tahoma" w:hAnsi="Tahoma"/>
      <w:sz w:val="24"/>
      <w:szCs w:val="20"/>
    </w:rPr>
  </w:style>
  <w:style w:type="paragraph" w:customStyle="1" w:styleId="354">
    <w:name w:val="文档正文"/>
    <w:basedOn w:val="1"/>
    <w:qFormat/>
    <w:uiPriority w:val="0"/>
    <w:rPr>
      <w:rFonts w:ascii="Arial" w:hAnsi="Arial" w:cs="Arial"/>
      <w:bCs/>
      <w:sz w:val="24"/>
    </w:rPr>
  </w:style>
  <w:style w:type="paragraph" w:customStyle="1" w:styleId="355">
    <w:name w:val="3_bauart1FETT"/>
    <w:basedOn w:val="1"/>
    <w:qFormat/>
    <w:uiPriority w:val="0"/>
    <w:pPr>
      <w:widowControl/>
      <w:tabs>
        <w:tab w:val="left" w:pos="1134"/>
        <w:tab w:val="left" w:pos="3119"/>
      </w:tabs>
      <w:autoSpaceDE w:val="0"/>
      <w:autoSpaceDN w:val="0"/>
      <w:adjustRightInd w:val="0"/>
      <w:spacing w:before="40" w:after="60"/>
      <w:jc w:val="left"/>
    </w:pPr>
    <w:rPr>
      <w:rFonts w:ascii="Times New Roman" w:hAnsi="Times New Roman"/>
      <w:b/>
      <w:bCs/>
      <w:kern w:val="0"/>
      <w:sz w:val="24"/>
      <w:lang w:val="en-GB" w:eastAsia="en-GB"/>
    </w:rPr>
  </w:style>
  <w:style w:type="paragraph" w:customStyle="1" w:styleId="356">
    <w:name w:val="tablecaptionlow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57">
    <w:name w:val="3级编号"/>
    <w:qFormat/>
    <w:uiPriority w:val="0"/>
    <w:pPr>
      <w:numPr>
        <w:ilvl w:val="2"/>
        <w:numId w:val="18"/>
      </w:numPr>
      <w:spacing w:line="360" w:lineRule="auto"/>
    </w:pPr>
    <w:rPr>
      <w:rFonts w:ascii="宋体" w:hAnsi="宋体" w:eastAsia="宋体" w:cs="Times New Roman"/>
      <w:bCs/>
      <w:kern w:val="2"/>
      <w:sz w:val="21"/>
      <w:szCs w:val="21"/>
      <w:lang w:val="en-US" w:eastAsia="zh-CN" w:bidi="ar-SA"/>
    </w:rPr>
  </w:style>
  <w:style w:type="paragraph" w:customStyle="1" w:styleId="358">
    <w:name w:val="1"/>
    <w:basedOn w:val="1"/>
    <w:qFormat/>
    <w:uiPriority w:val="0"/>
    <w:pPr>
      <w:spacing w:after="156" w:afterLines="50" w:line="360" w:lineRule="auto"/>
      <w:jc w:val="center"/>
    </w:pPr>
    <w:rPr>
      <w:b/>
      <w:sz w:val="40"/>
      <w:szCs w:val="21"/>
    </w:rPr>
  </w:style>
  <w:style w:type="paragraph" w:customStyle="1" w:styleId="359">
    <w:name w:val="2级标题"/>
    <w:basedOn w:val="4"/>
    <w:qFormat/>
    <w:uiPriority w:val="0"/>
    <w:pPr>
      <w:numPr>
        <w:ilvl w:val="1"/>
        <w:numId w:val="18"/>
      </w:numPr>
      <w:spacing w:before="0" w:after="0" w:line="360" w:lineRule="auto"/>
      <w:ind w:left="0" w:firstLine="0"/>
    </w:pPr>
    <w:rPr>
      <w:rFonts w:ascii="宋体" w:hAnsi="宋体" w:eastAsia="黑体" w:cs="Times New Roman"/>
      <w:sz w:val="24"/>
      <w:szCs w:val="24"/>
    </w:rPr>
  </w:style>
  <w:style w:type="paragraph" w:customStyle="1" w:styleId="360">
    <w:name w:val="CM8"/>
    <w:basedOn w:val="1"/>
    <w:next w:val="1"/>
    <w:qFormat/>
    <w:uiPriority w:val="0"/>
    <w:pPr>
      <w:autoSpaceDE w:val="0"/>
      <w:autoSpaceDN w:val="0"/>
      <w:adjustRightInd w:val="0"/>
      <w:spacing w:line="240" w:lineRule="atLeast"/>
      <w:jc w:val="left"/>
    </w:pPr>
    <w:rPr>
      <w:rFonts w:ascii="Arial" w:hAnsi="Arial" w:cs="Arial"/>
      <w:kern w:val="0"/>
      <w:sz w:val="24"/>
    </w:rPr>
  </w:style>
  <w:style w:type="paragraph" w:customStyle="1" w:styleId="361">
    <w:name w:val="_Style 7"/>
    <w:basedOn w:val="1"/>
    <w:next w:val="1"/>
    <w:qFormat/>
    <w:uiPriority w:val="0"/>
    <w:pPr>
      <w:pBdr>
        <w:bottom w:val="single" w:color="auto" w:sz="6" w:space="1"/>
      </w:pBdr>
      <w:jc w:val="center"/>
    </w:pPr>
    <w:rPr>
      <w:rFonts w:ascii="Arial" w:cs="Arial"/>
      <w:vanish/>
      <w:sz w:val="16"/>
      <w:szCs w:val="16"/>
    </w:rPr>
  </w:style>
  <w:style w:type="paragraph" w:customStyle="1" w:styleId="362">
    <w:name w:val="boxtext_black"/>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363">
    <w:name w:val=" Char Char Char1 Char Char Char Char Char Char1 Char"/>
    <w:basedOn w:val="1"/>
    <w:qFormat/>
    <w:uiPriority w:val="0"/>
    <w:pPr>
      <w:ind w:right="420"/>
      <w:jc w:val="right"/>
    </w:pPr>
    <w:rPr>
      <w:rFonts w:ascii="宋体" w:hAnsi="宋体"/>
      <w:snapToGrid w:val="0"/>
      <w:kern w:val="0"/>
      <w:szCs w:val="21"/>
    </w:rPr>
  </w:style>
  <w:style w:type="paragraph" w:customStyle="1" w:styleId="364">
    <w:name w:val="_Style 6"/>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365">
    <w:name w:val="默认段落字体 Para Char Char Char Char Char Char Char Char Char Char"/>
    <w:basedOn w:val="1"/>
    <w:qFormat/>
    <w:uiPriority w:val="0"/>
    <w:rPr>
      <w:rFonts w:ascii="Tahoma" w:hAnsi="Tahoma"/>
      <w:sz w:val="24"/>
      <w:szCs w:val="20"/>
    </w:rPr>
  </w:style>
  <w:style w:type="paragraph" w:customStyle="1" w:styleId="366">
    <w:name w:val="Char Char Char Char Char Char Char Char Char Char Char Char"/>
    <w:basedOn w:val="1"/>
    <w:qFormat/>
    <w:uiPriority w:val="0"/>
    <w:pPr>
      <w:spacing w:line="300" w:lineRule="auto"/>
    </w:pPr>
    <w:rPr>
      <w:rFonts w:ascii="宋体" w:hAnsi="宋体"/>
      <w:b/>
      <w:bCs/>
      <w:color w:val="000000"/>
      <w:spacing w:val="8"/>
      <w:kern w:val="0"/>
      <w:sz w:val="24"/>
    </w:rPr>
  </w:style>
  <w:style w:type="paragraph" w:customStyle="1" w:styleId="367">
    <w:name w:val="Char Char Char"/>
    <w:basedOn w:val="1"/>
    <w:qFormat/>
    <w:uiPriority w:val="0"/>
    <w:rPr>
      <w:rFonts w:ascii="Tahoma" w:hAnsi="Tahoma"/>
      <w:sz w:val="24"/>
      <w:szCs w:val="20"/>
    </w:rPr>
  </w:style>
  <w:style w:type="paragraph" w:customStyle="1" w:styleId="368">
    <w:name w:val="font"/>
    <w:basedOn w:val="1"/>
    <w:qFormat/>
    <w:uiPriority w:val="0"/>
    <w:pPr>
      <w:widowControl/>
      <w:spacing w:before="100" w:beforeAutospacing="1" w:after="100" w:afterAutospacing="1"/>
      <w:jc w:val="left"/>
    </w:pPr>
    <w:rPr>
      <w:rFonts w:ascii="宋体" w:hAnsi="宋体"/>
      <w:kern w:val="0"/>
      <w:sz w:val="24"/>
    </w:rPr>
  </w:style>
  <w:style w:type="paragraph" w:customStyle="1" w:styleId="369">
    <w:name w:val="Char Char Char Char Char Char Char Char Char Char"/>
    <w:basedOn w:val="25"/>
    <w:qFormat/>
    <w:uiPriority w:val="0"/>
    <w:rPr>
      <w:rFonts w:ascii="Tahoma" w:hAnsi="Tahoma" w:eastAsia="黑体"/>
      <w:b/>
      <w:sz w:val="30"/>
    </w:rPr>
  </w:style>
  <w:style w:type="paragraph" w:customStyle="1" w:styleId="370">
    <w:name w:val="正文缩进2字符"/>
    <w:qFormat/>
    <w:uiPriority w:val="0"/>
    <w:pPr>
      <w:spacing w:line="30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371">
    <w:name w:val="p0"/>
    <w:basedOn w:val="1"/>
    <w:qFormat/>
    <w:uiPriority w:val="0"/>
    <w:pPr>
      <w:widowControl/>
    </w:pPr>
    <w:rPr>
      <w:rFonts w:cs="宋体"/>
      <w:kern w:val="0"/>
      <w:szCs w:val="21"/>
    </w:rPr>
  </w:style>
  <w:style w:type="paragraph" w:customStyle="1" w:styleId="372">
    <w:name w:val="Titel2"/>
    <w:basedOn w:val="1"/>
    <w:qFormat/>
    <w:uiPriority w:val="0"/>
    <w:pPr>
      <w:widowControl/>
      <w:jc w:val="center"/>
    </w:pPr>
    <w:rPr>
      <w:rFonts w:ascii="Arial" w:hAnsi="Arial" w:cs="Arial"/>
      <w:snapToGrid w:val="0"/>
      <w:kern w:val="0"/>
      <w:sz w:val="44"/>
      <w:szCs w:val="22"/>
      <w:lang w:val="en-GB" w:eastAsia="de-DE"/>
    </w:rPr>
  </w:style>
  <w:style w:type="paragraph" w:customStyle="1" w:styleId="373">
    <w:name w:val="标准段落"/>
    <w:basedOn w:val="1"/>
    <w:qFormat/>
    <w:uiPriority w:val="0"/>
    <w:pPr>
      <w:adjustRightInd w:val="0"/>
      <w:spacing w:beforeLines="50" w:afterLines="50" w:line="300" w:lineRule="auto"/>
      <w:ind w:firstLine="454"/>
      <w:jc w:val="left"/>
    </w:pPr>
    <w:rPr>
      <w:rFonts w:ascii="Calibri" w:hAnsi="Calibri" w:eastAsia="宋体" w:cs="Times New Roman"/>
      <w:sz w:val="24"/>
      <w:szCs w:val="21"/>
    </w:rPr>
  </w:style>
  <w:style w:type="paragraph" w:customStyle="1" w:styleId="374">
    <w:name w:val="No Spacing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5">
    <w:name w:val="Char Char Char Char Char Char1 Char Char Char Char"/>
    <w:basedOn w:val="25"/>
    <w:qFormat/>
    <w:uiPriority w:val="0"/>
    <w:rPr>
      <w:rFonts w:ascii="Tahoma" w:hAnsi="Tahoma"/>
      <w:sz w:val="24"/>
    </w:rPr>
  </w:style>
  <w:style w:type="paragraph" w:customStyle="1" w:styleId="376">
    <w:name w:val="二级条标题"/>
    <w:basedOn w:val="312"/>
    <w:next w:val="1"/>
    <w:qFormat/>
    <w:uiPriority w:val="0"/>
    <w:pPr>
      <w:numPr>
        <w:ilvl w:val="2"/>
        <w:numId w:val="17"/>
      </w:numPr>
      <w:spacing w:before="50" w:after="50"/>
      <w:outlineLvl w:val="3"/>
    </w:pPr>
  </w:style>
  <w:style w:type="paragraph" w:customStyle="1" w:styleId="377">
    <w:name w:val="默认段落字体 Para Char"/>
    <w:basedOn w:val="1"/>
    <w:qFormat/>
    <w:uiPriority w:val="0"/>
    <w:pPr>
      <w:widowControl/>
      <w:jc w:val="left"/>
    </w:pPr>
    <w:rPr>
      <w:rFonts w:ascii="宋体" w:hAnsi="宋体" w:cs="宋体"/>
      <w:kern w:val="0"/>
      <w:sz w:val="24"/>
      <w:szCs w:val="20"/>
    </w:rPr>
  </w:style>
  <w:style w:type="paragraph" w:customStyle="1" w:styleId="378">
    <w:name w:val="正文-qfy"/>
    <w:basedOn w:val="1"/>
    <w:qFormat/>
    <w:uiPriority w:val="0"/>
    <w:pPr>
      <w:spacing w:line="360" w:lineRule="auto"/>
    </w:pPr>
    <w:rPr>
      <w:rFonts w:ascii="Times New Roman" w:hAnsi="Times New Roman" w:eastAsia="宋体" w:cs="Times New Roman"/>
      <w:szCs w:val="24"/>
    </w:rPr>
  </w:style>
  <w:style w:type="paragraph" w:customStyle="1" w:styleId="379">
    <w:name w:val="No Spacing1"/>
    <w:basedOn w:val="1"/>
    <w:qFormat/>
    <w:uiPriority w:val="0"/>
    <w:pPr>
      <w:spacing w:line="400" w:lineRule="exact"/>
    </w:pPr>
    <w:rPr>
      <w:sz w:val="24"/>
    </w:rPr>
  </w:style>
  <w:style w:type="paragraph" w:customStyle="1" w:styleId="380">
    <w:name w:val="style23"/>
    <w:basedOn w:val="1"/>
    <w:qFormat/>
    <w:uiPriority w:val="0"/>
    <w:pPr>
      <w:widowControl/>
      <w:spacing w:before="100" w:beforeAutospacing="1" w:after="100" w:afterAutospacing="1"/>
      <w:jc w:val="left"/>
    </w:pPr>
    <w:rPr>
      <w:rFonts w:ascii="宋体" w:hAnsi="宋体" w:cs="宋体"/>
      <w:kern w:val="0"/>
      <w:szCs w:val="21"/>
    </w:rPr>
  </w:style>
  <w:style w:type="paragraph" w:customStyle="1" w:styleId="381">
    <w:name w:val="pa-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2">
    <w:name w:val="目录标题1"/>
    <w:next w:val="1"/>
    <w:qFormat/>
    <w:uiPriority w:val="0"/>
    <w:pPr>
      <w:spacing w:before="120" w:after="100" w:afterAutospacing="1" w:line="600" w:lineRule="exact"/>
      <w:ind w:left="301"/>
      <w:jc w:val="center"/>
    </w:pPr>
    <w:rPr>
      <w:rFonts w:ascii="宋体" w:hAnsi="宋体" w:eastAsia="宋体" w:cs="Times New Roman"/>
      <w:b/>
      <w:sz w:val="36"/>
      <w:szCs w:val="96"/>
      <w:lang w:val="en-US" w:eastAsia="zh-CN" w:bidi="ar-SA"/>
    </w:rPr>
  </w:style>
  <w:style w:type="paragraph" w:customStyle="1" w:styleId="383">
    <w:name w:val="p15"/>
    <w:basedOn w:val="1"/>
    <w:qFormat/>
    <w:uiPriority w:val="0"/>
    <w:pPr>
      <w:widowControl/>
      <w:ind w:firstLine="420"/>
    </w:pPr>
    <w:rPr>
      <w:rFonts w:cs="宋体"/>
      <w:kern w:val="0"/>
      <w:szCs w:val="21"/>
    </w:rPr>
  </w:style>
  <w:style w:type="paragraph" w:customStyle="1" w:styleId="384">
    <w:name w:val="正文格式是是"/>
    <w:basedOn w:val="1"/>
    <w:qFormat/>
    <w:uiPriority w:val="0"/>
    <w:pPr>
      <w:spacing w:line="400" w:lineRule="exact"/>
      <w:ind w:firstLine="480" w:firstLineChars="200"/>
    </w:pPr>
    <w:rPr>
      <w:rFonts w:hAnsi="宋体"/>
      <w:color w:val="000000"/>
      <w:sz w:val="24"/>
    </w:rPr>
  </w:style>
  <w:style w:type="paragraph" w:customStyle="1" w:styleId="385">
    <w:name w:val=" Char Char Char Char Char Char"/>
    <w:basedOn w:val="1"/>
    <w:qFormat/>
    <w:uiPriority w:val="0"/>
    <w:rPr>
      <w:rFonts w:ascii="Tahoma" w:hAnsi="Tahoma"/>
      <w:sz w:val="24"/>
      <w:szCs w:val="20"/>
    </w:rPr>
  </w:style>
  <w:style w:type="paragraph" w:customStyle="1" w:styleId="386">
    <w:name w:val="bodytext_black"/>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387">
    <w:name w:val=" Char Char Char"/>
    <w:basedOn w:val="1"/>
    <w:qFormat/>
    <w:uiPriority w:val="0"/>
    <w:rPr>
      <w:rFonts w:ascii="Times New Roman" w:hAnsi="Times New Roman"/>
    </w:rPr>
  </w:style>
  <w:style w:type="paragraph" w:customStyle="1" w:styleId="388">
    <w:name w:val="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89">
    <w:name w:val="_Style 1"/>
    <w:basedOn w:val="1"/>
    <w:qFormat/>
    <w:uiPriority w:val="0"/>
    <w:pPr>
      <w:ind w:firstLine="420" w:firstLineChars="200"/>
    </w:pPr>
    <w:rPr>
      <w:szCs w:val="22"/>
    </w:rPr>
  </w:style>
  <w:style w:type="table" w:customStyle="1" w:styleId="390">
    <w:name w:val="中等深浅网格 21"/>
    <w:basedOn w:val="82"/>
    <w:qFormat/>
    <w:uiPriority w:val="1"/>
    <w:rPr>
      <w:rFonts w:ascii="Calibri" w:hAnsi="Calibri"/>
      <w:sz w:val="22"/>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cPr>
        <w:shd w:val="clear" w:color="auto" w:fill="E6E6E6"/>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CCCCCC"/>
      </w:tcPr>
    </w:tblStylePr>
    <w:tblStylePr w:type="band1Vert">
      <w:tcPr>
        <w:shd w:val="clear" w:color="auto" w:fill="808080"/>
      </w:tcPr>
    </w:tblStylePr>
    <w:tblStylePr w:type="band1Horz">
      <w:tcPr>
        <w:shd w:val="clear" w:color="auto" w:fill="808080"/>
      </w:tcPr>
    </w:tblStylePr>
    <w:tblStylePr w:type="nwCell">
      <w:tcPr>
        <w:shd w:val="clear" w:color="auto" w:fill="FFFFFF"/>
      </w:tcPr>
    </w:tblStylePr>
  </w:style>
  <w:style w:type="character" w:customStyle="1" w:styleId="391">
    <w:name w:val="first-child"/>
    <w:qFormat/>
    <w:uiPriority w:val="0"/>
    <w:rPr>
      <w:color w:val="1F3149"/>
      <w:sz w:val="24"/>
      <w:szCs w:val="24"/>
      <w:lang w:eastAsia="en-US"/>
    </w:rPr>
  </w:style>
  <w:style w:type="character" w:customStyle="1" w:styleId="392">
    <w:name w:val="first-child1"/>
    <w:qFormat/>
    <w:uiPriority w:val="0"/>
    <w:rPr>
      <w:color w:val="1F3149"/>
      <w:sz w:val="24"/>
      <w:szCs w:val="24"/>
      <w:lang w:eastAsia="en-US"/>
    </w:rPr>
  </w:style>
  <w:style w:type="paragraph" w:customStyle="1" w:styleId="393">
    <w:name w:val="_Style 392"/>
    <w:basedOn w:val="1"/>
    <w:next w:val="1"/>
    <w:qFormat/>
    <w:uiPriority w:val="0"/>
    <w:pPr>
      <w:pBdr>
        <w:bottom w:val="single" w:color="auto" w:sz="6" w:space="1"/>
      </w:pBdr>
      <w:jc w:val="center"/>
    </w:pPr>
    <w:rPr>
      <w:rFonts w:ascii="Arial" w:eastAsia="宋体"/>
      <w:vanish/>
      <w:sz w:val="16"/>
    </w:rPr>
  </w:style>
  <w:style w:type="paragraph" w:customStyle="1" w:styleId="394">
    <w:name w:val="_Style 393"/>
    <w:basedOn w:val="1"/>
    <w:next w:val="1"/>
    <w:qFormat/>
    <w:uiPriority w:val="0"/>
    <w:pPr>
      <w:pBdr>
        <w:top w:val="single" w:color="auto" w:sz="6" w:space="1"/>
      </w:pBdr>
      <w:jc w:val="center"/>
    </w:pPr>
    <w:rPr>
      <w:rFonts w:ascii="Arial" w:eastAsia="宋体"/>
      <w:vanish/>
      <w:sz w:val="16"/>
    </w:rPr>
  </w:style>
  <w:style w:type="character" w:customStyle="1" w:styleId="395">
    <w:name w:val="first-child2"/>
    <w:qFormat/>
    <w:uiPriority w:val="0"/>
    <w:rPr>
      <w:color w:val="1F3149"/>
      <w:sz w:val="24"/>
      <w:szCs w:val="24"/>
      <w:lang w:eastAsia="en-US"/>
    </w:rPr>
  </w:style>
  <w:style w:type="paragraph" w:customStyle="1" w:styleId="396">
    <w:name w:val="彩色列表 - 强调文字颜色 11"/>
    <w:basedOn w:val="1"/>
    <w:qFormat/>
    <w:uiPriority w:val="34"/>
    <w:pPr>
      <w:ind w:firstLine="420" w:firstLineChars="200"/>
    </w:pPr>
  </w:style>
  <w:style w:type="paragraph" w:customStyle="1" w:styleId="397">
    <w:name w:val="!正文"/>
    <w:qFormat/>
    <w:uiPriority w:val="0"/>
    <w:pPr>
      <w:spacing w:line="360" w:lineRule="auto"/>
      <w:ind w:left="480" w:firstLine="360"/>
    </w:pPr>
    <w:rPr>
      <w:rFonts w:ascii="Times New Roman" w:hAnsi="Times New Roman" w:eastAsia="宋体" w:cs="Times New Roman"/>
      <w:sz w:val="24"/>
      <w:lang w:val="en-US" w:eastAsia="zh-CN" w:bidi="ar-SA"/>
    </w:rPr>
  </w:style>
  <w:style w:type="paragraph" w:customStyle="1" w:styleId="398">
    <w:name w:val="Table Text"/>
    <w:basedOn w:val="1"/>
    <w:semiHidden/>
    <w:qFormat/>
    <w:uiPriority w:val="0"/>
    <w:rPr>
      <w:rFonts w:ascii="仿宋" w:hAnsi="仿宋" w:eastAsia="仿宋" w:cs="仿宋"/>
      <w:sz w:val="20"/>
      <w:szCs w:val="20"/>
    </w:rPr>
  </w:style>
  <w:style w:type="table" w:customStyle="1" w:styleId="399">
    <w:name w:val="Table Normal"/>
    <w:unhideWhenUsed/>
    <w:qFormat/>
    <w:uiPriority w:val="0"/>
    <w:tblPr>
      <w:tblCellMar>
        <w:top w:w="0" w:type="dxa"/>
        <w:left w:w="0" w:type="dxa"/>
        <w:bottom w:w="0" w:type="dxa"/>
        <w:right w:w="0" w:type="dxa"/>
      </w:tblCellMar>
    </w:tblPr>
  </w:style>
  <w:style w:type="paragraph" w:customStyle="1" w:styleId="400">
    <w:name w:val="Heading6"/>
    <w:basedOn w:val="1"/>
    <w:next w:val="1"/>
    <w:qFormat/>
    <w:uiPriority w:val="0"/>
    <w:pPr>
      <w:ind w:left="1803" w:hanging="481"/>
      <w:jc w:val="both"/>
      <w:textAlignment w:val="baseline"/>
    </w:pPr>
    <w:rPr>
      <w:rFonts w:ascii="Times New Roman" w:hAnsi="Times New Roman" w:eastAsia="宋体" w:cs="Times New Roman"/>
      <w:b/>
      <w:bCs/>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118</Pages>
  <Words>4123</Words>
  <Characters>4714</Characters>
  <Lines>347</Lines>
  <Paragraphs>97</Paragraphs>
  <TotalTime>106</TotalTime>
  <ScaleCrop>false</ScaleCrop>
  <LinksUpToDate>false</LinksUpToDate>
  <CharactersWithSpaces>4812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2018-11-23T03:23:00Z</dcterms:created>
  <dc:creator>Administrator</dc:creator>
  <cp:lastModifiedBy>月影无踪</cp:lastModifiedBy>
  <cp:lastPrinted>2025-06-17T08:39:00Z</cp:lastPrinted>
  <dcterms:modified xsi:type="dcterms:W3CDTF">2025-07-23T03:45:08Z</dcterms:modified>
  <dc:title>招标单位评标代表授权委托书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A58B96D8BD4C4A92925F5142B17B7385_13</vt:lpwstr>
  </property>
  <property fmtid="{D5CDD505-2E9C-101B-9397-08002B2CF9AE}" pid="4" name="KSOTemplateDocerSaveRecord">
    <vt:lpwstr>eyJoZGlkIjoiM2YzNGZmZDkzNzYyNDI4OWI5MzNhYTNmYWE2NmUwNDMiLCJ1c2VySWQiOiI1Mjg0MzI3MjYifQ==</vt:lpwstr>
  </property>
</Properties>
</file>