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AAEE5">
      <w:pPr>
        <w:keepNext w:val="0"/>
        <w:keepLines w:val="0"/>
        <w:pageBreakBefore w:val="0"/>
        <w:widowControl/>
        <w:kinsoku/>
        <w:wordWrap/>
        <w:overflowPunct/>
        <w:topLinePunct w:val="0"/>
        <w:autoSpaceDE/>
        <w:autoSpaceDN/>
        <w:bidi w:val="0"/>
        <w:adjustRightInd/>
        <w:snapToGrid w:val="0"/>
        <w:spacing w:after="157" w:afterLines="50" w:line="480" w:lineRule="atLeast"/>
        <w:jc w:val="center"/>
        <w:textAlignment w:val="auto"/>
        <w:rPr>
          <w:rFonts w:hint="eastAsia" w:ascii="宋体" w:hAnsi="宋体" w:eastAsia="宋体" w:cs="宋体"/>
          <w:b/>
          <w:color w:val="000000"/>
          <w:kern w:val="0"/>
          <w:sz w:val="28"/>
          <w:szCs w:val="28"/>
          <w:shd w:val="clear" w:color="auto" w:fill="FFFFFF"/>
          <w:lang w:val="en-US" w:eastAsia="zh-CN" w:bidi="ar"/>
        </w:rPr>
      </w:pPr>
      <w:r>
        <w:rPr>
          <w:rFonts w:hint="eastAsia" w:ascii="宋体" w:hAnsi="宋体" w:eastAsia="宋体" w:cs="宋体"/>
          <w:b/>
          <w:color w:val="000000"/>
          <w:kern w:val="0"/>
          <w:sz w:val="28"/>
          <w:szCs w:val="28"/>
          <w:shd w:val="clear" w:color="auto" w:fill="FFFFFF"/>
          <w:lang w:val="en-US" w:eastAsia="zh-CN" w:bidi="ar"/>
        </w:rPr>
        <w:t>附件三、中标候选人响应招标文件要求的资格能力条件</w:t>
      </w:r>
    </w:p>
    <w:p w14:paraId="19F3C53E">
      <w:pP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7.1招标文件要求的资格能力条件</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55"/>
        <w:gridCol w:w="5543"/>
      </w:tblGrid>
      <w:tr w14:paraId="5BEC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0" w:type="dxa"/>
            <w:vAlign w:val="center"/>
          </w:tcPr>
          <w:p w14:paraId="53BD089E">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序号</w:t>
            </w:r>
          </w:p>
        </w:tc>
        <w:tc>
          <w:tcPr>
            <w:tcW w:w="2355" w:type="dxa"/>
            <w:vAlign w:val="center"/>
          </w:tcPr>
          <w:p w14:paraId="709C71F1">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项目编号</w:t>
            </w:r>
          </w:p>
        </w:tc>
        <w:tc>
          <w:tcPr>
            <w:tcW w:w="5543" w:type="dxa"/>
            <w:vAlign w:val="center"/>
          </w:tcPr>
          <w:p w14:paraId="384B67CE">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资格能力条件</w:t>
            </w:r>
          </w:p>
        </w:tc>
      </w:tr>
      <w:tr w14:paraId="2453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5" w:hRule="exact"/>
        </w:trPr>
        <w:tc>
          <w:tcPr>
            <w:tcW w:w="720" w:type="dxa"/>
            <w:vAlign w:val="center"/>
          </w:tcPr>
          <w:p w14:paraId="3C3E4E07">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1</w:t>
            </w:r>
          </w:p>
        </w:tc>
        <w:tc>
          <w:tcPr>
            <w:tcW w:w="2355" w:type="dxa"/>
            <w:vAlign w:val="center"/>
          </w:tcPr>
          <w:p w14:paraId="0CB6660D">
            <w:pPr>
              <w:jc w:val="left"/>
              <w:rPr>
                <w:rFonts w:hint="eastAsia"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rPr>
              <w:t>鲁采招标-2024-76</w:t>
            </w:r>
          </w:p>
        </w:tc>
        <w:tc>
          <w:tcPr>
            <w:tcW w:w="5543" w:type="dxa"/>
            <w:vAlign w:val="center"/>
          </w:tcPr>
          <w:p w14:paraId="253E934C">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1、满足《中华人民共和国政府采购法》第二十二条规定；</w:t>
            </w:r>
          </w:p>
          <w:p w14:paraId="6E374CB6">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2、落实政府采购政策满足的资格要求：本项目专门面向中小企业招标，供应商应为中小微企业或监狱企业或残疾人福利性单位。提供以下对应材料之一：1)若为中小微型企业需提供《中小企业声明函》（格式见招标文件）；2)若为监狱企业需提供省级以上监狱管理局、戒毒管理局（含新疆生产建设兵团）出具的属于监狱企业的证明文件；3)若为残疾人福利性单位需提供《残疾人福利性单位声明函》；</w:t>
            </w:r>
          </w:p>
          <w:p w14:paraId="11CEE42C">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3、本项目的特定资格要求</w:t>
            </w:r>
          </w:p>
          <w:p w14:paraId="3C9B634B">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3.1投标人</w:t>
            </w:r>
            <w:r>
              <w:rPr>
                <w:rFonts w:hint="eastAsia" w:asciiTheme="minorEastAsia" w:hAnsiTheme="minorEastAsia" w:cstheme="minorEastAsia"/>
                <w:sz w:val="24"/>
                <w:szCs w:val="32"/>
                <w:vertAlign w:val="baseline"/>
                <w:lang w:val="zh-CN" w:eastAsia="zh-CN"/>
              </w:rPr>
              <w:t>具有独立法人资格，具有有效的营业执照。</w:t>
            </w:r>
          </w:p>
          <w:p w14:paraId="38B0C808">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3.2投标人提供供应商信用承诺函（投标人无需提供证明材料，只需在投标文件中提供鲁山县政府采购供应商信用承诺函，详见投标文件格式）：（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未被列入失信被执行人、重大税收违法失信主体、政府采购严重违法失信行为记录名单的证明材料。</w:t>
            </w:r>
          </w:p>
          <w:p w14:paraId="33AA8D0F">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注：招标人有权在签订合同前要求中标供应商提供相关证明材料以核实中标供应商承诺事项的真实性。</w:t>
            </w:r>
          </w:p>
          <w:p w14:paraId="2ED9907C">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3.3投标人须具有建设行政主管部门颁发的建筑工程施工总承包叁级或以上资质,并具有有效期内的安全生产许可证；</w:t>
            </w:r>
          </w:p>
          <w:p w14:paraId="68F34B6A">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3.4投标人拟派项目经理须具备相关专业贰级及以上注册建造师资格，具有有效的安全生产考核合格证书，且无在建工程（提供项目经理无在建工程承诺书，并加盖投标人公章由法定代表人和项目经理签字确认）。</w:t>
            </w:r>
          </w:p>
          <w:p w14:paraId="3F6B62D1">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 xml:space="preserve">3.5投标人拟派技术负责人须具有人民政府或行业主管部门颁发的相关专业中级及以上技术职称。 </w:t>
            </w:r>
          </w:p>
          <w:p w14:paraId="5B78F2F1">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3.6投标人参与本项目建设的专职安全管理人员应具有主管部门颁发的安全生产考核合格证。</w:t>
            </w:r>
          </w:p>
          <w:p w14:paraId="5F4D0A68">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3.7投标人拟派本项目的项目经理、技术负责人、专职安全管理人员和委托代理人须为本单位的正式员工（提供人员劳动合同及投标人在社保部门为其缴纳的2024年3月以来任意连续三个月的养老保险证明）。</w:t>
            </w:r>
          </w:p>
          <w:p w14:paraId="0309D7AC">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3.8信誉要求：投标人须提供“中国执行信息公开网”网站的“失信被执行人”、“信用中国”网站的“税收违法黑名单”、“中国政府采购网”网站的“政府采购严重违法失信行为信息记录”查询结果页面截图，投标人应在招标公告发布日期后对本单位信用信息进行查询，并将查询网页附于投标文件中，若未按要求提供或有不良记录，资格审查不予通过（执行财库【2016】125号文）。投标截止时间前，招标人有权随时网上查询以上信用信息，有不良记录的，拒绝其投标</w:t>
            </w:r>
          </w:p>
          <w:p w14:paraId="6EF0F3DD">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注：1、本次招标采用资格后审；</w:t>
            </w:r>
          </w:p>
          <w:p w14:paraId="224E92D1">
            <w:pPr>
              <w:jc w:val="left"/>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2、投标人所提供资料必须真实有效并提供资料真实有效承诺书，招标人保留查询及考察的权利，一旦发现弄虚作假行为，取消其投标资格。</w:t>
            </w:r>
          </w:p>
          <w:p w14:paraId="49DE99F0">
            <w:pPr>
              <w:jc w:val="left"/>
              <w:rPr>
                <w:rFonts w:hint="eastAsia" w:asciiTheme="minorEastAsia" w:hAnsiTheme="minorEastAsia" w:cstheme="minorEastAsia"/>
                <w:sz w:val="24"/>
                <w:szCs w:val="32"/>
                <w:vertAlign w:val="baseline"/>
                <w:lang w:val="en-US" w:eastAsia="zh-CN"/>
              </w:rPr>
            </w:pPr>
          </w:p>
        </w:tc>
      </w:tr>
    </w:tbl>
    <w:p w14:paraId="4C3A3EA7">
      <w:pPr>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7.2中标候选人响应招标文件要求的资格能力条件情况</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25"/>
        <w:gridCol w:w="3900"/>
        <w:gridCol w:w="1658"/>
      </w:tblGrid>
      <w:tr w14:paraId="6318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478D7D33">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序号</w:t>
            </w:r>
          </w:p>
        </w:tc>
        <w:tc>
          <w:tcPr>
            <w:tcW w:w="2325" w:type="dxa"/>
            <w:vAlign w:val="center"/>
          </w:tcPr>
          <w:p w14:paraId="5B94E237">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项目编号</w:t>
            </w:r>
          </w:p>
        </w:tc>
        <w:tc>
          <w:tcPr>
            <w:tcW w:w="3900" w:type="dxa"/>
            <w:vAlign w:val="center"/>
          </w:tcPr>
          <w:p w14:paraId="7D548174">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单位名称</w:t>
            </w:r>
          </w:p>
        </w:tc>
        <w:tc>
          <w:tcPr>
            <w:tcW w:w="1658" w:type="dxa"/>
            <w:vAlign w:val="center"/>
          </w:tcPr>
          <w:p w14:paraId="2A5AB02B">
            <w:pPr>
              <w:jc w:val="center"/>
              <w:rPr>
                <w:rFonts w:hint="default" w:asciiTheme="minorEastAsia" w:hAnsiTheme="minorEastAsia" w:cstheme="minorEastAsia"/>
                <w:sz w:val="24"/>
                <w:szCs w:val="32"/>
                <w:vertAlign w:val="baseline"/>
                <w:lang w:val="en-US" w:eastAsia="zh-CN"/>
              </w:rPr>
            </w:pPr>
            <w:r>
              <w:rPr>
                <w:rFonts w:hint="default" w:asciiTheme="minorEastAsia" w:hAnsiTheme="minorEastAsia" w:cstheme="minorEastAsia"/>
                <w:sz w:val="24"/>
                <w:szCs w:val="32"/>
                <w:vertAlign w:val="baseline"/>
                <w:lang w:val="en-US" w:eastAsia="zh-CN"/>
              </w:rPr>
              <w:t>资格能力条件</w:t>
            </w:r>
          </w:p>
        </w:tc>
      </w:tr>
      <w:tr w14:paraId="296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47B7F55F">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1</w:t>
            </w:r>
          </w:p>
        </w:tc>
        <w:tc>
          <w:tcPr>
            <w:tcW w:w="2325" w:type="dxa"/>
            <w:vAlign w:val="center"/>
          </w:tcPr>
          <w:p w14:paraId="454B3B32">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rPr>
              <w:t>鲁采招标-2024-76</w:t>
            </w:r>
          </w:p>
        </w:tc>
        <w:tc>
          <w:tcPr>
            <w:tcW w:w="3900" w:type="dxa"/>
            <w:vAlign w:val="center"/>
          </w:tcPr>
          <w:p w14:paraId="263DF81F">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lang w:val="zh-CN" w:eastAsia="zh-CN"/>
              </w:rPr>
              <w:t>河南广德育铭建设工程有限公司</w:t>
            </w:r>
          </w:p>
        </w:tc>
        <w:tc>
          <w:tcPr>
            <w:tcW w:w="1658" w:type="dxa"/>
            <w:vAlign w:val="center"/>
          </w:tcPr>
          <w:p w14:paraId="1CFEE672">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r w14:paraId="703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77D832B7">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2</w:t>
            </w:r>
          </w:p>
        </w:tc>
        <w:tc>
          <w:tcPr>
            <w:tcW w:w="2325" w:type="dxa"/>
            <w:vAlign w:val="center"/>
          </w:tcPr>
          <w:p w14:paraId="2E8C8B5B">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rPr>
              <w:t>鲁采招标-2024-76</w:t>
            </w:r>
          </w:p>
        </w:tc>
        <w:tc>
          <w:tcPr>
            <w:tcW w:w="3900" w:type="dxa"/>
            <w:vAlign w:val="center"/>
          </w:tcPr>
          <w:p w14:paraId="5951E985">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lang w:val="zh-CN" w:eastAsia="zh-CN"/>
              </w:rPr>
              <w:t>河南凯荣建设工程有限公司</w:t>
            </w:r>
          </w:p>
        </w:tc>
        <w:tc>
          <w:tcPr>
            <w:tcW w:w="1658" w:type="dxa"/>
            <w:vAlign w:val="center"/>
          </w:tcPr>
          <w:p w14:paraId="0A46D1F4">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r w14:paraId="39BE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20FD9906">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w:t>
            </w:r>
          </w:p>
        </w:tc>
        <w:tc>
          <w:tcPr>
            <w:tcW w:w="2325" w:type="dxa"/>
            <w:vAlign w:val="center"/>
          </w:tcPr>
          <w:p w14:paraId="39F57CF6">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rPr>
              <w:t>鲁采招标-2024-76</w:t>
            </w:r>
          </w:p>
        </w:tc>
        <w:tc>
          <w:tcPr>
            <w:tcW w:w="3900" w:type="dxa"/>
            <w:vAlign w:val="center"/>
          </w:tcPr>
          <w:p w14:paraId="7E417E20">
            <w:pPr>
              <w:jc w:val="center"/>
              <w:rPr>
                <w:rFonts w:hint="default" w:asciiTheme="minorEastAsia" w:hAnsiTheme="minorEastAsia" w:cstheme="minorEastAsia"/>
                <w:sz w:val="24"/>
                <w:szCs w:val="32"/>
                <w:vertAlign w:val="baseline"/>
                <w:lang w:val="en-US" w:eastAsia="zh-CN"/>
              </w:rPr>
            </w:pPr>
            <w:r>
              <w:rPr>
                <w:rFonts w:hint="eastAsia" w:ascii="宋体" w:hAnsi="宋体" w:eastAsia="宋体" w:cs="宋体"/>
                <w:color w:val="000000"/>
                <w:sz w:val="24"/>
                <w:szCs w:val="24"/>
                <w:lang w:val="zh-CN" w:eastAsia="zh-CN"/>
              </w:rPr>
              <w:t>河南驰立建筑工程有限公司</w:t>
            </w:r>
            <w:bookmarkStart w:id="0" w:name="_GoBack"/>
            <w:bookmarkEnd w:id="0"/>
          </w:p>
        </w:tc>
        <w:tc>
          <w:tcPr>
            <w:tcW w:w="1658" w:type="dxa"/>
            <w:vAlign w:val="center"/>
          </w:tcPr>
          <w:p w14:paraId="72C0BBF8">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bl>
    <w:p w14:paraId="2D6D406F">
      <w:pPr>
        <w:rPr>
          <w:rFonts w:hint="default" w:asciiTheme="minorEastAsia" w:hAnsiTheme="minorEastAsia" w:cstheme="minor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mEzYjliMmU1Y2NmZDAyZjc0OTk1NDM3Mjc0YjYifQ=="/>
  </w:docVars>
  <w:rsids>
    <w:rsidRoot w:val="00000000"/>
    <w:rsid w:val="1F30765A"/>
    <w:rsid w:val="211F7986"/>
    <w:rsid w:val="36AE2918"/>
    <w:rsid w:val="3F8778D8"/>
    <w:rsid w:val="41562AF9"/>
    <w:rsid w:val="440E76BA"/>
    <w:rsid w:val="4AAA4E4F"/>
    <w:rsid w:val="54001829"/>
    <w:rsid w:val="61A82188"/>
    <w:rsid w:val="624F1172"/>
    <w:rsid w:val="632223E3"/>
    <w:rsid w:val="6C353187"/>
    <w:rsid w:val="70730131"/>
    <w:rsid w:val="70D404DA"/>
    <w:rsid w:val="7D48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Body Text Indent 2"/>
    <w:basedOn w:val="1"/>
    <w:qFormat/>
    <w:uiPriority w:val="0"/>
    <w:pPr>
      <w:spacing w:after="120" w:line="480" w:lineRule="auto"/>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none"/>
    </w:rPr>
  </w:style>
  <w:style w:type="character" w:styleId="8">
    <w:name w:val="HTML Definition"/>
    <w:basedOn w:val="6"/>
    <w:qFormat/>
    <w:uiPriority w:val="0"/>
  </w:style>
  <w:style w:type="character" w:styleId="9">
    <w:name w:val="HTML Typewriter"/>
    <w:basedOn w:val="6"/>
    <w:qFormat/>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hint="default" w:ascii="monospace" w:hAnsi="monospace" w:eastAsia="monospace" w:cs="monospace"/>
      <w:sz w:val="20"/>
    </w:rPr>
  </w:style>
  <w:style w:type="character" w:styleId="16">
    <w:name w:val="HTML Sample"/>
    <w:basedOn w:val="6"/>
    <w:qFormat/>
    <w:uiPriority w:val="0"/>
    <w:rPr>
      <w:rFonts w:ascii="monospace" w:hAnsi="monospace" w:eastAsia="monospace" w:cs="monospace"/>
    </w:rPr>
  </w:style>
  <w:style w:type="character" w:customStyle="1" w:styleId="17">
    <w:name w:val="first-child"/>
    <w:basedOn w:val="6"/>
    <w:qFormat/>
    <w:uiPriority w:val="0"/>
  </w:style>
  <w:style w:type="character" w:customStyle="1" w:styleId="18">
    <w:name w:val="layui-layer-tabnow"/>
    <w:basedOn w:val="6"/>
    <w:qFormat/>
    <w:uiPriority w:val="0"/>
    <w:rPr>
      <w:bdr w:val="single" w:color="CCCCCC" w:sz="6" w:space="0"/>
      <w:shd w:val="clear" w:fill="FFFFFF"/>
    </w:rPr>
  </w:style>
  <w:style w:type="character" w:customStyle="1" w:styleId="19">
    <w:name w:val="nth-child(3)"/>
    <w:basedOn w:val="6"/>
    <w:qFormat/>
    <w:uiPriority w:val="0"/>
  </w:style>
  <w:style w:type="character" w:customStyle="1" w:styleId="20">
    <w:name w:val="nth-child(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707</Characters>
  <Lines>0</Lines>
  <Paragraphs>0</Paragraphs>
  <TotalTime>0</TotalTime>
  <ScaleCrop>false</ScaleCrop>
  <LinksUpToDate>false</LinksUpToDate>
  <CharactersWithSpaces>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Mr.wang</cp:lastModifiedBy>
  <dcterms:modified xsi:type="dcterms:W3CDTF">2024-10-23T07:46:47Z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06591C6AC6F94488884FD95159A0D844_13</vt:lpwstr>
  </property>
</Properties>
</file>