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D076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kern w:val="0"/>
          <w:sz w:val="56"/>
          <w:szCs w:val="56"/>
          <w:highlight w:val="none"/>
          <w:lang w:eastAsia="zh-CN"/>
        </w:rPr>
      </w:pPr>
      <w:bookmarkStart w:id="111" w:name="_GoBack"/>
      <w:bookmarkEnd w:id="111"/>
    </w:p>
    <w:p w14:paraId="32C0C7E1">
      <w:pPr>
        <w:pStyle w:val="11"/>
        <w:keepNext w:val="0"/>
        <w:keepLines w:val="0"/>
        <w:pageBreakBefore w:val="0"/>
        <w:widowControl/>
        <w:kinsoku w:val="0"/>
        <w:wordWrap/>
        <w:bidi w:val="0"/>
        <w:adjustRightInd w:val="0"/>
        <w:snapToGrid w:val="0"/>
        <w:spacing w:after="0" w:line="360" w:lineRule="auto"/>
        <w:ind w:left="0" w:leftChars="0" w:right="0" w:rightChars="0"/>
        <w:jc w:val="center"/>
        <w:outlineLvl w:val="0"/>
        <w:rPr>
          <w:rFonts w:hint="eastAsia" w:ascii="宋体" w:hAnsi="宋体" w:cs="宋体"/>
          <w:b/>
          <w:color w:val="auto"/>
          <w:kern w:val="0"/>
          <w:sz w:val="48"/>
          <w:szCs w:val="48"/>
          <w:highlight w:val="none"/>
          <w:lang w:eastAsia="zh-CN"/>
        </w:rPr>
      </w:pPr>
      <w:r>
        <w:rPr>
          <w:rFonts w:hint="eastAsia" w:ascii="宋体" w:hAnsi="宋体" w:cs="宋体"/>
          <w:b/>
          <w:color w:val="auto"/>
          <w:kern w:val="0"/>
          <w:sz w:val="48"/>
          <w:szCs w:val="48"/>
          <w:highlight w:val="none"/>
          <w:lang w:eastAsia="zh-CN"/>
        </w:rPr>
        <w:t>灵宝市2025年中央财政农业防灾减灾</w:t>
      </w:r>
    </w:p>
    <w:p w14:paraId="735C439C">
      <w:pPr>
        <w:pStyle w:val="11"/>
        <w:keepNext w:val="0"/>
        <w:keepLines w:val="0"/>
        <w:pageBreakBefore w:val="0"/>
        <w:widowControl/>
        <w:kinsoku w:val="0"/>
        <w:wordWrap/>
        <w:bidi w:val="0"/>
        <w:adjustRightInd w:val="0"/>
        <w:snapToGrid w:val="0"/>
        <w:spacing w:after="0" w:line="360" w:lineRule="auto"/>
        <w:ind w:left="0" w:leftChars="0" w:right="0" w:rightChars="0"/>
        <w:jc w:val="center"/>
        <w:outlineLvl w:val="0"/>
        <w:rPr>
          <w:color w:val="auto"/>
          <w:sz w:val="21"/>
          <w:szCs w:val="16"/>
          <w:highlight w:val="none"/>
        </w:rPr>
      </w:pPr>
      <w:r>
        <w:rPr>
          <w:rFonts w:hint="eastAsia" w:ascii="宋体" w:hAnsi="宋体" w:cs="宋体"/>
          <w:b/>
          <w:color w:val="auto"/>
          <w:kern w:val="0"/>
          <w:sz w:val="48"/>
          <w:szCs w:val="48"/>
          <w:highlight w:val="none"/>
          <w:lang w:eastAsia="zh-CN"/>
        </w:rPr>
        <w:t>（一喷多促）补助资金项目</w:t>
      </w:r>
    </w:p>
    <w:p w14:paraId="51E237C4">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eastAsia" w:ascii="宋体" w:hAnsi="宋体" w:cs="宋体"/>
          <w:b/>
          <w:color w:val="auto"/>
          <w:spacing w:val="20"/>
          <w:kern w:val="0"/>
          <w:sz w:val="60"/>
          <w:szCs w:val="60"/>
          <w:highlight w:val="none"/>
        </w:rPr>
      </w:pPr>
      <w:bookmarkStart w:id="0" w:name="_Toc11779"/>
    </w:p>
    <w:p w14:paraId="74FC9DCD">
      <w:pPr>
        <w:keepNext w:val="0"/>
        <w:keepLines w:val="0"/>
        <w:pageBreakBefore w:val="0"/>
        <w:widowControl/>
        <w:kinsoku w:val="0"/>
        <w:wordWrap/>
        <w:bidi w:val="0"/>
        <w:adjustRightInd w:val="0"/>
        <w:snapToGrid w:val="0"/>
        <w:spacing w:line="360" w:lineRule="auto"/>
        <w:ind w:left="0" w:leftChars="0" w:right="0" w:rightChars="0"/>
        <w:jc w:val="center"/>
        <w:outlineLvl w:val="0"/>
        <w:rPr>
          <w:rFonts w:ascii="宋体" w:hAnsi="宋体" w:cs="宋体"/>
          <w:b/>
          <w:color w:val="auto"/>
          <w:spacing w:val="20"/>
          <w:sz w:val="60"/>
          <w:szCs w:val="60"/>
          <w:highlight w:val="none"/>
        </w:rPr>
      </w:pPr>
      <w:bookmarkStart w:id="1" w:name="_Toc22180"/>
      <w:r>
        <w:rPr>
          <w:rFonts w:hint="eastAsia" w:ascii="宋体" w:hAnsi="宋体" w:cs="宋体"/>
          <w:b/>
          <w:color w:val="auto"/>
          <w:spacing w:val="20"/>
          <w:kern w:val="0"/>
          <w:sz w:val="60"/>
          <w:szCs w:val="60"/>
          <w:highlight w:val="none"/>
        </w:rPr>
        <w:t>竞争性磋商文件</w:t>
      </w:r>
      <w:bookmarkEnd w:id="0"/>
      <w:bookmarkEnd w:id="1"/>
    </w:p>
    <w:p w14:paraId="66A64DB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spacing w:val="20"/>
          <w:kern w:val="0"/>
          <w:sz w:val="28"/>
          <w:szCs w:val="28"/>
          <w:highlight w:val="none"/>
          <w:lang w:val="en-US" w:eastAsia="zh-CN"/>
        </w:rPr>
      </w:pPr>
      <w:r>
        <w:rPr>
          <w:rFonts w:hint="eastAsia" w:ascii="宋体" w:hAnsi="宋体" w:cs="宋体"/>
          <w:b/>
          <w:color w:val="auto"/>
          <w:spacing w:val="20"/>
          <w:kern w:val="0"/>
          <w:sz w:val="28"/>
          <w:szCs w:val="28"/>
          <w:highlight w:val="none"/>
        </w:rPr>
        <w:t>项目编号：灵宝竞磋采购-2025-133</w:t>
      </w:r>
      <w:r>
        <w:rPr>
          <w:rFonts w:hint="eastAsia" w:ascii="宋体" w:hAnsi="宋体" w:cs="宋体"/>
          <w:b/>
          <w:color w:val="auto"/>
          <w:spacing w:val="20"/>
          <w:kern w:val="0"/>
          <w:sz w:val="28"/>
          <w:szCs w:val="28"/>
          <w:highlight w:val="none"/>
          <w:lang w:eastAsia="zh-CN"/>
        </w:rPr>
        <w:t>、LBGZ[2025]240-ZC181</w:t>
      </w:r>
    </w:p>
    <w:p w14:paraId="7BAA9949">
      <w:pPr>
        <w:keepNext w:val="0"/>
        <w:keepLines w:val="0"/>
        <w:pageBreakBefore w:val="0"/>
        <w:widowControl/>
        <w:kinsoku w:val="0"/>
        <w:wordWrap/>
        <w:bidi w:val="0"/>
        <w:adjustRightInd w:val="0"/>
        <w:snapToGrid w:val="0"/>
        <w:spacing w:line="360" w:lineRule="auto"/>
        <w:ind w:left="0" w:leftChars="0" w:right="0" w:rightChars="0"/>
        <w:jc w:val="center"/>
        <w:rPr>
          <w:rFonts w:hint="default" w:ascii="宋体" w:hAnsi="宋体" w:cs="宋体"/>
          <w:b/>
          <w:color w:val="auto"/>
          <w:spacing w:val="20"/>
          <w:kern w:val="0"/>
          <w:sz w:val="28"/>
          <w:szCs w:val="28"/>
          <w:highlight w:val="none"/>
          <w:lang w:val="en-US" w:eastAsia="zh-CN"/>
        </w:rPr>
      </w:pPr>
      <w:r>
        <w:rPr>
          <w:rFonts w:hint="eastAsia" w:ascii="宋体" w:hAnsi="宋体" w:eastAsia="宋体" w:cs="宋体"/>
          <w:b/>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1635760</wp:posOffset>
            </wp:positionH>
            <wp:positionV relativeFrom="paragraph">
              <wp:posOffset>207645</wp:posOffset>
            </wp:positionV>
            <wp:extent cx="2474595" cy="2468880"/>
            <wp:effectExtent l="0" t="0" r="1905" b="7620"/>
            <wp:wrapNone/>
            <wp:docPr id="13" name="图片 13" descr="94071e0c0f5fa67400142b89049ff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4071e0c0f5fa67400142b89049ff54"/>
                    <pic:cNvPicPr>
                      <a:picLocks noChangeAspect="1"/>
                    </pic:cNvPicPr>
                  </pic:nvPicPr>
                  <pic:blipFill>
                    <a:blip r:embed="rId8"/>
                    <a:stretch>
                      <a:fillRect/>
                    </a:stretch>
                  </pic:blipFill>
                  <pic:spPr>
                    <a:xfrm>
                      <a:off x="0" y="0"/>
                      <a:ext cx="2474595" cy="2468880"/>
                    </a:xfrm>
                    <a:prstGeom prst="rect">
                      <a:avLst/>
                    </a:prstGeom>
                  </pic:spPr>
                </pic:pic>
              </a:graphicData>
            </a:graphic>
          </wp:anchor>
        </w:drawing>
      </w:r>
    </w:p>
    <w:p w14:paraId="35F5BD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bidi w:val="0"/>
        <w:adjustRightInd w:val="0"/>
        <w:snapToGrid w:val="0"/>
        <w:spacing w:beforeAutospacing="0" w:afterAutospacing="0" w:line="360" w:lineRule="auto"/>
        <w:ind w:left="0" w:leftChars="0" w:right="0" w:rightChars="0"/>
        <w:jc w:val="center"/>
        <w:rPr>
          <w:rFonts w:hint="eastAsia" w:ascii="宋体" w:hAnsi="宋体" w:cs="宋体"/>
          <w:b/>
          <w:color w:val="auto"/>
          <w:spacing w:val="20"/>
          <w:kern w:val="0"/>
          <w:sz w:val="32"/>
          <w:szCs w:val="32"/>
          <w:highlight w:val="none"/>
          <w:lang w:eastAsia="zh-CN"/>
        </w:rPr>
      </w:pPr>
    </w:p>
    <w:p w14:paraId="60C0FB2C">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b/>
          <w:color w:val="auto"/>
          <w:kern w:val="0"/>
          <w:sz w:val="36"/>
          <w:szCs w:val="36"/>
          <w:highlight w:val="none"/>
        </w:rPr>
      </w:pPr>
    </w:p>
    <w:p w14:paraId="36E135EE">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b/>
          <w:color w:val="auto"/>
          <w:kern w:val="0"/>
          <w:sz w:val="36"/>
          <w:szCs w:val="36"/>
          <w:highlight w:val="none"/>
        </w:rPr>
      </w:pPr>
    </w:p>
    <w:p w14:paraId="449B189D">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b/>
          <w:color w:val="auto"/>
          <w:kern w:val="0"/>
          <w:sz w:val="36"/>
          <w:szCs w:val="36"/>
          <w:highlight w:val="none"/>
        </w:rPr>
      </w:pPr>
    </w:p>
    <w:p w14:paraId="19DDCB62">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b/>
          <w:color w:val="auto"/>
          <w:kern w:val="0"/>
          <w:sz w:val="36"/>
          <w:szCs w:val="36"/>
          <w:highlight w:val="none"/>
        </w:rPr>
      </w:pPr>
    </w:p>
    <w:p w14:paraId="1B2D6410">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b/>
          <w:color w:val="auto"/>
          <w:kern w:val="0"/>
          <w:sz w:val="36"/>
          <w:szCs w:val="36"/>
          <w:highlight w:val="none"/>
        </w:rPr>
      </w:pPr>
    </w:p>
    <w:p w14:paraId="5CF4BBFF">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kern w:val="0"/>
          <w:sz w:val="36"/>
          <w:szCs w:val="36"/>
          <w:highlight w:val="none"/>
          <w:lang w:val="en-US" w:eastAsia="zh-CN"/>
        </w:rPr>
      </w:pPr>
    </w:p>
    <w:p w14:paraId="33256E3E">
      <w:pPr>
        <w:keepNext w:val="0"/>
        <w:keepLines w:val="0"/>
        <w:pageBreakBefore w:val="0"/>
        <w:widowControl/>
        <w:kinsoku w:val="0"/>
        <w:wordWrap/>
        <w:bidi w:val="0"/>
        <w:adjustRightInd w:val="0"/>
        <w:snapToGrid w:val="0"/>
        <w:spacing w:line="480" w:lineRule="auto"/>
        <w:ind w:left="0" w:leftChars="0" w:right="0" w:rightChars="0" w:firstLine="2249" w:firstLineChars="700"/>
        <w:jc w:val="left"/>
        <w:outlineLvl w:val="0"/>
        <w:rPr>
          <w:rFonts w:ascii="宋体" w:hAnsi="宋体" w:cs="宋体"/>
          <w:b/>
          <w:color w:val="auto"/>
          <w:sz w:val="32"/>
          <w:szCs w:val="32"/>
          <w:highlight w:val="none"/>
        </w:rPr>
      </w:pPr>
      <w:bookmarkStart w:id="2" w:name="_Toc19099"/>
      <w:bookmarkStart w:id="3" w:name="_Toc31259"/>
      <w:r>
        <w:rPr>
          <w:rFonts w:hint="eastAsia" w:ascii="宋体" w:hAnsi="宋体" w:cs="宋体"/>
          <w:b/>
          <w:color w:val="auto"/>
          <w:kern w:val="0"/>
          <w:sz w:val="32"/>
          <w:szCs w:val="32"/>
          <w:highlight w:val="none"/>
        </w:rPr>
        <w:t>采</w:t>
      </w:r>
      <w:r>
        <w:rPr>
          <w:rFonts w:hint="eastAsia" w:ascii="宋体" w:hAnsi="宋体" w:cs="宋体"/>
          <w:b/>
          <w:color w:val="auto"/>
          <w:kern w:val="0"/>
          <w:sz w:val="32"/>
          <w:szCs w:val="32"/>
          <w:highlight w:val="none"/>
          <w:lang w:val="en-US" w:eastAsia="zh-CN"/>
        </w:rPr>
        <w:t xml:space="preserve"> </w:t>
      </w:r>
      <w:r>
        <w:rPr>
          <w:rFonts w:hint="eastAsia" w:ascii="宋体" w:hAnsi="宋体" w:cs="宋体"/>
          <w:b/>
          <w:color w:val="auto"/>
          <w:kern w:val="0"/>
          <w:sz w:val="32"/>
          <w:szCs w:val="32"/>
          <w:highlight w:val="none"/>
        </w:rPr>
        <w:t>购</w:t>
      </w:r>
      <w:r>
        <w:rPr>
          <w:rFonts w:hint="eastAsia" w:ascii="宋体" w:hAnsi="宋体" w:cs="宋体"/>
          <w:b/>
          <w:color w:val="auto"/>
          <w:kern w:val="0"/>
          <w:sz w:val="32"/>
          <w:szCs w:val="32"/>
          <w:highlight w:val="none"/>
          <w:lang w:val="en-US" w:eastAsia="zh-CN"/>
        </w:rPr>
        <w:t xml:space="preserve"> </w:t>
      </w:r>
      <w:r>
        <w:rPr>
          <w:rFonts w:hint="eastAsia" w:ascii="宋体" w:hAnsi="宋体" w:cs="宋体"/>
          <w:b/>
          <w:color w:val="auto"/>
          <w:kern w:val="0"/>
          <w:sz w:val="32"/>
          <w:szCs w:val="32"/>
          <w:highlight w:val="none"/>
        </w:rPr>
        <w:t>人：灵宝市农业农村局</w:t>
      </w:r>
      <w:bookmarkEnd w:id="2"/>
      <w:bookmarkEnd w:id="3"/>
    </w:p>
    <w:p w14:paraId="63208115">
      <w:pPr>
        <w:keepNext w:val="0"/>
        <w:keepLines w:val="0"/>
        <w:pageBreakBefore w:val="0"/>
        <w:widowControl/>
        <w:kinsoku w:val="0"/>
        <w:wordWrap/>
        <w:bidi w:val="0"/>
        <w:adjustRightInd w:val="0"/>
        <w:snapToGrid w:val="0"/>
        <w:spacing w:line="480" w:lineRule="auto"/>
        <w:ind w:left="0" w:leftChars="0" w:right="0" w:rightChars="0" w:firstLine="2249" w:firstLineChars="700"/>
        <w:jc w:val="left"/>
        <w:outlineLvl w:val="0"/>
        <w:rPr>
          <w:rFonts w:hint="eastAsia" w:ascii="宋体" w:hAnsi="宋体" w:eastAsia="宋体" w:cs="宋体"/>
          <w:b/>
          <w:color w:val="auto"/>
          <w:kern w:val="0"/>
          <w:sz w:val="32"/>
          <w:szCs w:val="32"/>
          <w:highlight w:val="none"/>
          <w:lang w:eastAsia="zh-CN"/>
        </w:rPr>
      </w:pPr>
      <w:bookmarkStart w:id="4" w:name="_Toc26804"/>
      <w:bookmarkStart w:id="5" w:name="_Toc16621"/>
      <w:r>
        <w:rPr>
          <w:rFonts w:hint="eastAsia" w:ascii="宋体" w:hAnsi="宋体" w:cs="宋体"/>
          <w:b/>
          <w:color w:val="auto"/>
          <w:kern w:val="0"/>
          <w:sz w:val="32"/>
          <w:szCs w:val="32"/>
          <w:highlight w:val="none"/>
        </w:rPr>
        <w:t>代理机构：</w:t>
      </w:r>
      <w:bookmarkEnd w:id="4"/>
      <w:bookmarkEnd w:id="5"/>
      <w:r>
        <w:rPr>
          <w:rFonts w:hint="eastAsia" w:ascii="宋体" w:hAnsi="宋体" w:cs="宋体"/>
          <w:b/>
          <w:color w:val="auto"/>
          <w:kern w:val="0"/>
          <w:sz w:val="32"/>
          <w:szCs w:val="32"/>
          <w:highlight w:val="none"/>
          <w:lang w:eastAsia="zh-CN"/>
        </w:rPr>
        <w:t>河南精开咨询有限公司</w:t>
      </w:r>
    </w:p>
    <w:p w14:paraId="1F5B05C0">
      <w:pPr>
        <w:keepNext w:val="0"/>
        <w:keepLines w:val="0"/>
        <w:pageBreakBefore w:val="0"/>
        <w:widowControl/>
        <w:kinsoku w:val="0"/>
        <w:wordWrap/>
        <w:bidi w:val="0"/>
        <w:adjustRightInd w:val="0"/>
        <w:snapToGrid w:val="0"/>
        <w:spacing w:line="480" w:lineRule="auto"/>
        <w:ind w:right="0" w:rightChars="0" w:firstLine="2249" w:firstLineChars="700"/>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日</w:t>
      </w:r>
      <w:r>
        <w:rPr>
          <w:rFonts w:hint="eastAsia" w:ascii="宋体" w:hAnsi="宋体" w:cs="宋体"/>
          <w:b/>
          <w:color w:val="auto"/>
          <w:kern w:val="0"/>
          <w:sz w:val="32"/>
          <w:szCs w:val="32"/>
          <w:highlight w:val="none"/>
          <w:lang w:val="en-US" w:eastAsia="zh-CN"/>
        </w:rPr>
        <w:t xml:space="preserve">    </w:t>
      </w:r>
      <w:r>
        <w:rPr>
          <w:rFonts w:hint="eastAsia" w:ascii="宋体" w:hAnsi="宋体" w:cs="宋体"/>
          <w:b/>
          <w:color w:val="auto"/>
          <w:kern w:val="0"/>
          <w:sz w:val="32"/>
          <w:szCs w:val="32"/>
          <w:highlight w:val="none"/>
        </w:rPr>
        <w:t>期：二</w:t>
      </w:r>
      <w:r>
        <w:rPr>
          <w:rFonts w:hint="eastAsia" w:ascii="宋体" w:hAnsi="宋体" w:cs="宋体"/>
          <w:b/>
          <w:color w:val="auto"/>
          <w:kern w:val="0"/>
          <w:sz w:val="32"/>
          <w:szCs w:val="32"/>
          <w:highlight w:val="none"/>
          <w:lang w:val="en-US" w:eastAsia="zh-CN"/>
        </w:rPr>
        <w:t>〇</w:t>
      </w:r>
      <w:r>
        <w:rPr>
          <w:rFonts w:hint="eastAsia" w:ascii="宋体" w:hAnsi="宋体" w:cs="宋体"/>
          <w:b/>
          <w:color w:val="auto"/>
          <w:kern w:val="0"/>
          <w:sz w:val="32"/>
          <w:szCs w:val="32"/>
          <w:highlight w:val="none"/>
        </w:rPr>
        <w:t>二</w:t>
      </w:r>
      <w:r>
        <w:rPr>
          <w:rFonts w:hint="eastAsia" w:ascii="宋体" w:hAnsi="宋体" w:cs="宋体"/>
          <w:b/>
          <w:color w:val="auto"/>
          <w:kern w:val="0"/>
          <w:sz w:val="32"/>
          <w:szCs w:val="32"/>
          <w:highlight w:val="none"/>
          <w:lang w:val="en-US" w:eastAsia="zh-CN"/>
        </w:rPr>
        <w:t>五</w:t>
      </w:r>
      <w:r>
        <w:rPr>
          <w:rFonts w:hint="eastAsia" w:ascii="宋体" w:hAnsi="宋体" w:cs="宋体"/>
          <w:b/>
          <w:color w:val="auto"/>
          <w:kern w:val="0"/>
          <w:sz w:val="32"/>
          <w:szCs w:val="32"/>
          <w:highlight w:val="none"/>
        </w:rPr>
        <w:t>年</w:t>
      </w:r>
      <w:r>
        <w:rPr>
          <w:rFonts w:hint="eastAsia" w:ascii="宋体" w:hAnsi="宋体" w:cs="宋体"/>
          <w:b/>
          <w:color w:val="auto"/>
          <w:kern w:val="0"/>
          <w:sz w:val="32"/>
          <w:szCs w:val="32"/>
          <w:highlight w:val="none"/>
          <w:lang w:val="en-US" w:eastAsia="zh-CN"/>
        </w:rPr>
        <w:t>八</w:t>
      </w:r>
      <w:r>
        <w:rPr>
          <w:rFonts w:hint="eastAsia" w:ascii="宋体" w:hAnsi="宋体" w:cs="宋体"/>
          <w:b/>
          <w:color w:val="auto"/>
          <w:kern w:val="0"/>
          <w:sz w:val="32"/>
          <w:szCs w:val="32"/>
          <w:highlight w:val="none"/>
        </w:rPr>
        <w:t>月</w:t>
      </w:r>
    </w:p>
    <w:p w14:paraId="7471F6EB">
      <w:pPr>
        <w:pStyle w:val="11"/>
        <w:keepNext w:val="0"/>
        <w:keepLines w:val="0"/>
        <w:pageBreakBefore w:val="0"/>
        <w:widowControl/>
        <w:kinsoku w:val="0"/>
        <w:wordWrap/>
        <w:bidi w:val="0"/>
        <w:adjustRightInd w:val="0"/>
        <w:snapToGrid w:val="0"/>
        <w:spacing w:after="0" w:line="360" w:lineRule="auto"/>
        <w:ind w:left="0" w:leftChars="0" w:right="0" w:rightChars="0"/>
        <w:jc w:val="center"/>
        <w:rPr>
          <w:rFonts w:ascii="宋体" w:hAnsi="宋体" w:eastAsia="宋体" w:cs="Times New Roman"/>
          <w:color w:val="auto"/>
          <w:kern w:val="2"/>
          <w:sz w:val="21"/>
          <w:highlight w:val="none"/>
          <w:lang w:val="en-US" w:eastAsia="zh-CN" w:bidi="ar-SA"/>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33" w:charSpace="0"/>
        </w:sectPr>
      </w:pPr>
    </w:p>
    <w:sdt>
      <w:sdtPr>
        <w:rPr>
          <w:rFonts w:ascii="宋体" w:hAnsi="宋体" w:eastAsia="宋体" w:cs="Times New Roman"/>
          <w:color w:val="auto"/>
          <w:kern w:val="2"/>
          <w:sz w:val="21"/>
          <w:highlight w:val="none"/>
          <w:lang w:val="en-US" w:eastAsia="zh-CN" w:bidi="ar-SA"/>
        </w:rPr>
        <w:id w:val="147452345"/>
        <w15:color w:val="DBDBDB"/>
        <w:docPartObj>
          <w:docPartGallery w:val="Table of Contents"/>
          <w:docPartUnique/>
        </w:docPartObj>
      </w:sdtPr>
      <w:sdtEndPr>
        <w:rPr>
          <w:rFonts w:ascii="宋体" w:hAnsi="宋体" w:eastAsia="宋体" w:cs="Times New Roman"/>
          <w:color w:val="auto"/>
          <w:kern w:val="2"/>
          <w:sz w:val="22"/>
          <w:szCs w:val="21"/>
          <w:highlight w:val="none"/>
          <w:lang w:val="en-US" w:eastAsia="zh-CN" w:bidi="ar-SA"/>
        </w:rPr>
      </w:sdtEndPr>
      <w:sdtContent>
        <w:p w14:paraId="3E45A139">
          <w:pPr>
            <w:keepNext w:val="0"/>
            <w:keepLines w:val="0"/>
            <w:pageBreakBefore w:val="0"/>
            <w:widowControl/>
            <w:kinsoku w:val="0"/>
            <w:wordWrap/>
            <w:bidi w:val="0"/>
            <w:adjustRightInd w:val="0"/>
            <w:snapToGrid w:val="0"/>
            <w:spacing w:line="480" w:lineRule="auto"/>
            <w:ind w:left="0" w:leftChars="0" w:right="0" w:rightChars="0"/>
            <w:jc w:val="center"/>
            <w:rPr>
              <w:rFonts w:hint="eastAsia" w:ascii="仿宋" w:hAnsi="仿宋" w:eastAsia="仿宋" w:cs="仿宋"/>
              <w:color w:val="auto"/>
              <w:kern w:val="2"/>
              <w:sz w:val="36"/>
              <w:szCs w:val="36"/>
              <w:highlight w:val="none"/>
              <w:lang w:val="en-US" w:eastAsia="zh-CN" w:bidi="ar-SA"/>
            </w:rPr>
          </w:pPr>
          <w:r>
            <w:rPr>
              <w:rFonts w:hint="eastAsia"/>
              <w:b/>
              <w:color w:val="auto"/>
              <w:sz w:val="40"/>
              <w:highlight w:val="none"/>
            </w:rPr>
            <w:t>目录</w:t>
          </w:r>
          <w:r>
            <w:rPr>
              <w:rFonts w:hint="eastAsia" w:ascii="仿宋" w:hAnsi="仿宋" w:eastAsia="仿宋" w:cs="仿宋"/>
              <w:color w:val="auto"/>
              <w:sz w:val="36"/>
              <w:szCs w:val="36"/>
              <w:highlight w:val="none"/>
            </w:rPr>
            <w:fldChar w:fldCharType="begin"/>
          </w:r>
          <w:r>
            <w:rPr>
              <w:rFonts w:hint="eastAsia" w:ascii="仿宋" w:hAnsi="仿宋" w:eastAsia="仿宋" w:cs="仿宋"/>
              <w:color w:val="auto"/>
              <w:sz w:val="36"/>
              <w:szCs w:val="36"/>
              <w:highlight w:val="none"/>
            </w:rPr>
            <w:instrText xml:space="preserve">TOC \o "1-1" \h \u </w:instrText>
          </w:r>
          <w:r>
            <w:rPr>
              <w:rFonts w:hint="eastAsia" w:ascii="仿宋" w:hAnsi="仿宋" w:eastAsia="仿宋" w:cs="仿宋"/>
              <w:color w:val="auto"/>
              <w:sz w:val="36"/>
              <w:szCs w:val="36"/>
              <w:highlight w:val="none"/>
            </w:rPr>
            <w:fldChar w:fldCharType="separate"/>
          </w:r>
        </w:p>
        <w:p w14:paraId="09EF0BDE">
          <w:pPr>
            <w:pStyle w:val="14"/>
            <w:keepNext w:val="0"/>
            <w:keepLines w:val="0"/>
            <w:pageBreakBefore w:val="0"/>
            <w:widowControl/>
            <w:tabs>
              <w:tab w:val="right" w:leader="dot" w:pos="8312"/>
            </w:tabs>
            <w:kinsoku w:val="0"/>
            <w:wordWrap/>
            <w:overflowPunct/>
            <w:topLinePunct w:val="0"/>
            <w:autoSpaceDE/>
            <w:autoSpaceDN/>
            <w:bidi w:val="0"/>
            <w:adjustRightInd w:val="0"/>
            <w:snapToGrid w:val="0"/>
            <w:spacing w:line="480" w:lineRule="auto"/>
            <w:ind w:left="0" w:leftChars="0" w:right="0" w:rightChars="0"/>
            <w:jc w:val="both"/>
            <w:textAlignment w:val="auto"/>
            <w:rPr>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_Toc30306 </w:instrText>
          </w:r>
          <w:r>
            <w:rPr>
              <w:rFonts w:hint="eastAsia" w:ascii="仿宋" w:hAnsi="仿宋" w:eastAsia="仿宋" w:cs="仿宋"/>
              <w:b/>
              <w:bCs/>
              <w:color w:val="auto"/>
              <w:sz w:val="28"/>
              <w:szCs w:val="28"/>
              <w:highlight w:val="none"/>
            </w:rPr>
            <w:fldChar w:fldCharType="separate"/>
          </w:r>
          <w:r>
            <w:rPr>
              <w:rFonts w:hint="eastAsia"/>
              <w:b/>
              <w:bCs/>
              <w:color w:val="auto"/>
              <w:sz w:val="28"/>
              <w:szCs w:val="28"/>
              <w:highlight w:val="none"/>
            </w:rPr>
            <w:t>第一章 竞争性磋商公告</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_Toc30306 \h </w:instrText>
          </w:r>
          <w:r>
            <w:rPr>
              <w:b/>
              <w:bCs/>
              <w:color w:val="auto"/>
              <w:sz w:val="28"/>
              <w:szCs w:val="28"/>
              <w:highlight w:val="none"/>
            </w:rPr>
            <w:fldChar w:fldCharType="separate"/>
          </w:r>
          <w:r>
            <w:rPr>
              <w:b/>
              <w:bCs/>
              <w:color w:val="auto"/>
              <w:sz w:val="28"/>
              <w:szCs w:val="28"/>
              <w:highlight w:val="none"/>
            </w:rPr>
            <w:t>3</w:t>
          </w:r>
          <w:r>
            <w:rPr>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1E02D1EA">
          <w:pPr>
            <w:pStyle w:val="14"/>
            <w:keepNext w:val="0"/>
            <w:keepLines w:val="0"/>
            <w:pageBreakBefore w:val="0"/>
            <w:widowControl/>
            <w:tabs>
              <w:tab w:val="right" w:leader="dot" w:pos="8312"/>
            </w:tabs>
            <w:kinsoku w:val="0"/>
            <w:wordWrap/>
            <w:overflowPunct/>
            <w:topLinePunct w:val="0"/>
            <w:autoSpaceDE/>
            <w:autoSpaceDN/>
            <w:bidi w:val="0"/>
            <w:adjustRightInd w:val="0"/>
            <w:snapToGrid w:val="0"/>
            <w:spacing w:line="480" w:lineRule="auto"/>
            <w:ind w:left="0" w:leftChars="0" w:right="0" w:rightChars="0"/>
            <w:jc w:val="both"/>
            <w:textAlignment w:val="auto"/>
            <w:rPr>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_Toc21402 </w:instrText>
          </w:r>
          <w:r>
            <w:rPr>
              <w:rFonts w:hint="eastAsia" w:ascii="仿宋" w:hAnsi="仿宋" w:eastAsia="仿宋" w:cs="仿宋"/>
              <w:b/>
              <w:bCs/>
              <w:color w:val="auto"/>
              <w:sz w:val="28"/>
              <w:szCs w:val="28"/>
              <w:highlight w:val="none"/>
            </w:rPr>
            <w:fldChar w:fldCharType="separate"/>
          </w:r>
          <w:r>
            <w:rPr>
              <w:rFonts w:hint="eastAsia"/>
              <w:b/>
              <w:bCs/>
              <w:color w:val="auto"/>
              <w:sz w:val="28"/>
              <w:szCs w:val="28"/>
              <w:highlight w:val="none"/>
            </w:rPr>
            <w:t>第二章 供应商须知</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_Toc21402 \h </w:instrText>
          </w:r>
          <w:r>
            <w:rPr>
              <w:b/>
              <w:bCs/>
              <w:color w:val="auto"/>
              <w:sz w:val="28"/>
              <w:szCs w:val="28"/>
              <w:highlight w:val="none"/>
            </w:rPr>
            <w:fldChar w:fldCharType="separate"/>
          </w:r>
          <w:r>
            <w:rPr>
              <w:b/>
              <w:bCs/>
              <w:color w:val="auto"/>
              <w:sz w:val="28"/>
              <w:szCs w:val="28"/>
              <w:highlight w:val="none"/>
            </w:rPr>
            <w:t>7</w:t>
          </w:r>
          <w:r>
            <w:rPr>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7A01D197">
          <w:pPr>
            <w:pStyle w:val="14"/>
            <w:keepNext w:val="0"/>
            <w:keepLines w:val="0"/>
            <w:pageBreakBefore w:val="0"/>
            <w:widowControl/>
            <w:tabs>
              <w:tab w:val="right" w:leader="dot" w:pos="8312"/>
            </w:tabs>
            <w:kinsoku w:val="0"/>
            <w:wordWrap/>
            <w:overflowPunct/>
            <w:topLinePunct w:val="0"/>
            <w:autoSpaceDE/>
            <w:autoSpaceDN/>
            <w:bidi w:val="0"/>
            <w:adjustRightInd w:val="0"/>
            <w:snapToGrid w:val="0"/>
            <w:spacing w:line="480" w:lineRule="auto"/>
            <w:ind w:left="0" w:leftChars="0" w:right="0" w:rightChars="0"/>
            <w:jc w:val="both"/>
            <w:textAlignment w:val="auto"/>
            <w:rPr>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_Toc11929 </w:instrText>
          </w:r>
          <w:r>
            <w:rPr>
              <w:rFonts w:hint="eastAsia" w:ascii="仿宋" w:hAnsi="仿宋" w:eastAsia="仿宋" w:cs="仿宋"/>
              <w:b/>
              <w:bCs/>
              <w:color w:val="auto"/>
              <w:sz w:val="28"/>
              <w:szCs w:val="28"/>
              <w:highlight w:val="none"/>
            </w:rPr>
            <w:fldChar w:fldCharType="separate"/>
          </w:r>
          <w:r>
            <w:rPr>
              <w:rFonts w:hAnsi="宋体" w:eastAsia="宋体" w:cs="宋体"/>
              <w:b/>
              <w:bCs/>
              <w:color w:val="auto"/>
              <w:sz w:val="28"/>
              <w:szCs w:val="28"/>
              <w:highlight w:val="none"/>
            </w:rPr>
            <w:t>第</w:t>
          </w:r>
          <w:r>
            <w:rPr>
              <w:rFonts w:hint="eastAsia" w:hAnsi="宋体" w:eastAsia="宋体" w:cs="宋体"/>
              <w:b/>
              <w:bCs/>
              <w:color w:val="auto"/>
              <w:sz w:val="28"/>
              <w:szCs w:val="28"/>
              <w:highlight w:val="none"/>
              <w:lang w:val="en-US" w:eastAsia="zh-CN"/>
            </w:rPr>
            <w:t>三</w:t>
          </w:r>
          <w:r>
            <w:rPr>
              <w:rFonts w:hAnsi="宋体" w:eastAsia="宋体" w:cs="宋体"/>
              <w:b/>
              <w:bCs/>
              <w:color w:val="auto"/>
              <w:sz w:val="28"/>
              <w:szCs w:val="28"/>
              <w:highlight w:val="none"/>
            </w:rPr>
            <w:t>章 评审标准</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_Toc11929 \h </w:instrText>
          </w:r>
          <w:r>
            <w:rPr>
              <w:b/>
              <w:bCs/>
              <w:color w:val="auto"/>
              <w:sz w:val="28"/>
              <w:szCs w:val="28"/>
              <w:highlight w:val="none"/>
            </w:rPr>
            <w:fldChar w:fldCharType="separate"/>
          </w:r>
          <w:r>
            <w:rPr>
              <w:b/>
              <w:bCs/>
              <w:color w:val="auto"/>
              <w:sz w:val="28"/>
              <w:szCs w:val="28"/>
              <w:highlight w:val="none"/>
            </w:rPr>
            <w:t>34</w:t>
          </w:r>
          <w:r>
            <w:rPr>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4ACC61C9">
          <w:pPr>
            <w:pStyle w:val="14"/>
            <w:keepNext w:val="0"/>
            <w:keepLines w:val="0"/>
            <w:pageBreakBefore w:val="0"/>
            <w:widowControl/>
            <w:tabs>
              <w:tab w:val="right" w:leader="dot" w:pos="8312"/>
            </w:tabs>
            <w:kinsoku w:val="0"/>
            <w:wordWrap/>
            <w:overflowPunct/>
            <w:topLinePunct w:val="0"/>
            <w:autoSpaceDE/>
            <w:autoSpaceDN/>
            <w:bidi w:val="0"/>
            <w:adjustRightInd w:val="0"/>
            <w:snapToGrid w:val="0"/>
            <w:spacing w:line="480" w:lineRule="auto"/>
            <w:ind w:left="0" w:leftChars="0" w:right="0" w:rightChars="0"/>
            <w:jc w:val="both"/>
            <w:textAlignment w:val="auto"/>
            <w:rPr>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_Toc30035 </w:instrText>
          </w:r>
          <w:r>
            <w:rPr>
              <w:rFonts w:hint="eastAsia" w:ascii="仿宋" w:hAnsi="仿宋" w:eastAsia="仿宋" w:cs="仿宋"/>
              <w:b/>
              <w:bCs/>
              <w:color w:val="auto"/>
              <w:sz w:val="28"/>
              <w:szCs w:val="28"/>
              <w:highlight w:val="none"/>
            </w:rPr>
            <w:fldChar w:fldCharType="separate"/>
          </w:r>
          <w:r>
            <w:rPr>
              <w:rFonts w:hAnsi="宋体" w:eastAsia="宋体" w:cs="宋体"/>
              <w:b/>
              <w:bCs/>
              <w:color w:val="auto"/>
              <w:sz w:val="28"/>
              <w:szCs w:val="28"/>
              <w:highlight w:val="none"/>
            </w:rPr>
            <w:t>第四章 合同条款及各式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_Toc30035 \h </w:instrText>
          </w:r>
          <w:r>
            <w:rPr>
              <w:b/>
              <w:bCs/>
              <w:color w:val="auto"/>
              <w:sz w:val="28"/>
              <w:szCs w:val="28"/>
              <w:highlight w:val="none"/>
            </w:rPr>
            <w:fldChar w:fldCharType="separate"/>
          </w:r>
          <w:r>
            <w:rPr>
              <w:b/>
              <w:bCs/>
              <w:color w:val="auto"/>
              <w:sz w:val="28"/>
              <w:szCs w:val="28"/>
              <w:highlight w:val="none"/>
            </w:rPr>
            <w:t>43</w:t>
          </w:r>
          <w:r>
            <w:rPr>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61245A7B">
          <w:pPr>
            <w:pStyle w:val="14"/>
            <w:keepNext w:val="0"/>
            <w:keepLines w:val="0"/>
            <w:pageBreakBefore w:val="0"/>
            <w:widowControl/>
            <w:tabs>
              <w:tab w:val="right" w:leader="dot" w:pos="8312"/>
            </w:tabs>
            <w:kinsoku w:val="0"/>
            <w:wordWrap/>
            <w:overflowPunct/>
            <w:topLinePunct w:val="0"/>
            <w:autoSpaceDE/>
            <w:autoSpaceDN/>
            <w:bidi w:val="0"/>
            <w:adjustRightInd w:val="0"/>
            <w:snapToGrid w:val="0"/>
            <w:spacing w:line="480" w:lineRule="auto"/>
            <w:ind w:left="0" w:leftChars="0" w:right="0" w:rightChars="0"/>
            <w:jc w:val="both"/>
            <w:textAlignment w:val="auto"/>
            <w:rPr>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_Toc19183 </w:instrText>
          </w:r>
          <w:r>
            <w:rPr>
              <w:rFonts w:hint="eastAsia" w:ascii="仿宋" w:hAnsi="仿宋" w:eastAsia="仿宋" w:cs="仿宋"/>
              <w:b/>
              <w:bCs/>
              <w:color w:val="auto"/>
              <w:sz w:val="28"/>
              <w:szCs w:val="28"/>
              <w:highlight w:val="none"/>
            </w:rPr>
            <w:fldChar w:fldCharType="separate"/>
          </w:r>
          <w:r>
            <w:rPr>
              <w:rFonts w:hint="eastAsia"/>
              <w:b/>
              <w:bCs/>
              <w:color w:val="auto"/>
              <w:sz w:val="28"/>
              <w:szCs w:val="28"/>
              <w:highlight w:val="none"/>
            </w:rPr>
            <w:t>第</w:t>
          </w:r>
          <w:r>
            <w:rPr>
              <w:rFonts w:hint="eastAsia"/>
              <w:b/>
              <w:bCs/>
              <w:color w:val="auto"/>
              <w:sz w:val="28"/>
              <w:szCs w:val="28"/>
              <w:highlight w:val="none"/>
              <w:lang w:val="en-US" w:eastAsia="zh-CN"/>
            </w:rPr>
            <w:t>五</w:t>
          </w:r>
          <w:r>
            <w:rPr>
              <w:rFonts w:hint="eastAsia"/>
              <w:b/>
              <w:bCs/>
              <w:color w:val="auto"/>
              <w:sz w:val="28"/>
              <w:szCs w:val="28"/>
              <w:highlight w:val="none"/>
            </w:rPr>
            <w:t>章 采购</w:t>
          </w:r>
          <w:r>
            <w:rPr>
              <w:rFonts w:hint="eastAsia"/>
              <w:b/>
              <w:bCs/>
              <w:color w:val="auto"/>
              <w:sz w:val="28"/>
              <w:szCs w:val="28"/>
              <w:highlight w:val="none"/>
              <w:lang w:val="en-US" w:eastAsia="zh-CN"/>
            </w:rPr>
            <w:t>内容及技术要求</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_Toc19183 \h </w:instrText>
          </w:r>
          <w:r>
            <w:rPr>
              <w:b/>
              <w:bCs/>
              <w:color w:val="auto"/>
              <w:sz w:val="28"/>
              <w:szCs w:val="28"/>
              <w:highlight w:val="none"/>
            </w:rPr>
            <w:fldChar w:fldCharType="separate"/>
          </w:r>
          <w:r>
            <w:rPr>
              <w:b/>
              <w:bCs/>
              <w:color w:val="auto"/>
              <w:sz w:val="28"/>
              <w:szCs w:val="28"/>
              <w:highlight w:val="none"/>
            </w:rPr>
            <w:t>45</w:t>
          </w:r>
          <w:r>
            <w:rPr>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5815D74B">
          <w:pPr>
            <w:pStyle w:val="14"/>
            <w:keepNext w:val="0"/>
            <w:keepLines w:val="0"/>
            <w:pageBreakBefore w:val="0"/>
            <w:widowControl/>
            <w:tabs>
              <w:tab w:val="right" w:leader="dot" w:pos="8312"/>
            </w:tabs>
            <w:kinsoku w:val="0"/>
            <w:wordWrap/>
            <w:overflowPunct/>
            <w:topLinePunct w:val="0"/>
            <w:autoSpaceDE/>
            <w:autoSpaceDN/>
            <w:bidi w:val="0"/>
            <w:adjustRightInd w:val="0"/>
            <w:snapToGrid w:val="0"/>
            <w:spacing w:line="480" w:lineRule="auto"/>
            <w:ind w:left="0" w:leftChars="0" w:right="0" w:rightChars="0"/>
            <w:jc w:val="both"/>
            <w:textAlignment w:val="auto"/>
            <w:rPr>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_Toc31215 </w:instrText>
          </w:r>
          <w:r>
            <w:rPr>
              <w:rFonts w:hint="eastAsia" w:ascii="仿宋" w:hAnsi="仿宋" w:eastAsia="仿宋" w:cs="仿宋"/>
              <w:b/>
              <w:bCs/>
              <w:color w:val="auto"/>
              <w:sz w:val="28"/>
              <w:szCs w:val="28"/>
              <w:highlight w:val="none"/>
            </w:rPr>
            <w:fldChar w:fldCharType="separate"/>
          </w:r>
          <w:r>
            <w:rPr>
              <w:rFonts w:hint="eastAsia" w:ascii="宋体" w:hAnsi="宋体" w:cs="宋体"/>
              <w:b/>
              <w:bCs/>
              <w:color w:val="auto"/>
              <w:sz w:val="28"/>
              <w:szCs w:val="28"/>
              <w:highlight w:val="none"/>
            </w:rPr>
            <w:t xml:space="preserve">第六章 </w:t>
          </w:r>
          <w:r>
            <w:rPr>
              <w:rFonts w:hint="eastAsia" w:ascii="宋体" w:hAnsi="宋体" w:cs="宋体"/>
              <w:b/>
              <w:bCs/>
              <w:color w:val="auto"/>
              <w:sz w:val="28"/>
              <w:szCs w:val="28"/>
              <w:highlight w:val="none"/>
              <w:lang w:val="en-US" w:eastAsia="zh-CN"/>
            </w:rPr>
            <w:t>响应</w:t>
          </w:r>
          <w:r>
            <w:rPr>
              <w:rFonts w:hint="eastAsia" w:ascii="宋体" w:hAnsi="宋体" w:cs="宋体"/>
              <w:b/>
              <w:bCs/>
              <w:color w:val="auto"/>
              <w:sz w:val="28"/>
              <w:szCs w:val="28"/>
              <w:highlight w:val="none"/>
              <w:lang w:eastAsia="zh-CN"/>
            </w:rPr>
            <w:t>文件</w:t>
          </w:r>
          <w:r>
            <w:rPr>
              <w:rFonts w:hint="eastAsia" w:ascii="宋体" w:hAnsi="宋体" w:cs="宋体"/>
              <w:b/>
              <w:bCs/>
              <w:color w:val="auto"/>
              <w:sz w:val="28"/>
              <w:szCs w:val="28"/>
              <w:highlight w:val="none"/>
            </w:rPr>
            <w:t>格式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_Toc31215 \h </w:instrText>
          </w:r>
          <w:r>
            <w:rPr>
              <w:b/>
              <w:bCs/>
              <w:color w:val="auto"/>
              <w:sz w:val="28"/>
              <w:szCs w:val="28"/>
              <w:highlight w:val="none"/>
            </w:rPr>
            <w:fldChar w:fldCharType="separate"/>
          </w:r>
          <w:r>
            <w:rPr>
              <w:b/>
              <w:bCs/>
              <w:color w:val="auto"/>
              <w:sz w:val="28"/>
              <w:szCs w:val="28"/>
              <w:highlight w:val="none"/>
            </w:rPr>
            <w:t>46</w:t>
          </w:r>
          <w:r>
            <w:rPr>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377B9964">
          <w:pPr>
            <w:pStyle w:val="11"/>
            <w:keepNext w:val="0"/>
            <w:keepLines w:val="0"/>
            <w:pageBreakBefore w:val="0"/>
            <w:widowControl/>
            <w:kinsoku w:val="0"/>
            <w:wordWrap/>
            <w:bidi w:val="0"/>
            <w:adjustRightInd w:val="0"/>
            <w:snapToGrid w:val="0"/>
            <w:spacing w:after="0" w:line="480" w:lineRule="auto"/>
            <w:ind w:left="0" w:leftChars="0" w:right="0" w:rightChars="0"/>
            <w:jc w:val="center"/>
            <w:rPr>
              <w:color w:val="auto"/>
              <w:sz w:val="28"/>
              <w:szCs w:val="21"/>
              <w:highlight w:val="none"/>
            </w:rPr>
          </w:pPr>
          <w:r>
            <w:rPr>
              <w:rFonts w:hint="eastAsia" w:ascii="仿宋" w:hAnsi="仿宋" w:eastAsia="仿宋" w:cs="仿宋"/>
              <w:color w:val="auto"/>
              <w:sz w:val="36"/>
              <w:szCs w:val="36"/>
              <w:highlight w:val="none"/>
            </w:rPr>
            <w:fldChar w:fldCharType="end"/>
          </w:r>
        </w:p>
      </w:sdtContent>
    </w:sdt>
    <w:p w14:paraId="6E76D688">
      <w:pPr>
        <w:keepNext w:val="0"/>
        <w:keepLines w:val="0"/>
        <w:pageBreakBefore w:val="0"/>
        <w:widowControl/>
        <w:kinsoku w:val="0"/>
        <w:wordWrap/>
        <w:bidi w:val="0"/>
        <w:adjustRightInd w:val="0"/>
        <w:snapToGrid w:val="0"/>
        <w:spacing w:line="480" w:lineRule="auto"/>
        <w:ind w:left="0" w:leftChars="0" w:right="0" w:rightChars="0"/>
        <w:rPr>
          <w:color w:val="auto"/>
          <w:sz w:val="28"/>
          <w:szCs w:val="21"/>
          <w:highlight w:val="none"/>
        </w:rPr>
      </w:pPr>
    </w:p>
    <w:p w14:paraId="01013AC5">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eastAsia"/>
          <w:b/>
          <w:bCs/>
          <w:color w:val="auto"/>
          <w:sz w:val="32"/>
          <w:szCs w:val="22"/>
          <w:highlight w:val="none"/>
        </w:rPr>
        <w:sectPr>
          <w:pgSz w:w="11906" w:h="16838"/>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33" w:charSpace="0"/>
        </w:sectPr>
      </w:pPr>
      <w:bookmarkStart w:id="6" w:name="_Toc30306"/>
    </w:p>
    <w:p w14:paraId="7A490019">
      <w:pPr>
        <w:keepNext w:val="0"/>
        <w:keepLines w:val="0"/>
        <w:pageBreakBefore w:val="0"/>
        <w:widowControl/>
        <w:kinsoku w:val="0"/>
        <w:wordWrap/>
        <w:bidi w:val="0"/>
        <w:adjustRightInd w:val="0"/>
        <w:snapToGrid w:val="0"/>
        <w:spacing w:line="360" w:lineRule="auto"/>
        <w:ind w:left="0" w:leftChars="0" w:right="0" w:rightChars="0"/>
        <w:jc w:val="center"/>
        <w:outlineLvl w:val="0"/>
        <w:rPr>
          <w:b/>
          <w:bCs/>
          <w:color w:val="auto"/>
          <w:sz w:val="32"/>
          <w:szCs w:val="22"/>
          <w:highlight w:val="none"/>
        </w:rPr>
      </w:pPr>
      <w:r>
        <w:rPr>
          <w:rFonts w:hint="eastAsia"/>
          <w:b/>
          <w:bCs/>
          <w:color w:val="auto"/>
          <w:sz w:val="32"/>
          <w:szCs w:val="22"/>
          <w:highlight w:val="none"/>
        </w:rPr>
        <w:t>第一章  竞争性磋商公告</w:t>
      </w:r>
      <w:bookmarkEnd w:id="6"/>
    </w:p>
    <w:p w14:paraId="1935AE2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灵宝市2025年中央财政农业防灾减灾（一喷多促）补助资金项目</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应凭CA数字证书通过《三门峡市公共资源交易中心网》（网址：http://gzjy.smx.gov.cn）获取</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，并于</w:t>
      </w:r>
      <w:r>
        <w:rPr>
          <w:rFonts w:hint="eastAsia" w:ascii="宋体" w:hAnsi="宋体" w:eastAsia="宋体" w:cs="宋体"/>
          <w:color w:val="auto"/>
          <w:kern w:val="0"/>
          <w:sz w:val="24"/>
          <w:szCs w:val="24"/>
          <w:highlight w:val="none"/>
          <w:lang w:val="en-US" w:eastAsia="zh-CN" w:bidi="ar"/>
        </w:rPr>
        <w:t>2025年</w:t>
      </w:r>
      <w:r>
        <w:rPr>
          <w:rFonts w:hint="eastAsia" w:ascii="宋体" w:hAnsi="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月</w:t>
      </w: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日</w:t>
      </w:r>
      <w:r>
        <w:rPr>
          <w:rFonts w:hint="eastAsia" w:ascii="宋体" w:hAnsi="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时</w:t>
      </w:r>
      <w:r>
        <w:rPr>
          <w:rFonts w:hint="eastAsia" w:ascii="宋体" w:hAnsi="宋体" w:cs="宋体"/>
          <w:color w:val="auto"/>
          <w:kern w:val="0"/>
          <w:sz w:val="24"/>
          <w:szCs w:val="24"/>
          <w:highlight w:val="none"/>
          <w:lang w:val="en-US" w:eastAsia="zh-CN" w:bidi="ar"/>
        </w:rPr>
        <w:t>00</w:t>
      </w:r>
      <w:r>
        <w:rPr>
          <w:rFonts w:hint="eastAsia" w:ascii="宋体" w:hAnsi="宋体" w:eastAsia="宋体" w:cs="宋体"/>
          <w:color w:val="auto"/>
          <w:kern w:val="0"/>
          <w:sz w:val="24"/>
          <w:szCs w:val="24"/>
          <w:highlight w:val="none"/>
          <w:lang w:val="en-US" w:eastAsia="zh-CN" w:bidi="ar"/>
        </w:rPr>
        <w:t>分</w:t>
      </w:r>
      <w:r>
        <w:rPr>
          <w:rFonts w:hint="eastAsia" w:ascii="宋体" w:hAnsi="宋体" w:eastAsia="宋体" w:cs="宋体"/>
          <w:color w:val="auto"/>
          <w:sz w:val="24"/>
          <w:szCs w:val="24"/>
          <w:highlight w:val="none"/>
        </w:rPr>
        <w:t>（北京时间）前递交</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w:t>
      </w:r>
    </w:p>
    <w:p w14:paraId="39B862B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一、项目概况：</w:t>
      </w:r>
    </w:p>
    <w:p w14:paraId="6CC19BE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1、项目名称：</w:t>
      </w:r>
      <w:r>
        <w:rPr>
          <w:rFonts w:hint="eastAsia" w:ascii="宋体" w:hAnsi="宋体" w:cs="宋体"/>
          <w:color w:val="auto"/>
          <w:sz w:val="24"/>
          <w:szCs w:val="24"/>
          <w:highlight w:val="none"/>
          <w:lang w:eastAsia="zh-CN"/>
        </w:rPr>
        <w:t>灵宝市2025年中央财政农业防灾减灾（一喷多促）补助资金项目</w:t>
      </w:r>
    </w:p>
    <w:p w14:paraId="2026772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2、项目编号：灵宝竞磋采购-2025-133</w:t>
      </w:r>
      <w:r>
        <w:rPr>
          <w:rFonts w:hint="eastAsia" w:ascii="宋体" w:hAnsi="宋体" w:cs="宋体"/>
          <w:color w:val="auto"/>
          <w:sz w:val="24"/>
          <w:szCs w:val="24"/>
          <w:highlight w:val="none"/>
          <w:lang w:eastAsia="zh-CN"/>
        </w:rPr>
        <w:t>、LBGZ[2025]240-ZC181</w:t>
      </w:r>
    </w:p>
    <w:p w14:paraId="5906A1F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招标范</w:t>
      </w:r>
      <w:r>
        <w:rPr>
          <w:rFonts w:hint="eastAsia" w:ascii="宋体" w:hAnsi="宋体" w:cs="宋体"/>
          <w:color w:val="auto"/>
          <w:sz w:val="24"/>
          <w:szCs w:val="24"/>
          <w:highlight w:val="none"/>
          <w:lang w:val="en-US" w:eastAsia="zh-CN"/>
        </w:rPr>
        <w:t>围</w:t>
      </w:r>
      <w:r>
        <w:rPr>
          <w:rFonts w:hint="eastAsia" w:ascii="宋体" w:hAnsi="宋体" w:cs="宋体"/>
          <w:color w:val="auto"/>
          <w:sz w:val="24"/>
          <w:szCs w:val="24"/>
          <w:highlight w:val="none"/>
          <w:lang w:eastAsia="zh-CN"/>
        </w:rPr>
        <w:t>：灵宝市2025年中央财政农业防灾减灾（一喷多促）补助资金项目，主要内容为：农业防灾减灾</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一喷多促</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补助资金</w:t>
      </w:r>
      <w:r>
        <w:rPr>
          <w:rFonts w:hint="eastAsia" w:ascii="宋体" w:hAnsi="宋体" w:cs="宋体"/>
          <w:color w:val="auto"/>
          <w:sz w:val="24"/>
          <w:szCs w:val="24"/>
          <w:highlight w:val="none"/>
          <w:lang w:val="en-US" w:eastAsia="zh-CN"/>
        </w:rPr>
        <w:t>药品</w:t>
      </w:r>
      <w:r>
        <w:rPr>
          <w:rFonts w:hint="eastAsia" w:ascii="宋体" w:hAnsi="宋体" w:cs="宋体"/>
          <w:color w:val="auto"/>
          <w:sz w:val="24"/>
          <w:szCs w:val="24"/>
          <w:highlight w:val="none"/>
          <w:lang w:eastAsia="zh-CN"/>
        </w:rPr>
        <w:t>采购，具体详见竞争性磋商文件</w:t>
      </w:r>
      <w:r>
        <w:rPr>
          <w:rFonts w:hint="eastAsia" w:ascii="宋体" w:hAnsi="宋体" w:cs="宋体"/>
          <w:color w:val="auto"/>
          <w:sz w:val="24"/>
          <w:szCs w:val="24"/>
          <w:highlight w:val="none"/>
          <w:lang w:val="en-US" w:eastAsia="zh-CN"/>
        </w:rPr>
        <w:t>采购清单要求</w:t>
      </w:r>
      <w:r>
        <w:rPr>
          <w:rFonts w:hint="eastAsia" w:ascii="宋体" w:hAnsi="宋体" w:cs="宋体"/>
          <w:color w:val="auto"/>
          <w:sz w:val="24"/>
          <w:szCs w:val="24"/>
          <w:highlight w:val="none"/>
          <w:lang w:eastAsia="zh-CN"/>
        </w:rPr>
        <w:t>。</w:t>
      </w:r>
    </w:p>
    <w:p w14:paraId="5ACA889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4、资金来源：财政资金，已落实。</w:t>
      </w:r>
    </w:p>
    <w:p w14:paraId="76F1FC9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5、标段划分：</w:t>
      </w:r>
      <w:r>
        <w:rPr>
          <w:rFonts w:hint="eastAsia" w:ascii="宋体" w:hAnsi="宋体" w:eastAsia="宋体" w:cs="宋体"/>
          <w:color w:val="auto"/>
          <w:sz w:val="24"/>
          <w:szCs w:val="24"/>
          <w:highlight w:val="none"/>
          <w:lang w:val="en-US" w:eastAsia="zh-CN"/>
        </w:rPr>
        <w:t>无。</w:t>
      </w:r>
    </w:p>
    <w:p w14:paraId="0EBB53E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6、采购内容：40%唑醚·戊唑醇悬浮剂1500公斤；5%氯虫苯甲酰胺</w:t>
      </w:r>
      <w:r>
        <w:rPr>
          <w:rFonts w:hint="default" w:ascii="宋体" w:hAnsi="宋体" w:eastAsia="宋体" w:cs="宋体"/>
          <w:color w:val="auto"/>
          <w:sz w:val="24"/>
          <w:szCs w:val="24"/>
          <w:highlight w:val="none"/>
          <w:lang w:eastAsia="zh-CN"/>
        </w:rPr>
        <w:t>悬浮</w:t>
      </w:r>
      <w:r>
        <w:rPr>
          <w:rFonts w:hint="eastAsia" w:ascii="宋体" w:hAnsi="宋体" w:eastAsia="宋体" w:cs="宋体"/>
          <w:color w:val="auto"/>
          <w:sz w:val="24"/>
          <w:szCs w:val="24"/>
          <w:highlight w:val="none"/>
          <w:lang w:val="en-US" w:eastAsia="zh-CN"/>
        </w:rPr>
        <w:t>剂1500公斤；0.01%24表芸苔素内酯可溶液剂750公斤；99%磷酸二氢钾7500公斤；</w:t>
      </w:r>
      <w:r>
        <w:rPr>
          <w:rFonts w:hint="eastAsia" w:ascii="宋体" w:hAnsi="宋体" w:eastAsia="宋体" w:cs="宋体"/>
          <w:color w:val="auto"/>
          <w:sz w:val="24"/>
          <w:szCs w:val="24"/>
          <w:highlight w:val="none"/>
          <w:lang w:eastAsia="zh-CN"/>
        </w:rPr>
        <w:t>详见竞争性磋商文件</w:t>
      </w:r>
      <w:r>
        <w:rPr>
          <w:rFonts w:hint="eastAsia" w:ascii="宋体" w:hAnsi="宋体" w:eastAsia="宋体" w:cs="宋体"/>
          <w:color w:val="auto"/>
          <w:sz w:val="24"/>
          <w:szCs w:val="24"/>
          <w:highlight w:val="none"/>
          <w:lang w:val="en-US" w:eastAsia="zh-CN"/>
        </w:rPr>
        <w:t>采购清单要求；</w:t>
      </w:r>
    </w:p>
    <w:p w14:paraId="3208819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、预算资金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：59.23</w:t>
      </w:r>
      <w:r>
        <w:rPr>
          <w:rFonts w:hint="eastAsia" w:ascii="宋体" w:hAnsi="宋体" w:eastAsia="宋体" w:cs="宋体"/>
          <w:color w:val="auto"/>
          <w:sz w:val="24"/>
          <w:szCs w:val="24"/>
          <w:highlight w:val="none"/>
          <w:lang w:val="en-US" w:eastAsia="zh-CN"/>
        </w:rPr>
        <w:t>万元。</w:t>
      </w:r>
    </w:p>
    <w:p w14:paraId="21DD90A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、质量要求：合格</w:t>
      </w:r>
      <w:r>
        <w:rPr>
          <w:rFonts w:hint="eastAsia" w:ascii="宋体" w:hAnsi="宋体" w:cs="宋体"/>
          <w:color w:val="auto"/>
          <w:sz w:val="24"/>
          <w:szCs w:val="24"/>
          <w:highlight w:val="none"/>
          <w:lang w:eastAsia="zh-CN"/>
        </w:rPr>
        <w:t>。</w:t>
      </w:r>
    </w:p>
    <w:p w14:paraId="6D71A60F">
      <w:pPr>
        <w:pStyle w:val="32"/>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供货服务</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eastAsia="zh-CN"/>
        </w:rPr>
        <w:t>签订合同后</w:t>
      </w:r>
      <w:r>
        <w:rPr>
          <w:rFonts w:hint="eastAsia" w:ascii="宋体" w:hAnsi="宋体" w:eastAsia="宋体" w:cs="宋体"/>
          <w:color w:val="auto"/>
          <w:sz w:val="24"/>
          <w:szCs w:val="24"/>
          <w:highlight w:val="none"/>
          <w:lang w:val="en-US" w:eastAsia="zh-CN"/>
        </w:rPr>
        <w:t>5日历天</w:t>
      </w:r>
      <w:r>
        <w:rPr>
          <w:rFonts w:hint="eastAsia" w:ascii="宋体" w:hAnsi="宋体" w:eastAsia="宋体" w:cs="宋体"/>
          <w:color w:val="auto"/>
          <w:sz w:val="24"/>
          <w:szCs w:val="24"/>
          <w:highlight w:val="none"/>
          <w:lang w:eastAsia="zh-CN"/>
        </w:rPr>
        <w:t>内供货完毕</w:t>
      </w:r>
      <w:r>
        <w:rPr>
          <w:rFonts w:hint="eastAsia" w:ascii="宋体" w:hAnsi="宋体" w:cs="宋体"/>
          <w:color w:val="auto"/>
          <w:sz w:val="24"/>
          <w:szCs w:val="24"/>
          <w:highlight w:val="none"/>
          <w:lang w:eastAsia="zh-CN"/>
        </w:rPr>
        <w:t>。</w:t>
      </w:r>
    </w:p>
    <w:p w14:paraId="3308997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、实施地点：灵宝市境内</w:t>
      </w:r>
      <w:r>
        <w:rPr>
          <w:rFonts w:hint="eastAsia" w:ascii="宋体" w:hAnsi="宋体" w:cs="宋体"/>
          <w:color w:val="auto"/>
          <w:sz w:val="24"/>
          <w:szCs w:val="24"/>
          <w:highlight w:val="none"/>
          <w:lang w:eastAsia="zh-CN"/>
        </w:rPr>
        <w:t>。</w:t>
      </w:r>
    </w:p>
    <w:p w14:paraId="71E5AD5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二、供应商资格要求</w:t>
      </w:r>
    </w:p>
    <w:p w14:paraId="36B95C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1、满足《中华人民共和国政府采购法》第二十二条规定</w:t>
      </w:r>
      <w:r>
        <w:rPr>
          <w:rFonts w:hint="eastAsia" w:ascii="宋体" w:hAnsi="宋体" w:cs="宋体"/>
          <w:i w:val="0"/>
          <w:iCs w:val="0"/>
          <w:caps w:val="0"/>
          <w:color w:val="auto"/>
          <w:spacing w:val="0"/>
          <w:kern w:val="0"/>
          <w:sz w:val="24"/>
          <w:szCs w:val="24"/>
          <w:highlight w:val="none"/>
          <w:lang w:val="en-US" w:eastAsia="zh-CN" w:bidi="ar"/>
        </w:rPr>
        <w:t>。</w:t>
      </w:r>
    </w:p>
    <w:p w14:paraId="2DA59F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2、落实政府采购政策满足的资格要求：</w:t>
      </w:r>
      <w:r>
        <w:rPr>
          <w:rFonts w:hint="eastAsia" w:ascii="宋体" w:hAnsi="宋体" w:eastAsia="宋体" w:cs="宋体"/>
          <w:color w:val="auto"/>
          <w:kern w:val="0"/>
          <w:sz w:val="24"/>
          <w:szCs w:val="24"/>
          <w:highlight w:val="none"/>
          <w:shd w:val="clear" w:fill="FFFFFF"/>
          <w:lang w:val="en-US" w:eastAsia="zh-CN" w:bidi="ar"/>
        </w:rPr>
        <w:t>本项目非专门面向中小微企业采购项目,执行促进中小企业（监狱企业、残疾人福利性企业）发展等政府采购政策。</w:t>
      </w:r>
    </w:p>
    <w:p w14:paraId="41A372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kern w:val="0"/>
          <w:sz w:val="24"/>
          <w:szCs w:val="24"/>
          <w:highlight w:val="none"/>
          <w:lang w:val="en-US" w:eastAsia="zh-CN" w:bidi="ar"/>
        </w:rPr>
        <w:t>3、本项目的特定资格要求</w:t>
      </w:r>
    </w:p>
    <w:p w14:paraId="19B2D4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shd w:val="clear" w:fill="FFFFFF"/>
          <w:lang w:val="en-US" w:eastAsia="zh-CN" w:bidi="ar"/>
        </w:rPr>
      </w:pPr>
      <w:r>
        <w:rPr>
          <w:rFonts w:hint="eastAsia" w:ascii="宋体" w:hAnsi="宋体" w:eastAsia="宋体" w:cs="宋体"/>
          <w:color w:val="auto"/>
          <w:kern w:val="0"/>
          <w:sz w:val="24"/>
          <w:szCs w:val="24"/>
          <w:highlight w:val="none"/>
          <w:shd w:val="clear" w:fill="FFFFFF"/>
          <w:lang w:val="en-US" w:eastAsia="zh-CN" w:bidi="ar"/>
        </w:rPr>
        <w:t>3.1供应商须具有独立承担民事责任的能力和有效营业执照。</w:t>
      </w:r>
    </w:p>
    <w:p w14:paraId="42955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shd w:val="clear" w:fill="FFFFFF"/>
          <w:lang w:val="en-US" w:eastAsia="zh-CN" w:bidi="ar"/>
        </w:rPr>
      </w:pPr>
      <w:r>
        <w:rPr>
          <w:rFonts w:hint="eastAsia" w:ascii="宋体" w:hAnsi="宋体" w:eastAsia="宋体" w:cs="宋体"/>
          <w:color w:val="auto"/>
          <w:kern w:val="0"/>
          <w:sz w:val="24"/>
          <w:szCs w:val="24"/>
          <w:highlight w:val="none"/>
          <w:shd w:val="clear" w:fill="FFFFFF"/>
          <w:lang w:val="en-US" w:eastAsia="zh-CN" w:bidi="ar"/>
        </w:rPr>
        <w:t>3.2供应商为生产商的需提供农药生产许可证(登记对象必须包含</w:t>
      </w:r>
      <w:r>
        <w:rPr>
          <w:rFonts w:hint="eastAsia" w:ascii="宋体" w:hAnsi="宋体" w:cs="宋体"/>
          <w:color w:val="auto"/>
          <w:kern w:val="0"/>
          <w:sz w:val="24"/>
          <w:szCs w:val="24"/>
          <w:highlight w:val="none"/>
          <w:shd w:val="clear" w:fill="FFFFFF"/>
          <w:lang w:val="en-US" w:eastAsia="zh-CN" w:bidi="ar"/>
        </w:rPr>
        <w:t>玉米</w:t>
      </w:r>
      <w:r>
        <w:rPr>
          <w:rFonts w:hint="eastAsia" w:ascii="宋体" w:hAnsi="宋体" w:eastAsia="宋体" w:cs="宋体"/>
          <w:color w:val="auto"/>
          <w:kern w:val="0"/>
          <w:sz w:val="24"/>
          <w:szCs w:val="24"/>
          <w:highlight w:val="none"/>
          <w:shd w:val="clear" w:fill="FFFFFF"/>
          <w:lang w:val="en-US" w:eastAsia="zh-CN" w:bidi="ar"/>
        </w:rPr>
        <w:t>)，若供应商为经销商的需提供农药经营许可证；所提供的农药产品须 “三证”（生产许可证或生产批准证、农药登记证(登记对象必须包含</w:t>
      </w:r>
      <w:r>
        <w:rPr>
          <w:rFonts w:hint="eastAsia" w:ascii="宋体" w:hAnsi="宋体" w:cs="宋体"/>
          <w:color w:val="auto"/>
          <w:kern w:val="0"/>
          <w:sz w:val="24"/>
          <w:szCs w:val="24"/>
          <w:highlight w:val="none"/>
          <w:shd w:val="clear" w:fill="FFFFFF"/>
          <w:lang w:val="en-US" w:eastAsia="zh-CN" w:bidi="ar"/>
        </w:rPr>
        <w:t>玉米</w:t>
      </w:r>
      <w:r>
        <w:rPr>
          <w:rFonts w:hint="eastAsia" w:ascii="宋体" w:hAnsi="宋体" w:eastAsia="宋体" w:cs="宋体"/>
          <w:color w:val="auto"/>
          <w:kern w:val="0"/>
          <w:sz w:val="24"/>
          <w:szCs w:val="24"/>
          <w:highlight w:val="none"/>
          <w:shd w:val="clear" w:fill="FFFFFF"/>
          <w:lang w:val="en-US" w:eastAsia="zh-CN" w:bidi="ar"/>
        </w:rPr>
        <w:t>)、产品标准证）齐全，并在有效期内。</w:t>
      </w:r>
    </w:p>
    <w:p w14:paraId="439933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3.3供应商具有履行合同所必须的设备和专业能力，具有良好的社会信誉，在实施项目中没有出现不良记录，并且没有出现经营管理、产品质量安全、纳税、环保等问题，能够接受行业管理部门的监督、管理（提供承诺书）。</w:t>
      </w:r>
    </w:p>
    <w:p w14:paraId="65439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3.4参加政府采购活动前三年内，在经营活动中没有重大违法记录（承诺对象公司、法人）。</w:t>
      </w:r>
    </w:p>
    <w:p w14:paraId="058E6A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3.5企业自行出具本企业无商业贿赂和不正当竞争行为的承诺书（承诺对象公司、法人）。</w:t>
      </w:r>
    </w:p>
    <w:p w14:paraId="342A91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3.6、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开标时间前截止，提供网站查询截图；同时，开标后由</w:t>
      </w:r>
      <w:r>
        <w:rPr>
          <w:rFonts w:hint="eastAsia" w:ascii="宋体" w:hAnsi="宋体" w:cs="宋体"/>
          <w:color w:val="auto"/>
          <w:kern w:val="0"/>
          <w:sz w:val="24"/>
          <w:szCs w:val="24"/>
          <w:highlight w:val="none"/>
          <w:lang w:val="en-US" w:eastAsia="zh-CN" w:bidi="ar"/>
        </w:rPr>
        <w:t>采购</w:t>
      </w:r>
      <w:r>
        <w:rPr>
          <w:rFonts w:hint="eastAsia" w:ascii="宋体" w:hAnsi="宋体" w:eastAsia="宋体" w:cs="宋体"/>
          <w:color w:val="auto"/>
          <w:kern w:val="0"/>
          <w:sz w:val="24"/>
          <w:szCs w:val="24"/>
          <w:highlight w:val="none"/>
          <w:lang w:val="en-US" w:eastAsia="zh-CN" w:bidi="ar"/>
        </w:rPr>
        <w:t>人或代理机构通过以上网站进行查询，信用信息查询记录和证据将同</w:t>
      </w:r>
      <w:r>
        <w:rPr>
          <w:rFonts w:hint="eastAsia" w:ascii="宋体" w:hAnsi="宋体" w:cs="宋体"/>
          <w:color w:val="auto"/>
          <w:kern w:val="0"/>
          <w:sz w:val="24"/>
          <w:szCs w:val="24"/>
          <w:highlight w:val="none"/>
          <w:lang w:val="en-US" w:eastAsia="zh-CN" w:bidi="ar"/>
        </w:rPr>
        <w:t>磋商文件</w:t>
      </w:r>
      <w:r>
        <w:rPr>
          <w:rFonts w:hint="eastAsia" w:ascii="宋体" w:hAnsi="宋体" w:eastAsia="宋体" w:cs="宋体"/>
          <w:color w:val="auto"/>
          <w:kern w:val="0"/>
          <w:sz w:val="24"/>
          <w:szCs w:val="24"/>
          <w:highlight w:val="none"/>
          <w:lang w:val="en-US" w:eastAsia="zh-CN" w:bidi="ar"/>
        </w:rPr>
        <w:t>等资料一同归档保存。相关网站有最新规定的，按最新规定执行）</w:t>
      </w:r>
      <w:r>
        <w:rPr>
          <w:rFonts w:hint="eastAsia" w:ascii="宋体" w:hAnsi="宋体" w:cs="宋体"/>
          <w:color w:val="auto"/>
          <w:kern w:val="0"/>
          <w:sz w:val="24"/>
          <w:szCs w:val="24"/>
          <w:highlight w:val="none"/>
          <w:lang w:val="en-US" w:eastAsia="zh-CN" w:bidi="ar"/>
        </w:rPr>
        <w:t>。</w:t>
      </w:r>
    </w:p>
    <w:p w14:paraId="314D33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3.7单位负责人为同一人或者存在控股、管理关系的不同单位，不得同时参加本项目的投标；（提供“国家企业信用信息公示系统”中公示的公司信息、股东或投资人信息查询截图，查询时间自公告发布之日起）。 </w:t>
      </w:r>
    </w:p>
    <w:p w14:paraId="799092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3.8本项目不接受联合体投标。</w:t>
      </w:r>
    </w:p>
    <w:p w14:paraId="12E5EF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3.9本次磋商实行资格后审，资格审查的具体要求见竞争性磋商文件。</w:t>
      </w:r>
    </w:p>
    <w:p w14:paraId="0797B1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三、竞争性磋商文件下载：</w:t>
      </w:r>
    </w:p>
    <w:p w14:paraId="54DCD9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1、竞争性磋商文件下载时间：2025年</w:t>
      </w: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月</w:t>
      </w:r>
      <w:r>
        <w:rPr>
          <w:rFonts w:hint="eastAsia" w:ascii="宋体" w:hAnsi="宋体" w:cs="宋体"/>
          <w:color w:val="auto"/>
          <w:kern w:val="0"/>
          <w:sz w:val="24"/>
          <w:szCs w:val="24"/>
          <w:highlight w:val="none"/>
          <w:lang w:val="en-US" w:eastAsia="zh-CN" w:bidi="ar"/>
        </w:rPr>
        <w:t>29</w:t>
      </w:r>
      <w:r>
        <w:rPr>
          <w:rFonts w:hint="eastAsia" w:ascii="宋体" w:hAnsi="宋体" w:eastAsia="宋体" w:cs="宋体"/>
          <w:color w:val="auto"/>
          <w:kern w:val="0"/>
          <w:sz w:val="24"/>
          <w:szCs w:val="24"/>
          <w:highlight w:val="none"/>
          <w:lang w:val="en-US" w:eastAsia="zh-CN" w:bidi="ar"/>
        </w:rPr>
        <w:t>日至2025年</w:t>
      </w:r>
      <w:r>
        <w:rPr>
          <w:rFonts w:hint="eastAsia" w:ascii="宋体" w:hAnsi="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月</w:t>
      </w: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日</w:t>
      </w:r>
      <w:r>
        <w:rPr>
          <w:rFonts w:hint="eastAsia" w:ascii="宋体" w:hAnsi="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时</w:t>
      </w:r>
      <w:r>
        <w:rPr>
          <w:rFonts w:hint="eastAsia" w:ascii="宋体" w:hAnsi="宋体" w:cs="宋体"/>
          <w:color w:val="auto"/>
          <w:kern w:val="0"/>
          <w:sz w:val="24"/>
          <w:szCs w:val="24"/>
          <w:highlight w:val="none"/>
          <w:lang w:val="en-US" w:eastAsia="zh-CN" w:bidi="ar"/>
        </w:rPr>
        <w:t>00</w:t>
      </w:r>
      <w:r>
        <w:rPr>
          <w:rFonts w:hint="eastAsia" w:ascii="宋体" w:hAnsi="宋体" w:eastAsia="宋体" w:cs="宋体"/>
          <w:color w:val="auto"/>
          <w:kern w:val="0"/>
          <w:sz w:val="24"/>
          <w:szCs w:val="24"/>
          <w:highlight w:val="none"/>
          <w:lang w:val="en-US" w:eastAsia="zh-CN" w:bidi="ar"/>
        </w:rPr>
        <w:t>分。</w:t>
      </w:r>
    </w:p>
    <w:p w14:paraId="676670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竞争性磋商文件获取方式：本项目没有报名环节，供应商凭CA数字证书通过三门峡市公共资源交易中心网（网址：gzjy.smx.gov.cn），点击交易平台选择“市场主体登录”，在所参与项目右侧点击参与投标，即可直接下载本项目竞争性磋商文件。本项目采用全电子化招标，不再收取竞争性磋商文件费。</w:t>
      </w:r>
    </w:p>
    <w:p w14:paraId="4E21A6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办理CA证书：http://gzjy.smx.gov.cn/bzzx/008001/20211105/57b16af9-ab87-4395-a723-7758c628a3f8.html</w:t>
      </w:r>
    </w:p>
    <w:p w14:paraId="4FBA55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三门峡市公共资源交易平台操作手册：</w:t>
      </w:r>
    </w:p>
    <w:p w14:paraId="65E2E1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http://gzjy.smx.gov.cn/bzzx/008001/20200325/1d4d9bd4-82a2-4284-b2f7-428c4c69ef58.html</w:t>
      </w:r>
    </w:p>
    <w:p w14:paraId="2CB734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四、</w:t>
      </w:r>
      <w:r>
        <w:rPr>
          <w:rFonts w:hint="eastAsia" w:ascii="宋体" w:hAnsi="宋体" w:cs="宋体"/>
          <w:color w:val="auto"/>
          <w:kern w:val="0"/>
          <w:sz w:val="24"/>
          <w:szCs w:val="24"/>
          <w:highlight w:val="none"/>
          <w:lang w:val="en-US" w:eastAsia="zh-CN" w:bidi="ar"/>
        </w:rPr>
        <w:t>响应</w:t>
      </w:r>
      <w:r>
        <w:rPr>
          <w:rFonts w:hint="eastAsia" w:ascii="宋体" w:hAnsi="宋体" w:eastAsia="宋体" w:cs="宋体"/>
          <w:color w:val="auto"/>
          <w:kern w:val="0"/>
          <w:sz w:val="24"/>
          <w:szCs w:val="24"/>
          <w:highlight w:val="none"/>
          <w:lang w:val="en-US" w:eastAsia="zh-CN" w:bidi="ar"/>
        </w:rPr>
        <w:t>文件递交截止时间及地点</w:t>
      </w:r>
    </w:p>
    <w:p w14:paraId="1E9BA3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响应</w:t>
      </w:r>
      <w:r>
        <w:rPr>
          <w:rFonts w:hint="eastAsia" w:ascii="宋体" w:hAnsi="宋体" w:eastAsia="宋体" w:cs="宋体"/>
          <w:color w:val="auto"/>
          <w:kern w:val="0"/>
          <w:sz w:val="24"/>
          <w:szCs w:val="24"/>
          <w:highlight w:val="none"/>
          <w:lang w:val="en-US" w:eastAsia="zh-CN" w:bidi="ar"/>
        </w:rPr>
        <w:t>文件递交截止时间：2025年</w:t>
      </w:r>
      <w:r>
        <w:rPr>
          <w:rFonts w:hint="eastAsia" w:ascii="宋体" w:hAnsi="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月</w:t>
      </w: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日</w:t>
      </w:r>
      <w:r>
        <w:rPr>
          <w:rFonts w:hint="eastAsia" w:ascii="宋体" w:hAnsi="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时</w:t>
      </w:r>
      <w:r>
        <w:rPr>
          <w:rFonts w:hint="eastAsia" w:ascii="宋体" w:hAnsi="宋体" w:cs="宋体"/>
          <w:color w:val="auto"/>
          <w:kern w:val="0"/>
          <w:sz w:val="24"/>
          <w:szCs w:val="24"/>
          <w:highlight w:val="none"/>
          <w:lang w:val="en-US" w:eastAsia="zh-CN" w:bidi="ar"/>
        </w:rPr>
        <w:t>00</w:t>
      </w:r>
      <w:r>
        <w:rPr>
          <w:rFonts w:hint="eastAsia" w:ascii="宋体" w:hAnsi="宋体" w:eastAsia="宋体" w:cs="宋体"/>
          <w:color w:val="auto"/>
          <w:kern w:val="0"/>
          <w:sz w:val="24"/>
          <w:szCs w:val="24"/>
          <w:highlight w:val="none"/>
          <w:lang w:val="en-US" w:eastAsia="zh-CN" w:bidi="ar"/>
        </w:rPr>
        <w:t>分（北京时间）。</w:t>
      </w:r>
    </w:p>
    <w:p w14:paraId="47129D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val="en-US" w:eastAsia="zh-CN" w:bidi="ar"/>
        </w:rPr>
        <w:t>响应</w:t>
      </w:r>
      <w:r>
        <w:rPr>
          <w:rFonts w:hint="eastAsia" w:ascii="宋体" w:hAnsi="宋体" w:eastAsia="宋体" w:cs="宋体"/>
          <w:color w:val="auto"/>
          <w:kern w:val="0"/>
          <w:sz w:val="24"/>
          <w:szCs w:val="24"/>
          <w:highlight w:val="none"/>
          <w:lang w:val="en-US" w:eastAsia="zh-CN" w:bidi="ar"/>
        </w:rPr>
        <w:t>文件递交地点：在三门峡市公共资源交易中心网络平台上传加密</w:t>
      </w:r>
      <w:r>
        <w:rPr>
          <w:rFonts w:hint="eastAsia" w:ascii="宋体" w:hAnsi="宋体" w:cs="宋体"/>
          <w:color w:val="auto"/>
          <w:kern w:val="0"/>
          <w:sz w:val="24"/>
          <w:szCs w:val="24"/>
          <w:highlight w:val="none"/>
          <w:lang w:val="en-US" w:eastAsia="zh-CN" w:bidi="ar"/>
        </w:rPr>
        <w:t>响应</w:t>
      </w:r>
      <w:r>
        <w:rPr>
          <w:rFonts w:hint="eastAsia" w:ascii="宋体" w:hAnsi="宋体" w:eastAsia="宋体" w:cs="宋体"/>
          <w:color w:val="auto"/>
          <w:kern w:val="0"/>
          <w:sz w:val="24"/>
          <w:szCs w:val="24"/>
          <w:highlight w:val="none"/>
          <w:lang w:val="en-US" w:eastAsia="zh-CN" w:bidi="ar"/>
        </w:rPr>
        <w:t>文件。</w:t>
      </w:r>
    </w:p>
    <w:p w14:paraId="14F11A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3、项目实行资格后审，审查内容以投标截止时间前在三门峡市公共资源交易中心网提交</w:t>
      </w:r>
      <w:r>
        <w:rPr>
          <w:rFonts w:hint="eastAsia" w:ascii="宋体" w:hAnsi="宋体" w:cs="宋体"/>
          <w:color w:val="auto"/>
          <w:kern w:val="0"/>
          <w:sz w:val="24"/>
          <w:szCs w:val="24"/>
          <w:highlight w:val="none"/>
          <w:lang w:val="en-US" w:eastAsia="zh-CN" w:bidi="ar"/>
        </w:rPr>
        <w:t>响应</w:t>
      </w:r>
      <w:r>
        <w:rPr>
          <w:rFonts w:hint="eastAsia" w:ascii="宋体" w:hAnsi="宋体" w:eastAsia="宋体" w:cs="宋体"/>
          <w:color w:val="auto"/>
          <w:kern w:val="0"/>
          <w:sz w:val="24"/>
          <w:szCs w:val="24"/>
          <w:highlight w:val="none"/>
          <w:lang w:val="en-US" w:eastAsia="zh-CN" w:bidi="ar"/>
        </w:rPr>
        <w:t>文件的信息为准。其上传资料真实性由供应商自行承担。原件扫描件清晰可辨。否则，由此造成应得分而未得分或资格审查不合格等情况的，由供应商承担责任。</w:t>
      </w:r>
    </w:p>
    <w:p w14:paraId="7D3903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五、</w:t>
      </w:r>
      <w:r>
        <w:rPr>
          <w:rFonts w:hint="eastAsia" w:ascii="宋体" w:hAnsi="宋体"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保证金</w:t>
      </w:r>
    </w:p>
    <w:p w14:paraId="5DECB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按照《河南省财政厅关于优化政府采购营商环境有关问题的通知》（豫财购[2019]4号文）的要求本项目不再收取保证金。</w:t>
      </w:r>
    </w:p>
    <w:p w14:paraId="7D25C7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六、磋商时间及地点</w:t>
      </w:r>
    </w:p>
    <w:p w14:paraId="45403A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1、磋商时间：2025年</w:t>
      </w:r>
      <w:r>
        <w:rPr>
          <w:rFonts w:hint="eastAsia" w:ascii="宋体" w:hAnsi="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月</w:t>
      </w: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日</w:t>
      </w:r>
      <w:r>
        <w:rPr>
          <w:rFonts w:hint="eastAsia" w:ascii="宋体" w:hAnsi="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时</w:t>
      </w:r>
      <w:r>
        <w:rPr>
          <w:rFonts w:hint="eastAsia" w:ascii="宋体" w:hAnsi="宋体" w:cs="宋体"/>
          <w:color w:val="auto"/>
          <w:kern w:val="0"/>
          <w:sz w:val="24"/>
          <w:szCs w:val="24"/>
          <w:highlight w:val="none"/>
          <w:lang w:val="en-US" w:eastAsia="zh-CN" w:bidi="ar"/>
        </w:rPr>
        <w:t>00</w:t>
      </w:r>
      <w:r>
        <w:rPr>
          <w:rFonts w:hint="eastAsia" w:ascii="宋体" w:hAnsi="宋体" w:eastAsia="宋体" w:cs="宋体"/>
          <w:color w:val="auto"/>
          <w:kern w:val="0"/>
          <w:sz w:val="24"/>
          <w:szCs w:val="24"/>
          <w:highlight w:val="none"/>
          <w:lang w:val="en-US" w:eastAsia="zh-CN" w:bidi="ar"/>
        </w:rPr>
        <w:t>分。</w:t>
      </w:r>
    </w:p>
    <w:p w14:paraId="7E8710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2、地点：灵宝市公共资源交易中心开标</w:t>
      </w:r>
      <w:r>
        <w:rPr>
          <w:rFonts w:hint="eastAsia" w:ascii="宋体" w:hAnsi="宋体" w:cs="宋体"/>
          <w:color w:val="auto"/>
          <w:kern w:val="0"/>
          <w:sz w:val="24"/>
          <w:szCs w:val="24"/>
          <w:highlight w:val="none"/>
          <w:lang w:val="en-US" w:eastAsia="zh-CN" w:bidi="ar"/>
        </w:rPr>
        <w:t>二</w:t>
      </w:r>
      <w:r>
        <w:rPr>
          <w:rFonts w:hint="eastAsia" w:ascii="宋体" w:hAnsi="宋体" w:eastAsia="宋体" w:cs="宋体"/>
          <w:color w:val="auto"/>
          <w:kern w:val="0"/>
          <w:sz w:val="24"/>
          <w:szCs w:val="24"/>
          <w:highlight w:val="none"/>
          <w:lang w:val="en-US" w:eastAsia="zh-CN" w:bidi="ar"/>
        </w:rPr>
        <w:t>室（灵宝市金城大道信用联社12楼）。</w:t>
      </w:r>
    </w:p>
    <w:p w14:paraId="578394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3、本项目为不见面开标项目，开标当日，供应商无需到开标现场参加开标会议，供应商应当在投标截止时间前，登陆不见面开标大厅选择登陆三门峡市公共资源电子招投标系统进行登陆（网址为</w:t>
      </w:r>
    </w:p>
    <w:p w14:paraId="451C62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http://122.112.246.33/BidOpening/bidopeninghallaction/hall/login）。在线准时参加开标活动并进行</w:t>
      </w:r>
      <w:r>
        <w:rPr>
          <w:rFonts w:hint="eastAsia" w:ascii="宋体" w:hAnsi="宋体" w:cs="宋体"/>
          <w:color w:val="auto"/>
          <w:kern w:val="0"/>
          <w:sz w:val="24"/>
          <w:szCs w:val="24"/>
          <w:highlight w:val="none"/>
          <w:lang w:val="en-US" w:eastAsia="zh-CN" w:bidi="ar"/>
        </w:rPr>
        <w:t>响应文件</w:t>
      </w:r>
      <w:r>
        <w:rPr>
          <w:rFonts w:hint="eastAsia" w:ascii="宋体" w:hAnsi="宋体" w:eastAsia="宋体" w:cs="宋体"/>
          <w:color w:val="auto"/>
          <w:kern w:val="0"/>
          <w:sz w:val="24"/>
          <w:szCs w:val="24"/>
          <w:highlight w:val="none"/>
          <w:lang w:val="en-US" w:eastAsia="zh-CN" w:bidi="ar"/>
        </w:rPr>
        <w:t>解密等。每位供应商的解密时间为开标时间起30分钟内完成。因供应商原因未能解密、解密失败或解密超时的将被拒绝。</w:t>
      </w:r>
    </w:p>
    <w:p w14:paraId="69E7A1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七、其他事项</w:t>
      </w:r>
    </w:p>
    <w:p w14:paraId="1E0BBF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1、本项目实行资格后审，根据优化营商环境的要求，评标时审查内容以投标（响应）文件为准</w:t>
      </w:r>
      <w:r>
        <w:rPr>
          <w:rFonts w:hint="eastAsia" w:ascii="宋体" w:hAnsi="宋体" w:cs="宋体"/>
          <w:color w:val="auto"/>
          <w:kern w:val="0"/>
          <w:sz w:val="24"/>
          <w:szCs w:val="24"/>
          <w:highlight w:val="none"/>
          <w:lang w:val="en-US" w:eastAsia="zh-CN" w:bidi="ar"/>
        </w:rPr>
        <w:t>。</w:t>
      </w:r>
    </w:p>
    <w:p w14:paraId="3E662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（1）资格评（预）审部分：资格评（预）审以投标（响应）文件为准，其上传资料真实性由供应商自行承担。</w:t>
      </w:r>
    </w:p>
    <w:p w14:paraId="59BFA8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（2）评标打分部分：评标打分部分仍按照100分制原则进行，涉及到资格审查、企业荣誉、人员业绩、企业业绩等计分部分时，以供应商自行上传到投标（响应）文件中的相应内容为准。</w:t>
      </w:r>
    </w:p>
    <w:p w14:paraId="6BC64A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ascii="宋体" w:hAnsi="宋体" w:cs="宋体"/>
          <w:color w:val="auto"/>
          <w:kern w:val="0"/>
          <w:sz w:val="24"/>
          <w:szCs w:val="24"/>
          <w:highlight w:val="none"/>
          <w:lang w:val="en-US" w:eastAsia="zh-CN" w:bidi="ar"/>
        </w:rPr>
        <w:t>响应文件</w:t>
      </w:r>
      <w:r>
        <w:rPr>
          <w:rFonts w:hint="eastAsia" w:ascii="宋体" w:hAnsi="宋体" w:eastAsia="宋体" w:cs="宋体"/>
          <w:color w:val="auto"/>
          <w:kern w:val="0"/>
          <w:sz w:val="24"/>
          <w:szCs w:val="24"/>
          <w:highlight w:val="none"/>
          <w:lang w:val="en-US" w:eastAsia="zh-CN" w:bidi="ar"/>
        </w:rPr>
        <w:t>编制部分：在竞争性磋商文件中要求供应商按照投标（响应）文件格式进行</w:t>
      </w:r>
      <w:r>
        <w:rPr>
          <w:rFonts w:hint="eastAsia" w:ascii="宋体" w:hAnsi="宋体" w:cs="宋体"/>
          <w:color w:val="auto"/>
          <w:kern w:val="0"/>
          <w:sz w:val="24"/>
          <w:szCs w:val="24"/>
          <w:highlight w:val="none"/>
          <w:lang w:val="en-US" w:eastAsia="zh-CN" w:bidi="ar"/>
        </w:rPr>
        <w:t>响应文件</w:t>
      </w:r>
      <w:r>
        <w:rPr>
          <w:rFonts w:hint="eastAsia" w:ascii="宋体" w:hAnsi="宋体" w:eastAsia="宋体" w:cs="宋体"/>
          <w:color w:val="auto"/>
          <w:kern w:val="0"/>
          <w:sz w:val="24"/>
          <w:szCs w:val="24"/>
          <w:highlight w:val="none"/>
          <w:lang w:val="en-US" w:eastAsia="zh-CN" w:bidi="ar"/>
        </w:rPr>
        <w:t>编制，在</w:t>
      </w:r>
      <w:r>
        <w:rPr>
          <w:rFonts w:hint="eastAsia" w:ascii="宋体" w:hAnsi="宋体" w:cs="宋体"/>
          <w:color w:val="auto"/>
          <w:kern w:val="0"/>
          <w:sz w:val="24"/>
          <w:szCs w:val="24"/>
          <w:highlight w:val="none"/>
          <w:lang w:val="en-US" w:eastAsia="zh-CN" w:bidi="ar"/>
        </w:rPr>
        <w:t>响应文件</w:t>
      </w:r>
      <w:r>
        <w:rPr>
          <w:rFonts w:hint="eastAsia" w:ascii="宋体" w:hAnsi="宋体" w:eastAsia="宋体" w:cs="宋体"/>
          <w:color w:val="auto"/>
          <w:kern w:val="0"/>
          <w:sz w:val="24"/>
          <w:szCs w:val="24"/>
          <w:highlight w:val="none"/>
          <w:lang w:val="en-US" w:eastAsia="zh-CN" w:bidi="ar"/>
        </w:rPr>
        <w:t>编制时，应明确将投标单位企业基本情况、资质情况、人员情况、财务情况、业绩情况编入</w:t>
      </w:r>
      <w:r>
        <w:rPr>
          <w:rFonts w:hint="eastAsia" w:ascii="宋体" w:hAnsi="宋体" w:cs="宋体"/>
          <w:color w:val="auto"/>
          <w:kern w:val="0"/>
          <w:sz w:val="24"/>
          <w:szCs w:val="24"/>
          <w:highlight w:val="none"/>
          <w:lang w:val="en-US" w:eastAsia="zh-CN" w:bidi="ar"/>
        </w:rPr>
        <w:t>响应文件</w:t>
      </w:r>
      <w:r>
        <w:rPr>
          <w:rFonts w:hint="eastAsia" w:ascii="宋体" w:hAnsi="宋体" w:eastAsia="宋体" w:cs="宋体"/>
          <w:color w:val="auto"/>
          <w:kern w:val="0"/>
          <w:sz w:val="24"/>
          <w:szCs w:val="24"/>
          <w:highlight w:val="none"/>
          <w:lang w:val="en-US" w:eastAsia="zh-CN" w:bidi="ar"/>
        </w:rPr>
        <w:t>，便于进行资格审查及评标打分以</w:t>
      </w:r>
      <w:r>
        <w:rPr>
          <w:rFonts w:hint="eastAsia" w:ascii="宋体" w:hAnsi="宋体" w:cs="宋体"/>
          <w:color w:val="auto"/>
          <w:kern w:val="0"/>
          <w:sz w:val="24"/>
          <w:szCs w:val="24"/>
          <w:highlight w:val="none"/>
          <w:lang w:val="en-US" w:eastAsia="zh-CN" w:bidi="ar"/>
        </w:rPr>
        <w:t>响应文件</w:t>
      </w:r>
      <w:r>
        <w:rPr>
          <w:rFonts w:hint="eastAsia" w:ascii="宋体" w:hAnsi="宋体" w:eastAsia="宋体" w:cs="宋体"/>
          <w:color w:val="auto"/>
          <w:kern w:val="0"/>
          <w:sz w:val="24"/>
          <w:szCs w:val="24"/>
          <w:highlight w:val="none"/>
          <w:lang w:val="en-US" w:eastAsia="zh-CN" w:bidi="ar"/>
        </w:rPr>
        <w:t>业绩信息为准，可使用电子营业执照。</w:t>
      </w:r>
    </w:p>
    <w:p w14:paraId="306051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2、供应商递交的资料和投标（响应）文件不论成交与否均不予退还</w:t>
      </w:r>
      <w:r>
        <w:rPr>
          <w:rFonts w:hint="eastAsia" w:ascii="宋体" w:hAnsi="宋体" w:cs="宋体"/>
          <w:color w:val="auto"/>
          <w:kern w:val="0"/>
          <w:sz w:val="24"/>
          <w:szCs w:val="24"/>
          <w:highlight w:val="none"/>
          <w:lang w:val="en-US" w:eastAsia="zh-CN" w:bidi="ar"/>
        </w:rPr>
        <w:t>。</w:t>
      </w:r>
    </w:p>
    <w:p w14:paraId="3FF6D6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3、本项目不组织供应商踏勘现场</w:t>
      </w:r>
      <w:r>
        <w:rPr>
          <w:rFonts w:hint="eastAsia" w:ascii="宋体" w:hAnsi="宋体" w:cs="宋体"/>
          <w:color w:val="auto"/>
          <w:kern w:val="0"/>
          <w:sz w:val="24"/>
          <w:szCs w:val="24"/>
          <w:highlight w:val="none"/>
          <w:lang w:val="en-US" w:eastAsia="zh-CN" w:bidi="ar"/>
        </w:rPr>
        <w:t>。</w:t>
      </w:r>
    </w:p>
    <w:p w14:paraId="4664B5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4、供应商应仔细阅读操作手册，在本公告中要求的截止时间前完成竞争性磋商</w:t>
      </w:r>
      <w:r>
        <w:rPr>
          <w:rFonts w:hint="eastAsia" w:ascii="宋体" w:hAnsi="宋体" w:cs="宋体"/>
          <w:color w:val="auto"/>
          <w:kern w:val="0"/>
          <w:sz w:val="24"/>
          <w:szCs w:val="24"/>
          <w:highlight w:val="none"/>
          <w:lang w:val="en-US" w:eastAsia="zh-CN" w:bidi="ar"/>
        </w:rPr>
        <w:t>响应文件</w:t>
      </w:r>
      <w:r>
        <w:rPr>
          <w:rFonts w:hint="eastAsia" w:ascii="宋体" w:hAnsi="宋体" w:eastAsia="宋体" w:cs="宋体"/>
          <w:color w:val="auto"/>
          <w:kern w:val="0"/>
          <w:sz w:val="24"/>
          <w:szCs w:val="24"/>
          <w:highlight w:val="none"/>
          <w:lang w:val="en-US" w:eastAsia="zh-CN" w:bidi="ar"/>
        </w:rPr>
        <w:t>的上传工作。并充分考虑人为操作等因素，因供应商操作不当造成的无法投标等一切后果，由供应商自行承担。</w:t>
      </w:r>
    </w:p>
    <w:p w14:paraId="4EEB6B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5、本项目为电子化、无纸化交易项目，开标时不再接受任何纸质资料，为保证您能投标成功，请需仔细阅读竞争性磋商文件和三门峡市公共资源交易中心官网业务办理指南。</w:t>
      </w:r>
    </w:p>
    <w:p w14:paraId="7DEE2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八、发布公告的媒介</w:t>
      </w:r>
    </w:p>
    <w:p w14:paraId="5DCDE5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本次磋商公告同时在</w:t>
      </w:r>
      <w:r>
        <w:rPr>
          <w:rFonts w:hint="eastAsia" w:ascii="宋体" w:hAnsi="宋体"/>
          <w:sz w:val="24"/>
          <w:highlight w:val="none"/>
        </w:rPr>
        <w:t>《中国采购与招标网》、</w:t>
      </w:r>
      <w:r>
        <w:rPr>
          <w:rFonts w:hint="eastAsia" w:ascii="宋体" w:hAnsi="宋体" w:cs="宋体"/>
          <w:sz w:val="24"/>
          <w:highlight w:val="none"/>
        </w:rPr>
        <w:t>《河南省政府采购网》、《三门峡市公共资源交易中心》</w:t>
      </w:r>
      <w:r>
        <w:rPr>
          <w:rFonts w:hint="eastAsia" w:ascii="宋体" w:hAnsi="宋体" w:eastAsia="宋体" w:cs="宋体"/>
          <w:color w:val="auto"/>
          <w:kern w:val="0"/>
          <w:sz w:val="24"/>
          <w:szCs w:val="24"/>
          <w:highlight w:val="none"/>
          <w:lang w:val="en-US" w:eastAsia="zh-CN" w:bidi="ar"/>
        </w:rPr>
        <w:t>上发布。</w:t>
      </w:r>
    </w:p>
    <w:p w14:paraId="002E2C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九、联系方式</w:t>
      </w:r>
    </w:p>
    <w:p w14:paraId="6C5716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监督单位：灵宝市财政局政府采购监督管理科</w:t>
      </w:r>
    </w:p>
    <w:p w14:paraId="1C66FC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联系电话：0398-8852670</w:t>
      </w:r>
    </w:p>
    <w:p w14:paraId="74662C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监督部门：中 共灵宝市农业农村局党组</w:t>
      </w:r>
    </w:p>
    <w:p w14:paraId="570243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联系电话：</w:t>
      </w:r>
      <w:r>
        <w:rPr>
          <w:rFonts w:hint="eastAsia" w:ascii="宋体" w:hAnsi="宋体" w:cs="宋体"/>
          <w:color w:val="auto"/>
          <w:kern w:val="0"/>
          <w:sz w:val="24"/>
          <w:szCs w:val="24"/>
          <w:highlight w:val="none"/>
          <w:lang w:val="en-US" w:eastAsia="zh-CN" w:bidi="ar"/>
        </w:rPr>
        <w:t>15238907869</w:t>
      </w:r>
    </w:p>
    <w:p w14:paraId="29CCC9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采购人：灵宝市农业农村局</w:t>
      </w:r>
    </w:p>
    <w:p w14:paraId="4A7F40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联系人：侯女士</w:t>
      </w:r>
    </w:p>
    <w:p w14:paraId="4F50B5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联系方式：0398-8856615</w:t>
      </w:r>
    </w:p>
    <w:p w14:paraId="0AB441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地 址：灵宝市文化广场科技馆内</w:t>
      </w:r>
    </w:p>
    <w:p w14:paraId="7BF66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招标代理机构:河南精开咨询有限公司</w:t>
      </w:r>
    </w:p>
    <w:p w14:paraId="0470E4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 系 人：张先生</w:t>
      </w:r>
    </w:p>
    <w:p w14:paraId="65B674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联系电话：13939853038</w:t>
      </w:r>
    </w:p>
    <w:p w14:paraId="6B4F27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地    址：三门峡市经济开发区分陕路与北环路交叉口向西200米开发区双创园B栋306</w:t>
      </w:r>
    </w:p>
    <w:p w14:paraId="2D1D69CA">
      <w:pPr>
        <w:spacing w:line="440" w:lineRule="exact"/>
        <w:ind w:firstLine="480" w:firstLineChars="200"/>
        <w:jc w:val="left"/>
        <w:rPr>
          <w:rFonts w:hint="default" w:ascii="宋体" w:hAnsi="宋体" w:eastAsia="宋体" w:cs="宋体"/>
          <w:sz w:val="24"/>
          <w:highlight w:val="none"/>
          <w:lang w:val="en-US" w:eastAsia="zh-CN"/>
        </w:rPr>
      </w:pPr>
    </w:p>
    <w:p w14:paraId="2E3712EA">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eastAsia" w:ascii="宋体" w:hAnsi="宋体" w:eastAsia="宋体" w:cs="宋体"/>
          <w:b/>
          <w:bCs/>
          <w:color w:val="auto"/>
          <w:sz w:val="32"/>
          <w:szCs w:val="32"/>
          <w:highlight w:val="none"/>
        </w:rPr>
      </w:pPr>
      <w:bookmarkStart w:id="7" w:name="_Toc70237179"/>
      <w:bookmarkStart w:id="8" w:name="_Toc21402"/>
      <w:r>
        <w:rPr>
          <w:rFonts w:hint="eastAsia" w:ascii="宋体" w:hAnsi="宋体" w:eastAsia="宋体" w:cs="宋体"/>
          <w:b/>
          <w:bCs/>
          <w:color w:val="auto"/>
          <w:sz w:val="32"/>
          <w:szCs w:val="32"/>
          <w:highlight w:val="none"/>
        </w:rPr>
        <w:t>第二章 供应商须知</w:t>
      </w:r>
      <w:bookmarkEnd w:id="7"/>
      <w:bookmarkEnd w:id="8"/>
      <w:bookmarkStart w:id="9" w:name="_Toc44996337"/>
      <w:bookmarkEnd w:id="9"/>
    </w:p>
    <w:tbl>
      <w:tblPr>
        <w:tblStyle w:val="17"/>
        <w:tblW w:w="9058" w:type="dxa"/>
        <w:tblInd w:w="87" w:type="dxa"/>
        <w:tblLayout w:type="fixed"/>
        <w:tblCellMar>
          <w:top w:w="0" w:type="dxa"/>
          <w:left w:w="108" w:type="dxa"/>
          <w:bottom w:w="0" w:type="dxa"/>
          <w:right w:w="108" w:type="dxa"/>
        </w:tblCellMar>
      </w:tblPr>
      <w:tblGrid>
        <w:gridCol w:w="670"/>
        <w:gridCol w:w="1993"/>
        <w:gridCol w:w="6395"/>
      </w:tblGrid>
      <w:tr w14:paraId="550A960E">
        <w:tblPrEx>
          <w:tblCellMar>
            <w:top w:w="0" w:type="dxa"/>
            <w:left w:w="108" w:type="dxa"/>
            <w:bottom w:w="0" w:type="dxa"/>
            <w:right w:w="108" w:type="dxa"/>
          </w:tblCellMar>
        </w:tblPrEx>
        <w:trPr>
          <w:trHeight w:val="892" w:hRule="atLeast"/>
        </w:trPr>
        <w:tc>
          <w:tcPr>
            <w:tcW w:w="670" w:type="dxa"/>
            <w:tcBorders>
              <w:top w:val="single" w:color="auto" w:sz="4" w:space="0"/>
              <w:left w:val="single" w:color="auto" w:sz="4" w:space="0"/>
              <w:bottom w:val="single" w:color="auto" w:sz="4" w:space="0"/>
              <w:right w:val="single" w:color="auto" w:sz="4" w:space="0"/>
            </w:tcBorders>
            <w:vAlign w:val="center"/>
          </w:tcPr>
          <w:p w14:paraId="2C376A3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93" w:type="dxa"/>
            <w:tcBorders>
              <w:top w:val="single" w:color="auto" w:sz="4" w:space="0"/>
              <w:left w:val="nil"/>
              <w:bottom w:val="single" w:color="auto" w:sz="4" w:space="0"/>
              <w:right w:val="single" w:color="auto" w:sz="4" w:space="0"/>
            </w:tcBorders>
            <w:vAlign w:val="center"/>
          </w:tcPr>
          <w:p w14:paraId="32AB2621">
            <w:pPr>
              <w:keepNext w:val="0"/>
              <w:keepLines w:val="0"/>
              <w:pageBreakBefore w:val="0"/>
              <w:widowControl/>
              <w:kinsoku w:val="0"/>
              <w:wordWrap/>
              <w:bidi w:val="0"/>
              <w:adjustRightInd w:val="0"/>
              <w:snapToGrid w:val="0"/>
              <w:spacing w:line="360" w:lineRule="auto"/>
              <w:ind w:left="0" w:leftChars="0" w:right="0" w:rightChars="0"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6395" w:type="dxa"/>
            <w:tcBorders>
              <w:top w:val="single" w:color="auto" w:sz="4" w:space="0"/>
              <w:left w:val="nil"/>
              <w:bottom w:val="single" w:color="auto" w:sz="4" w:space="0"/>
              <w:right w:val="single" w:color="auto" w:sz="4" w:space="0"/>
            </w:tcBorders>
            <w:vAlign w:val="center"/>
          </w:tcPr>
          <w:p w14:paraId="18FD3C4D">
            <w:pPr>
              <w:keepNext w:val="0"/>
              <w:keepLines w:val="0"/>
              <w:pageBreakBefore w:val="0"/>
              <w:widowControl/>
              <w:kinsoku w:val="0"/>
              <w:wordWrap/>
              <w:bidi w:val="0"/>
              <w:adjustRightInd w:val="0"/>
              <w:snapToGrid w:val="0"/>
              <w:spacing w:line="360" w:lineRule="auto"/>
              <w:ind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749B84DD">
        <w:tblPrEx>
          <w:tblCellMar>
            <w:top w:w="0" w:type="dxa"/>
            <w:left w:w="108" w:type="dxa"/>
            <w:bottom w:w="0" w:type="dxa"/>
            <w:right w:w="108" w:type="dxa"/>
          </w:tblCellMar>
        </w:tblPrEx>
        <w:trPr>
          <w:trHeight w:val="1945" w:hRule="atLeast"/>
        </w:trPr>
        <w:tc>
          <w:tcPr>
            <w:tcW w:w="670" w:type="dxa"/>
            <w:tcBorders>
              <w:top w:val="single" w:color="auto" w:sz="4" w:space="0"/>
              <w:left w:val="single" w:color="auto" w:sz="4" w:space="0"/>
              <w:bottom w:val="single" w:color="auto" w:sz="4" w:space="0"/>
              <w:right w:val="single" w:color="auto" w:sz="4" w:space="0"/>
            </w:tcBorders>
            <w:vAlign w:val="center"/>
          </w:tcPr>
          <w:p w14:paraId="7028708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93" w:type="dxa"/>
            <w:tcBorders>
              <w:top w:val="single" w:color="auto" w:sz="4" w:space="0"/>
              <w:left w:val="nil"/>
              <w:bottom w:val="single" w:color="auto" w:sz="4" w:space="0"/>
              <w:right w:val="single" w:color="auto" w:sz="4" w:space="0"/>
            </w:tcBorders>
            <w:shd w:val="clear" w:color="auto" w:fill="auto"/>
            <w:vAlign w:val="center"/>
          </w:tcPr>
          <w:p w14:paraId="21EBA0C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395" w:type="dxa"/>
            <w:tcBorders>
              <w:top w:val="single" w:color="auto" w:sz="4" w:space="0"/>
              <w:left w:val="nil"/>
              <w:bottom w:val="single" w:color="auto" w:sz="4" w:space="0"/>
              <w:right w:val="single" w:color="auto" w:sz="4" w:space="0"/>
            </w:tcBorders>
            <w:shd w:val="clear" w:color="auto" w:fill="auto"/>
          </w:tcPr>
          <w:p w14:paraId="62C4F1B6">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采购人：灵宝市农业农村局</w:t>
            </w:r>
          </w:p>
          <w:p w14:paraId="16C0C347">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联系人：侯女士</w:t>
            </w:r>
          </w:p>
          <w:p w14:paraId="0E47C1A9">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联系方式：0398-8856615</w:t>
            </w:r>
          </w:p>
          <w:p w14:paraId="3B18A395">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地 址：灵宝市文化广场科技馆内</w:t>
            </w:r>
          </w:p>
        </w:tc>
      </w:tr>
      <w:tr w14:paraId="37C2F226">
        <w:tblPrEx>
          <w:tblCellMar>
            <w:top w:w="0" w:type="dxa"/>
            <w:left w:w="108" w:type="dxa"/>
            <w:bottom w:w="0" w:type="dxa"/>
            <w:right w:w="108" w:type="dxa"/>
          </w:tblCellMar>
        </w:tblPrEx>
        <w:trPr>
          <w:trHeight w:val="2215" w:hRule="atLeast"/>
        </w:trPr>
        <w:tc>
          <w:tcPr>
            <w:tcW w:w="670" w:type="dxa"/>
            <w:tcBorders>
              <w:top w:val="single" w:color="auto" w:sz="4" w:space="0"/>
              <w:left w:val="single" w:color="auto" w:sz="4" w:space="0"/>
              <w:bottom w:val="single" w:color="auto" w:sz="4" w:space="0"/>
              <w:right w:val="single" w:color="auto" w:sz="4" w:space="0"/>
            </w:tcBorders>
            <w:vAlign w:val="center"/>
          </w:tcPr>
          <w:p w14:paraId="0BEC53F7">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993" w:type="dxa"/>
            <w:tcBorders>
              <w:top w:val="single" w:color="auto" w:sz="4" w:space="0"/>
              <w:left w:val="nil"/>
              <w:bottom w:val="single" w:color="auto" w:sz="4" w:space="0"/>
              <w:right w:val="single" w:color="auto" w:sz="4" w:space="0"/>
            </w:tcBorders>
            <w:shd w:val="clear" w:color="auto" w:fill="auto"/>
            <w:vAlign w:val="center"/>
          </w:tcPr>
          <w:p w14:paraId="2E57529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p>
        </w:tc>
        <w:tc>
          <w:tcPr>
            <w:tcW w:w="6395" w:type="dxa"/>
            <w:tcBorders>
              <w:top w:val="single" w:color="auto" w:sz="4" w:space="0"/>
              <w:left w:val="nil"/>
              <w:bottom w:val="single" w:color="auto" w:sz="4" w:space="0"/>
              <w:right w:val="single" w:color="auto" w:sz="4" w:space="0"/>
            </w:tcBorders>
            <w:shd w:val="clear" w:color="auto" w:fill="auto"/>
          </w:tcPr>
          <w:p w14:paraId="47E7F4EB">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招标代理机构:河南精开咨询有限公司</w:t>
            </w:r>
          </w:p>
          <w:p w14:paraId="4B2D86E6">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联 系 人：张先生</w:t>
            </w:r>
          </w:p>
          <w:p w14:paraId="16378648">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联系电话：13939853038</w:t>
            </w:r>
          </w:p>
          <w:p w14:paraId="70B96E39">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地    址：三门峡市经济开发区分陕路与北环路交叉口向西200米开发区双创园B栋306</w:t>
            </w:r>
          </w:p>
        </w:tc>
      </w:tr>
      <w:tr w14:paraId="10450A1F">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66232C3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93" w:type="dxa"/>
            <w:tcBorders>
              <w:top w:val="single" w:color="auto" w:sz="4" w:space="0"/>
              <w:left w:val="nil"/>
              <w:bottom w:val="single" w:color="auto" w:sz="4" w:space="0"/>
              <w:right w:val="single" w:color="auto" w:sz="4" w:space="0"/>
            </w:tcBorders>
            <w:shd w:val="clear" w:color="auto" w:fill="auto"/>
            <w:vAlign w:val="center"/>
          </w:tcPr>
          <w:p w14:paraId="21AC89C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395" w:type="dxa"/>
            <w:tcBorders>
              <w:top w:val="single" w:color="auto" w:sz="4" w:space="0"/>
              <w:left w:val="nil"/>
              <w:bottom w:val="single" w:color="auto" w:sz="4" w:space="0"/>
              <w:right w:val="single" w:color="auto" w:sz="4" w:space="0"/>
            </w:tcBorders>
            <w:shd w:val="clear" w:color="auto" w:fill="auto"/>
          </w:tcPr>
          <w:p w14:paraId="2538F4CF">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lang w:eastAsia="zh-CN"/>
              </w:rPr>
              <w:t>灵宝市2025年中央财政农业防灾减灾（一喷多促）补助资金项目</w:t>
            </w:r>
          </w:p>
        </w:tc>
      </w:tr>
      <w:tr w14:paraId="0DB026A1">
        <w:tblPrEx>
          <w:tblCellMar>
            <w:top w:w="0" w:type="dxa"/>
            <w:left w:w="108" w:type="dxa"/>
            <w:bottom w:w="0" w:type="dxa"/>
            <w:right w:w="108" w:type="dxa"/>
          </w:tblCellMar>
        </w:tblPrEx>
        <w:trPr>
          <w:trHeight w:val="500" w:hRule="atLeast"/>
        </w:trPr>
        <w:tc>
          <w:tcPr>
            <w:tcW w:w="670" w:type="dxa"/>
            <w:tcBorders>
              <w:top w:val="single" w:color="auto" w:sz="4" w:space="0"/>
              <w:left w:val="single" w:color="auto" w:sz="4" w:space="0"/>
              <w:bottom w:val="single" w:color="auto" w:sz="4" w:space="0"/>
              <w:right w:val="single" w:color="auto" w:sz="4" w:space="0"/>
            </w:tcBorders>
            <w:vAlign w:val="center"/>
          </w:tcPr>
          <w:p w14:paraId="4993331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993" w:type="dxa"/>
            <w:tcBorders>
              <w:top w:val="single" w:color="auto" w:sz="4" w:space="0"/>
              <w:left w:val="nil"/>
              <w:bottom w:val="single" w:color="auto" w:sz="4" w:space="0"/>
              <w:right w:val="single" w:color="auto" w:sz="4" w:space="0"/>
            </w:tcBorders>
            <w:shd w:val="clear" w:color="auto" w:fill="auto"/>
            <w:vAlign w:val="center"/>
          </w:tcPr>
          <w:p w14:paraId="4236082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p>
        </w:tc>
        <w:tc>
          <w:tcPr>
            <w:tcW w:w="6395" w:type="dxa"/>
            <w:tcBorders>
              <w:top w:val="single" w:color="auto" w:sz="4" w:space="0"/>
              <w:left w:val="nil"/>
              <w:bottom w:val="single" w:color="auto" w:sz="4" w:space="0"/>
              <w:right w:val="single" w:color="auto" w:sz="4" w:space="0"/>
            </w:tcBorders>
            <w:shd w:val="clear" w:color="auto" w:fill="auto"/>
          </w:tcPr>
          <w:p w14:paraId="568E976F">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59.23万元</w:t>
            </w:r>
          </w:p>
        </w:tc>
      </w:tr>
      <w:tr w14:paraId="08713E4C">
        <w:tblPrEx>
          <w:tblCellMar>
            <w:top w:w="0" w:type="dxa"/>
            <w:left w:w="108" w:type="dxa"/>
            <w:bottom w:w="0" w:type="dxa"/>
            <w:right w:w="108" w:type="dxa"/>
          </w:tblCellMar>
        </w:tblPrEx>
        <w:trPr>
          <w:trHeight w:val="500" w:hRule="atLeast"/>
        </w:trPr>
        <w:tc>
          <w:tcPr>
            <w:tcW w:w="670" w:type="dxa"/>
            <w:tcBorders>
              <w:top w:val="single" w:color="auto" w:sz="4" w:space="0"/>
              <w:left w:val="single" w:color="auto" w:sz="4" w:space="0"/>
              <w:bottom w:val="single" w:color="auto" w:sz="4" w:space="0"/>
              <w:right w:val="single" w:color="auto" w:sz="4" w:space="0"/>
            </w:tcBorders>
            <w:vAlign w:val="center"/>
          </w:tcPr>
          <w:p w14:paraId="409A351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993" w:type="dxa"/>
            <w:tcBorders>
              <w:top w:val="single" w:color="auto" w:sz="4" w:space="0"/>
              <w:left w:val="nil"/>
              <w:bottom w:val="single" w:color="auto" w:sz="4" w:space="0"/>
              <w:right w:val="single" w:color="auto" w:sz="4" w:space="0"/>
            </w:tcBorders>
            <w:shd w:val="clear" w:color="auto" w:fill="auto"/>
            <w:vAlign w:val="center"/>
          </w:tcPr>
          <w:p w14:paraId="615DD54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6395" w:type="dxa"/>
            <w:tcBorders>
              <w:top w:val="single" w:color="auto" w:sz="4" w:space="0"/>
              <w:left w:val="nil"/>
              <w:bottom w:val="single" w:color="auto" w:sz="4" w:space="0"/>
              <w:right w:val="single" w:color="auto" w:sz="4" w:space="0"/>
            </w:tcBorders>
            <w:shd w:val="clear" w:color="auto" w:fill="auto"/>
          </w:tcPr>
          <w:p w14:paraId="1A8E30C7">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财政资金，已落实</w:t>
            </w:r>
          </w:p>
        </w:tc>
      </w:tr>
      <w:tr w14:paraId="329A5A1C">
        <w:tblPrEx>
          <w:tblCellMar>
            <w:top w:w="0" w:type="dxa"/>
            <w:left w:w="108" w:type="dxa"/>
            <w:bottom w:w="0" w:type="dxa"/>
            <w:right w:w="108" w:type="dxa"/>
          </w:tblCellMar>
        </w:tblPrEx>
        <w:trPr>
          <w:trHeight w:val="620" w:hRule="atLeast"/>
        </w:trPr>
        <w:tc>
          <w:tcPr>
            <w:tcW w:w="670" w:type="dxa"/>
            <w:tcBorders>
              <w:top w:val="single" w:color="auto" w:sz="4" w:space="0"/>
              <w:left w:val="single" w:color="auto" w:sz="4" w:space="0"/>
              <w:bottom w:val="single" w:color="auto" w:sz="4" w:space="0"/>
              <w:right w:val="single" w:color="auto" w:sz="4" w:space="0"/>
            </w:tcBorders>
            <w:vAlign w:val="center"/>
          </w:tcPr>
          <w:p w14:paraId="1D9D4F1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993" w:type="dxa"/>
            <w:tcBorders>
              <w:top w:val="single" w:color="auto" w:sz="4" w:space="0"/>
              <w:left w:val="nil"/>
              <w:bottom w:val="single" w:color="auto" w:sz="4" w:space="0"/>
              <w:right w:val="single" w:color="auto" w:sz="4" w:space="0"/>
            </w:tcBorders>
            <w:shd w:val="clear" w:color="auto" w:fill="auto"/>
            <w:vAlign w:val="center"/>
          </w:tcPr>
          <w:p w14:paraId="61431C1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范围</w:t>
            </w:r>
          </w:p>
        </w:tc>
        <w:tc>
          <w:tcPr>
            <w:tcW w:w="6395" w:type="dxa"/>
            <w:tcBorders>
              <w:top w:val="single" w:color="auto" w:sz="4" w:space="0"/>
              <w:left w:val="nil"/>
              <w:bottom w:val="single" w:color="auto" w:sz="4" w:space="0"/>
              <w:right w:val="single" w:color="auto" w:sz="4" w:space="0"/>
            </w:tcBorders>
            <w:shd w:val="clear" w:color="auto" w:fill="auto"/>
            <w:vAlign w:val="center"/>
          </w:tcPr>
          <w:p w14:paraId="509241D4">
            <w:pPr>
              <w:keepNext w:val="0"/>
              <w:keepLines w:val="0"/>
              <w:pageBreakBefore w:val="0"/>
              <w:widowControl/>
              <w:kinsoku w:val="0"/>
              <w:wordWrap/>
              <w:bidi w:val="0"/>
              <w:adjustRightInd w:val="0"/>
              <w:snapToGrid w:val="0"/>
              <w:spacing w:line="360" w:lineRule="auto"/>
              <w:ind w:left="0" w:leftChars="0" w:right="0" w:rightChars="0"/>
              <w:jc w:val="left"/>
              <w:textAlignment w:val="baseline"/>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40%唑醚·戊唑醇悬浮剂1500公斤；5%氯虫苯甲酰胺悬浮剂1500公斤；0.01%24表芸苔素内酯可溶液剂750公斤；99%磷酸二氢钾7500公斤；详见竞争性磋商文件采购清单要求；</w:t>
            </w:r>
          </w:p>
        </w:tc>
      </w:tr>
      <w:tr w14:paraId="4D9EFCC0">
        <w:tblPrEx>
          <w:tblCellMar>
            <w:top w:w="0" w:type="dxa"/>
            <w:left w:w="108" w:type="dxa"/>
            <w:bottom w:w="0" w:type="dxa"/>
            <w:right w:w="108" w:type="dxa"/>
          </w:tblCellMar>
        </w:tblPrEx>
        <w:trPr>
          <w:trHeight w:val="500" w:hRule="atLeast"/>
        </w:trPr>
        <w:tc>
          <w:tcPr>
            <w:tcW w:w="670" w:type="dxa"/>
            <w:tcBorders>
              <w:top w:val="single" w:color="auto" w:sz="4" w:space="0"/>
              <w:left w:val="single" w:color="auto" w:sz="4" w:space="0"/>
              <w:bottom w:val="single" w:color="auto" w:sz="4" w:space="0"/>
              <w:right w:val="single" w:color="auto" w:sz="4" w:space="0"/>
            </w:tcBorders>
            <w:vAlign w:val="center"/>
          </w:tcPr>
          <w:p w14:paraId="0E2E7939">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993" w:type="dxa"/>
            <w:tcBorders>
              <w:top w:val="single" w:color="auto" w:sz="4" w:space="0"/>
              <w:left w:val="nil"/>
              <w:bottom w:val="single" w:color="auto" w:sz="4" w:space="0"/>
              <w:right w:val="single" w:color="auto" w:sz="4" w:space="0"/>
            </w:tcBorders>
            <w:shd w:val="clear" w:color="auto" w:fill="auto"/>
            <w:vAlign w:val="center"/>
          </w:tcPr>
          <w:p w14:paraId="3FE679D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供货服务期</w:t>
            </w:r>
          </w:p>
        </w:tc>
        <w:tc>
          <w:tcPr>
            <w:tcW w:w="6395" w:type="dxa"/>
            <w:tcBorders>
              <w:top w:val="single" w:color="auto" w:sz="4" w:space="0"/>
              <w:left w:val="nil"/>
              <w:bottom w:val="single" w:color="auto" w:sz="4" w:space="0"/>
              <w:right w:val="single" w:color="auto" w:sz="4" w:space="0"/>
            </w:tcBorders>
            <w:shd w:val="clear" w:color="auto" w:fill="auto"/>
            <w:vAlign w:val="top"/>
          </w:tcPr>
          <w:p w14:paraId="4624BB6A">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签订合同后</w:t>
            </w:r>
            <w:r>
              <w:rPr>
                <w:rFonts w:hint="eastAsia" w:ascii="宋体" w:hAnsi="宋体" w:eastAsia="宋体" w:cs="宋体"/>
                <w:color w:val="auto"/>
                <w:sz w:val="24"/>
                <w:szCs w:val="24"/>
                <w:highlight w:val="none"/>
                <w:shd w:val="clear" w:color="auto" w:fill="FFFFFF"/>
                <w:lang w:val="en-US" w:eastAsia="zh-CN"/>
              </w:rPr>
              <w:t>5日历天</w:t>
            </w:r>
            <w:r>
              <w:rPr>
                <w:rFonts w:hint="eastAsia" w:ascii="宋体" w:hAnsi="宋体" w:eastAsia="宋体" w:cs="宋体"/>
                <w:color w:val="auto"/>
                <w:sz w:val="24"/>
                <w:szCs w:val="24"/>
                <w:highlight w:val="none"/>
                <w:shd w:val="clear" w:color="auto" w:fill="FFFFFF"/>
                <w:lang w:eastAsia="zh-CN"/>
              </w:rPr>
              <w:t>内供货完毕</w:t>
            </w:r>
          </w:p>
        </w:tc>
      </w:tr>
      <w:tr w14:paraId="75918905">
        <w:tblPrEx>
          <w:tblCellMar>
            <w:top w:w="0" w:type="dxa"/>
            <w:left w:w="108" w:type="dxa"/>
            <w:bottom w:w="0" w:type="dxa"/>
            <w:right w:w="108" w:type="dxa"/>
          </w:tblCellMar>
        </w:tblPrEx>
        <w:trPr>
          <w:trHeight w:val="500" w:hRule="atLeast"/>
        </w:trPr>
        <w:tc>
          <w:tcPr>
            <w:tcW w:w="670" w:type="dxa"/>
            <w:tcBorders>
              <w:top w:val="single" w:color="auto" w:sz="4" w:space="0"/>
              <w:left w:val="single" w:color="auto" w:sz="4" w:space="0"/>
              <w:bottom w:val="single" w:color="auto" w:sz="4" w:space="0"/>
              <w:right w:val="single" w:color="auto" w:sz="4" w:space="0"/>
            </w:tcBorders>
            <w:vAlign w:val="center"/>
          </w:tcPr>
          <w:p w14:paraId="61752F9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993" w:type="dxa"/>
            <w:tcBorders>
              <w:top w:val="single" w:color="auto" w:sz="4" w:space="0"/>
              <w:left w:val="nil"/>
              <w:bottom w:val="single" w:color="auto" w:sz="4" w:space="0"/>
              <w:right w:val="single" w:color="auto" w:sz="4" w:space="0"/>
            </w:tcBorders>
            <w:shd w:val="clear" w:color="auto" w:fill="auto"/>
            <w:vAlign w:val="center"/>
          </w:tcPr>
          <w:p w14:paraId="4B0B5E27">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资格要求</w:t>
            </w:r>
          </w:p>
        </w:tc>
        <w:tc>
          <w:tcPr>
            <w:tcW w:w="6395" w:type="dxa"/>
            <w:tcBorders>
              <w:top w:val="single" w:color="auto" w:sz="4" w:space="0"/>
              <w:left w:val="nil"/>
              <w:bottom w:val="single" w:color="auto" w:sz="4" w:space="0"/>
              <w:right w:val="single" w:color="auto" w:sz="4" w:space="0"/>
            </w:tcBorders>
            <w:shd w:val="clear" w:color="auto" w:fill="auto"/>
            <w:vAlign w:val="top"/>
          </w:tcPr>
          <w:p w14:paraId="40942DE3">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sz w:val="24"/>
                <w:highlight w:val="none"/>
                <w:lang w:val="en-US" w:eastAsia="zh-CN"/>
              </w:rPr>
              <w:t>详见第一章“竞争性磋商公告”</w:t>
            </w:r>
          </w:p>
        </w:tc>
      </w:tr>
      <w:tr w14:paraId="13967B6D">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4DBED1E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993" w:type="dxa"/>
            <w:tcBorders>
              <w:top w:val="single" w:color="auto" w:sz="4" w:space="0"/>
              <w:left w:val="nil"/>
              <w:bottom w:val="single" w:color="auto" w:sz="4" w:space="0"/>
              <w:right w:val="single" w:color="auto" w:sz="4" w:space="0"/>
            </w:tcBorders>
            <w:vAlign w:val="center"/>
          </w:tcPr>
          <w:p w14:paraId="48DA0AB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6395" w:type="dxa"/>
            <w:tcBorders>
              <w:top w:val="single" w:color="auto" w:sz="4" w:space="0"/>
              <w:left w:val="nil"/>
              <w:bottom w:val="single" w:color="auto" w:sz="4" w:space="0"/>
              <w:right w:val="single" w:color="auto" w:sz="4" w:space="0"/>
            </w:tcBorders>
            <w:vAlign w:val="center"/>
          </w:tcPr>
          <w:p w14:paraId="031CD4D9">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■不组织</w:t>
            </w:r>
          </w:p>
        </w:tc>
      </w:tr>
      <w:tr w14:paraId="4DB85296">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337DF6D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993" w:type="dxa"/>
            <w:tcBorders>
              <w:top w:val="single" w:color="auto" w:sz="4" w:space="0"/>
              <w:left w:val="nil"/>
              <w:bottom w:val="single" w:color="auto" w:sz="4" w:space="0"/>
              <w:right w:val="single" w:color="auto" w:sz="4" w:space="0"/>
            </w:tcBorders>
            <w:vAlign w:val="center"/>
          </w:tcPr>
          <w:p w14:paraId="21F4FE8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投标预备会</w:t>
            </w:r>
          </w:p>
        </w:tc>
        <w:tc>
          <w:tcPr>
            <w:tcW w:w="6395" w:type="dxa"/>
            <w:tcBorders>
              <w:top w:val="single" w:color="auto" w:sz="4" w:space="0"/>
              <w:left w:val="nil"/>
              <w:bottom w:val="single" w:color="auto" w:sz="4" w:space="0"/>
              <w:right w:val="single" w:color="auto" w:sz="4" w:space="0"/>
            </w:tcBorders>
            <w:vAlign w:val="center"/>
          </w:tcPr>
          <w:p w14:paraId="24DDC6A0">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■不召开</w:t>
            </w:r>
          </w:p>
        </w:tc>
      </w:tr>
      <w:tr w14:paraId="1472EFA6">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632D453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993" w:type="dxa"/>
            <w:tcBorders>
              <w:top w:val="single" w:color="auto" w:sz="4" w:space="0"/>
              <w:left w:val="nil"/>
              <w:bottom w:val="single" w:color="auto" w:sz="4" w:space="0"/>
              <w:right w:val="single" w:color="auto" w:sz="4" w:space="0"/>
            </w:tcBorders>
            <w:vAlign w:val="center"/>
          </w:tcPr>
          <w:p w14:paraId="5983865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  包</w:t>
            </w:r>
          </w:p>
        </w:tc>
        <w:tc>
          <w:tcPr>
            <w:tcW w:w="6395" w:type="dxa"/>
            <w:tcBorders>
              <w:top w:val="single" w:color="auto" w:sz="4" w:space="0"/>
              <w:left w:val="nil"/>
              <w:bottom w:val="single" w:color="auto" w:sz="4" w:space="0"/>
              <w:right w:val="single" w:color="auto" w:sz="4" w:space="0"/>
            </w:tcBorders>
            <w:vAlign w:val="center"/>
          </w:tcPr>
          <w:p w14:paraId="53E40D38">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■不允许</w:t>
            </w:r>
          </w:p>
        </w:tc>
      </w:tr>
      <w:tr w14:paraId="0A992C4D">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5D2FAA8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993" w:type="dxa"/>
            <w:tcBorders>
              <w:top w:val="single" w:color="auto" w:sz="4" w:space="0"/>
              <w:left w:val="nil"/>
              <w:bottom w:val="single" w:color="auto" w:sz="4" w:space="0"/>
              <w:right w:val="single" w:color="auto" w:sz="4" w:space="0"/>
            </w:tcBorders>
            <w:vAlign w:val="center"/>
          </w:tcPr>
          <w:p w14:paraId="13ED637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  离</w:t>
            </w:r>
          </w:p>
        </w:tc>
        <w:tc>
          <w:tcPr>
            <w:tcW w:w="6395" w:type="dxa"/>
            <w:tcBorders>
              <w:top w:val="single" w:color="auto" w:sz="4" w:space="0"/>
              <w:left w:val="nil"/>
              <w:bottom w:val="single" w:color="auto" w:sz="4" w:space="0"/>
              <w:right w:val="single" w:color="auto" w:sz="4" w:space="0"/>
            </w:tcBorders>
            <w:vAlign w:val="center"/>
          </w:tcPr>
          <w:p w14:paraId="74F179AD">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rPr>
              <w:t>允许</w:t>
            </w:r>
            <w:r>
              <w:rPr>
                <w:rFonts w:hint="eastAsia" w:ascii="宋体" w:hAnsi="宋体" w:eastAsia="宋体" w:cs="宋体"/>
                <w:color w:val="auto"/>
                <w:sz w:val="24"/>
                <w:szCs w:val="24"/>
                <w:highlight w:val="none"/>
                <w:lang w:val="en-US" w:eastAsia="zh-CN"/>
              </w:rPr>
              <w:t>正偏离</w:t>
            </w:r>
          </w:p>
        </w:tc>
      </w:tr>
      <w:tr w14:paraId="399BFE7D">
        <w:tblPrEx>
          <w:tblCellMar>
            <w:top w:w="0" w:type="dxa"/>
            <w:left w:w="108" w:type="dxa"/>
            <w:bottom w:w="0" w:type="dxa"/>
            <w:right w:w="108" w:type="dxa"/>
          </w:tblCellMar>
        </w:tblPrEx>
        <w:trPr>
          <w:trHeight w:val="892" w:hRule="atLeast"/>
        </w:trPr>
        <w:tc>
          <w:tcPr>
            <w:tcW w:w="670" w:type="dxa"/>
            <w:tcBorders>
              <w:top w:val="single" w:color="auto" w:sz="4" w:space="0"/>
              <w:left w:val="single" w:color="auto" w:sz="4" w:space="0"/>
              <w:bottom w:val="single" w:color="auto" w:sz="4" w:space="0"/>
              <w:right w:val="single" w:color="auto" w:sz="4" w:space="0"/>
            </w:tcBorders>
            <w:vAlign w:val="center"/>
          </w:tcPr>
          <w:p w14:paraId="357E2E4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993" w:type="dxa"/>
            <w:tcBorders>
              <w:top w:val="single" w:color="auto" w:sz="4" w:space="0"/>
              <w:left w:val="nil"/>
              <w:bottom w:val="single" w:color="auto" w:sz="4" w:space="0"/>
              <w:right w:val="single" w:color="auto" w:sz="4" w:space="0"/>
            </w:tcBorders>
            <w:vAlign w:val="center"/>
          </w:tcPr>
          <w:p w14:paraId="723283B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构成竞争性磋商文件的其他材料</w:t>
            </w:r>
          </w:p>
        </w:tc>
        <w:tc>
          <w:tcPr>
            <w:tcW w:w="6395" w:type="dxa"/>
            <w:tcBorders>
              <w:top w:val="single" w:color="auto" w:sz="4" w:space="0"/>
              <w:left w:val="nil"/>
              <w:bottom w:val="single" w:color="auto" w:sz="4" w:space="0"/>
              <w:right w:val="single" w:color="auto" w:sz="4" w:space="0"/>
            </w:tcBorders>
            <w:vAlign w:val="center"/>
          </w:tcPr>
          <w:p w14:paraId="07F8E29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对竞争性磋商文件所作的澄清（含答疑）、修改，补充构成竞争性磋商文件的组成部分。</w:t>
            </w:r>
          </w:p>
        </w:tc>
      </w:tr>
      <w:tr w14:paraId="5D084BCA">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vAlign w:val="center"/>
          </w:tcPr>
          <w:p w14:paraId="3A80D22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993" w:type="dxa"/>
            <w:tcBorders>
              <w:top w:val="single" w:color="auto" w:sz="4" w:space="0"/>
              <w:left w:val="nil"/>
              <w:bottom w:val="single" w:color="auto" w:sz="4" w:space="0"/>
              <w:right w:val="single" w:color="auto" w:sz="4" w:space="0"/>
            </w:tcBorders>
            <w:vAlign w:val="center"/>
          </w:tcPr>
          <w:p w14:paraId="103E034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要求澄清竞争性磋商文件的截止时间</w:t>
            </w:r>
          </w:p>
        </w:tc>
        <w:tc>
          <w:tcPr>
            <w:tcW w:w="6395" w:type="dxa"/>
            <w:tcBorders>
              <w:top w:val="single" w:color="auto" w:sz="4" w:space="0"/>
              <w:left w:val="nil"/>
              <w:bottom w:val="single" w:color="auto" w:sz="4" w:space="0"/>
              <w:right w:val="single" w:color="auto" w:sz="4" w:space="0"/>
            </w:tcBorders>
            <w:vAlign w:val="center"/>
          </w:tcPr>
          <w:p w14:paraId="5143FE20">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要求为投标截止时间5日前</w:t>
            </w:r>
          </w:p>
        </w:tc>
      </w:tr>
      <w:tr w14:paraId="64C2AA11">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1D033E6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993" w:type="dxa"/>
            <w:tcBorders>
              <w:top w:val="single" w:color="auto" w:sz="4" w:space="0"/>
              <w:left w:val="nil"/>
              <w:bottom w:val="single" w:color="auto" w:sz="4" w:space="0"/>
              <w:right w:val="single" w:color="auto" w:sz="4" w:space="0"/>
            </w:tcBorders>
            <w:vAlign w:val="center"/>
          </w:tcPr>
          <w:p w14:paraId="0651DAA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递交截止时间</w:t>
            </w:r>
          </w:p>
        </w:tc>
        <w:tc>
          <w:tcPr>
            <w:tcW w:w="6395" w:type="dxa"/>
            <w:tcBorders>
              <w:top w:val="single" w:color="auto" w:sz="4" w:space="0"/>
              <w:left w:val="nil"/>
              <w:bottom w:val="single" w:color="auto" w:sz="4" w:space="0"/>
              <w:right w:val="single" w:color="auto" w:sz="4" w:space="0"/>
            </w:tcBorders>
            <w:vAlign w:val="center"/>
          </w:tcPr>
          <w:p w14:paraId="17B56C5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snapToGrid w:val="0"/>
                <w:color w:val="auto"/>
                <w:sz w:val="24"/>
                <w:szCs w:val="24"/>
                <w:highlight w:val="none"/>
              </w:rPr>
              <w:t>详见磋商公告</w:t>
            </w:r>
          </w:p>
        </w:tc>
      </w:tr>
      <w:tr w14:paraId="1EFA54B1">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75E5118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993" w:type="dxa"/>
            <w:tcBorders>
              <w:top w:val="single" w:color="auto" w:sz="4" w:space="0"/>
              <w:left w:val="nil"/>
              <w:bottom w:val="single" w:color="auto" w:sz="4" w:space="0"/>
              <w:right w:val="single" w:color="auto" w:sz="4" w:space="0"/>
            </w:tcBorders>
            <w:vAlign w:val="center"/>
          </w:tcPr>
          <w:p w14:paraId="6DF36D6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构成</w:t>
            </w:r>
            <w:r>
              <w:rPr>
                <w:rFonts w:hint="eastAsia" w:ascii="宋体" w:hAnsi="宋体" w:cs="宋体"/>
                <w:color w:val="auto"/>
                <w:sz w:val="24"/>
                <w:szCs w:val="24"/>
                <w:highlight w:val="none"/>
                <w:lang w:eastAsia="zh-CN"/>
              </w:rPr>
              <w:t>响应文件</w:t>
            </w:r>
          </w:p>
          <w:p w14:paraId="47B2E6B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的其他材料</w:t>
            </w:r>
          </w:p>
        </w:tc>
        <w:tc>
          <w:tcPr>
            <w:tcW w:w="6395" w:type="dxa"/>
            <w:tcBorders>
              <w:top w:val="single" w:color="auto" w:sz="4" w:space="0"/>
              <w:left w:val="nil"/>
              <w:bottom w:val="single" w:color="auto" w:sz="4" w:space="0"/>
              <w:right w:val="single" w:color="auto" w:sz="4" w:space="0"/>
            </w:tcBorders>
            <w:vAlign w:val="center"/>
          </w:tcPr>
          <w:p w14:paraId="01991B6F">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中要求提交和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认为有利于其投标的其他资料</w:t>
            </w:r>
          </w:p>
        </w:tc>
      </w:tr>
      <w:tr w14:paraId="3BCDBA7B">
        <w:tblPrEx>
          <w:tblCellMar>
            <w:top w:w="0" w:type="dxa"/>
            <w:left w:w="108" w:type="dxa"/>
            <w:bottom w:w="0" w:type="dxa"/>
            <w:right w:w="108" w:type="dxa"/>
          </w:tblCellMar>
        </w:tblPrEx>
        <w:trPr>
          <w:trHeight w:val="527" w:hRule="atLeast"/>
        </w:trPr>
        <w:tc>
          <w:tcPr>
            <w:tcW w:w="670" w:type="dxa"/>
            <w:tcBorders>
              <w:top w:val="single" w:color="auto" w:sz="4" w:space="0"/>
              <w:left w:val="single" w:color="auto" w:sz="4" w:space="0"/>
              <w:bottom w:val="single" w:color="auto" w:sz="4" w:space="0"/>
              <w:right w:val="single" w:color="auto" w:sz="4" w:space="0"/>
            </w:tcBorders>
            <w:vAlign w:val="center"/>
          </w:tcPr>
          <w:p w14:paraId="510A52A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993" w:type="dxa"/>
            <w:tcBorders>
              <w:top w:val="single" w:color="auto" w:sz="4" w:space="0"/>
              <w:left w:val="nil"/>
              <w:bottom w:val="single" w:color="auto" w:sz="4" w:space="0"/>
              <w:right w:val="single" w:color="auto" w:sz="4" w:space="0"/>
            </w:tcBorders>
            <w:vAlign w:val="center"/>
          </w:tcPr>
          <w:p w14:paraId="2F0EF5E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395" w:type="dxa"/>
            <w:tcBorders>
              <w:top w:val="single" w:color="auto" w:sz="4" w:space="0"/>
              <w:left w:val="nil"/>
              <w:bottom w:val="single" w:color="auto" w:sz="4" w:space="0"/>
              <w:right w:val="single" w:color="auto" w:sz="4" w:space="0"/>
            </w:tcBorders>
            <w:vAlign w:val="center"/>
          </w:tcPr>
          <w:p w14:paraId="27F9A8B8">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自</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递交截止之日起60日历天</w:t>
            </w:r>
          </w:p>
        </w:tc>
      </w:tr>
      <w:tr w14:paraId="56CDC202">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vAlign w:val="center"/>
          </w:tcPr>
          <w:p w14:paraId="522C532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993" w:type="dxa"/>
            <w:tcBorders>
              <w:top w:val="single" w:color="auto" w:sz="4" w:space="0"/>
              <w:left w:val="nil"/>
              <w:bottom w:val="single" w:color="auto" w:sz="4" w:space="0"/>
              <w:right w:val="single" w:color="auto" w:sz="4" w:space="0"/>
            </w:tcBorders>
            <w:vAlign w:val="center"/>
          </w:tcPr>
          <w:p w14:paraId="00A2619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6395" w:type="dxa"/>
            <w:tcBorders>
              <w:top w:val="single" w:color="auto" w:sz="4" w:space="0"/>
              <w:left w:val="nil"/>
              <w:bottom w:val="single" w:color="auto" w:sz="4" w:space="0"/>
              <w:right w:val="single" w:color="auto" w:sz="4" w:space="0"/>
            </w:tcBorders>
            <w:vAlign w:val="center"/>
          </w:tcPr>
          <w:p w14:paraId="38834D7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按照《河南省财政厅关于优化政府采购营商环境有关问题的通知》（豫财购[2019]4号文）的要求本项目不再收取磋商保证金。</w:t>
            </w:r>
          </w:p>
        </w:tc>
      </w:tr>
      <w:tr w14:paraId="05464D8D">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316DDC5A">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993" w:type="dxa"/>
            <w:tcBorders>
              <w:top w:val="single" w:color="auto" w:sz="4" w:space="0"/>
              <w:left w:val="nil"/>
              <w:bottom w:val="single" w:color="auto" w:sz="4" w:space="0"/>
              <w:right w:val="single" w:color="auto" w:sz="4" w:space="0"/>
            </w:tcBorders>
            <w:vAlign w:val="center"/>
          </w:tcPr>
          <w:p w14:paraId="2B7B492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近年完成的类似项目的年份要求</w:t>
            </w:r>
          </w:p>
        </w:tc>
        <w:tc>
          <w:tcPr>
            <w:tcW w:w="6395" w:type="dxa"/>
            <w:tcBorders>
              <w:top w:val="single" w:color="auto" w:sz="4" w:space="0"/>
              <w:left w:val="nil"/>
              <w:bottom w:val="single" w:color="auto" w:sz="4" w:space="0"/>
              <w:right w:val="single" w:color="auto" w:sz="4" w:space="0"/>
            </w:tcBorders>
            <w:vAlign w:val="center"/>
          </w:tcPr>
          <w:p w14:paraId="26A085D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u w:val="single"/>
              </w:rPr>
              <w:t>近</w:t>
            </w:r>
            <w:r>
              <w:rPr>
                <w:rFonts w:hint="eastAsia" w:ascii="宋体" w:hAnsi="宋体" w:eastAsia="宋体" w:cs="宋体"/>
                <w:color w:val="auto"/>
                <w:sz w:val="24"/>
                <w:szCs w:val="24"/>
                <w:highlight w:val="none"/>
              </w:rPr>
              <w:t>年，指</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日以来</w:t>
            </w:r>
          </w:p>
        </w:tc>
      </w:tr>
      <w:tr w14:paraId="0B728E56">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vAlign w:val="center"/>
          </w:tcPr>
          <w:p w14:paraId="5909A43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993" w:type="dxa"/>
            <w:tcBorders>
              <w:top w:val="single" w:color="auto" w:sz="4" w:space="0"/>
              <w:left w:val="nil"/>
              <w:bottom w:val="single" w:color="auto" w:sz="4" w:space="0"/>
              <w:right w:val="single" w:color="auto" w:sz="4" w:space="0"/>
            </w:tcBorders>
            <w:vAlign w:val="center"/>
          </w:tcPr>
          <w:p w14:paraId="1C7F15E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近年发生的诉讼及仲裁情况的年份要求</w:t>
            </w:r>
          </w:p>
        </w:tc>
        <w:tc>
          <w:tcPr>
            <w:tcW w:w="6395" w:type="dxa"/>
            <w:tcBorders>
              <w:top w:val="single" w:color="auto" w:sz="4" w:space="0"/>
              <w:left w:val="nil"/>
              <w:bottom w:val="single" w:color="auto" w:sz="4" w:space="0"/>
              <w:right w:val="single" w:color="auto" w:sz="4" w:space="0"/>
            </w:tcBorders>
            <w:vAlign w:val="center"/>
          </w:tcPr>
          <w:p w14:paraId="5C9D784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u w:val="single"/>
              </w:rPr>
              <w:t>近</w:t>
            </w:r>
            <w:r>
              <w:rPr>
                <w:rFonts w:hint="eastAsia" w:ascii="宋体" w:hAnsi="宋体" w:eastAsia="宋体" w:cs="宋体"/>
                <w:color w:val="auto"/>
                <w:sz w:val="24"/>
                <w:szCs w:val="24"/>
                <w:highlight w:val="none"/>
              </w:rPr>
              <w:t>年，指</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日以来</w:t>
            </w:r>
          </w:p>
        </w:tc>
      </w:tr>
      <w:tr w14:paraId="0C4A8294">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04CD4F3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993" w:type="dxa"/>
            <w:tcBorders>
              <w:top w:val="single" w:color="auto" w:sz="4" w:space="0"/>
              <w:left w:val="nil"/>
              <w:bottom w:val="single" w:color="auto" w:sz="4" w:space="0"/>
              <w:right w:val="single" w:color="auto" w:sz="4" w:space="0"/>
            </w:tcBorders>
            <w:vAlign w:val="center"/>
          </w:tcPr>
          <w:p w14:paraId="105DF2C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是否允许递交备选投标方案</w:t>
            </w:r>
          </w:p>
        </w:tc>
        <w:tc>
          <w:tcPr>
            <w:tcW w:w="6395" w:type="dxa"/>
            <w:tcBorders>
              <w:top w:val="single" w:color="auto" w:sz="4" w:space="0"/>
              <w:left w:val="nil"/>
              <w:bottom w:val="single" w:color="auto" w:sz="4" w:space="0"/>
              <w:right w:val="single" w:color="auto" w:sz="4" w:space="0"/>
            </w:tcBorders>
            <w:vAlign w:val="center"/>
          </w:tcPr>
          <w:p w14:paraId="3B224A7F">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■不允许</w:t>
            </w:r>
          </w:p>
        </w:tc>
      </w:tr>
      <w:tr w14:paraId="4B4D6271">
        <w:tblPrEx>
          <w:tblCellMar>
            <w:top w:w="0" w:type="dxa"/>
            <w:left w:w="108" w:type="dxa"/>
            <w:bottom w:w="0" w:type="dxa"/>
            <w:right w:w="108" w:type="dxa"/>
          </w:tblCellMar>
        </w:tblPrEx>
        <w:trPr>
          <w:trHeight w:val="2908" w:hRule="atLeast"/>
        </w:trPr>
        <w:tc>
          <w:tcPr>
            <w:tcW w:w="670" w:type="dxa"/>
            <w:tcBorders>
              <w:top w:val="single" w:color="auto" w:sz="4" w:space="0"/>
              <w:left w:val="single" w:color="auto" w:sz="4" w:space="0"/>
              <w:bottom w:val="single" w:color="auto" w:sz="4" w:space="0"/>
              <w:right w:val="single" w:color="auto" w:sz="4" w:space="0"/>
            </w:tcBorders>
            <w:vAlign w:val="center"/>
          </w:tcPr>
          <w:p w14:paraId="264AD36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993" w:type="dxa"/>
            <w:tcBorders>
              <w:top w:val="single" w:color="auto" w:sz="4" w:space="0"/>
              <w:left w:val="nil"/>
              <w:bottom w:val="single" w:color="auto" w:sz="4" w:space="0"/>
              <w:right w:val="single" w:color="auto" w:sz="4" w:space="0"/>
            </w:tcBorders>
            <w:vAlign w:val="center"/>
          </w:tcPr>
          <w:p w14:paraId="1686240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签字和（或）盖章要求</w:t>
            </w:r>
          </w:p>
        </w:tc>
        <w:tc>
          <w:tcPr>
            <w:tcW w:w="6395" w:type="dxa"/>
            <w:tcBorders>
              <w:top w:val="single" w:color="auto" w:sz="4" w:space="0"/>
              <w:left w:val="nil"/>
              <w:bottom w:val="single" w:color="auto" w:sz="4" w:space="0"/>
              <w:right w:val="single" w:color="auto" w:sz="4" w:space="0"/>
            </w:tcBorders>
            <w:vAlign w:val="center"/>
          </w:tcPr>
          <w:p w14:paraId="49AD431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的签章：</w:t>
            </w:r>
          </w:p>
          <w:p w14:paraId="25CCE59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在生成电子化</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后，应对电子化</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进行签章，未对电子化文件进行签章的视为无效投标。</w:t>
            </w:r>
          </w:p>
          <w:p w14:paraId="15901DA6">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2、竞</w:t>
            </w:r>
            <w:r>
              <w:rPr>
                <w:rFonts w:hint="eastAsia" w:ascii="宋体" w:hAnsi="宋体" w:eastAsia="宋体" w:cs="宋体"/>
                <w:b w:val="0"/>
                <w:bCs w:val="0"/>
                <w:color w:val="auto"/>
                <w:sz w:val="24"/>
                <w:szCs w:val="24"/>
                <w:highlight w:val="none"/>
              </w:rPr>
              <w:t>争性磋商文件中要求法定代表人或授权委托人签字或盖章的，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在进行电子化</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签章时，以签盖法定代表人签章为准。</w:t>
            </w:r>
          </w:p>
        </w:tc>
      </w:tr>
      <w:tr w14:paraId="2985B79E">
        <w:tblPrEx>
          <w:tblCellMar>
            <w:top w:w="0" w:type="dxa"/>
            <w:left w:w="108" w:type="dxa"/>
            <w:bottom w:w="0" w:type="dxa"/>
            <w:right w:w="108" w:type="dxa"/>
          </w:tblCellMar>
        </w:tblPrEx>
        <w:trPr>
          <w:trHeight w:val="1333" w:hRule="atLeast"/>
        </w:trPr>
        <w:tc>
          <w:tcPr>
            <w:tcW w:w="670" w:type="dxa"/>
            <w:tcBorders>
              <w:top w:val="single" w:color="auto" w:sz="4" w:space="0"/>
              <w:left w:val="single" w:color="auto" w:sz="4" w:space="0"/>
              <w:bottom w:val="single" w:color="auto" w:sz="4" w:space="0"/>
              <w:right w:val="single" w:color="auto" w:sz="4" w:space="0"/>
            </w:tcBorders>
            <w:vAlign w:val="center"/>
          </w:tcPr>
          <w:p w14:paraId="4456D67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993" w:type="dxa"/>
            <w:tcBorders>
              <w:top w:val="single" w:color="auto" w:sz="4" w:space="0"/>
              <w:left w:val="nil"/>
              <w:bottom w:val="single" w:color="auto" w:sz="4" w:space="0"/>
              <w:right w:val="single" w:color="auto" w:sz="4" w:space="0"/>
            </w:tcBorders>
            <w:vAlign w:val="center"/>
          </w:tcPr>
          <w:p w14:paraId="44C02B9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地点</w:t>
            </w:r>
          </w:p>
        </w:tc>
        <w:tc>
          <w:tcPr>
            <w:tcW w:w="6395" w:type="dxa"/>
            <w:tcBorders>
              <w:top w:val="single" w:color="auto" w:sz="4" w:space="0"/>
              <w:left w:val="nil"/>
              <w:bottom w:val="single" w:color="auto" w:sz="4" w:space="0"/>
              <w:right w:val="single" w:color="auto" w:sz="4" w:space="0"/>
            </w:tcBorders>
            <w:vAlign w:val="center"/>
          </w:tcPr>
          <w:p w14:paraId="66816EE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加密的电子</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上传至三门峡市公共资源交易中心系统；</w:t>
            </w:r>
          </w:p>
          <w:p w14:paraId="5B8A3707">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rPr>
              <w:t>开标时不再递交纸质</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p>
        </w:tc>
      </w:tr>
      <w:tr w14:paraId="70B26C8A">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26F9C2DA">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993" w:type="dxa"/>
            <w:tcBorders>
              <w:top w:val="single" w:color="auto" w:sz="4" w:space="0"/>
              <w:left w:val="nil"/>
              <w:bottom w:val="single" w:color="auto" w:sz="4" w:space="0"/>
              <w:right w:val="single" w:color="auto" w:sz="4" w:space="0"/>
            </w:tcBorders>
            <w:vAlign w:val="center"/>
          </w:tcPr>
          <w:p w14:paraId="14049EE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开标时间及地点</w:t>
            </w:r>
          </w:p>
        </w:tc>
        <w:tc>
          <w:tcPr>
            <w:tcW w:w="6395" w:type="dxa"/>
            <w:tcBorders>
              <w:top w:val="single" w:color="auto" w:sz="4" w:space="0"/>
              <w:left w:val="nil"/>
              <w:bottom w:val="single" w:color="auto" w:sz="4" w:space="0"/>
              <w:right w:val="single" w:color="auto" w:sz="4" w:space="0"/>
            </w:tcBorders>
            <w:vAlign w:val="center"/>
          </w:tcPr>
          <w:p w14:paraId="414F5E7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snapToGrid w:val="0"/>
                <w:color w:val="auto"/>
                <w:sz w:val="24"/>
                <w:szCs w:val="24"/>
                <w:highlight w:val="none"/>
              </w:rPr>
              <w:t>详见磋商公告</w:t>
            </w:r>
          </w:p>
        </w:tc>
      </w:tr>
      <w:tr w14:paraId="6F3F75C4">
        <w:tblPrEx>
          <w:tblCellMar>
            <w:top w:w="0" w:type="dxa"/>
            <w:left w:w="108" w:type="dxa"/>
            <w:bottom w:w="0" w:type="dxa"/>
            <w:right w:w="108" w:type="dxa"/>
          </w:tblCellMar>
        </w:tblPrEx>
        <w:trPr>
          <w:trHeight w:val="892" w:hRule="atLeast"/>
        </w:trPr>
        <w:tc>
          <w:tcPr>
            <w:tcW w:w="670" w:type="dxa"/>
            <w:tcBorders>
              <w:top w:val="single" w:color="auto" w:sz="4" w:space="0"/>
              <w:left w:val="single" w:color="auto" w:sz="4" w:space="0"/>
              <w:bottom w:val="single" w:color="auto" w:sz="4" w:space="0"/>
              <w:right w:val="single" w:color="auto" w:sz="4" w:space="0"/>
            </w:tcBorders>
            <w:vAlign w:val="center"/>
          </w:tcPr>
          <w:p w14:paraId="3622E96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993" w:type="dxa"/>
            <w:tcBorders>
              <w:top w:val="single" w:color="auto" w:sz="4" w:space="0"/>
              <w:left w:val="nil"/>
              <w:bottom w:val="single" w:color="auto" w:sz="4" w:space="0"/>
              <w:right w:val="single" w:color="auto" w:sz="4" w:space="0"/>
            </w:tcBorders>
            <w:vAlign w:val="center"/>
          </w:tcPr>
          <w:p w14:paraId="19A7B0B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是否退还</w:t>
            </w:r>
            <w:r>
              <w:rPr>
                <w:rFonts w:hint="eastAsia" w:ascii="宋体" w:hAnsi="宋体" w:cs="宋体"/>
                <w:color w:val="auto"/>
                <w:sz w:val="24"/>
                <w:szCs w:val="24"/>
                <w:highlight w:val="none"/>
                <w:lang w:eastAsia="zh-CN"/>
              </w:rPr>
              <w:t>响应文件</w:t>
            </w:r>
          </w:p>
        </w:tc>
        <w:tc>
          <w:tcPr>
            <w:tcW w:w="6395" w:type="dxa"/>
            <w:tcBorders>
              <w:top w:val="single" w:color="auto" w:sz="4" w:space="0"/>
              <w:left w:val="nil"/>
              <w:bottom w:val="single" w:color="auto" w:sz="4" w:space="0"/>
              <w:right w:val="single" w:color="auto" w:sz="4" w:space="0"/>
            </w:tcBorders>
            <w:vAlign w:val="center"/>
          </w:tcPr>
          <w:p w14:paraId="425A71C0">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52DAC7B7">
        <w:tblPrEx>
          <w:tblCellMar>
            <w:top w:w="0" w:type="dxa"/>
            <w:left w:w="108" w:type="dxa"/>
            <w:bottom w:w="0" w:type="dxa"/>
            <w:right w:w="108" w:type="dxa"/>
          </w:tblCellMar>
        </w:tblPrEx>
        <w:trPr>
          <w:trHeight w:val="90" w:hRule="atLeast"/>
        </w:trPr>
        <w:tc>
          <w:tcPr>
            <w:tcW w:w="670" w:type="dxa"/>
            <w:tcBorders>
              <w:top w:val="single" w:color="auto" w:sz="4" w:space="0"/>
              <w:left w:val="single" w:color="auto" w:sz="4" w:space="0"/>
              <w:bottom w:val="single" w:color="auto" w:sz="4" w:space="0"/>
              <w:right w:val="single" w:color="auto" w:sz="4" w:space="0"/>
            </w:tcBorders>
            <w:vAlign w:val="center"/>
          </w:tcPr>
          <w:p w14:paraId="3935DFC1">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1993" w:type="dxa"/>
            <w:tcBorders>
              <w:top w:val="single" w:color="auto" w:sz="4" w:space="0"/>
              <w:left w:val="nil"/>
              <w:bottom w:val="single" w:color="auto" w:sz="4" w:space="0"/>
              <w:right w:val="single" w:color="auto" w:sz="4" w:space="0"/>
            </w:tcBorders>
            <w:vAlign w:val="center"/>
          </w:tcPr>
          <w:p w14:paraId="26802B5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开标程序</w:t>
            </w:r>
          </w:p>
        </w:tc>
        <w:tc>
          <w:tcPr>
            <w:tcW w:w="6395" w:type="dxa"/>
            <w:tcBorders>
              <w:top w:val="single" w:color="auto" w:sz="4" w:space="0"/>
              <w:left w:val="nil"/>
              <w:bottom w:val="single" w:color="auto" w:sz="4" w:space="0"/>
              <w:right w:val="single" w:color="auto" w:sz="4" w:space="0"/>
            </w:tcBorders>
            <w:vAlign w:val="center"/>
          </w:tcPr>
          <w:p w14:paraId="3132392F">
            <w:pPr>
              <w:keepNext w:val="0"/>
              <w:keepLines w:val="0"/>
              <w:pageBreakBefore w:val="0"/>
              <w:widowControl/>
              <w:kinsoku w:val="0"/>
              <w:wordWrap/>
              <w:overflowPunct/>
              <w:topLinePunct/>
              <w:autoSpaceDE/>
              <w:autoSpaceDN/>
              <w:bidi w:val="0"/>
              <w:adjustRightInd w:val="0"/>
              <w:snapToGrid w:val="0"/>
              <w:spacing w:line="360" w:lineRule="auto"/>
              <w:ind w:left="0" w:leftChars="0"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1．本项目采用</w:t>
            </w:r>
            <w:r>
              <w:rPr>
                <w:rFonts w:hint="eastAsia" w:ascii="宋体" w:hAnsi="宋体" w:eastAsia="宋体" w:cs="宋体"/>
                <w:b/>
                <w:color w:val="auto"/>
                <w:kern w:val="0"/>
                <w:sz w:val="24"/>
                <w:szCs w:val="24"/>
                <w:highlight w:val="none"/>
              </w:rPr>
              <w:t>电子化、无纸化</w:t>
            </w:r>
            <w:r>
              <w:rPr>
                <w:rFonts w:hint="eastAsia" w:ascii="宋体" w:hAnsi="宋体" w:eastAsia="宋体" w:cs="宋体"/>
                <w:color w:val="auto"/>
                <w:kern w:val="0"/>
                <w:sz w:val="24"/>
                <w:szCs w:val="24"/>
                <w:highlight w:val="none"/>
              </w:rPr>
              <w:t>进行招标，开标当日，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无需到开标现场参加开标会议，</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解密等</w:t>
            </w:r>
          </w:p>
          <w:p w14:paraId="3A22BD4A">
            <w:pPr>
              <w:keepNext w:val="0"/>
              <w:keepLines w:val="0"/>
              <w:pageBreakBefore w:val="0"/>
              <w:widowControl/>
              <w:kinsoku w:val="0"/>
              <w:wordWrap/>
              <w:topLinePunct/>
              <w:autoSpaceDE/>
              <w:autoSpaceDN/>
              <w:bidi w:val="0"/>
              <w:adjustRightInd w:val="0"/>
              <w:snapToGrid w:val="0"/>
              <w:spacing w:line="360" w:lineRule="auto"/>
              <w:ind w:left="0" w:leftChars="0" w:right="0" w:righ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2．电子化</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采用一次加密方式。开标时，由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使用CA 证书，在规定时间内对其电子化</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进行解密。每位</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的解密时间为开标时间起30分钟，因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原因未能解密、解密失败或解密超时的将不予接受。</w:t>
            </w:r>
          </w:p>
          <w:p w14:paraId="45BA0477">
            <w:pPr>
              <w:keepNext w:val="0"/>
              <w:keepLines w:val="0"/>
              <w:pageBreakBefore w:val="0"/>
              <w:widowControl/>
              <w:kinsoku w:val="0"/>
              <w:wordWrap/>
              <w:topLinePunct/>
              <w:autoSpaceDE/>
              <w:autoSpaceDN/>
              <w:bidi w:val="0"/>
              <w:adjustRightInd w:val="0"/>
              <w:snapToGrid w:val="0"/>
              <w:spacing w:line="360" w:lineRule="auto"/>
              <w:ind w:left="0" w:leftChars="0" w:right="0" w:rightChars="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3．电子化</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解密异常的处理</w:t>
            </w:r>
          </w:p>
          <w:p w14:paraId="586A6BC4">
            <w:pPr>
              <w:keepNext w:val="0"/>
              <w:keepLines w:val="0"/>
              <w:pageBreakBefore w:val="0"/>
              <w:widowControl/>
              <w:kinsoku w:val="0"/>
              <w:wordWrap/>
              <w:topLinePunct/>
              <w:autoSpaceDE/>
              <w:autoSpaceDN/>
              <w:bidi w:val="0"/>
              <w:adjustRightInd w:val="0"/>
              <w:snapToGrid w:val="0"/>
              <w:spacing w:line="360" w:lineRule="auto"/>
              <w:ind w:left="0" w:leftChars="0" w:right="0" w:righ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如出现</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的电子</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无法解密等异常情况，</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应及时致电招标代理机构说明。</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异常，按以下步骤进行处理：</w:t>
            </w:r>
          </w:p>
          <w:p w14:paraId="4EB136D4">
            <w:pPr>
              <w:keepNext w:val="0"/>
              <w:keepLines w:val="0"/>
              <w:pageBreakBefore w:val="0"/>
              <w:widowControl/>
              <w:kinsoku w:val="0"/>
              <w:wordWrap/>
              <w:topLinePunct/>
              <w:autoSpaceDE/>
              <w:autoSpaceDN/>
              <w:bidi w:val="0"/>
              <w:adjustRightInd w:val="0"/>
              <w:snapToGrid w:val="0"/>
              <w:spacing w:line="360" w:lineRule="auto"/>
              <w:ind w:left="0" w:leftChars="0" w:right="0" w:righ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（1）首先由技术人员进行问题排查。</w:t>
            </w:r>
          </w:p>
          <w:p w14:paraId="177DDE05">
            <w:pPr>
              <w:keepNext w:val="0"/>
              <w:keepLines w:val="0"/>
              <w:pageBreakBefore w:val="0"/>
              <w:widowControl/>
              <w:kinsoku w:val="0"/>
              <w:wordWrap/>
              <w:topLinePunct/>
              <w:autoSpaceDE/>
              <w:autoSpaceDN/>
              <w:bidi w:val="0"/>
              <w:adjustRightInd w:val="0"/>
              <w:snapToGrid w:val="0"/>
              <w:spacing w:line="360" w:lineRule="auto"/>
              <w:ind w:left="0" w:leftChars="0" w:right="0" w:righ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（2）经技术人员排查后，是</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文件自身问题导致</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无法解密的，该</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将不予接收、解密和唱标。开标会议继续进行。</w:t>
            </w:r>
          </w:p>
          <w:p w14:paraId="64C902EE">
            <w:pPr>
              <w:keepNext w:val="0"/>
              <w:keepLines w:val="0"/>
              <w:pageBreakBefore w:val="0"/>
              <w:widowControl/>
              <w:kinsoku w:val="0"/>
              <w:wordWrap/>
              <w:topLinePunct/>
              <w:autoSpaceDE/>
              <w:autoSpaceDN/>
              <w:bidi w:val="0"/>
              <w:adjustRightInd w:val="0"/>
              <w:snapToGrid w:val="0"/>
              <w:spacing w:line="360" w:lineRule="auto"/>
              <w:ind w:left="0" w:leftChars="0" w:right="0" w:righ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（3）经技术人员排查后，如果是电子化交易系统问题造成</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无法解密的，将由技术人员对问题进行处理。如短时间内问题无法解决的，将由招标代理机构向监督部门申请，经监督部门同意后，暂停开标会议，待问题解决后继续开标。</w:t>
            </w:r>
          </w:p>
          <w:p w14:paraId="187FBB01">
            <w:pPr>
              <w:keepNext w:val="0"/>
              <w:keepLines w:val="0"/>
              <w:pageBreakBefore w:val="0"/>
              <w:widowControl/>
              <w:kinsoku w:val="0"/>
              <w:wordWrap/>
              <w:autoSpaceDE w:val="0"/>
              <w:autoSpaceDN w:val="0"/>
              <w:bidi w:val="0"/>
              <w:adjustRightInd w:val="0"/>
              <w:snapToGrid w:val="0"/>
              <w:spacing w:line="360" w:lineRule="auto"/>
              <w:ind w:left="0" w:leftChars="0" w:right="0" w:rightChars="0"/>
              <w:rPr>
                <w:rFonts w:hint="eastAsia" w:ascii="宋体" w:hAnsi="宋体" w:eastAsia="宋体" w:cs="宋体"/>
                <w:b w:val="0"/>
                <w:bCs w:val="0"/>
                <w:color w:val="auto"/>
                <w:kern w:val="0"/>
                <w:sz w:val="24"/>
                <w:szCs w:val="24"/>
                <w:highlight w:val="none"/>
              </w:rPr>
            </w:pPr>
            <w:r>
              <w:rPr>
                <w:rFonts w:hint="eastAsia" w:ascii="宋体" w:hAnsi="宋体" w:eastAsia="宋体" w:cs="宋体"/>
                <w:color w:val="auto"/>
                <w:kern w:val="0"/>
                <w:sz w:val="24"/>
                <w:szCs w:val="24"/>
                <w:highlight w:val="none"/>
              </w:rPr>
              <w:t>4．待所有</w:t>
            </w:r>
            <w:r>
              <w:rPr>
                <w:rFonts w:hint="eastAsia" w:ascii="宋体" w:hAnsi="宋体" w:eastAsia="宋体" w:cs="宋体"/>
                <w:color w:val="auto"/>
                <w:kern w:val="0"/>
                <w:sz w:val="24"/>
                <w:szCs w:val="24"/>
                <w:highlight w:val="none"/>
                <w:lang w:eastAsia="zh-CN"/>
              </w:rPr>
              <w:t>供应</w:t>
            </w:r>
            <w:r>
              <w:rPr>
                <w:rFonts w:hint="eastAsia" w:ascii="宋体" w:hAnsi="宋体" w:eastAsia="宋体" w:cs="宋体"/>
                <w:b w:val="0"/>
                <w:bCs w:val="0"/>
                <w:color w:val="auto"/>
                <w:kern w:val="0"/>
                <w:sz w:val="24"/>
                <w:szCs w:val="24"/>
                <w:highlight w:val="none"/>
                <w:lang w:eastAsia="zh-CN"/>
              </w:rPr>
              <w:t>商</w:t>
            </w:r>
            <w:r>
              <w:rPr>
                <w:rFonts w:hint="eastAsia" w:ascii="宋体" w:hAnsi="宋体" w:cs="宋体"/>
                <w:b w:val="0"/>
                <w:bCs w:val="0"/>
                <w:color w:val="auto"/>
                <w:kern w:val="0"/>
                <w:sz w:val="24"/>
                <w:szCs w:val="24"/>
                <w:highlight w:val="none"/>
                <w:lang w:eastAsia="zh-CN"/>
              </w:rPr>
              <w:t>响应文件</w:t>
            </w:r>
            <w:r>
              <w:rPr>
                <w:rFonts w:hint="eastAsia" w:ascii="宋体" w:hAnsi="宋体" w:eastAsia="宋体" w:cs="宋体"/>
                <w:b w:val="0"/>
                <w:bCs w:val="0"/>
                <w:color w:val="auto"/>
                <w:kern w:val="0"/>
                <w:sz w:val="24"/>
                <w:szCs w:val="24"/>
                <w:highlight w:val="none"/>
              </w:rPr>
              <w:t>解密完成后，由招标代理机构操作，对所有已解密</w:t>
            </w:r>
            <w:r>
              <w:rPr>
                <w:rFonts w:hint="eastAsia" w:ascii="宋体" w:hAnsi="宋体" w:cs="宋体"/>
                <w:b w:val="0"/>
                <w:bCs w:val="0"/>
                <w:color w:val="auto"/>
                <w:kern w:val="0"/>
                <w:sz w:val="24"/>
                <w:szCs w:val="24"/>
                <w:highlight w:val="none"/>
                <w:lang w:eastAsia="zh-CN"/>
              </w:rPr>
              <w:t>响应文件</w:t>
            </w:r>
            <w:r>
              <w:rPr>
                <w:rFonts w:hint="eastAsia" w:ascii="宋体" w:hAnsi="宋体" w:eastAsia="宋体" w:cs="宋体"/>
                <w:b w:val="0"/>
                <w:bCs w:val="0"/>
                <w:color w:val="auto"/>
                <w:kern w:val="0"/>
                <w:sz w:val="24"/>
                <w:szCs w:val="24"/>
                <w:highlight w:val="none"/>
              </w:rPr>
              <w:t>进行唱标。</w:t>
            </w:r>
          </w:p>
          <w:p w14:paraId="47173FE2">
            <w:pPr>
              <w:keepNext w:val="0"/>
              <w:keepLines w:val="0"/>
              <w:pageBreakBefore w:val="0"/>
              <w:widowControl/>
              <w:kinsoku w:val="0"/>
              <w:wordWrap/>
              <w:autoSpaceDE w:val="0"/>
              <w:autoSpaceDN w:val="0"/>
              <w:bidi w:val="0"/>
              <w:adjustRightInd w:val="0"/>
              <w:snapToGrid w:val="0"/>
              <w:spacing w:line="360" w:lineRule="auto"/>
              <w:ind w:left="0" w:leftChars="0" w:right="0" w:right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应保证在开标期间电话、电脑、网络能够正常工作，</w:t>
            </w:r>
            <w:r>
              <w:rPr>
                <w:rFonts w:hint="eastAsia" w:ascii="宋体" w:hAnsi="宋体" w:eastAsia="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因停电、电脑病毒、网络堵塞等原因，未在规定的解密时间内对</w:t>
            </w:r>
            <w:r>
              <w:rPr>
                <w:rFonts w:hint="eastAsia" w:ascii="宋体" w:hAnsi="宋体" w:cs="宋体"/>
                <w:b w:val="0"/>
                <w:bCs w:val="0"/>
                <w:color w:val="auto"/>
                <w:kern w:val="0"/>
                <w:sz w:val="24"/>
                <w:szCs w:val="24"/>
                <w:highlight w:val="none"/>
                <w:lang w:eastAsia="zh-CN"/>
              </w:rPr>
              <w:t>响应文件</w:t>
            </w:r>
            <w:r>
              <w:rPr>
                <w:rFonts w:hint="eastAsia" w:ascii="宋体" w:hAnsi="宋体" w:eastAsia="宋体" w:cs="宋体"/>
                <w:b w:val="0"/>
                <w:bCs w:val="0"/>
                <w:color w:val="auto"/>
                <w:kern w:val="0"/>
                <w:sz w:val="24"/>
                <w:szCs w:val="24"/>
                <w:highlight w:val="none"/>
              </w:rPr>
              <w:t>进行解密的，其</w:t>
            </w:r>
            <w:r>
              <w:rPr>
                <w:rFonts w:hint="eastAsia" w:ascii="宋体" w:hAnsi="宋体" w:cs="宋体"/>
                <w:b w:val="0"/>
                <w:bCs w:val="0"/>
                <w:color w:val="auto"/>
                <w:kern w:val="0"/>
                <w:sz w:val="24"/>
                <w:szCs w:val="24"/>
                <w:highlight w:val="none"/>
                <w:lang w:eastAsia="zh-CN"/>
              </w:rPr>
              <w:t>响应文件</w:t>
            </w:r>
            <w:r>
              <w:rPr>
                <w:rFonts w:hint="eastAsia" w:ascii="宋体" w:hAnsi="宋体" w:eastAsia="宋体" w:cs="宋体"/>
                <w:b w:val="0"/>
                <w:bCs w:val="0"/>
                <w:color w:val="auto"/>
                <w:kern w:val="0"/>
                <w:sz w:val="24"/>
                <w:szCs w:val="24"/>
                <w:highlight w:val="none"/>
              </w:rPr>
              <w:t>不予接收、唱标。</w:t>
            </w:r>
          </w:p>
          <w:p w14:paraId="2B157F74">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b w:val="0"/>
                <w:bCs w:val="0"/>
                <w:color w:val="auto"/>
                <w:kern w:val="0"/>
                <w:sz w:val="24"/>
                <w:szCs w:val="24"/>
                <w:highlight w:val="none"/>
              </w:rPr>
              <w:t>5．开标时</w:t>
            </w:r>
            <w:r>
              <w:rPr>
                <w:rFonts w:hint="eastAsia" w:ascii="宋体" w:hAnsi="宋体" w:eastAsia="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可登录到交易系统中在开标</w:t>
            </w:r>
            <w:r>
              <w:rPr>
                <w:rFonts w:hint="eastAsia" w:ascii="宋体" w:hAnsi="宋体" w:eastAsia="宋体" w:cs="宋体"/>
                <w:color w:val="auto"/>
                <w:kern w:val="0"/>
                <w:sz w:val="24"/>
                <w:szCs w:val="24"/>
                <w:highlight w:val="none"/>
              </w:rPr>
              <w:t>解密栏中点击报价一览表查看自己的投标报价。如对自己的唱标内容有异议的，应在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解密成功后10分钟内向</w:t>
            </w:r>
            <w:r>
              <w:rPr>
                <w:rFonts w:hint="eastAsia" w:ascii="宋体" w:hAnsi="宋体" w:eastAsia="宋体" w:cs="宋体"/>
                <w:color w:val="auto"/>
                <w:sz w:val="24"/>
                <w:szCs w:val="24"/>
                <w:highlight w:val="none"/>
              </w:rPr>
              <w:t>招标代理机构</w:t>
            </w:r>
            <w:r>
              <w:rPr>
                <w:rFonts w:hint="eastAsia" w:ascii="宋体" w:hAnsi="宋体" w:eastAsia="宋体" w:cs="宋体"/>
                <w:color w:val="auto"/>
                <w:kern w:val="0"/>
                <w:sz w:val="24"/>
                <w:szCs w:val="24"/>
                <w:highlight w:val="none"/>
              </w:rPr>
              <w:t>电话质疑。招标代理机构应在监督人员的监督下进行免提通话接受</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的质疑并做好书面记录。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未在规定时间内提出质疑的，视为认可唱标内容。</w:t>
            </w:r>
          </w:p>
        </w:tc>
      </w:tr>
      <w:tr w14:paraId="165BA98E">
        <w:tblPrEx>
          <w:tblCellMar>
            <w:top w:w="0" w:type="dxa"/>
            <w:left w:w="108" w:type="dxa"/>
            <w:bottom w:w="0" w:type="dxa"/>
            <w:right w:w="108" w:type="dxa"/>
          </w:tblCellMar>
        </w:tblPrEx>
        <w:trPr>
          <w:trHeight w:val="1333" w:hRule="atLeast"/>
        </w:trPr>
        <w:tc>
          <w:tcPr>
            <w:tcW w:w="670" w:type="dxa"/>
            <w:tcBorders>
              <w:top w:val="single" w:color="auto" w:sz="4" w:space="0"/>
              <w:left w:val="single" w:color="auto" w:sz="4" w:space="0"/>
              <w:bottom w:val="single" w:color="auto" w:sz="4" w:space="0"/>
              <w:right w:val="single" w:color="auto" w:sz="4" w:space="0"/>
            </w:tcBorders>
            <w:vAlign w:val="center"/>
          </w:tcPr>
          <w:p w14:paraId="7C3D065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1993" w:type="dxa"/>
            <w:tcBorders>
              <w:top w:val="single" w:color="auto" w:sz="4" w:space="0"/>
              <w:left w:val="nil"/>
              <w:bottom w:val="single" w:color="auto" w:sz="4" w:space="0"/>
              <w:right w:val="single" w:color="auto" w:sz="4" w:space="0"/>
            </w:tcBorders>
            <w:vAlign w:val="center"/>
          </w:tcPr>
          <w:p w14:paraId="59B2543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磋商小组的组建</w:t>
            </w:r>
          </w:p>
        </w:tc>
        <w:tc>
          <w:tcPr>
            <w:tcW w:w="6395" w:type="dxa"/>
            <w:tcBorders>
              <w:top w:val="single" w:color="auto" w:sz="4" w:space="0"/>
              <w:left w:val="nil"/>
              <w:bottom w:val="single" w:color="auto" w:sz="4" w:space="0"/>
              <w:right w:val="single" w:color="auto" w:sz="4" w:space="0"/>
            </w:tcBorders>
            <w:vAlign w:val="center"/>
          </w:tcPr>
          <w:p w14:paraId="4EAE58D4">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磋商小组构成：3人，其中采购人代表1人，专家2人；</w:t>
            </w:r>
          </w:p>
          <w:p w14:paraId="5D20DDF7">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2名评标专家确定方式：评标专家从评标专家库中随机抽取。</w:t>
            </w:r>
          </w:p>
        </w:tc>
      </w:tr>
      <w:tr w14:paraId="48A06AEE">
        <w:tblPrEx>
          <w:tblCellMar>
            <w:top w:w="0" w:type="dxa"/>
            <w:left w:w="108" w:type="dxa"/>
            <w:bottom w:w="0" w:type="dxa"/>
            <w:right w:w="108" w:type="dxa"/>
          </w:tblCellMar>
        </w:tblPrEx>
        <w:trPr>
          <w:trHeight w:val="1945" w:hRule="atLeast"/>
        </w:trPr>
        <w:tc>
          <w:tcPr>
            <w:tcW w:w="670" w:type="dxa"/>
            <w:tcBorders>
              <w:top w:val="single" w:color="auto" w:sz="4" w:space="0"/>
              <w:left w:val="single" w:color="auto" w:sz="4" w:space="0"/>
              <w:bottom w:val="single" w:color="auto" w:sz="4" w:space="0"/>
              <w:right w:val="single" w:color="auto" w:sz="4" w:space="0"/>
            </w:tcBorders>
            <w:vAlign w:val="center"/>
          </w:tcPr>
          <w:p w14:paraId="375FC58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1993" w:type="dxa"/>
            <w:tcBorders>
              <w:top w:val="single" w:color="auto" w:sz="4" w:space="0"/>
              <w:left w:val="nil"/>
              <w:bottom w:val="single" w:color="auto" w:sz="4" w:space="0"/>
              <w:right w:val="single" w:color="auto" w:sz="4" w:space="0"/>
            </w:tcBorders>
            <w:vAlign w:val="center"/>
          </w:tcPr>
          <w:p w14:paraId="6346F17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是否授权磋商小组确定中标人</w:t>
            </w:r>
          </w:p>
        </w:tc>
        <w:tc>
          <w:tcPr>
            <w:tcW w:w="6395" w:type="dxa"/>
            <w:tcBorders>
              <w:top w:val="single" w:color="auto" w:sz="4" w:space="0"/>
              <w:left w:val="nil"/>
              <w:bottom w:val="single" w:color="auto" w:sz="4" w:space="0"/>
              <w:right w:val="single" w:color="auto" w:sz="4" w:space="0"/>
            </w:tcBorders>
            <w:vAlign w:val="center"/>
          </w:tcPr>
          <w:p w14:paraId="0E3DC2ED">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否，竞争性磋商小组从质量和服务均能满足磋商文件实质性响应要求的供应商中，按照评审得分由高到低的顺序推荐3名成交候选人，由采购人按照竞争性磋商小组推荐的成交候选人顺序确定成交人。</w:t>
            </w:r>
          </w:p>
        </w:tc>
      </w:tr>
      <w:tr w14:paraId="69197101">
        <w:tblPrEx>
          <w:tblCellMar>
            <w:top w:w="0" w:type="dxa"/>
            <w:left w:w="108" w:type="dxa"/>
            <w:bottom w:w="0" w:type="dxa"/>
            <w:right w:w="108" w:type="dxa"/>
          </w:tblCellMar>
        </w:tblPrEx>
        <w:trPr>
          <w:trHeight w:val="90" w:hRule="atLeast"/>
        </w:trPr>
        <w:tc>
          <w:tcPr>
            <w:tcW w:w="670" w:type="dxa"/>
            <w:tcBorders>
              <w:top w:val="single" w:color="auto" w:sz="4" w:space="0"/>
              <w:left w:val="single" w:color="auto" w:sz="4" w:space="0"/>
              <w:bottom w:val="single" w:color="auto" w:sz="4" w:space="0"/>
              <w:right w:val="single" w:color="auto" w:sz="4" w:space="0"/>
            </w:tcBorders>
            <w:vAlign w:val="center"/>
          </w:tcPr>
          <w:p w14:paraId="36854F1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1993" w:type="dxa"/>
            <w:tcBorders>
              <w:top w:val="single" w:color="auto" w:sz="4" w:space="0"/>
              <w:left w:val="nil"/>
              <w:bottom w:val="single" w:color="auto" w:sz="4" w:space="0"/>
              <w:right w:val="single" w:color="auto" w:sz="4" w:space="0"/>
            </w:tcBorders>
            <w:vAlign w:val="center"/>
          </w:tcPr>
          <w:p w14:paraId="503F7E3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采购最高限价</w:t>
            </w:r>
          </w:p>
          <w:p w14:paraId="1B3D79A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报价及费用</w:t>
            </w:r>
            <w:r>
              <w:rPr>
                <w:rFonts w:hint="eastAsia" w:ascii="宋体" w:hAnsi="宋体" w:eastAsia="宋体" w:cs="宋体"/>
                <w:color w:val="auto"/>
                <w:sz w:val="24"/>
                <w:szCs w:val="24"/>
                <w:highlight w:val="none"/>
                <w:lang w:eastAsia="zh-CN"/>
              </w:rPr>
              <w:t>）</w:t>
            </w:r>
          </w:p>
        </w:tc>
        <w:tc>
          <w:tcPr>
            <w:tcW w:w="6395" w:type="dxa"/>
            <w:tcBorders>
              <w:top w:val="single" w:color="auto" w:sz="4" w:space="0"/>
              <w:left w:val="nil"/>
              <w:bottom w:val="single" w:color="auto" w:sz="4" w:space="0"/>
              <w:right w:val="single" w:color="auto" w:sz="4" w:space="0"/>
            </w:tcBorders>
            <w:vAlign w:val="center"/>
          </w:tcPr>
          <w:p w14:paraId="0453CB33">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b/>
                <w:bCs w:val="0"/>
                <w:color w:val="auto"/>
                <w:sz w:val="24"/>
                <w:szCs w:val="24"/>
                <w:highlight w:val="none"/>
              </w:rPr>
            </w:pPr>
            <w:r>
              <w:rPr>
                <w:rFonts w:hint="eastAsia" w:ascii="宋体" w:hAnsi="宋体" w:eastAsia="宋体" w:cs="宋体"/>
                <w:b/>
                <w:bCs/>
                <w:color w:val="auto"/>
                <w:sz w:val="24"/>
                <w:szCs w:val="24"/>
                <w:highlight w:val="none"/>
              </w:rPr>
              <w:t>采购最高限价：</w:t>
            </w:r>
            <w:r>
              <w:rPr>
                <w:rFonts w:hint="eastAsia" w:ascii="宋体" w:hAnsi="宋体" w:eastAsia="宋体" w:cs="宋体"/>
                <w:b/>
                <w:bCs/>
                <w:color w:val="auto"/>
                <w:sz w:val="24"/>
                <w:szCs w:val="24"/>
                <w:highlight w:val="none"/>
                <w:lang w:val="en-US" w:eastAsia="zh-CN"/>
              </w:rPr>
              <w:t>￥59.23万元。</w:t>
            </w:r>
            <w:r>
              <w:rPr>
                <w:rFonts w:hint="eastAsia" w:ascii="宋体" w:hAnsi="宋体" w:eastAsia="宋体" w:cs="宋体"/>
                <w:b/>
                <w:bCs/>
                <w:color w:val="auto"/>
                <w:sz w:val="24"/>
                <w:szCs w:val="24"/>
                <w:highlight w:val="none"/>
                <w:lang w:bidi="ar"/>
              </w:rPr>
              <w:t>若供应商的投标总报价超过采购预算金额（最高限价）即按废标处理。</w:t>
            </w:r>
          </w:p>
          <w:p w14:paraId="51C1A112">
            <w:pPr>
              <w:keepNext w:val="0"/>
              <w:keepLines w:val="0"/>
              <w:pageBreakBefore w:val="0"/>
              <w:widowControl/>
              <w:suppressLineNumbers w:val="0"/>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本项目应以人民币报价，供应商应就该项目完整投标（报价应包含服务费、税费、售后服务费等综合费用），采购人不另外支付其他任何费用。</w:t>
            </w:r>
          </w:p>
        </w:tc>
      </w:tr>
      <w:tr w14:paraId="6F515CF0">
        <w:tblPrEx>
          <w:tblCellMar>
            <w:top w:w="0" w:type="dxa"/>
            <w:left w:w="108" w:type="dxa"/>
            <w:bottom w:w="0" w:type="dxa"/>
            <w:right w:w="108" w:type="dxa"/>
          </w:tblCellMar>
        </w:tblPrEx>
        <w:trPr>
          <w:trHeight w:val="1583"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5C3DB0C9">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30</w:t>
            </w:r>
          </w:p>
        </w:tc>
        <w:tc>
          <w:tcPr>
            <w:tcW w:w="1993" w:type="dxa"/>
            <w:tcBorders>
              <w:top w:val="single" w:color="auto" w:sz="4" w:space="0"/>
              <w:left w:val="nil"/>
              <w:bottom w:val="single" w:color="auto" w:sz="4" w:space="0"/>
              <w:right w:val="single" w:color="auto" w:sz="4" w:space="0"/>
            </w:tcBorders>
            <w:vAlign w:val="center"/>
          </w:tcPr>
          <w:p w14:paraId="54CA268F">
            <w:pPr>
              <w:widowControl/>
              <w:spacing w:line="450" w:lineRule="exact"/>
              <w:jc w:val="center"/>
              <w:rPr>
                <w:rFonts w:hint="eastAsia" w:ascii="宋体" w:hAnsi="宋体" w:eastAsia="宋体" w:cs="宋体"/>
                <w:color w:val="auto"/>
                <w:sz w:val="24"/>
                <w:szCs w:val="24"/>
                <w:highlight w:val="none"/>
                <w:lang w:eastAsia="zh-CN"/>
              </w:rPr>
            </w:pPr>
            <w:r>
              <w:rPr>
                <w:rFonts w:hint="eastAsia" w:ascii="宋体" w:hAnsi="宋体"/>
                <w:kern w:val="0"/>
                <w:sz w:val="24"/>
                <w:highlight w:val="none"/>
                <w:lang w:bidi="en-US"/>
              </w:rPr>
              <w:t>招标代理费</w:t>
            </w:r>
          </w:p>
        </w:tc>
        <w:tc>
          <w:tcPr>
            <w:tcW w:w="6395" w:type="dxa"/>
            <w:tcBorders>
              <w:top w:val="single" w:color="auto" w:sz="4" w:space="0"/>
              <w:left w:val="nil"/>
              <w:bottom w:val="single" w:color="auto" w:sz="4" w:space="0"/>
              <w:right w:val="single" w:color="auto" w:sz="4" w:space="0"/>
            </w:tcBorders>
            <w:vAlign w:val="center"/>
          </w:tcPr>
          <w:p w14:paraId="33D0CF7A">
            <w:pPr>
              <w:spacing w:line="450" w:lineRule="exact"/>
              <w:rPr>
                <w:rFonts w:hint="default" w:ascii="宋体" w:hAnsi="宋体" w:eastAsia="宋体" w:cs="宋体"/>
                <w:sz w:val="24"/>
                <w:highlight w:val="none"/>
                <w:shd w:val="clear" w:color="050000" w:fill="auto"/>
                <w:lang w:val="en-US" w:eastAsia="zh-CN"/>
              </w:rPr>
            </w:pPr>
            <w:r>
              <w:rPr>
                <w:rFonts w:hint="eastAsia" w:ascii="宋体" w:hAnsi="宋体" w:cs="宋体"/>
                <w:sz w:val="24"/>
                <w:highlight w:val="none"/>
                <w:shd w:val="clear" w:color="050000" w:fill="auto"/>
                <w:lang w:val="en-US" w:eastAsia="zh-CN"/>
              </w:rPr>
              <w:t>付款方式：转账</w:t>
            </w:r>
          </w:p>
          <w:p w14:paraId="1EBA6CC4">
            <w:pPr>
              <w:spacing w:line="450" w:lineRule="exact"/>
              <w:rPr>
                <w:rFonts w:ascii="宋体" w:hAnsi="宋体" w:cs="宋体"/>
                <w:sz w:val="24"/>
                <w:highlight w:val="none"/>
                <w:shd w:val="clear" w:color="050000" w:fill="auto"/>
              </w:rPr>
            </w:pPr>
            <w:r>
              <w:rPr>
                <w:rFonts w:hint="eastAsia" w:ascii="宋体" w:hAnsi="宋体" w:cs="宋体"/>
                <w:sz w:val="24"/>
                <w:highlight w:val="none"/>
                <w:shd w:val="clear" w:color="050000" w:fill="auto"/>
              </w:rPr>
              <w:t>本项目招标代理费由中标单位承担，收费标准参照豫招协【2023】002号文件所规定的收费标准收取，代理费和产生的其它费用由成交单位承担。此费由投标人综合考虑到投标报价中，不再单独列项。</w:t>
            </w:r>
          </w:p>
          <w:p w14:paraId="5BF09E52">
            <w:pPr>
              <w:spacing w:line="450" w:lineRule="exact"/>
              <w:rPr>
                <w:rFonts w:hint="eastAsia" w:ascii="宋体" w:hAnsi="宋体" w:eastAsia="宋体" w:cs="宋体"/>
                <w:sz w:val="24"/>
                <w:szCs w:val="24"/>
                <w:highlight w:val="none"/>
                <w:shd w:val="clear" w:color="050000" w:fill="auto"/>
              </w:rPr>
            </w:pPr>
            <w:r>
              <w:rPr>
                <w:rFonts w:hint="eastAsia" w:ascii="宋体" w:hAnsi="宋体" w:eastAsia="宋体" w:cs="宋体"/>
                <w:sz w:val="24"/>
                <w:szCs w:val="24"/>
                <w:highlight w:val="none"/>
                <w:shd w:val="clear" w:color="050000" w:fill="auto"/>
              </w:rPr>
              <w:t>收款单位：河南精开咨询有限公司灵宝分公司</w:t>
            </w:r>
          </w:p>
          <w:p w14:paraId="1A476024">
            <w:pPr>
              <w:spacing w:line="450" w:lineRule="exact"/>
              <w:rPr>
                <w:rFonts w:hint="eastAsia" w:ascii="宋体" w:hAnsi="宋体" w:eastAsia="宋体" w:cs="宋体"/>
                <w:sz w:val="24"/>
                <w:szCs w:val="24"/>
                <w:highlight w:val="none"/>
                <w:shd w:val="clear" w:color="050000" w:fill="auto"/>
              </w:rPr>
            </w:pPr>
            <w:r>
              <w:rPr>
                <w:rFonts w:hint="eastAsia" w:ascii="宋体" w:hAnsi="宋体" w:eastAsia="宋体" w:cs="宋体"/>
                <w:sz w:val="24"/>
                <w:szCs w:val="24"/>
                <w:highlight w:val="none"/>
                <w:shd w:val="clear" w:color="050000" w:fill="auto"/>
              </w:rPr>
              <w:t>开户行：中国银行股份有限公司灵宝桃林支行</w:t>
            </w:r>
          </w:p>
          <w:p w14:paraId="6DBE9AFD">
            <w:pPr>
              <w:spacing w:line="45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sz w:val="24"/>
                <w:szCs w:val="24"/>
                <w:highlight w:val="none"/>
                <w:shd w:val="clear" w:color="050000" w:fill="auto"/>
              </w:rPr>
              <w:t>账号：248196255393</w:t>
            </w:r>
          </w:p>
        </w:tc>
      </w:tr>
      <w:tr w14:paraId="084656D4">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2B77425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31</w:t>
            </w:r>
          </w:p>
        </w:tc>
        <w:tc>
          <w:tcPr>
            <w:tcW w:w="1993" w:type="dxa"/>
            <w:tcBorders>
              <w:top w:val="single" w:color="auto" w:sz="4" w:space="0"/>
              <w:left w:val="nil"/>
              <w:bottom w:val="single" w:color="auto" w:sz="4" w:space="0"/>
              <w:right w:val="single" w:color="auto" w:sz="4" w:space="0"/>
            </w:tcBorders>
            <w:vAlign w:val="center"/>
          </w:tcPr>
          <w:p w14:paraId="493DCBE1">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付款办法</w:t>
            </w:r>
          </w:p>
        </w:tc>
        <w:tc>
          <w:tcPr>
            <w:tcW w:w="6395" w:type="dxa"/>
            <w:tcBorders>
              <w:top w:val="single" w:color="auto" w:sz="4" w:space="0"/>
              <w:left w:val="nil"/>
              <w:bottom w:val="single" w:color="auto" w:sz="4" w:space="0"/>
              <w:right w:val="single" w:color="auto" w:sz="4" w:space="0"/>
            </w:tcBorders>
            <w:vAlign w:val="center"/>
          </w:tcPr>
          <w:p w14:paraId="60834723">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按灵宝市财政项目资金拨付程序付款。</w:t>
            </w:r>
          </w:p>
        </w:tc>
      </w:tr>
      <w:tr w14:paraId="3EF8B495">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1F7186C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32</w:t>
            </w:r>
          </w:p>
        </w:tc>
        <w:tc>
          <w:tcPr>
            <w:tcW w:w="1993" w:type="dxa"/>
            <w:tcBorders>
              <w:top w:val="single" w:color="auto" w:sz="4" w:space="0"/>
              <w:left w:val="nil"/>
              <w:bottom w:val="single" w:color="auto" w:sz="4" w:space="0"/>
              <w:right w:val="single" w:color="auto" w:sz="4" w:space="0"/>
            </w:tcBorders>
            <w:vAlign w:val="center"/>
          </w:tcPr>
          <w:p w14:paraId="0FD7619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履约保证金</w:t>
            </w:r>
          </w:p>
        </w:tc>
        <w:tc>
          <w:tcPr>
            <w:tcW w:w="6395" w:type="dxa"/>
            <w:tcBorders>
              <w:top w:val="single" w:color="auto" w:sz="4" w:space="0"/>
              <w:left w:val="nil"/>
              <w:bottom w:val="single" w:color="auto" w:sz="4" w:space="0"/>
              <w:right w:val="single" w:color="auto" w:sz="4" w:space="0"/>
            </w:tcBorders>
            <w:vAlign w:val="center"/>
          </w:tcPr>
          <w:p w14:paraId="491DB14B">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无</w:t>
            </w:r>
          </w:p>
        </w:tc>
      </w:tr>
      <w:tr w14:paraId="5F441DA8">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25852B2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33</w:t>
            </w:r>
          </w:p>
        </w:tc>
        <w:tc>
          <w:tcPr>
            <w:tcW w:w="1993" w:type="dxa"/>
            <w:tcBorders>
              <w:top w:val="single" w:color="auto" w:sz="4" w:space="0"/>
              <w:left w:val="nil"/>
              <w:bottom w:val="single" w:color="auto" w:sz="4" w:space="0"/>
              <w:right w:val="single" w:color="auto" w:sz="4" w:space="0"/>
            </w:tcBorders>
            <w:vAlign w:val="center"/>
          </w:tcPr>
          <w:p w14:paraId="3ADDA520">
            <w:pPr>
              <w:keepNext w:val="0"/>
              <w:keepLines w:val="0"/>
              <w:pageBreakBefore w:val="0"/>
              <w:widowControl/>
              <w:suppressLineNumbers w:val="0"/>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专门面向中小企业采购</w:t>
            </w:r>
          </w:p>
        </w:tc>
        <w:tc>
          <w:tcPr>
            <w:tcW w:w="6395" w:type="dxa"/>
            <w:tcBorders>
              <w:top w:val="single" w:color="auto" w:sz="4" w:space="0"/>
              <w:left w:val="nil"/>
              <w:bottom w:val="single" w:color="auto" w:sz="4" w:space="0"/>
              <w:right w:val="single" w:color="auto" w:sz="4" w:space="0"/>
            </w:tcBorders>
            <w:vAlign w:val="center"/>
          </w:tcPr>
          <w:p w14:paraId="78FDA75E">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本项目或相关采购包是否专门面向中小企业采购：否</w:t>
            </w:r>
          </w:p>
        </w:tc>
      </w:tr>
      <w:tr w14:paraId="4E4D8ED9">
        <w:tblPrEx>
          <w:tblCellMar>
            <w:top w:w="0" w:type="dxa"/>
            <w:left w:w="108" w:type="dxa"/>
            <w:bottom w:w="0" w:type="dxa"/>
            <w:right w:w="108" w:type="dxa"/>
          </w:tblCellMar>
        </w:tblPrEx>
        <w:trPr>
          <w:trHeight w:val="697"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48E073A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34</w:t>
            </w:r>
          </w:p>
        </w:tc>
        <w:tc>
          <w:tcPr>
            <w:tcW w:w="1993" w:type="dxa"/>
            <w:tcBorders>
              <w:top w:val="single" w:color="auto" w:sz="4" w:space="0"/>
              <w:left w:val="nil"/>
              <w:bottom w:val="single" w:color="auto" w:sz="4" w:space="0"/>
              <w:right w:val="single" w:color="auto" w:sz="4" w:space="0"/>
            </w:tcBorders>
            <w:vAlign w:val="center"/>
          </w:tcPr>
          <w:p w14:paraId="416EBB2F">
            <w:pPr>
              <w:keepNext w:val="0"/>
              <w:keepLines w:val="0"/>
              <w:pageBreakBefore w:val="0"/>
              <w:widowControl/>
              <w:suppressLineNumbers w:val="0"/>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中小微企业扶持政策</w:t>
            </w:r>
          </w:p>
        </w:tc>
        <w:tc>
          <w:tcPr>
            <w:tcW w:w="6395" w:type="dxa"/>
            <w:tcBorders>
              <w:top w:val="single" w:color="auto" w:sz="4" w:space="0"/>
              <w:left w:val="nil"/>
              <w:bottom w:val="single" w:color="auto" w:sz="4" w:space="0"/>
              <w:right w:val="single" w:color="auto" w:sz="4" w:space="0"/>
            </w:tcBorders>
            <w:vAlign w:val="center"/>
          </w:tcPr>
          <w:p w14:paraId="2A1BC111">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在政府采购活动中，供应商提供的货物、工程或者服务符合下列情形的，享受本办法规定的中小微企业扶持政策： </w:t>
            </w:r>
          </w:p>
          <w:p w14:paraId="133A9322">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（一）在货物采购项目中，货物由中小微企业制造，即货物由中小微企业生产且使用该中小微企业商号或者注册商标； </w:t>
            </w:r>
          </w:p>
          <w:p w14:paraId="0A0F0FC4">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（二）在工程采购项目中，工程由中小微企业承建，即工程施工单位为中小微企业； </w:t>
            </w:r>
          </w:p>
          <w:p w14:paraId="50A3C2E2">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（三）在服务采购项目中，服务由中小微企业承接，即提供服务的人员为中小微企业依照《中华人民共和国劳动合同法》订立劳动合同的从业人员。 </w:t>
            </w:r>
          </w:p>
          <w:p w14:paraId="4AA3CFC0">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在货物采购项目中，供应商提供的货物既有中小微企业制造货物，也有大型企业制造货物的，不享受本办法规定的中小微企业扶持政策。</w:t>
            </w:r>
          </w:p>
          <w:p w14:paraId="0DC0EE35">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以联合体形式参加政府采购活动，联合体各方均为中小微企业的，联合体视同中小微企业。其中，联合体各方均为小微企业的，联合体视同小微企业。</w:t>
            </w:r>
          </w:p>
        </w:tc>
      </w:tr>
      <w:tr w14:paraId="243BB9A4">
        <w:tblPrEx>
          <w:tblCellMar>
            <w:top w:w="0" w:type="dxa"/>
            <w:left w:w="108" w:type="dxa"/>
            <w:bottom w:w="0" w:type="dxa"/>
            <w:right w:w="108" w:type="dxa"/>
          </w:tblCellMar>
        </w:tblPrEx>
        <w:trPr>
          <w:trHeight w:val="2657"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6A5A33F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35</w:t>
            </w:r>
          </w:p>
        </w:tc>
        <w:tc>
          <w:tcPr>
            <w:tcW w:w="1993" w:type="dxa"/>
            <w:tcBorders>
              <w:top w:val="single" w:color="auto" w:sz="4" w:space="0"/>
              <w:left w:val="nil"/>
              <w:bottom w:val="single" w:color="auto" w:sz="4" w:space="0"/>
              <w:right w:val="single" w:color="auto" w:sz="4" w:space="0"/>
            </w:tcBorders>
            <w:vAlign w:val="center"/>
          </w:tcPr>
          <w:p w14:paraId="353676D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所属行业</w:t>
            </w:r>
          </w:p>
        </w:tc>
        <w:tc>
          <w:tcPr>
            <w:tcW w:w="6395" w:type="dxa"/>
            <w:tcBorders>
              <w:top w:val="single" w:color="auto" w:sz="4" w:space="0"/>
              <w:left w:val="nil"/>
              <w:bottom w:val="single" w:color="auto" w:sz="4" w:space="0"/>
              <w:right w:val="single" w:color="auto" w:sz="4" w:space="0"/>
            </w:tcBorders>
            <w:vAlign w:val="center"/>
          </w:tcPr>
          <w:p w14:paraId="1EE2F470">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依据“关于印发中小微企业划型标准规定的通知 工信部联企业〔2011〕300 号”本项目属于</w:t>
            </w:r>
            <w:r>
              <w:rPr>
                <w:rFonts w:hint="eastAsia" w:ascii="宋体" w:hAnsi="宋体" w:eastAsia="宋体" w:cs="宋体"/>
                <w:b/>
                <w:bCs/>
                <w:color w:val="auto"/>
                <w:sz w:val="24"/>
                <w:szCs w:val="24"/>
                <w:highlight w:val="none"/>
                <w:lang w:val="en-US" w:eastAsia="zh-CN"/>
              </w:rPr>
              <w:t>农、林、牧、渔业</w:t>
            </w:r>
            <w:r>
              <w:rPr>
                <w:rFonts w:hint="eastAsia" w:ascii="宋体" w:hAnsi="宋体" w:eastAsia="宋体" w:cs="宋体"/>
                <w:color w:val="auto"/>
                <w:sz w:val="24"/>
                <w:szCs w:val="24"/>
                <w:highlight w:val="none"/>
                <w:lang w:val="en-US" w:eastAsia="zh-CN"/>
              </w:rPr>
              <w:t>：营业收入 20000 万元以下的为中小微型企业。其中，营业收入 500万元及以上的为中型企业；营业收入 50 万元及以上的为小型企业；营业收入 50 万元以下的为微型企业。</w:t>
            </w:r>
          </w:p>
        </w:tc>
      </w:tr>
      <w:tr w14:paraId="36EF3D1B">
        <w:tblPrEx>
          <w:tblCellMar>
            <w:top w:w="0" w:type="dxa"/>
            <w:left w:w="108" w:type="dxa"/>
            <w:bottom w:w="0" w:type="dxa"/>
            <w:right w:w="108" w:type="dxa"/>
          </w:tblCellMar>
        </w:tblPrEx>
        <w:trPr>
          <w:trHeight w:val="90"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41948EE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36</w:t>
            </w:r>
          </w:p>
        </w:tc>
        <w:tc>
          <w:tcPr>
            <w:tcW w:w="1993" w:type="dxa"/>
            <w:tcBorders>
              <w:top w:val="single" w:color="auto" w:sz="4" w:space="0"/>
              <w:left w:val="nil"/>
              <w:bottom w:val="single" w:color="auto" w:sz="4" w:space="0"/>
              <w:right w:val="single" w:color="auto" w:sz="4" w:space="0"/>
            </w:tcBorders>
            <w:vAlign w:val="center"/>
          </w:tcPr>
          <w:p w14:paraId="40E09429">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是否实行计算机辅助评标</w:t>
            </w:r>
          </w:p>
        </w:tc>
        <w:tc>
          <w:tcPr>
            <w:tcW w:w="6395" w:type="dxa"/>
            <w:tcBorders>
              <w:top w:val="single" w:color="auto" w:sz="4" w:space="0"/>
              <w:left w:val="nil"/>
              <w:bottom w:val="single" w:color="auto" w:sz="4" w:space="0"/>
              <w:right w:val="single" w:color="auto" w:sz="4" w:space="0"/>
            </w:tcBorders>
            <w:vAlign w:val="center"/>
          </w:tcPr>
          <w:p w14:paraId="142BAC3F">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p w14:paraId="141F0D25">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供应商须独立制作、修改和上传</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，若因“</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制作机器码”与其他供应商一致，机器码一致的所有</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按无效文件处理，所造成的不良后果由供应商自行承担。</w:t>
            </w:r>
          </w:p>
        </w:tc>
      </w:tr>
      <w:tr w14:paraId="5657D6D2">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71BE37A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37</w:t>
            </w:r>
          </w:p>
        </w:tc>
        <w:tc>
          <w:tcPr>
            <w:tcW w:w="1993" w:type="dxa"/>
            <w:tcBorders>
              <w:top w:val="single" w:color="auto" w:sz="4" w:space="0"/>
              <w:left w:val="nil"/>
              <w:bottom w:val="single" w:color="auto" w:sz="4" w:space="0"/>
              <w:right w:val="single" w:color="auto" w:sz="4" w:space="0"/>
            </w:tcBorders>
            <w:vAlign w:val="center"/>
          </w:tcPr>
          <w:p w14:paraId="007ABFDA">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代表出席开标会</w:t>
            </w:r>
          </w:p>
        </w:tc>
        <w:tc>
          <w:tcPr>
            <w:tcW w:w="6395" w:type="dxa"/>
            <w:tcBorders>
              <w:top w:val="single" w:color="auto" w:sz="4" w:space="0"/>
              <w:left w:val="nil"/>
              <w:bottom w:val="single" w:color="auto" w:sz="4" w:space="0"/>
              <w:right w:val="single" w:color="auto" w:sz="4" w:space="0"/>
            </w:tcBorders>
            <w:vAlign w:val="center"/>
          </w:tcPr>
          <w:p w14:paraId="624E9E84">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所有投标供应商的法定代表人或其委托代理人无需到现场参加开标会议，仔细阅读磋商文件和三门峡市公共资源交易中心官网业务办理指南</w:t>
            </w:r>
          </w:p>
        </w:tc>
      </w:tr>
      <w:tr w14:paraId="4CA89579">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1D5520A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38</w:t>
            </w:r>
          </w:p>
        </w:tc>
        <w:tc>
          <w:tcPr>
            <w:tcW w:w="1993" w:type="dxa"/>
            <w:tcBorders>
              <w:top w:val="single" w:color="auto" w:sz="4" w:space="0"/>
              <w:left w:val="nil"/>
              <w:bottom w:val="single" w:color="auto" w:sz="4" w:space="0"/>
              <w:right w:val="single" w:color="auto" w:sz="4" w:space="0"/>
            </w:tcBorders>
            <w:vAlign w:val="center"/>
          </w:tcPr>
          <w:p w14:paraId="33F5222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结果公示</w:t>
            </w:r>
          </w:p>
        </w:tc>
        <w:tc>
          <w:tcPr>
            <w:tcW w:w="6395" w:type="dxa"/>
            <w:tcBorders>
              <w:top w:val="single" w:color="auto" w:sz="4" w:space="0"/>
              <w:left w:val="nil"/>
              <w:bottom w:val="single" w:color="auto" w:sz="4" w:space="0"/>
              <w:right w:val="single" w:color="auto" w:sz="4" w:space="0"/>
            </w:tcBorders>
            <w:vAlign w:val="center"/>
          </w:tcPr>
          <w:p w14:paraId="6C36EA3F">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在成交通知书发出前，采购人将成交候选人的情况在本招标项目招标公告发布的同一媒介、交易中心予以公示，接受社会监督</w:t>
            </w:r>
          </w:p>
        </w:tc>
      </w:tr>
      <w:tr w14:paraId="3C14AC30">
        <w:tblPrEx>
          <w:tblCellMar>
            <w:top w:w="0" w:type="dxa"/>
            <w:left w:w="108" w:type="dxa"/>
            <w:bottom w:w="0" w:type="dxa"/>
            <w:right w:w="108" w:type="dxa"/>
          </w:tblCellMar>
        </w:tblPrEx>
        <w:trPr>
          <w:trHeight w:val="2215"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1FFFACC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39</w:t>
            </w:r>
          </w:p>
        </w:tc>
        <w:tc>
          <w:tcPr>
            <w:tcW w:w="1993" w:type="dxa"/>
            <w:tcBorders>
              <w:top w:val="single" w:color="auto" w:sz="4" w:space="0"/>
              <w:left w:val="nil"/>
              <w:bottom w:val="single" w:color="auto" w:sz="4" w:space="0"/>
              <w:right w:val="single" w:color="auto" w:sz="4" w:space="0"/>
            </w:tcBorders>
            <w:vAlign w:val="center"/>
          </w:tcPr>
          <w:p w14:paraId="497AC65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知识产权</w:t>
            </w:r>
          </w:p>
        </w:tc>
        <w:tc>
          <w:tcPr>
            <w:tcW w:w="6395" w:type="dxa"/>
            <w:tcBorders>
              <w:top w:val="single" w:color="auto" w:sz="4" w:space="0"/>
              <w:left w:val="nil"/>
              <w:bottom w:val="single" w:color="auto" w:sz="4" w:space="0"/>
              <w:right w:val="single" w:color="auto" w:sz="4" w:space="0"/>
            </w:tcBorders>
            <w:vAlign w:val="center"/>
          </w:tcPr>
          <w:p w14:paraId="03EAF722">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构成本竞争性磋商文件各个组成部分的文件，未经采购人书面同意，供应商不得擅自复印和用于非本招标项目所需的其他目的。采购人全部或者部分使用未成交人</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中的技术成果或技术方案时，需征得其书面同意，并不得擅自复印或提供给第三人</w:t>
            </w:r>
          </w:p>
        </w:tc>
      </w:tr>
      <w:tr w14:paraId="503CF4DC">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411187D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40</w:t>
            </w:r>
          </w:p>
        </w:tc>
        <w:tc>
          <w:tcPr>
            <w:tcW w:w="1993" w:type="dxa"/>
            <w:tcBorders>
              <w:top w:val="single" w:color="auto" w:sz="4" w:space="0"/>
              <w:left w:val="nil"/>
              <w:bottom w:val="single" w:color="auto" w:sz="4" w:space="0"/>
              <w:right w:val="single" w:color="auto" w:sz="4" w:space="0"/>
            </w:tcBorders>
            <w:vAlign w:val="center"/>
          </w:tcPr>
          <w:p w14:paraId="2682F44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重新招标的其他情形</w:t>
            </w:r>
          </w:p>
        </w:tc>
        <w:tc>
          <w:tcPr>
            <w:tcW w:w="6395" w:type="dxa"/>
            <w:tcBorders>
              <w:top w:val="single" w:color="auto" w:sz="4" w:space="0"/>
              <w:left w:val="nil"/>
              <w:bottom w:val="single" w:color="auto" w:sz="4" w:space="0"/>
              <w:right w:val="single" w:color="auto" w:sz="4" w:space="0"/>
            </w:tcBorders>
            <w:vAlign w:val="center"/>
          </w:tcPr>
          <w:p w14:paraId="0DFABD3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除供应商须知正文第8条规定的情形外，经评标委员会评审，认为所有</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都不符合竞争性磋商文件要求的，可以否决所有</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，并在评标纪要上详细说明理由</w:t>
            </w:r>
          </w:p>
        </w:tc>
      </w:tr>
      <w:tr w14:paraId="5EC274E8">
        <w:tblPrEx>
          <w:tblCellMar>
            <w:top w:w="0" w:type="dxa"/>
            <w:left w:w="108" w:type="dxa"/>
            <w:bottom w:w="0" w:type="dxa"/>
            <w:right w:w="108" w:type="dxa"/>
          </w:tblCellMar>
        </w:tblPrEx>
        <w:trPr>
          <w:trHeight w:val="394" w:hRule="atLeast"/>
        </w:trPr>
        <w:tc>
          <w:tcPr>
            <w:tcW w:w="670" w:type="dxa"/>
            <w:tcBorders>
              <w:top w:val="single" w:color="auto" w:sz="4" w:space="0"/>
              <w:left w:val="single" w:color="auto" w:sz="4" w:space="0"/>
              <w:bottom w:val="single" w:color="auto" w:sz="4" w:space="0"/>
              <w:right w:val="single" w:color="auto" w:sz="4" w:space="0"/>
            </w:tcBorders>
            <w:vAlign w:val="center"/>
          </w:tcPr>
          <w:p w14:paraId="5CA750DC">
            <w:pPr>
              <w:keepNext w:val="0"/>
              <w:keepLines w:val="0"/>
              <w:pageBreakBefore w:val="0"/>
              <w:widowControl/>
              <w:kinsoku w:val="0"/>
              <w:wordWrap/>
              <w:bidi w:val="0"/>
              <w:adjustRightInd w:val="0"/>
              <w:snapToGrid w:val="0"/>
              <w:spacing w:line="360" w:lineRule="auto"/>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41</w:t>
            </w:r>
          </w:p>
        </w:tc>
        <w:tc>
          <w:tcPr>
            <w:tcW w:w="1993" w:type="dxa"/>
            <w:tcBorders>
              <w:top w:val="single" w:color="auto" w:sz="4" w:space="0"/>
              <w:left w:val="nil"/>
              <w:bottom w:val="single" w:color="auto" w:sz="4" w:space="0"/>
              <w:right w:val="single" w:color="auto" w:sz="4" w:space="0"/>
            </w:tcBorders>
            <w:vAlign w:val="center"/>
          </w:tcPr>
          <w:p w14:paraId="746081E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6395" w:type="dxa"/>
            <w:tcBorders>
              <w:top w:val="single" w:color="auto" w:sz="4" w:space="0"/>
              <w:left w:val="nil"/>
              <w:bottom w:val="single" w:color="auto" w:sz="4" w:space="0"/>
              <w:right w:val="single" w:color="auto" w:sz="4" w:space="0"/>
            </w:tcBorders>
            <w:vAlign w:val="center"/>
          </w:tcPr>
          <w:p w14:paraId="7232D552">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本项目的招标投标活动及其相关当事人应当接受有管辖权的招标投标行政监督部门依法实施的监督</w:t>
            </w:r>
          </w:p>
        </w:tc>
      </w:tr>
      <w:tr w14:paraId="7C896A2E">
        <w:tblPrEx>
          <w:tblCellMar>
            <w:top w:w="0" w:type="dxa"/>
            <w:left w:w="108" w:type="dxa"/>
            <w:bottom w:w="0" w:type="dxa"/>
            <w:right w:w="108" w:type="dxa"/>
          </w:tblCellMar>
        </w:tblPrEx>
        <w:trPr>
          <w:trHeight w:val="599"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76E84DD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42</w:t>
            </w:r>
          </w:p>
        </w:tc>
        <w:tc>
          <w:tcPr>
            <w:tcW w:w="1993" w:type="dxa"/>
            <w:tcBorders>
              <w:top w:val="single" w:color="auto" w:sz="4" w:space="0"/>
              <w:left w:val="nil"/>
              <w:bottom w:val="single" w:color="auto" w:sz="4" w:space="0"/>
              <w:right w:val="single" w:color="auto" w:sz="4" w:space="0"/>
            </w:tcBorders>
            <w:vAlign w:val="center"/>
          </w:tcPr>
          <w:p w14:paraId="06C5E80A">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解释权</w:t>
            </w:r>
          </w:p>
        </w:tc>
        <w:tc>
          <w:tcPr>
            <w:tcW w:w="6395" w:type="dxa"/>
            <w:tcBorders>
              <w:top w:val="single" w:color="auto" w:sz="4" w:space="0"/>
              <w:left w:val="nil"/>
              <w:bottom w:val="single" w:color="auto" w:sz="4" w:space="0"/>
              <w:right w:val="single" w:color="auto" w:sz="4" w:space="0"/>
            </w:tcBorders>
            <w:vAlign w:val="center"/>
          </w:tcPr>
          <w:p w14:paraId="1981371C">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构成本竞争性磋商文件的各个组成部分应互为解释，互为说明，如有不明确或不一致，构成合同文件组成内容，以合同文件约定内容为准，且以专用合同草案约定的合同文件优先顺序解释；除竞争性磋商文件中有特别规定外，仅适用于招标投标阶段的规定，按招标公告（投标邀请书）、评标办法、</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格式的先后顺序解释；同一组成文件中就同一事项的规定或约定不一致的，以编排顺序在后者为准；同一组成文件不同版本之间有不一致的，已形成时间在后者为准。按本款前述规定仍不能形成结论的，由采购人或委托代理机构负责解释。</w:t>
            </w:r>
          </w:p>
        </w:tc>
      </w:tr>
      <w:tr w14:paraId="1C739CDE">
        <w:tblPrEx>
          <w:tblCellMar>
            <w:top w:w="0" w:type="dxa"/>
            <w:left w:w="108" w:type="dxa"/>
            <w:bottom w:w="0" w:type="dxa"/>
            <w:right w:w="108" w:type="dxa"/>
          </w:tblCellMar>
        </w:tblPrEx>
        <w:trPr>
          <w:trHeight w:val="3442"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6E13E5C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w:t>
            </w:r>
          </w:p>
        </w:tc>
        <w:tc>
          <w:tcPr>
            <w:tcW w:w="1993" w:type="dxa"/>
            <w:tcBorders>
              <w:top w:val="single" w:color="auto" w:sz="4" w:space="0"/>
              <w:left w:val="nil"/>
              <w:bottom w:val="single" w:color="auto" w:sz="4" w:space="0"/>
              <w:right w:val="single" w:color="auto" w:sz="4" w:space="0"/>
            </w:tcBorders>
            <w:vAlign w:val="center"/>
          </w:tcPr>
          <w:p w14:paraId="613B8E87">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质疑</w:t>
            </w:r>
          </w:p>
        </w:tc>
        <w:tc>
          <w:tcPr>
            <w:tcW w:w="6395" w:type="dxa"/>
            <w:tcBorders>
              <w:top w:val="single" w:color="auto" w:sz="4" w:space="0"/>
              <w:left w:val="nil"/>
              <w:bottom w:val="single" w:color="auto" w:sz="4" w:space="0"/>
              <w:right w:val="single" w:color="auto" w:sz="4" w:space="0"/>
            </w:tcBorders>
          </w:tcPr>
          <w:p w14:paraId="64DDF2F4">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kern w:val="44"/>
                <w:sz w:val="24"/>
                <w:szCs w:val="24"/>
                <w:highlight w:val="none"/>
              </w:rPr>
            </w:pPr>
            <w:r>
              <w:rPr>
                <w:rFonts w:hint="eastAsia" w:ascii="宋体" w:hAnsi="宋体" w:eastAsia="宋体" w:cs="宋体"/>
                <w:b w:val="0"/>
                <w:bCs w:val="0"/>
                <w:color w:val="auto"/>
                <w:kern w:val="44"/>
                <w:sz w:val="24"/>
                <w:szCs w:val="24"/>
                <w:highlight w:val="none"/>
                <w:lang w:val="en-US" w:eastAsia="zh-CN"/>
              </w:rPr>
              <w:t>一、</w:t>
            </w:r>
            <w:r>
              <w:rPr>
                <w:rFonts w:hint="eastAsia" w:ascii="宋体" w:hAnsi="宋体" w:eastAsia="宋体" w:cs="宋体"/>
                <w:b w:val="0"/>
                <w:bCs w:val="0"/>
                <w:color w:val="auto"/>
                <w:kern w:val="44"/>
                <w:sz w:val="24"/>
                <w:szCs w:val="24"/>
                <w:highlight w:val="none"/>
              </w:rPr>
              <w:t>供应商认为自己的权益受到损害的，可以在知道或者应知其权益受到损害之日起七个工作日内，向采购代理机构提出质疑。</w:t>
            </w:r>
          </w:p>
          <w:p w14:paraId="1F7F929E">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kern w:val="44"/>
                <w:sz w:val="24"/>
                <w:szCs w:val="24"/>
                <w:highlight w:val="none"/>
              </w:rPr>
            </w:pPr>
            <w:r>
              <w:rPr>
                <w:rFonts w:hint="eastAsia" w:ascii="宋体" w:hAnsi="宋体" w:eastAsia="宋体" w:cs="宋体"/>
                <w:b w:val="0"/>
                <w:bCs w:val="0"/>
                <w:color w:val="auto"/>
                <w:kern w:val="44"/>
                <w:sz w:val="24"/>
                <w:szCs w:val="24"/>
                <w:highlight w:val="none"/>
              </w:rPr>
              <w:t>质疑函的内容、格式：应符合《中华人民共和国财政部令第 94 号</w:t>
            </w:r>
            <w:r>
              <w:rPr>
                <w:rFonts w:hint="eastAsia" w:ascii="宋体" w:hAnsi="宋体" w:eastAsia="宋体" w:cs="宋体"/>
                <w:b w:val="0"/>
                <w:bCs w:val="0"/>
                <w:color w:val="auto"/>
                <w:kern w:val="44"/>
                <w:sz w:val="24"/>
                <w:szCs w:val="24"/>
                <w:highlight w:val="none"/>
                <w:lang w:eastAsia="zh-CN"/>
              </w:rPr>
              <w:t>—</w:t>
            </w:r>
            <w:r>
              <w:rPr>
                <w:rFonts w:hint="eastAsia" w:ascii="宋体" w:hAnsi="宋体" w:eastAsia="宋体" w:cs="宋体"/>
                <w:b w:val="0"/>
                <w:bCs w:val="0"/>
                <w:color w:val="auto"/>
                <w:kern w:val="44"/>
                <w:sz w:val="24"/>
                <w:szCs w:val="24"/>
                <w:highlight w:val="none"/>
              </w:rPr>
              <w:t>政府采购质疑和投诉办法》相关规定和财政部门制定的《政府采购质疑函范本》格式。</w:t>
            </w:r>
          </w:p>
          <w:p w14:paraId="43BA57A7">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rPr>
              <w:t>二、</w:t>
            </w:r>
            <w:r>
              <w:rPr>
                <w:rFonts w:hint="eastAsia" w:ascii="宋体" w:hAnsi="宋体" w:eastAsia="宋体" w:cs="宋体"/>
                <w:b w:val="0"/>
                <w:bCs w:val="0"/>
                <w:color w:val="auto"/>
                <w:kern w:val="44"/>
                <w:sz w:val="24"/>
                <w:szCs w:val="24"/>
                <w:highlight w:val="none"/>
              </w:rPr>
              <w:t>供应商应在法定质疑期内一次性针对同一采购程序环节提出质疑，否则针对再次提出质疑将不予接收。（采购程序环节分为：采购公告、磋商文件、采购过程、成交结果）</w:t>
            </w:r>
          </w:p>
          <w:p w14:paraId="5936886F">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1.对</w:t>
            </w:r>
            <w:r>
              <w:rPr>
                <w:rFonts w:hint="eastAsia" w:ascii="宋体" w:hAnsi="宋体" w:cs="宋体"/>
                <w:b w:val="0"/>
                <w:bCs w:val="0"/>
                <w:color w:val="auto"/>
                <w:sz w:val="24"/>
                <w:szCs w:val="24"/>
                <w:highlight w:val="none"/>
                <w:lang w:val="en-US" w:eastAsia="zh-CN"/>
              </w:rPr>
              <w:t>磋商文件</w:t>
            </w:r>
            <w:r>
              <w:rPr>
                <w:rFonts w:hint="eastAsia" w:ascii="宋体" w:hAnsi="宋体" w:eastAsia="宋体" w:cs="宋体"/>
                <w:b w:val="0"/>
                <w:bCs w:val="0"/>
                <w:color w:val="auto"/>
                <w:sz w:val="24"/>
                <w:szCs w:val="24"/>
                <w:highlight w:val="none"/>
                <w:lang w:val="en-US" w:eastAsia="zh-CN"/>
              </w:rPr>
              <w:t>的异议：供应商应仔细阅读</w:t>
            </w:r>
            <w:r>
              <w:rPr>
                <w:rFonts w:hint="eastAsia" w:ascii="宋体" w:hAnsi="宋体" w:cs="宋体"/>
                <w:b w:val="0"/>
                <w:bCs w:val="0"/>
                <w:color w:val="auto"/>
                <w:sz w:val="24"/>
                <w:szCs w:val="24"/>
                <w:highlight w:val="none"/>
                <w:lang w:val="en-US" w:eastAsia="zh-CN"/>
              </w:rPr>
              <w:t>磋商文件</w:t>
            </w:r>
            <w:r>
              <w:rPr>
                <w:rFonts w:hint="eastAsia" w:ascii="宋体" w:hAnsi="宋体" w:eastAsia="宋体" w:cs="宋体"/>
                <w:b w:val="0"/>
                <w:bCs w:val="0"/>
                <w:color w:val="auto"/>
                <w:sz w:val="24"/>
                <w:szCs w:val="24"/>
                <w:highlight w:val="none"/>
                <w:lang w:val="en-US" w:eastAsia="zh-CN"/>
              </w:rPr>
              <w:t>所有内容，如有异议应当在</w:t>
            </w:r>
            <w:r>
              <w:rPr>
                <w:rFonts w:hint="eastAsia" w:ascii="宋体" w:hAnsi="宋体" w:cs="宋体"/>
                <w:b w:val="0"/>
                <w:bCs w:val="0"/>
                <w:color w:val="auto"/>
                <w:sz w:val="24"/>
                <w:szCs w:val="24"/>
                <w:highlight w:val="none"/>
                <w:lang w:val="en-US" w:eastAsia="zh-CN"/>
              </w:rPr>
              <w:t>磋商文件</w:t>
            </w:r>
            <w:r>
              <w:rPr>
                <w:rFonts w:hint="eastAsia" w:ascii="宋体" w:hAnsi="宋体" w:eastAsia="宋体" w:cs="宋体"/>
                <w:b w:val="0"/>
                <w:bCs w:val="0"/>
                <w:color w:val="auto"/>
                <w:sz w:val="24"/>
                <w:szCs w:val="24"/>
                <w:highlight w:val="none"/>
                <w:lang w:val="en-US" w:eastAsia="zh-CN"/>
              </w:rPr>
              <w:t>规定的时间（即投标截止时间10日前）内在三门峡市公共资源交易中心平台一次性提出答疑问题并将异议相应的问题可编辑word版本和盖章后的扫描件发送至招标代理机构邮箱1687771614@qq.com（下同），采购人或招标代理机构将在收到异议之日起3日内作出答复。在规定时间内，若供应商未提出异议的，则视同供应商理解并认可</w:t>
            </w:r>
            <w:r>
              <w:rPr>
                <w:rFonts w:hint="eastAsia" w:ascii="宋体" w:hAnsi="宋体" w:cs="宋体"/>
                <w:b w:val="0"/>
                <w:bCs w:val="0"/>
                <w:color w:val="auto"/>
                <w:sz w:val="24"/>
                <w:szCs w:val="24"/>
                <w:highlight w:val="none"/>
                <w:lang w:val="en-US" w:eastAsia="zh-CN"/>
              </w:rPr>
              <w:t>磋商文件</w:t>
            </w:r>
            <w:r>
              <w:rPr>
                <w:rFonts w:hint="eastAsia" w:ascii="宋体" w:hAnsi="宋体" w:eastAsia="宋体" w:cs="宋体"/>
                <w:b w:val="0"/>
                <w:bCs w:val="0"/>
                <w:color w:val="auto"/>
                <w:sz w:val="24"/>
                <w:szCs w:val="24"/>
                <w:highlight w:val="none"/>
                <w:lang w:val="en-US" w:eastAsia="zh-CN"/>
              </w:rPr>
              <w:t>，采购人或招标代理机构将不再接收涉及</w:t>
            </w:r>
            <w:r>
              <w:rPr>
                <w:rFonts w:hint="eastAsia" w:ascii="宋体" w:hAnsi="宋体" w:cs="宋体"/>
                <w:b w:val="0"/>
                <w:bCs w:val="0"/>
                <w:color w:val="auto"/>
                <w:sz w:val="24"/>
                <w:szCs w:val="24"/>
                <w:highlight w:val="none"/>
                <w:lang w:val="en-US" w:eastAsia="zh-CN"/>
              </w:rPr>
              <w:t>磋商文件</w:t>
            </w:r>
            <w:r>
              <w:rPr>
                <w:rFonts w:hint="eastAsia" w:ascii="宋体" w:hAnsi="宋体" w:eastAsia="宋体" w:cs="宋体"/>
                <w:b w:val="0"/>
                <w:bCs w:val="0"/>
                <w:color w:val="auto"/>
                <w:sz w:val="24"/>
                <w:szCs w:val="24"/>
                <w:highlight w:val="none"/>
                <w:lang w:val="en-US" w:eastAsia="zh-CN"/>
              </w:rPr>
              <w:t>的异议。</w:t>
            </w:r>
          </w:p>
          <w:p w14:paraId="6326AC65">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中标公告的异议：供应商或其他利害关系人对本次招标项目的中标公告有异议的，应当在中标公告公示期间在三门峡市公共资源交易中心平台线上提出并按照要求发至招标代理机构邮箱，逾期提出的将不予受理。</w:t>
            </w:r>
          </w:p>
          <w:p w14:paraId="03EA075F">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w:t>
            </w:r>
          </w:p>
          <w:p w14:paraId="5051808B">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（1）供应商提出异议时，应提交异议函和必要的证明材料（质疑函应当包含供应商名称、地址、联系人及联系电话、邮箱；质疑项目的名称、编号；提出异议的日期）。</w:t>
            </w:r>
          </w:p>
          <w:p w14:paraId="041D850C">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异议供应商若委托代理人进行异议的，异议函应列明“授权代表”的有关内容，并在异议函中提交由质疑函供应商签署的授权委托书（法定代表人签字或盖章，并加盖单位公章）。授权委托书应载明委托代理人的姓名、代理事项、具体权限、期限和相关事项。</w:t>
            </w:r>
          </w:p>
          <w:p w14:paraId="35EC3236">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（3）异议函的异议事项应具体、明确，并有必要的事实依据和法律依据。</w:t>
            </w:r>
          </w:p>
          <w:p w14:paraId="2E545EB6">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异议供应商若存在捏造事实、伪造材料、以非法手段取得的证明材料（异议供应商无法证明其取得方式合法的，视为非法手段取得的证明材料）将被采购人列入不良行为记录名单，造成损失的应依法承担相应法律责任。</w:t>
            </w:r>
          </w:p>
        </w:tc>
      </w:tr>
      <w:tr w14:paraId="404CCDC8">
        <w:tblPrEx>
          <w:tblCellMar>
            <w:top w:w="0" w:type="dxa"/>
            <w:left w:w="108" w:type="dxa"/>
            <w:bottom w:w="0" w:type="dxa"/>
            <w:right w:w="108" w:type="dxa"/>
          </w:tblCellMar>
        </w:tblPrEx>
        <w:trPr>
          <w:trHeight w:val="974"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3F26478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44</w:t>
            </w:r>
          </w:p>
        </w:tc>
        <w:tc>
          <w:tcPr>
            <w:tcW w:w="1993" w:type="dxa"/>
            <w:tcBorders>
              <w:top w:val="single" w:color="auto" w:sz="4" w:space="0"/>
              <w:left w:val="nil"/>
              <w:bottom w:val="single" w:color="auto" w:sz="4" w:space="0"/>
              <w:right w:val="single" w:color="auto" w:sz="4" w:space="0"/>
            </w:tcBorders>
            <w:vAlign w:val="center"/>
          </w:tcPr>
          <w:p w14:paraId="7C26415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电子招标响应性文件递交异常的处理方式</w:t>
            </w:r>
          </w:p>
        </w:tc>
        <w:tc>
          <w:tcPr>
            <w:tcW w:w="6395" w:type="dxa"/>
            <w:tcBorders>
              <w:top w:val="single" w:color="auto" w:sz="4" w:space="0"/>
              <w:left w:val="nil"/>
              <w:bottom w:val="single" w:color="auto" w:sz="4" w:space="0"/>
              <w:right w:val="single" w:color="auto" w:sz="4" w:space="0"/>
            </w:tcBorders>
          </w:tcPr>
          <w:p w14:paraId="62EF5F2C">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当电子投标（文件打包、上传、解密异常）操作出现异常时，应及时联系平台技术支持人员解决。</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招标人（采购人）有权对供应商提供的证明材料进行核实，如果发现供应商提供虚假信息，将追究提供虚假信息的责任。</w:t>
            </w:r>
          </w:p>
        </w:tc>
      </w:tr>
      <w:tr w14:paraId="11707F14">
        <w:tblPrEx>
          <w:tblCellMar>
            <w:top w:w="0" w:type="dxa"/>
            <w:left w:w="108" w:type="dxa"/>
            <w:bottom w:w="0" w:type="dxa"/>
            <w:right w:w="108" w:type="dxa"/>
          </w:tblCellMar>
        </w:tblPrEx>
        <w:trPr>
          <w:trHeight w:val="6226" w:hRule="atLeast"/>
        </w:trPr>
        <w:tc>
          <w:tcPr>
            <w:tcW w:w="670" w:type="dxa"/>
            <w:tcBorders>
              <w:top w:val="single" w:color="auto" w:sz="4" w:space="0"/>
              <w:left w:val="single" w:color="auto" w:sz="4" w:space="0"/>
              <w:bottom w:val="single" w:color="auto" w:sz="4" w:space="0"/>
              <w:right w:val="single" w:color="auto" w:sz="4" w:space="0"/>
            </w:tcBorders>
          </w:tcPr>
          <w:p w14:paraId="7C20010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p>
        </w:tc>
        <w:tc>
          <w:tcPr>
            <w:tcW w:w="1993" w:type="dxa"/>
            <w:tcBorders>
              <w:top w:val="single" w:color="auto" w:sz="4" w:space="0"/>
              <w:left w:val="nil"/>
              <w:bottom w:val="single" w:color="auto" w:sz="4" w:space="0"/>
              <w:right w:val="single" w:color="auto" w:sz="4" w:space="0"/>
            </w:tcBorders>
            <w:vAlign w:val="center"/>
          </w:tcPr>
          <w:p w14:paraId="13411686">
            <w:pPr>
              <w:keepNext w:val="0"/>
              <w:keepLines w:val="0"/>
              <w:pageBreakBefore w:val="0"/>
              <w:widowControl/>
              <w:tabs>
                <w:tab w:val="left" w:pos="6330"/>
              </w:tabs>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电子化投标注意事项</w:t>
            </w:r>
          </w:p>
        </w:tc>
        <w:tc>
          <w:tcPr>
            <w:tcW w:w="6395" w:type="dxa"/>
            <w:tcBorders>
              <w:top w:val="single" w:color="auto" w:sz="4" w:space="0"/>
              <w:left w:val="nil"/>
              <w:bottom w:val="single" w:color="auto" w:sz="4" w:space="0"/>
              <w:right w:val="single" w:color="auto" w:sz="4" w:space="0"/>
            </w:tcBorders>
          </w:tcPr>
          <w:p w14:paraId="28997595">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本项目为电子化交易项目，响应性文件是供应商、供应商（以下简称“供应商”）通过中心响应性文件制作系统制作，并经过电子签章和加密后生成的电子版响应性文件。供应商投标时，不须提交纸质文件资料。</w:t>
            </w:r>
          </w:p>
          <w:p w14:paraId="7A22D66C">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电子化响应性文件具体制作教材请供应商通过CA证书登录三门峡市公共资源电子化交易系统在 “交易智库”中下载操作流程</w:t>
            </w:r>
          </w:p>
          <w:p w14:paraId="3D789D5E">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温馨提示：本项目为电子化、无纸化交易项目，供应商时不接受任何纸质资料，为保证您能投标成功，请需仔细阅读以下条款。</w:t>
            </w:r>
          </w:p>
          <w:p w14:paraId="4FE862C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一、电子化投标</w:t>
            </w:r>
          </w:p>
          <w:p w14:paraId="7660CC3A">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（一）电子化响应性文件的签章</w:t>
            </w:r>
          </w:p>
          <w:p w14:paraId="66CDA45A">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1、供应商在生成电子化响应性文件后，应对电子化响应性文件进行签章，未进行签章的视为无效投标。</w:t>
            </w:r>
          </w:p>
          <w:p w14:paraId="56CF400A">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响应性文件中要求法定代表人或授权委托人签字或盖章的，供应商在进行电子化响应性文件签章时，以签盖法定代表人签章为准。电子化响应性文件具体制作教材请供应商通过CA证书登录三门峡市公共资源电子化交易系统在右上角“交易智库”中查看。电子化响应性文件工具请点击</w:t>
            </w:r>
            <w:r>
              <w:rPr>
                <w:rFonts w:hint="eastAsia" w:ascii="宋体" w:hAnsi="宋体" w:eastAsia="宋体" w:cs="宋体"/>
                <w:b w:val="0"/>
                <w:bCs w:val="0"/>
                <w:color w:val="auto"/>
                <w:sz w:val="24"/>
                <w:szCs w:val="24"/>
                <w:highlight w:val="none"/>
                <w:lang w:eastAsia="zh-CN"/>
              </w:rPr>
              <w:t>https://download.bqpoint.com/?SourceFrom=Ztb&amp;ZtbSoftXiaQuCode=1506&amp;ZtbSoftType=tballinclusive&amp;SoftGuid=32a56ff8-6d6c-41d4-8bbb-c9bcc14aa552&amp;RootGuid=a05291d9-1069-46fc-806b-01dc60317f84&amp;softtypecode=03</w:t>
            </w:r>
            <w:r>
              <w:rPr>
                <w:rFonts w:hint="eastAsia" w:ascii="宋体" w:hAnsi="宋体" w:eastAsia="宋体" w:cs="宋体"/>
                <w:b w:val="0"/>
                <w:bCs w:val="0"/>
                <w:color w:val="auto"/>
                <w:sz w:val="24"/>
                <w:szCs w:val="24"/>
                <w:highlight w:val="none"/>
              </w:rPr>
              <w:t>进行下载。</w:t>
            </w:r>
          </w:p>
          <w:p w14:paraId="4094B58A">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（二）电子化响应性文件的格式及上传投标</w:t>
            </w:r>
          </w:p>
          <w:p w14:paraId="15C7881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1、供应商所上传的电子化响应性文件，应是通过中心响应性文件制作系统制作的（响应性文件制作工具下载地址：</w:t>
            </w:r>
            <w:r>
              <w:rPr>
                <w:rFonts w:hint="eastAsia" w:ascii="宋体" w:hAnsi="宋体" w:eastAsia="宋体" w:cs="宋体"/>
                <w:b w:val="0"/>
                <w:bCs w:val="0"/>
                <w:color w:val="auto"/>
                <w:sz w:val="24"/>
                <w:szCs w:val="24"/>
                <w:highlight w:val="none"/>
                <w:lang w:eastAsia="zh-CN"/>
              </w:rPr>
              <w:t>https://download.bqpoint.com/?SourceFrom=Ztb&amp;ZtbSoftXiaQuCode=1506&amp;ZtbSoftType=tballinclusive&amp;SoftGuid=32a56ff8-6d6c-41d4-8bbb-c9bcc14aa552&amp;RootGuid=a05291d9-1069-46fc-806b-01dc60317f84&amp;softtypecode=03</w:t>
            </w:r>
            <w:r>
              <w:rPr>
                <w:rFonts w:hint="eastAsia" w:ascii="宋体" w:hAnsi="宋体" w:eastAsia="宋体" w:cs="宋体"/>
                <w:b w:val="0"/>
                <w:bCs w:val="0"/>
                <w:color w:val="auto"/>
                <w:sz w:val="24"/>
                <w:szCs w:val="24"/>
                <w:highlight w:val="none"/>
              </w:rPr>
              <w:t>），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4A33DE90">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注：供应商投报多个标段的，需要每个标段单独制作电子响应性文件。</w:t>
            </w:r>
          </w:p>
          <w:p w14:paraId="2B43B4E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2、电子化响应性文件应在投标截止时间前成功上传至三门峡市公共资源电子化交易系统。至投标截止时间止，仍未上传成功的电子化响应性文件将不予接收。</w:t>
            </w:r>
          </w:p>
          <w:p w14:paraId="26ADEE9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14933D4D">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技术联系电话：</w:t>
            </w:r>
            <w:r>
              <w:rPr>
                <w:rFonts w:hint="eastAsia" w:ascii="宋体" w:hAnsi="宋体" w:eastAsia="宋体" w:cs="宋体"/>
                <w:b w:val="0"/>
                <w:bCs w:val="0"/>
                <w:color w:val="auto"/>
                <w:sz w:val="24"/>
                <w:szCs w:val="24"/>
                <w:highlight w:val="none"/>
                <w:lang w:val="en-US" w:eastAsia="zh-CN"/>
              </w:rPr>
              <w:t>0398-3117871</w:t>
            </w:r>
          </w:p>
          <w:p w14:paraId="6C655B10">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主体库咨询电话:0398-3117815</w:t>
            </w:r>
          </w:p>
          <w:p w14:paraId="2D16A656">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CA证书制发:0398-2181635</w:t>
            </w:r>
          </w:p>
          <w:p w14:paraId="2AC695D5">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科技信息科:0398-3117095</w:t>
            </w:r>
          </w:p>
          <w:p w14:paraId="356A233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（三）电子化项目开标、解密、唱标、评标</w:t>
            </w:r>
          </w:p>
          <w:p w14:paraId="38ED47EA">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响应性文件解密等。</w:t>
            </w:r>
          </w:p>
          <w:p w14:paraId="2C88A83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2、电子化响应性文件采用一次加密方式。开标时，由供应商使用CA 证书，在规定时间内对其电子化响应性文件进行解密。每位供应商的解密时间为开标时间起30 分钟内，如在规定时间内未完成解密的，其响应性文件不予开标、唱标。</w:t>
            </w:r>
          </w:p>
          <w:p w14:paraId="69FF563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3、电子化响应性文件解密异常的处理</w:t>
            </w:r>
          </w:p>
          <w:p w14:paraId="1627A200">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如出现供应商的电子响应性文件无法解密等异常情况，供应商应及时致电中介服务机构说明。响应性文件异常，按以下步骤进行处理：</w:t>
            </w:r>
          </w:p>
          <w:p w14:paraId="2BBC48A6">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（1）首先由技术人员进行问题排查。</w:t>
            </w:r>
          </w:p>
          <w:p w14:paraId="6BD8E6C0">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（2）经技术人员排查后，是供应商文件自身问题导致响应性文件无法解密的，该响应性文件将不予接收、解密和唱标。开标会议继续进行。</w:t>
            </w:r>
          </w:p>
          <w:p w14:paraId="6FFDE341">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37DF4D8F">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4、待所有供应商响应性文件解密完成后，由中介服务机构操作，对所有已解密响应性文件进行唱标。</w:t>
            </w:r>
          </w:p>
          <w:p w14:paraId="3C7D4B2F">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供应商应保证在开标期间电话、电脑、网络能够正常工作，供应商因停电、电脑病毒、网络堵塞等原因，未在规定的解密时间内对响应性文件进行解密的，其响应性文件不予接收、唱标。</w:t>
            </w:r>
          </w:p>
          <w:p w14:paraId="0B5D7A3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211AB7D5">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评标时，评标委员会对电子化响应性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51C332C8">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7、如评标委员会对需要回复的供应商连续三次致电未接通的，视为供应商放弃回复，评标委员会将自行对需要回复的内容进行认定。</w:t>
            </w:r>
          </w:p>
          <w:p w14:paraId="105A4F7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提示：本项目为电子化、无纸化交易项目，供应商时不再接受任何纸质资料，为保证您能投标成功，请需仔细阅读以上条款。</w:t>
            </w:r>
          </w:p>
        </w:tc>
      </w:tr>
    </w:tbl>
    <w:p w14:paraId="2406316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bCs/>
          <w:color w:val="auto"/>
          <w:kern w:val="10"/>
          <w:sz w:val="24"/>
          <w:szCs w:val="24"/>
          <w:highlight w:val="none"/>
        </w:rPr>
      </w:pPr>
      <w:r>
        <w:rPr>
          <w:rFonts w:hint="eastAsia" w:ascii="宋体" w:hAnsi="宋体" w:eastAsia="宋体" w:cs="宋体"/>
          <w:b w:val="0"/>
          <w:bCs w:val="0"/>
          <w:color w:val="auto"/>
          <w:sz w:val="24"/>
          <w:szCs w:val="24"/>
          <w:highlight w:val="none"/>
        </w:rPr>
        <w:br w:type="page"/>
      </w:r>
      <w:bookmarkStart w:id="10" w:name="_Toc120614214"/>
      <w:bookmarkEnd w:id="10"/>
      <w:bookmarkStart w:id="11" w:name="_Toc16938519"/>
      <w:bookmarkEnd w:id="11"/>
      <w:bookmarkStart w:id="12" w:name="_Toc513029203"/>
      <w:bookmarkEnd w:id="12"/>
      <w:bookmarkStart w:id="13" w:name="_Toc20823275"/>
      <w:bookmarkEnd w:id="13"/>
      <w:bookmarkStart w:id="14" w:name="_Toc517178993"/>
      <w:bookmarkEnd w:id="14"/>
      <w:bookmarkStart w:id="15" w:name="_Toc16938558"/>
      <w:bookmarkStart w:id="16" w:name="_Toc479757211"/>
      <w:r>
        <w:rPr>
          <w:rFonts w:hint="eastAsia" w:ascii="宋体" w:hAnsi="宋体" w:eastAsia="宋体" w:cs="宋体"/>
          <w:b/>
          <w:bCs/>
          <w:color w:val="auto"/>
          <w:kern w:val="10"/>
          <w:sz w:val="24"/>
          <w:szCs w:val="24"/>
          <w:highlight w:val="none"/>
        </w:rPr>
        <w:t>1、总则</w:t>
      </w:r>
    </w:p>
    <w:p w14:paraId="383FBA0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bookmarkStart w:id="17" w:name="_Toc152042307"/>
      <w:bookmarkStart w:id="18" w:name="_Toc144974499"/>
      <w:bookmarkStart w:id="19" w:name="_Toc152045531"/>
      <w:bookmarkStart w:id="20" w:name="_Toc179632548"/>
      <w:r>
        <w:rPr>
          <w:rFonts w:hint="eastAsia" w:ascii="宋体" w:hAnsi="宋体" w:eastAsia="宋体" w:cs="宋体"/>
          <w:color w:val="auto"/>
          <w:sz w:val="24"/>
          <w:szCs w:val="24"/>
          <w:highlight w:val="none"/>
        </w:rPr>
        <w:t>1.1项目概况</w:t>
      </w:r>
    </w:p>
    <w:p w14:paraId="7721B35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1.1.1根据根据《中华人民共和国政府采购法》、《政府采购非招标采购方式管理办法》等有关法律、法规和规章的规定，本招标项目已具备磋商条件，现对本项目进行竞争性磋商。</w:t>
      </w:r>
    </w:p>
    <w:p w14:paraId="30D6D32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1.1.2本项目采购人：见供应商须知前附表。</w:t>
      </w:r>
    </w:p>
    <w:p w14:paraId="39ADA5D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1.1.3本项目采购代理机构：见供应商须知前附表。</w:t>
      </w:r>
    </w:p>
    <w:p w14:paraId="3193C84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1.1.4本项目名称：见供应商须知前附表。</w:t>
      </w:r>
    </w:p>
    <w:bookmarkEnd w:id="17"/>
    <w:bookmarkEnd w:id="18"/>
    <w:bookmarkEnd w:id="19"/>
    <w:bookmarkEnd w:id="20"/>
    <w:p w14:paraId="3CDE75D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1.2资金来源和落实情况</w:t>
      </w:r>
    </w:p>
    <w:p w14:paraId="5A75B9B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1.2.1本项目的资金来源：见供应商须知前附表。</w:t>
      </w:r>
    </w:p>
    <w:p w14:paraId="0711952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1.2.2本项目的出资比例：见供应商须知前附表。</w:t>
      </w:r>
    </w:p>
    <w:p w14:paraId="6D24474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1.2.3本项目的资金落实情况：见供应商须知前附表。</w:t>
      </w:r>
    </w:p>
    <w:p w14:paraId="74BE7DA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bookmarkStart w:id="21" w:name="_Toc179632549"/>
      <w:bookmarkStart w:id="22" w:name="_Toc152045532"/>
      <w:bookmarkStart w:id="23" w:name="_Toc152042308"/>
      <w:bookmarkStart w:id="24" w:name="_Toc144974500"/>
      <w:r>
        <w:rPr>
          <w:rFonts w:hint="eastAsia" w:ascii="宋体" w:hAnsi="宋体" w:eastAsia="宋体" w:cs="宋体"/>
          <w:color w:val="auto"/>
          <w:sz w:val="24"/>
          <w:szCs w:val="24"/>
          <w:highlight w:val="none"/>
        </w:rPr>
        <w:t>1.3采购内容、采购要求、实施期限、服务地点和质量标准</w:t>
      </w:r>
    </w:p>
    <w:p w14:paraId="0357792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1.3.1本项目采购内容：见供应商须知前附表。</w:t>
      </w:r>
    </w:p>
    <w:p w14:paraId="4F23FA4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1.3.2本项目的质量标准：见供应商须知前附表</w:t>
      </w:r>
    </w:p>
    <w:p w14:paraId="2749FEF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1.3.3本项目的实施期限：见供应商须知前附表。</w:t>
      </w:r>
    </w:p>
    <w:p w14:paraId="007C544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1.3.4本项目服务地点：见供应商须知前附表。</w:t>
      </w:r>
    </w:p>
    <w:bookmarkEnd w:id="21"/>
    <w:bookmarkEnd w:id="22"/>
    <w:bookmarkEnd w:id="23"/>
    <w:bookmarkEnd w:id="24"/>
    <w:p w14:paraId="000CE0A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bookmarkStart w:id="25" w:name="_Toc179632550"/>
      <w:bookmarkStart w:id="26" w:name="_Toc144974501"/>
      <w:bookmarkStart w:id="27" w:name="_Toc152045533"/>
      <w:bookmarkStart w:id="28" w:name="_Toc152042309"/>
      <w:r>
        <w:rPr>
          <w:rFonts w:hint="eastAsia" w:ascii="宋体" w:hAnsi="宋体" w:eastAsia="宋体" w:cs="宋体"/>
          <w:color w:val="auto"/>
          <w:sz w:val="24"/>
          <w:szCs w:val="24"/>
          <w:highlight w:val="none"/>
        </w:rPr>
        <w:t>1.4供应商资格要求</w:t>
      </w:r>
      <w:bookmarkEnd w:id="25"/>
      <w:bookmarkEnd w:id="26"/>
      <w:bookmarkEnd w:id="27"/>
      <w:bookmarkEnd w:id="28"/>
      <w:r>
        <w:rPr>
          <w:rFonts w:hint="eastAsia" w:ascii="宋体" w:hAnsi="宋体" w:eastAsia="宋体" w:cs="宋体"/>
          <w:color w:val="auto"/>
          <w:sz w:val="24"/>
          <w:szCs w:val="24"/>
          <w:highlight w:val="none"/>
        </w:rPr>
        <w:t>：见供应商须知前附表。</w:t>
      </w:r>
    </w:p>
    <w:p w14:paraId="6C01AB7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bookmarkStart w:id="29" w:name="_Toc152042311"/>
      <w:bookmarkStart w:id="30" w:name="_Toc144974503"/>
      <w:bookmarkStart w:id="31" w:name="_Toc179632552"/>
      <w:bookmarkStart w:id="32" w:name="_Toc152045535"/>
      <w:r>
        <w:rPr>
          <w:rFonts w:hint="eastAsia" w:ascii="宋体" w:hAnsi="宋体" w:eastAsia="宋体" w:cs="宋体"/>
          <w:color w:val="auto"/>
          <w:sz w:val="24"/>
          <w:szCs w:val="24"/>
          <w:highlight w:val="none"/>
        </w:rPr>
        <w:t>1.5费用承担</w:t>
      </w:r>
      <w:bookmarkEnd w:id="29"/>
      <w:bookmarkEnd w:id="30"/>
      <w:bookmarkEnd w:id="31"/>
      <w:bookmarkEnd w:id="32"/>
    </w:p>
    <w:p w14:paraId="42262BF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供应商准备和参加投标活动发生的费用自理。</w:t>
      </w:r>
    </w:p>
    <w:p w14:paraId="47A83D4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1.6保密</w:t>
      </w:r>
    </w:p>
    <w:p w14:paraId="257EB0D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参与招标投标活动的各方应对竞争性磋商文件和</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中的商业和技术等秘密保密，违者应对由此造成的后果承担法律责任。</w:t>
      </w:r>
    </w:p>
    <w:p w14:paraId="7F810EF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1.7语言文字</w:t>
      </w:r>
    </w:p>
    <w:p w14:paraId="33EB748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除专用术语外，与招标投标有关的语言均使用中文。专用术语应附有中文注释。</w:t>
      </w:r>
    </w:p>
    <w:p w14:paraId="1E11696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1.8计量单位</w:t>
      </w:r>
    </w:p>
    <w:p w14:paraId="6C73F44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43D1A33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1.9踏勘现场</w:t>
      </w:r>
    </w:p>
    <w:p w14:paraId="2F3FBC7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见供应商须知前附表。</w:t>
      </w:r>
    </w:p>
    <w:p w14:paraId="3901A79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1.10投标预备会</w:t>
      </w:r>
    </w:p>
    <w:p w14:paraId="1D25CB9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见供应商须知前附表。</w:t>
      </w:r>
    </w:p>
    <w:p w14:paraId="0DDD08E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1.11分包</w:t>
      </w:r>
    </w:p>
    <w:p w14:paraId="6AA9716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见供应商须知前附表。</w:t>
      </w:r>
    </w:p>
    <w:p w14:paraId="489B4D7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1.12偏离</w:t>
      </w:r>
    </w:p>
    <w:p w14:paraId="07263B6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见供应商须知前附表。</w:t>
      </w:r>
    </w:p>
    <w:p w14:paraId="16208360">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kern w:val="10"/>
          <w:sz w:val="24"/>
          <w:szCs w:val="24"/>
          <w:highlight w:val="none"/>
        </w:rPr>
      </w:pPr>
      <w:bookmarkStart w:id="33" w:name="_Toc516499647"/>
      <w:r>
        <w:rPr>
          <w:rFonts w:hint="eastAsia" w:ascii="宋体" w:hAnsi="宋体" w:eastAsia="宋体" w:cs="宋体"/>
          <w:b/>
          <w:bCs/>
          <w:color w:val="auto"/>
          <w:kern w:val="10"/>
          <w:sz w:val="24"/>
          <w:szCs w:val="24"/>
          <w:highlight w:val="none"/>
        </w:rPr>
        <w:t>2、竞争性磋商文件</w:t>
      </w:r>
      <w:bookmarkEnd w:id="33"/>
    </w:p>
    <w:p w14:paraId="5E28CFA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2.1竞争性磋商文件的组成</w:t>
      </w:r>
    </w:p>
    <w:p w14:paraId="1D46176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本竞争性磋商文件包括：</w:t>
      </w:r>
    </w:p>
    <w:p w14:paraId="4EB6A2D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56A7841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0F48BBB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(3）评标办法；</w:t>
      </w:r>
    </w:p>
    <w:p w14:paraId="33E7EC7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p>
    <w:p w14:paraId="6FD95E3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w:t>
      </w:r>
      <w:r>
        <w:rPr>
          <w:rFonts w:hint="eastAsia" w:ascii="宋体" w:hAnsi="宋体" w:eastAsia="宋体" w:cs="宋体"/>
          <w:color w:val="auto"/>
          <w:sz w:val="24"/>
          <w:szCs w:val="24"/>
          <w:highlight w:val="none"/>
          <w:lang w:val="en-US" w:eastAsia="zh-CN"/>
        </w:rPr>
        <w:t>内容及技术要求</w:t>
      </w:r>
      <w:r>
        <w:rPr>
          <w:rFonts w:hint="eastAsia" w:ascii="宋体" w:hAnsi="宋体" w:eastAsia="宋体" w:cs="宋体"/>
          <w:color w:val="auto"/>
          <w:sz w:val="24"/>
          <w:szCs w:val="24"/>
          <w:highlight w:val="none"/>
        </w:rPr>
        <w:t>；</w:t>
      </w:r>
    </w:p>
    <w:p w14:paraId="6E46E0D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格式；</w:t>
      </w:r>
    </w:p>
    <w:p w14:paraId="128B5ED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根据本章第2.2</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对竞争性磋商文件所作的澄清、修改，构成竞争性磋商文件的组成部分。</w:t>
      </w:r>
    </w:p>
    <w:p w14:paraId="70F866F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2.2竞争性磋商文件澄清与修改</w:t>
      </w:r>
    </w:p>
    <w:p w14:paraId="7195381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2.2.1供应商应仔细阅读和检查采购文件的全部内容。如发现缺页或附件不全，应及时向采购人（或采购代理机构）提出，以便补齐。如有疑问，应在供应商须知前附表规定的时间在</w:t>
      </w:r>
      <w:r>
        <w:rPr>
          <w:rFonts w:hint="eastAsia" w:ascii="宋体" w:hAnsi="宋体" w:eastAsia="宋体" w:cs="宋体"/>
          <w:color w:val="auto"/>
          <w:sz w:val="24"/>
          <w:szCs w:val="24"/>
          <w:highlight w:val="none"/>
          <w:lang w:val="en-US" w:eastAsia="zh-CN"/>
        </w:rPr>
        <w:t>电子化交易系统</w:t>
      </w:r>
      <w:r>
        <w:rPr>
          <w:rFonts w:hint="eastAsia" w:ascii="宋体" w:hAnsi="宋体" w:eastAsia="宋体" w:cs="宋体"/>
          <w:color w:val="auto"/>
          <w:sz w:val="24"/>
          <w:szCs w:val="24"/>
          <w:highlight w:val="none"/>
        </w:rPr>
        <w:t>平台上进行提问，要求采购人对采购文件予以澄清。</w:t>
      </w:r>
    </w:p>
    <w:p w14:paraId="0850FD4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采购人或采购代理机构可主动地或在解答供应商提出的澄清问题时对采购文件进行澄清或修改。采购代理机构将以发布澄清（更正）公告的方式，澄清或修改采购文件，澄清或修改的内容作为采购文件的组成部分。澄清或者修改的内容可能影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编制的，应当在递交首次</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截止时间至少</w:t>
      </w:r>
      <w:r>
        <w:rPr>
          <w:rFonts w:hint="eastAsia" w:ascii="宋体" w:hAnsi="宋体" w:eastAsia="宋体" w:cs="宋体"/>
          <w:color w:val="auto"/>
          <w:sz w:val="24"/>
          <w:szCs w:val="24"/>
          <w:highlight w:val="none"/>
          <w:lang w:val="en-US" w:eastAsia="zh-CN"/>
        </w:rPr>
        <w:t>5日历天</w:t>
      </w:r>
      <w:r>
        <w:rPr>
          <w:rFonts w:hint="eastAsia" w:ascii="宋体" w:hAnsi="宋体" w:eastAsia="宋体" w:cs="宋体"/>
          <w:color w:val="auto"/>
          <w:sz w:val="24"/>
          <w:szCs w:val="24"/>
          <w:highlight w:val="none"/>
        </w:rPr>
        <w:t>前，在原公告发布媒体上发布变更公告（或澄清公告），不足</w:t>
      </w:r>
      <w:r>
        <w:rPr>
          <w:rFonts w:hint="eastAsia" w:ascii="宋体" w:hAnsi="宋体" w:eastAsia="宋体" w:cs="宋体"/>
          <w:color w:val="auto"/>
          <w:sz w:val="24"/>
          <w:szCs w:val="24"/>
          <w:highlight w:val="none"/>
          <w:lang w:val="en-US" w:eastAsia="zh-CN"/>
        </w:rPr>
        <w:t>5日历天</w:t>
      </w:r>
      <w:r>
        <w:rPr>
          <w:rFonts w:hint="eastAsia" w:ascii="宋体" w:hAnsi="宋体" w:eastAsia="宋体" w:cs="宋体"/>
          <w:color w:val="auto"/>
          <w:sz w:val="24"/>
          <w:szCs w:val="24"/>
          <w:highlight w:val="none"/>
        </w:rPr>
        <w:t>的，应当顺延首次递交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截止时间。</w:t>
      </w:r>
    </w:p>
    <w:p w14:paraId="7E23664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2.2.3采购文件的澄清将在供应商须知前附表规定的时间在</w:t>
      </w:r>
      <w:r>
        <w:rPr>
          <w:rFonts w:hint="eastAsia" w:ascii="宋体" w:hAnsi="宋体" w:eastAsia="宋体" w:cs="宋体"/>
          <w:color w:val="auto"/>
          <w:sz w:val="24"/>
          <w:szCs w:val="24"/>
          <w:highlight w:val="none"/>
          <w:lang w:val="en-US" w:eastAsia="zh-CN"/>
        </w:rPr>
        <w:t>三门峡市</w:t>
      </w:r>
      <w:r>
        <w:rPr>
          <w:rFonts w:hint="eastAsia" w:ascii="宋体" w:hAnsi="宋体" w:eastAsia="宋体" w:cs="宋体"/>
          <w:color w:val="auto"/>
          <w:sz w:val="24"/>
          <w:szCs w:val="24"/>
          <w:highlight w:val="none"/>
        </w:rPr>
        <w:t>公共资源交易平台上公布给供应商，但不指明澄清问题的来源。</w:t>
      </w:r>
    </w:p>
    <w:p w14:paraId="4379D55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2.2.4采购人、采购代理机构对已发出的采购文件进行的澄清、更正或修改，澄清、更正或修改的内容将作为采购文件的组成部分。采购代理机构将通过</w:t>
      </w:r>
      <w:r>
        <w:rPr>
          <w:rFonts w:hint="eastAsia" w:ascii="宋体" w:hAnsi="宋体" w:eastAsia="宋体" w:cs="宋体"/>
          <w:color w:val="auto"/>
          <w:sz w:val="24"/>
          <w:szCs w:val="24"/>
          <w:highlight w:val="none"/>
          <w:lang w:val="en-US" w:eastAsia="zh-CN"/>
        </w:rPr>
        <w:t>三门峡市</w:t>
      </w:r>
      <w:r>
        <w:rPr>
          <w:rFonts w:hint="eastAsia" w:ascii="宋体" w:hAnsi="宋体" w:eastAsia="宋体" w:cs="宋体"/>
          <w:color w:val="auto"/>
          <w:sz w:val="24"/>
          <w:szCs w:val="24"/>
          <w:highlight w:val="none"/>
        </w:rPr>
        <w:t>公共资源交易中心交易平台“变更（澄清或更正）公告”和系统内部“答疑文件”告知供应商，各供应商须重新下载最新的答疑、变更（澄清或更正）文件，以此编制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691AFD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2.2.5</w:t>
      </w:r>
      <w:r>
        <w:rPr>
          <w:rFonts w:hint="eastAsia" w:ascii="宋体" w:hAnsi="宋体" w:eastAsia="宋体" w:cs="宋体"/>
          <w:color w:val="auto"/>
          <w:sz w:val="24"/>
          <w:szCs w:val="24"/>
          <w:highlight w:val="none"/>
          <w:lang w:val="en-US" w:eastAsia="zh-CN"/>
        </w:rPr>
        <w:t>三门峡市</w:t>
      </w:r>
      <w:r>
        <w:rPr>
          <w:rFonts w:hint="eastAsia" w:ascii="宋体" w:hAnsi="宋体" w:eastAsia="宋体" w:cs="宋体"/>
          <w:color w:val="auto"/>
          <w:sz w:val="24"/>
          <w:szCs w:val="24"/>
          <w:highlight w:val="none"/>
        </w:rPr>
        <w:t>公共资源交易中心平台供应商信息在磋商开始前具有保密性，供应商在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提交截止时间前应当自行查看项目进展、答疑、变更（澄清或更正）通知、澄清及回复，因供应商未及时查看而造成的后果自负</w:t>
      </w:r>
      <w:r>
        <w:rPr>
          <w:rFonts w:hint="eastAsia" w:ascii="宋体" w:hAnsi="宋体" w:eastAsia="宋体" w:cs="宋体"/>
          <w:color w:val="auto"/>
          <w:sz w:val="24"/>
          <w:szCs w:val="24"/>
          <w:highlight w:val="none"/>
          <w:lang w:val="en-US" w:eastAsia="zh-CN"/>
        </w:rPr>
        <w:t>.</w:t>
      </w:r>
    </w:p>
    <w:p w14:paraId="746868DD">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kern w:val="10"/>
          <w:sz w:val="24"/>
          <w:szCs w:val="24"/>
          <w:highlight w:val="none"/>
          <w:lang w:eastAsia="zh-CN"/>
        </w:rPr>
      </w:pPr>
      <w:r>
        <w:rPr>
          <w:rFonts w:hint="eastAsia" w:ascii="宋体" w:hAnsi="宋体" w:eastAsia="宋体" w:cs="宋体"/>
          <w:b/>
          <w:bCs/>
          <w:color w:val="auto"/>
          <w:kern w:val="10"/>
          <w:sz w:val="24"/>
          <w:szCs w:val="24"/>
          <w:highlight w:val="none"/>
        </w:rPr>
        <w:t>3、</w:t>
      </w:r>
      <w:r>
        <w:rPr>
          <w:rFonts w:hint="eastAsia" w:ascii="宋体" w:hAnsi="宋体" w:eastAsia="宋体" w:cs="宋体"/>
          <w:b/>
          <w:bCs/>
          <w:color w:val="auto"/>
          <w:kern w:val="10"/>
          <w:sz w:val="24"/>
          <w:szCs w:val="24"/>
          <w:highlight w:val="none"/>
          <w:lang w:eastAsia="zh-CN"/>
        </w:rPr>
        <w:t>响应文件</w:t>
      </w:r>
    </w:p>
    <w:p w14:paraId="2390EE01">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3.1</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的组成</w:t>
      </w:r>
    </w:p>
    <w:p w14:paraId="5B0F1D6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应包括下列内容：见</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格式</w:t>
      </w:r>
    </w:p>
    <w:p w14:paraId="2ABE767C">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kern w:val="10"/>
          <w:sz w:val="24"/>
          <w:szCs w:val="24"/>
          <w:highlight w:val="none"/>
          <w:lang w:val="zh-CN"/>
        </w:rPr>
      </w:pPr>
      <w:r>
        <w:rPr>
          <w:rFonts w:hint="eastAsia" w:ascii="宋体" w:hAnsi="宋体" w:eastAsia="宋体" w:cs="宋体"/>
          <w:b/>
          <w:bCs/>
          <w:color w:val="auto"/>
          <w:kern w:val="10"/>
          <w:sz w:val="24"/>
          <w:szCs w:val="24"/>
          <w:highlight w:val="none"/>
          <w:lang w:val="en-US" w:eastAsia="zh-CN"/>
        </w:rPr>
        <w:t>3.2</w:t>
      </w:r>
      <w:r>
        <w:rPr>
          <w:rFonts w:hint="eastAsia" w:ascii="宋体" w:hAnsi="宋体" w:eastAsia="宋体" w:cs="宋体"/>
          <w:b/>
          <w:bCs/>
          <w:color w:val="auto"/>
          <w:kern w:val="10"/>
          <w:sz w:val="24"/>
          <w:szCs w:val="24"/>
          <w:highlight w:val="none"/>
          <w:lang w:val="zh-CN"/>
        </w:rPr>
        <w:t>响应文件的格式</w:t>
      </w:r>
    </w:p>
    <w:p w14:paraId="414ED05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lang w:val="zh-CN"/>
        </w:rPr>
        <w:t>.1 供应商所上传的电子化响应文件，应是通过中心响应文件制作系统制作的（响应文件制作工具下载地址：http://t.cn/A6ZvtVob），经过签章和加密后生成的电子版响应文件。其中包含用于响应文件上传的主文件（后缀为.smxtf）和用于应急补救的响应文件备份文件（后缀为.nsmxtf）。备份文件主要用于电子化开标出现技术问题后的补救，请供应商随身携带。</w:t>
      </w:r>
    </w:p>
    <w:p w14:paraId="4FB3C345">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kern w:val="10"/>
          <w:sz w:val="24"/>
          <w:szCs w:val="24"/>
          <w:highlight w:val="none"/>
          <w:lang w:val="zh-CN" w:eastAsia="zh-CN"/>
        </w:rPr>
      </w:pPr>
      <w:bookmarkStart w:id="34" w:name="_Toc3669_WPSOffice_Level3"/>
      <w:r>
        <w:rPr>
          <w:rFonts w:hint="eastAsia" w:ascii="宋体" w:hAnsi="宋体" w:eastAsia="宋体" w:cs="宋体"/>
          <w:b/>
          <w:bCs/>
          <w:color w:val="auto"/>
          <w:kern w:val="10"/>
          <w:sz w:val="24"/>
          <w:szCs w:val="24"/>
          <w:highlight w:val="none"/>
          <w:lang w:val="en-US" w:eastAsia="zh-CN"/>
        </w:rPr>
        <w:t>3.3</w:t>
      </w:r>
      <w:r>
        <w:rPr>
          <w:rFonts w:hint="eastAsia" w:ascii="宋体" w:hAnsi="宋体" w:eastAsia="宋体" w:cs="宋体"/>
          <w:b/>
          <w:bCs/>
          <w:color w:val="auto"/>
          <w:kern w:val="10"/>
          <w:sz w:val="24"/>
          <w:szCs w:val="24"/>
          <w:highlight w:val="none"/>
          <w:lang w:val="zh-CN" w:eastAsia="zh-CN"/>
        </w:rPr>
        <w:t>、电子化磋商响应文件的签署</w:t>
      </w:r>
      <w:bookmarkEnd w:id="34"/>
    </w:p>
    <w:p w14:paraId="5DE8FF7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lang w:val="zh-CN"/>
        </w:rPr>
        <w:t>.1 供应商在进行电子化磋商响应文件签章时，竞争性磋商文件中要求供应商盖章的，以签盖单位章为准；要求法定代表人签章的，以签盖法定代表人签章为准。电子化磋商响应文件具体制作教材请供应商通过 CA 证书登录三门峡市公共资源电子化交易系统在右上角“组件下载”中查看。</w:t>
      </w:r>
    </w:p>
    <w:p w14:paraId="4FF85BF4">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kern w:val="10"/>
          <w:sz w:val="24"/>
          <w:szCs w:val="24"/>
          <w:highlight w:val="none"/>
          <w:lang w:val="zh-CN" w:eastAsia="zh-CN"/>
        </w:rPr>
      </w:pPr>
      <w:bookmarkStart w:id="35" w:name="_Toc1982_WPSOffice_Level3"/>
      <w:r>
        <w:rPr>
          <w:rFonts w:hint="eastAsia" w:ascii="宋体" w:hAnsi="宋体" w:eastAsia="宋体" w:cs="宋体"/>
          <w:b/>
          <w:bCs/>
          <w:color w:val="auto"/>
          <w:kern w:val="10"/>
          <w:sz w:val="24"/>
          <w:szCs w:val="24"/>
          <w:highlight w:val="none"/>
          <w:lang w:val="en-US" w:eastAsia="zh-CN"/>
        </w:rPr>
        <w:t>3.4</w:t>
      </w:r>
      <w:r>
        <w:rPr>
          <w:rFonts w:hint="eastAsia" w:ascii="宋体" w:hAnsi="宋体" w:eastAsia="宋体" w:cs="宋体"/>
          <w:b/>
          <w:bCs/>
          <w:color w:val="auto"/>
          <w:kern w:val="10"/>
          <w:sz w:val="24"/>
          <w:szCs w:val="24"/>
          <w:highlight w:val="none"/>
          <w:lang w:val="zh-CN" w:eastAsia="zh-CN"/>
        </w:rPr>
        <w:t>电子化磋商响应文件的上传</w:t>
      </w:r>
      <w:bookmarkEnd w:id="35"/>
    </w:p>
    <w:p w14:paraId="49A5C82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val="zh-CN"/>
        </w:rPr>
        <w:t>.1 电子化磋商响应文件应在磋商截止时间前成功上传至三门峡市公共资源电子化交易系统。至磋商截止时间止，仍未上传成功的电子化磋商响应文件将不予接收。</w:t>
      </w:r>
    </w:p>
    <w:p w14:paraId="3367946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如按照电子化投标操作教材制作完成的电子化磋商响应文件无法上传的，供应商应在磋商截止时间前尽早的联系中心技术人员，以便有充分的时间进行处理。供应商应充分考虑到处理技术问题和上传数据等工作的时间问题，磋商响应文件未在磋商截止时间前成功上传的，其磋商响应文件不予接收。</w:t>
      </w:r>
    </w:p>
    <w:p w14:paraId="27E558D0">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kern w:val="10"/>
          <w:sz w:val="24"/>
          <w:szCs w:val="24"/>
          <w:highlight w:val="none"/>
          <w:lang w:val="en-US" w:eastAsia="zh-CN"/>
        </w:rPr>
      </w:pPr>
      <w:r>
        <w:rPr>
          <w:rFonts w:hint="eastAsia" w:ascii="宋体" w:hAnsi="宋体" w:eastAsia="宋体" w:cs="宋体"/>
          <w:b/>
          <w:bCs/>
          <w:color w:val="auto"/>
          <w:kern w:val="10"/>
          <w:sz w:val="24"/>
          <w:szCs w:val="24"/>
          <w:highlight w:val="none"/>
          <w:lang w:val="en-US" w:eastAsia="zh-CN"/>
        </w:rPr>
        <w:t>3.5投标报价</w:t>
      </w:r>
    </w:p>
    <w:p w14:paraId="2DAFDFBC">
      <w:pPr>
        <w:keepNext w:val="0"/>
        <w:keepLines w:val="0"/>
        <w:pageBreakBefore w:val="0"/>
        <w:widowControl/>
        <w:kinsoku w:val="0"/>
        <w:wordWrap/>
        <w:bidi w:val="0"/>
        <w:adjustRightInd w:val="0"/>
        <w:snapToGrid w:val="0"/>
        <w:spacing w:line="360" w:lineRule="auto"/>
        <w:ind w:left="0" w:leftChars="0" w:right="0" w:rightChars="0"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10"/>
          <w:sz w:val="24"/>
          <w:szCs w:val="24"/>
          <w:highlight w:val="none"/>
          <w:lang w:val="en-US" w:eastAsia="zh-CN"/>
        </w:rPr>
        <w:t>3.5</w:t>
      </w:r>
      <w:r>
        <w:rPr>
          <w:rFonts w:hint="eastAsia" w:ascii="宋体" w:hAnsi="宋体" w:eastAsia="宋体" w:cs="宋体"/>
          <w:b w:val="0"/>
          <w:bCs w:val="0"/>
          <w:color w:val="auto"/>
          <w:sz w:val="24"/>
          <w:szCs w:val="24"/>
          <w:highlight w:val="none"/>
        </w:rPr>
        <w:t>.1本</w:t>
      </w:r>
      <w:r>
        <w:rPr>
          <w:rFonts w:hint="eastAsia" w:ascii="宋体" w:hAnsi="宋体" w:eastAsia="宋体" w:cs="宋体"/>
          <w:color w:val="auto"/>
          <w:sz w:val="24"/>
          <w:szCs w:val="24"/>
          <w:highlight w:val="none"/>
        </w:rPr>
        <w:t>项目的磋商报价采用本须知前附表所规定的方式进行报价。供应商的响应报价（及最后报价）应当包括满足所应提供的货物及服务等全部内容（除非在供应商须知前附表中另有</w:t>
      </w:r>
      <w:r>
        <w:rPr>
          <w:rFonts w:hint="eastAsia" w:ascii="宋体" w:hAnsi="宋体" w:eastAsia="宋体" w:cs="宋体"/>
          <w:b w:val="0"/>
          <w:bCs w:val="0"/>
          <w:color w:val="auto"/>
          <w:sz w:val="24"/>
          <w:szCs w:val="24"/>
          <w:highlight w:val="none"/>
        </w:rPr>
        <w:t>规定）。所有报价及合同所有款项均应以人民币报价。供应商的报价应遵守《中华人民共和国价格法》。</w:t>
      </w:r>
    </w:p>
    <w:p w14:paraId="12937A1F">
      <w:pPr>
        <w:keepNext w:val="0"/>
        <w:keepLines w:val="0"/>
        <w:pageBreakBefore w:val="0"/>
        <w:widowControl/>
        <w:kinsoku w:val="0"/>
        <w:wordWrap/>
        <w:bidi w:val="0"/>
        <w:adjustRightInd w:val="0"/>
        <w:snapToGrid w:val="0"/>
        <w:spacing w:line="360" w:lineRule="auto"/>
        <w:ind w:left="0" w:leftChars="0" w:right="0" w:rightChars="0"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10"/>
          <w:sz w:val="24"/>
          <w:szCs w:val="24"/>
          <w:highlight w:val="none"/>
          <w:lang w:val="en-US" w:eastAsia="zh-CN"/>
        </w:rPr>
        <w:t>3.5</w:t>
      </w:r>
      <w:r>
        <w:rPr>
          <w:rFonts w:hint="eastAsia" w:ascii="宋体" w:hAnsi="宋体" w:eastAsia="宋体" w:cs="宋体"/>
          <w:b w:val="0"/>
          <w:bCs w:val="0"/>
          <w:color w:val="auto"/>
          <w:sz w:val="24"/>
          <w:szCs w:val="24"/>
          <w:highlight w:val="none"/>
        </w:rPr>
        <w:t>.2参考相关收费标准结合供应商自身情况自主报价，但不得</w:t>
      </w:r>
      <w:r>
        <w:rPr>
          <w:rFonts w:hint="eastAsia" w:ascii="宋体" w:hAnsi="宋体" w:eastAsia="宋体" w:cs="宋体"/>
          <w:b w:val="0"/>
          <w:bCs w:val="0"/>
          <w:color w:val="auto"/>
          <w:sz w:val="24"/>
          <w:szCs w:val="24"/>
          <w:highlight w:val="none"/>
          <w:lang w:val="en-US" w:eastAsia="zh-CN"/>
        </w:rPr>
        <w:t>以可能影响合同履行的异常低价竞标</w:t>
      </w:r>
      <w:r>
        <w:rPr>
          <w:rFonts w:hint="eastAsia" w:ascii="宋体" w:hAnsi="宋体" w:eastAsia="宋体" w:cs="宋体"/>
          <w:b w:val="0"/>
          <w:bCs w:val="0"/>
          <w:color w:val="auto"/>
          <w:sz w:val="24"/>
          <w:szCs w:val="24"/>
          <w:highlight w:val="none"/>
        </w:rPr>
        <w:t>。</w:t>
      </w:r>
    </w:p>
    <w:p w14:paraId="0A664E5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10"/>
          <w:sz w:val="24"/>
          <w:szCs w:val="24"/>
          <w:highlight w:val="none"/>
          <w:lang w:val="en-US" w:eastAsia="zh-CN"/>
        </w:rPr>
        <w:t>3.5</w:t>
      </w:r>
      <w:r>
        <w:rPr>
          <w:rFonts w:hint="eastAsia" w:ascii="宋体" w:hAnsi="宋体" w:eastAsia="宋体" w:cs="宋体"/>
          <w:b w:val="0"/>
          <w:bCs w:val="0"/>
          <w:color w:val="auto"/>
          <w:sz w:val="24"/>
          <w:szCs w:val="24"/>
          <w:highlight w:val="none"/>
        </w:rPr>
        <w:t>.3供应商应参考采购人所提供的采购范围及工作内容、质量标准、采购预算等全部内容，结合本项目实际情况和供应商自身成本、市场行情等因素，自主报价。不得高于采购人给定的预算价或最高限价，否则</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将被认定为无效</w:t>
      </w:r>
      <w:r>
        <w:rPr>
          <w:rFonts w:hint="eastAsia" w:ascii="宋体" w:hAnsi="宋体" w:eastAsia="宋体" w:cs="宋体"/>
          <w:b w:val="0"/>
          <w:bCs w:val="0"/>
          <w:color w:val="auto"/>
          <w:sz w:val="24"/>
          <w:szCs w:val="24"/>
          <w:highlight w:val="none"/>
          <w:lang w:eastAsia="zh-CN"/>
        </w:rPr>
        <w:t>响应文件。 供应商所报的投标报价均应包括供应商履行本项目所必须的所有成本费用和供应商应承担的一切税费，包括但不限于办公、交通、人员、业务、差旅、调研、资料收集、报告编制、印刷、管理、税费、测试工具费用及其他管理费用等。</w:t>
      </w:r>
    </w:p>
    <w:p w14:paraId="5559645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10"/>
          <w:sz w:val="24"/>
          <w:szCs w:val="24"/>
          <w:highlight w:val="none"/>
          <w:lang w:val="en-US" w:eastAsia="zh-CN"/>
        </w:rPr>
        <w:t>3.5</w:t>
      </w:r>
      <w:r>
        <w:rPr>
          <w:rFonts w:hint="eastAsia" w:ascii="宋体" w:hAnsi="宋体" w:eastAsia="宋体" w:cs="宋体"/>
          <w:b w:val="0"/>
          <w:bCs w:val="0"/>
          <w:color w:val="auto"/>
          <w:sz w:val="24"/>
          <w:szCs w:val="24"/>
          <w:highlight w:val="none"/>
        </w:rPr>
        <w:t>.4供应商应当按照采购文件提供的报价表格式如实填写各项货物的单价、分项总价和总报价。供应商应认真填报所有项目的单价和合价，</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中若有漏项、漏报，采购人视为供应商的报价在总报价中已经包括；供应商提交最后报价后，如果被确定为成交人，该供应商所报价格，在合同履行过程中是固定不变的，除因采购人原因引起的变更外，不予调整。供应商报价有算术错误的，其风险由供应商承担。</w:t>
      </w:r>
    </w:p>
    <w:p w14:paraId="7AED924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10"/>
          <w:sz w:val="24"/>
          <w:szCs w:val="24"/>
          <w:highlight w:val="none"/>
          <w:lang w:val="en-US" w:eastAsia="zh-CN"/>
        </w:rPr>
        <w:t>3.5</w:t>
      </w:r>
      <w:r>
        <w:rPr>
          <w:rFonts w:hint="eastAsia" w:ascii="宋体" w:hAnsi="宋体" w:eastAsia="宋体" w:cs="宋体"/>
          <w:b w:val="0"/>
          <w:bCs w:val="0"/>
          <w:color w:val="auto"/>
          <w:sz w:val="24"/>
          <w:szCs w:val="24"/>
          <w:highlight w:val="none"/>
        </w:rPr>
        <w:t>.5投标的报价及合同所有款项的支付均以人民币计算。应当由供应商完成的而供应商在报价组成中没有详细列出的工作内容，其报价均视为包含在报价组成已列出的项目之中，采购人不另行支付。</w:t>
      </w:r>
    </w:p>
    <w:p w14:paraId="70DF23ED">
      <w:pPr>
        <w:keepNext w:val="0"/>
        <w:keepLines w:val="0"/>
        <w:pageBreakBefore w:val="0"/>
        <w:widowControl/>
        <w:kinsoku w:val="0"/>
        <w:wordWrap/>
        <w:bidi w:val="0"/>
        <w:adjustRightInd w:val="0"/>
        <w:snapToGrid w:val="0"/>
        <w:spacing w:line="360" w:lineRule="auto"/>
        <w:ind w:left="0" w:leftChars="0" w:right="0" w:rightChars="0"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10"/>
          <w:sz w:val="24"/>
          <w:szCs w:val="24"/>
          <w:highlight w:val="none"/>
          <w:lang w:val="en-US" w:eastAsia="zh-CN"/>
        </w:rPr>
        <w:t>3.5</w:t>
      </w:r>
      <w:r>
        <w:rPr>
          <w:rFonts w:hint="eastAsia" w:ascii="宋体" w:hAnsi="宋体" w:eastAsia="宋体" w:cs="宋体"/>
          <w:b w:val="0"/>
          <w:bCs w:val="0"/>
          <w:color w:val="auto"/>
          <w:sz w:val="24"/>
          <w:szCs w:val="24"/>
          <w:highlight w:val="none"/>
        </w:rPr>
        <w:t>.6</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本次磋商允许供应商有二次报价，供应商</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中的报价作为第一次报价，不得高于项目预算金额且不公开；第二轮报价不得高于第一轮报价,最后一次报价为最终报价，成交价以最终报价为准。最终报价是供应商</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的有效组成部分。</w:t>
      </w:r>
    </w:p>
    <w:p w14:paraId="33817F4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10"/>
          <w:sz w:val="24"/>
          <w:szCs w:val="24"/>
          <w:highlight w:val="none"/>
          <w:lang w:val="en-US" w:eastAsia="zh-CN"/>
        </w:rPr>
        <w:t>3.5</w:t>
      </w:r>
      <w:r>
        <w:rPr>
          <w:rFonts w:hint="eastAsia" w:ascii="宋体" w:hAnsi="宋体" w:eastAsia="宋体" w:cs="宋体"/>
          <w:b w:val="0"/>
          <w:bCs w:val="0"/>
          <w:color w:val="auto"/>
          <w:sz w:val="24"/>
          <w:szCs w:val="24"/>
          <w:highlight w:val="none"/>
        </w:rPr>
        <w:t>.7供应商的磋商报价不得高于磋商控制价，否则为废标</w:t>
      </w:r>
      <w:r>
        <w:rPr>
          <w:rFonts w:hint="eastAsia" w:ascii="宋体" w:hAnsi="宋体" w:eastAsia="宋体" w:cs="宋体"/>
          <w:b w:val="0"/>
          <w:bCs w:val="0"/>
          <w:color w:val="auto"/>
          <w:sz w:val="24"/>
          <w:szCs w:val="24"/>
          <w:highlight w:val="none"/>
          <w:lang w:eastAsia="zh-CN"/>
        </w:rPr>
        <w:t>。</w:t>
      </w:r>
    </w:p>
    <w:p w14:paraId="49BDCEF4">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的编制</w:t>
      </w:r>
    </w:p>
    <w:p w14:paraId="6814F91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应按第六章“</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格式”进行编写，如有必要，可以增加附页，作为</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的组成部分。</w:t>
      </w:r>
    </w:p>
    <w:p w14:paraId="56C5E3E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应当对竞争性磋商文件有关</w:t>
      </w:r>
      <w:r>
        <w:rPr>
          <w:rFonts w:hint="eastAsia" w:ascii="宋体" w:hAnsi="宋体" w:eastAsia="宋体" w:cs="宋体"/>
          <w:color w:val="auto"/>
          <w:sz w:val="24"/>
          <w:szCs w:val="24"/>
          <w:highlight w:val="none"/>
          <w:lang w:val="en-US" w:eastAsia="zh-CN"/>
        </w:rPr>
        <w:t>供货期（服务周期）</w:t>
      </w:r>
      <w:r>
        <w:rPr>
          <w:rFonts w:hint="eastAsia" w:ascii="宋体" w:hAnsi="宋体" w:eastAsia="宋体" w:cs="宋体"/>
          <w:color w:val="auto"/>
          <w:sz w:val="24"/>
          <w:szCs w:val="24"/>
          <w:highlight w:val="none"/>
        </w:rPr>
        <w:t>、磋商有效期、质量标准、招标范围、</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的编制等实质性内容作出响应。</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不响应本竞争性磋商文件的实质性要求和条件的，其投标将被拒绝。</w:t>
      </w:r>
    </w:p>
    <w:p w14:paraId="054BE67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3.7竞争性磋商文件中要求供应商盖章的，以签盖单位章为准；要求法定代表人或授权委托人签字或盖章的，以签盖法定代表人电子签章为准。</w:t>
      </w:r>
    </w:p>
    <w:p w14:paraId="6474B566">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磋商有效期</w:t>
      </w:r>
    </w:p>
    <w:p w14:paraId="7945F2D5">
      <w:pPr>
        <w:keepNext w:val="0"/>
        <w:keepLines w:val="0"/>
        <w:pageBreakBefore w:val="0"/>
        <w:widowControl/>
        <w:tabs>
          <w:tab w:val="left" w:pos="1002"/>
        </w:tabs>
        <w:kinsoku w:val="0"/>
        <w:wordWrap/>
        <w:overflowPunct w:val="0"/>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.1自磋商截止时间起60日历天。在磋商有效期内，供应商不得要求撤销或修改其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0070968C">
      <w:pPr>
        <w:keepNext w:val="0"/>
        <w:keepLines w:val="0"/>
        <w:pageBreakBefore w:val="0"/>
        <w:widowControl/>
        <w:tabs>
          <w:tab w:val="left" w:pos="782"/>
        </w:tabs>
        <w:kinsoku w:val="0"/>
        <w:wordWrap/>
        <w:overflowPunct w:val="0"/>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.2出现特殊情况需要延长磋商有效期的，采购人以书面形式通知所有供应商延长磋商有效期。供应商同意延长的，应相应延长其磋商保证金的有效期，但不得要求或被允许修改或撤销其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；供应商拒绝延长的，其投标失效。</w:t>
      </w:r>
    </w:p>
    <w:p w14:paraId="59335536">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磋商保证金</w:t>
      </w:r>
    </w:p>
    <w:p w14:paraId="3098EF0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按照《河南省财政厅关于优化政府采购营商环境有关问题的通知》（豫财购[2019]4号文）的要求本项目不再收取磋商保证金。</w:t>
      </w:r>
    </w:p>
    <w:p w14:paraId="6361D7C5">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资格审查资料</w:t>
      </w:r>
    </w:p>
    <w:p w14:paraId="1A04F94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见供应商须知前附表供应商资格要求</w:t>
      </w:r>
    </w:p>
    <w:p w14:paraId="06F801F1">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备选投标方案</w:t>
      </w:r>
    </w:p>
    <w:p w14:paraId="43EC865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4956D6C0">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kern w:val="10"/>
          <w:sz w:val="24"/>
          <w:szCs w:val="24"/>
          <w:highlight w:val="none"/>
        </w:rPr>
      </w:pPr>
      <w:r>
        <w:rPr>
          <w:rFonts w:hint="eastAsia" w:ascii="宋体" w:hAnsi="宋体" w:eastAsia="宋体" w:cs="宋体"/>
          <w:b/>
          <w:bCs/>
          <w:color w:val="auto"/>
          <w:kern w:val="10"/>
          <w:sz w:val="24"/>
          <w:szCs w:val="24"/>
          <w:highlight w:val="none"/>
        </w:rPr>
        <w:t>5</w:t>
      </w:r>
      <w:r>
        <w:rPr>
          <w:rFonts w:hint="eastAsia" w:ascii="宋体" w:hAnsi="宋体" w:eastAsia="宋体" w:cs="宋体"/>
          <w:b/>
          <w:bCs/>
          <w:color w:val="auto"/>
          <w:kern w:val="10"/>
          <w:sz w:val="24"/>
          <w:szCs w:val="24"/>
          <w:highlight w:val="none"/>
          <w:lang w:eastAsia="zh-CN"/>
        </w:rPr>
        <w:t>、</w:t>
      </w:r>
      <w:r>
        <w:rPr>
          <w:rFonts w:hint="eastAsia" w:ascii="宋体" w:hAnsi="宋体" w:eastAsia="宋体" w:cs="宋体"/>
          <w:b/>
          <w:bCs/>
          <w:color w:val="auto"/>
          <w:kern w:val="10"/>
          <w:sz w:val="24"/>
          <w:szCs w:val="24"/>
          <w:highlight w:val="none"/>
        </w:rPr>
        <w:t>磋商</w:t>
      </w:r>
    </w:p>
    <w:p w14:paraId="31113C7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磋商会议</w:t>
      </w:r>
    </w:p>
    <w:p w14:paraId="117FDD5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5.1.1采购人和采购代理机构将在“供应商须知前附表”中规定的时间和地点组织磋商会议。供应商无需到现场参加磋商会议，磋商会议采用“远程不见面”方式，供应商须在采购文件规定的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提交截止时间前，登录远程开标大厅，在线准时参加磋商会议活动，并在规定的时间内对</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进行解密、答疑澄清（如需要）、最后报价等。</w:t>
      </w:r>
    </w:p>
    <w:p w14:paraId="4BE44F7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5.1.2供应商须在供应商须知前附表规定的时间内完成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的解密。由于供应商的自身原因，在规定时间内解密不成功的，其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将被拒绝。</w:t>
      </w:r>
    </w:p>
    <w:p w14:paraId="2CA38AF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5.1.3供应商在“</w:t>
      </w:r>
      <w:r>
        <w:rPr>
          <w:rFonts w:hint="eastAsia" w:ascii="宋体" w:hAnsi="宋体" w:eastAsia="宋体" w:cs="宋体"/>
          <w:color w:val="auto"/>
          <w:sz w:val="24"/>
          <w:szCs w:val="24"/>
          <w:highlight w:val="none"/>
          <w:lang w:val="en-US" w:eastAsia="zh-CN"/>
        </w:rPr>
        <w:t>三门峡市</w:t>
      </w:r>
      <w:r>
        <w:rPr>
          <w:rFonts w:hint="eastAsia" w:ascii="宋体" w:hAnsi="宋体" w:eastAsia="宋体" w:cs="宋体"/>
          <w:color w:val="auto"/>
          <w:sz w:val="24"/>
          <w:szCs w:val="24"/>
          <w:highlight w:val="none"/>
        </w:rPr>
        <w:t>公共资源交易中心”网站下载采购文件成功后，如未在采购文件规定的“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提交截止时间”前成功上传或误传加密的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，而导致的解密失败，其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将被拒绝。</w:t>
      </w:r>
    </w:p>
    <w:p w14:paraId="73CD4DA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5.1.4供应商代表对磋商会议过程有疑义的，应当在磋商开始前通过交易系统提出询问。</w:t>
      </w:r>
    </w:p>
    <w:p w14:paraId="149CC02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5.1.5在供应商须知前附表规定的时间内完成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解密的供应商不足3家的，将不再进行磋商（特殊情况除外）。</w:t>
      </w:r>
    </w:p>
    <w:p w14:paraId="159AC74C">
      <w:pPr>
        <w:pStyle w:val="3"/>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color w:val="auto"/>
          <w:sz w:val="24"/>
          <w:szCs w:val="24"/>
          <w:highlight w:val="none"/>
          <w:lang w:bidi="ar"/>
        </w:rPr>
      </w:pPr>
      <w:r>
        <w:rPr>
          <w:rFonts w:hint="eastAsia" w:ascii="宋体" w:hAnsi="宋体" w:eastAsia="宋体" w:cs="宋体"/>
          <w:b w:val="0"/>
          <w:color w:val="auto"/>
          <w:sz w:val="24"/>
          <w:szCs w:val="24"/>
          <w:highlight w:val="none"/>
          <w:lang w:bidi="ar"/>
        </w:rPr>
        <w:t>电子化项目开标操作流程</w:t>
      </w:r>
    </w:p>
    <w:p w14:paraId="67ACCAFD">
      <w:pPr>
        <w:pStyle w:val="3"/>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color w:val="auto"/>
          <w:sz w:val="24"/>
          <w:szCs w:val="24"/>
          <w:highlight w:val="none"/>
          <w:lang w:bidi="ar"/>
        </w:rPr>
      </w:pPr>
      <w:r>
        <w:rPr>
          <w:rFonts w:hint="eastAsia" w:ascii="宋体" w:hAnsi="宋体" w:eastAsia="宋体" w:cs="宋体"/>
          <w:b w:val="0"/>
          <w:color w:val="auto"/>
          <w:sz w:val="24"/>
          <w:szCs w:val="24"/>
          <w:highlight w:val="none"/>
          <w:lang w:bidi="ar"/>
        </w:rPr>
        <w:t>（1）项目采用电子化、无纸化进行招标，开标当日，供应商无需到开标现场参加开标会议，供应商应当在投标截止时间前，登陆不见面开标大厅选择登陆三门峡市公共资源电子招投标系统进行登陆（网址为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"http://120.194.249.36:10094/BidOpening/bidopeninghallaction/hall/login"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val="0"/>
          <w:color w:val="auto"/>
          <w:sz w:val="24"/>
          <w:szCs w:val="24"/>
          <w:highlight w:val="none"/>
          <w:lang w:bidi="ar"/>
        </w:rPr>
        <w:t>http://120.194.249.36:10094/BidOpening/bidopeninghallaction/hall/login</w:t>
      </w:r>
      <w:r>
        <w:rPr>
          <w:rFonts w:hint="eastAsia" w:ascii="宋体" w:hAnsi="宋体" w:eastAsia="宋体" w:cs="宋体"/>
          <w:b w:val="0"/>
          <w:color w:val="auto"/>
          <w:sz w:val="24"/>
          <w:szCs w:val="24"/>
          <w:highlight w:val="none"/>
          <w:lang w:bidi="ar"/>
        </w:rPr>
        <w:fldChar w:fldCharType="end"/>
      </w:r>
      <w:r>
        <w:rPr>
          <w:rFonts w:hint="eastAsia" w:ascii="宋体" w:hAnsi="宋体" w:eastAsia="宋体" w:cs="宋体"/>
          <w:b w:val="0"/>
          <w:color w:val="auto"/>
          <w:sz w:val="24"/>
          <w:szCs w:val="24"/>
          <w:highlight w:val="none"/>
          <w:lang w:bidi="ar"/>
        </w:rPr>
        <w:t>）在线准时参加开标活动并进行响应性文件解密等。</w:t>
      </w:r>
    </w:p>
    <w:p w14:paraId="2512603A">
      <w:pPr>
        <w:pStyle w:val="3"/>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color w:val="auto"/>
          <w:sz w:val="24"/>
          <w:szCs w:val="24"/>
          <w:highlight w:val="none"/>
          <w:lang w:bidi="ar"/>
        </w:rPr>
      </w:pPr>
      <w:r>
        <w:rPr>
          <w:rFonts w:hint="eastAsia" w:ascii="宋体" w:hAnsi="宋体" w:eastAsia="宋体" w:cs="宋体"/>
          <w:b w:val="0"/>
          <w:color w:val="auto"/>
          <w:sz w:val="24"/>
          <w:szCs w:val="24"/>
          <w:highlight w:val="none"/>
          <w:lang w:bidi="ar"/>
        </w:rPr>
        <w:t>（2）电子化响应性文件采用一次加密方式。开标时，由供应商使用CA 证书，在规定时间内对其电子化响应性文件进行解密。每位供应商的解密时间为开标时间起30分钟内，如在规定时间内未完成解密的，其响应性文件不予开标、唱标。</w:t>
      </w:r>
    </w:p>
    <w:p w14:paraId="6BE80779">
      <w:pPr>
        <w:pStyle w:val="3"/>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color w:val="auto"/>
          <w:sz w:val="24"/>
          <w:szCs w:val="24"/>
          <w:highlight w:val="none"/>
          <w:lang w:bidi="ar"/>
        </w:rPr>
      </w:pPr>
      <w:r>
        <w:rPr>
          <w:rFonts w:hint="eastAsia" w:ascii="宋体" w:hAnsi="宋体" w:eastAsia="宋体" w:cs="宋体"/>
          <w:b w:val="0"/>
          <w:color w:val="auto"/>
          <w:sz w:val="24"/>
          <w:szCs w:val="24"/>
          <w:highlight w:val="none"/>
          <w:lang w:bidi="ar"/>
        </w:rPr>
        <w:t>（3）电子化响应性文件解密异常的处理如出现供应商的电子响应性文件无法解密等异常情况，供应商应及时致电中介服务机构说明。响应性文件异常，按以下步骤进行处理：</w:t>
      </w:r>
    </w:p>
    <w:p w14:paraId="4A194484">
      <w:pPr>
        <w:pStyle w:val="3"/>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color w:val="auto"/>
          <w:sz w:val="24"/>
          <w:szCs w:val="24"/>
          <w:highlight w:val="none"/>
          <w:lang w:bidi="ar"/>
        </w:rPr>
      </w:pPr>
      <w:r>
        <w:rPr>
          <w:rFonts w:hint="eastAsia" w:ascii="宋体" w:hAnsi="宋体" w:eastAsia="宋体" w:cs="宋体"/>
          <w:b w:val="0"/>
          <w:color w:val="auto"/>
          <w:sz w:val="24"/>
          <w:szCs w:val="24"/>
          <w:highlight w:val="none"/>
          <w:lang w:bidi="ar"/>
        </w:rPr>
        <w:t>1.首先由技术人员进行问题排查。</w:t>
      </w:r>
    </w:p>
    <w:p w14:paraId="3C03CCF3">
      <w:pPr>
        <w:pStyle w:val="3"/>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color w:val="auto"/>
          <w:sz w:val="24"/>
          <w:szCs w:val="24"/>
          <w:highlight w:val="none"/>
          <w:lang w:bidi="ar"/>
        </w:rPr>
      </w:pPr>
      <w:r>
        <w:rPr>
          <w:rFonts w:hint="eastAsia" w:ascii="宋体" w:hAnsi="宋体" w:eastAsia="宋体" w:cs="宋体"/>
          <w:b w:val="0"/>
          <w:color w:val="auto"/>
          <w:sz w:val="24"/>
          <w:szCs w:val="24"/>
          <w:highlight w:val="none"/>
          <w:lang w:bidi="ar"/>
        </w:rPr>
        <w:t>2.经技术人员排查后，是供应商文件自身问题导致响应性文件无法解密的，该响应性文件将不予接收、解密和唱标。开标会议继续进行。</w:t>
      </w:r>
    </w:p>
    <w:p w14:paraId="5F2F77E0">
      <w:pPr>
        <w:pStyle w:val="3"/>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color w:val="auto"/>
          <w:sz w:val="24"/>
          <w:szCs w:val="24"/>
          <w:highlight w:val="none"/>
          <w:lang w:bidi="ar"/>
        </w:rPr>
      </w:pPr>
      <w:r>
        <w:rPr>
          <w:rFonts w:hint="eastAsia" w:ascii="宋体" w:hAnsi="宋体" w:eastAsia="宋体" w:cs="宋体"/>
          <w:b w:val="0"/>
          <w:color w:val="auto"/>
          <w:sz w:val="24"/>
          <w:szCs w:val="24"/>
          <w:highlight w:val="none"/>
          <w:lang w:bidi="ar"/>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799FE459">
      <w:pPr>
        <w:pStyle w:val="3"/>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color w:val="auto"/>
          <w:sz w:val="24"/>
          <w:szCs w:val="24"/>
          <w:highlight w:val="none"/>
          <w:lang w:bidi="ar"/>
        </w:rPr>
      </w:pPr>
      <w:r>
        <w:rPr>
          <w:rFonts w:hint="eastAsia" w:ascii="宋体" w:hAnsi="宋体" w:eastAsia="宋体" w:cs="宋体"/>
          <w:b w:val="0"/>
          <w:color w:val="auto"/>
          <w:sz w:val="24"/>
          <w:szCs w:val="24"/>
          <w:highlight w:val="none"/>
          <w:lang w:bidi="ar"/>
        </w:rPr>
        <w:t>（4）待所有供应商响应性文件解密完成后，由中介服务机构操作，对所有已解密响应性文件进行唱标。供应商应保证在开标期间电话、电脑、网络能够正常工作，供应商因停电、电脑病毒、网络堵塞等原因，未在规定的解密时间内对响应性文件进行解密的，其响应性文件不予接收、唱标。</w:t>
      </w:r>
    </w:p>
    <w:p w14:paraId="11B9FCEC">
      <w:pPr>
        <w:pStyle w:val="3"/>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color w:val="auto"/>
          <w:sz w:val="24"/>
          <w:szCs w:val="24"/>
          <w:highlight w:val="none"/>
          <w:lang w:bidi="ar"/>
        </w:rPr>
      </w:pPr>
      <w:r>
        <w:rPr>
          <w:rFonts w:hint="eastAsia" w:ascii="宋体" w:hAnsi="宋体" w:eastAsia="宋体" w:cs="宋体"/>
          <w:b w:val="0"/>
          <w:color w:val="auto"/>
          <w:sz w:val="24"/>
          <w:szCs w:val="24"/>
          <w:highlight w:val="none"/>
          <w:lang w:bidi="ar"/>
        </w:rPr>
        <w:t>（5）开标时供应商可登录到交易系统中在开标解密栏中点击报价一览表查看自己的投标报价。如对自己的唱标内容有异议的，应在供应商解密成功后10 分钟内向中介服务机构电话质疑。中介服务机构应在监督人员的监督下进行免提通话接受供应商的质疑并做好书面记录。供应商未在规定时间内提出质疑的，视为认可唱标内容。</w:t>
      </w:r>
    </w:p>
    <w:p w14:paraId="4D0E65F6">
      <w:pPr>
        <w:pStyle w:val="3"/>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color w:val="auto"/>
          <w:sz w:val="24"/>
          <w:szCs w:val="24"/>
          <w:highlight w:val="none"/>
          <w:lang w:bidi="ar"/>
        </w:rPr>
      </w:pPr>
      <w:r>
        <w:rPr>
          <w:rFonts w:hint="eastAsia" w:ascii="宋体" w:hAnsi="宋体" w:eastAsia="宋体" w:cs="宋体"/>
          <w:b w:val="0"/>
          <w:color w:val="auto"/>
          <w:sz w:val="24"/>
          <w:szCs w:val="24"/>
          <w:highlight w:val="none"/>
          <w:lang w:bidi="ar"/>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 格式文件为准，并通过电子化交易系统提交至磋商小组。</w:t>
      </w:r>
    </w:p>
    <w:p w14:paraId="17605FFB">
      <w:pPr>
        <w:pStyle w:val="3"/>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lang w:bidi="ar"/>
        </w:rPr>
        <w:t>（7）如磋商小组对需要回复的供应商连续三次致电未接通的，视为供应商放弃回复，磋商小组将自行对需要回复的内容进行认定。</w:t>
      </w:r>
    </w:p>
    <w:p w14:paraId="335F5562">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5.2</w:t>
      </w:r>
      <w:r>
        <w:rPr>
          <w:rFonts w:hint="eastAsia" w:ascii="宋体" w:hAnsi="宋体" w:eastAsia="宋体" w:cs="宋体"/>
          <w:b/>
          <w:bCs/>
          <w:color w:val="auto"/>
          <w:sz w:val="24"/>
          <w:szCs w:val="24"/>
          <w:highlight w:val="none"/>
        </w:rPr>
        <w:t>.磋商细则</w:t>
      </w:r>
    </w:p>
    <w:p w14:paraId="140C6AB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highlight w:val="none"/>
        </w:rPr>
        <w:t>.1采购人按照上传</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时间的顺序，决定磋商顺序；</w:t>
      </w:r>
    </w:p>
    <w:p w14:paraId="70575E0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highlight w:val="none"/>
        </w:rPr>
        <w:t>.2磋商小组所有成员应当集中与单一供应商分别进行磋商。磋商小组将根据采购文件规定的程序、评定成交的标准等事项与实质性响应采购文件要求的供应商分别进行磋商。在磋商中，磋商的任何一方不得透露与磋商有关的其他供应商的技术资料、价格和其他信息。</w:t>
      </w:r>
    </w:p>
    <w:p w14:paraId="01C82A0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highlight w:val="none"/>
        </w:rPr>
        <w:t>.3本次磋商中，</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中的报价为第一次报价。</w:t>
      </w:r>
    </w:p>
    <w:p w14:paraId="7379BD9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highlight w:val="none"/>
        </w:rPr>
        <w:t>.4供应商可以在磋商小组规定的时间内进行第二次报价，通过交易中心系统以电子形式递交，第二轮报价不得高于第一轮报价，成交价以最终报价为准。磋商过程中，磋商小组可以根据磋商情况调整磋商轮次。</w:t>
      </w:r>
    </w:p>
    <w:p w14:paraId="1ED1ABB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highlight w:val="none"/>
        </w:rPr>
        <w:t>.5本项目采用综合评分法，磋商小组成员综合评审各供应商提交的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，按总得分由高到低的顺序推荐3名成交候选人，并编写评审报告。</w:t>
      </w:r>
    </w:p>
    <w:p w14:paraId="6095994A">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5.3.</w:t>
      </w:r>
      <w:r>
        <w:rPr>
          <w:rFonts w:hint="eastAsia" w:ascii="宋体" w:hAnsi="宋体" w:eastAsia="宋体" w:cs="宋体"/>
          <w:b/>
          <w:bCs/>
          <w:color w:val="auto"/>
          <w:sz w:val="24"/>
          <w:szCs w:val="24"/>
          <w:highlight w:val="none"/>
        </w:rPr>
        <w:t>磋商</w:t>
      </w:r>
      <w:r>
        <w:rPr>
          <w:rFonts w:hint="eastAsia" w:ascii="宋体" w:hAnsi="宋体" w:eastAsia="宋体" w:cs="宋体"/>
          <w:b/>
          <w:bCs/>
          <w:color w:val="auto"/>
          <w:sz w:val="24"/>
          <w:szCs w:val="24"/>
          <w:highlight w:val="none"/>
          <w:lang w:val="en-US" w:eastAsia="zh-CN"/>
        </w:rPr>
        <w:t>小组</w:t>
      </w:r>
    </w:p>
    <w:p w14:paraId="1306515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5.3</w:t>
      </w:r>
      <w:r>
        <w:rPr>
          <w:rFonts w:hint="eastAsia" w:ascii="宋体" w:hAnsi="宋体" w:eastAsia="宋体" w:cs="宋体"/>
          <w:color w:val="auto"/>
          <w:sz w:val="24"/>
          <w:szCs w:val="24"/>
          <w:highlight w:val="none"/>
        </w:rPr>
        <w:t>.1磋商小组由采购人依法组建，负责磋商。根据《政府采购竞争性磋商采购方式管理办法》的规定，磋商小组应当履行以下义务：</w:t>
      </w:r>
    </w:p>
    <w:p w14:paraId="5721FD3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（一）遵纪守法，客观、公正、廉洁地履行职责；</w:t>
      </w:r>
    </w:p>
    <w:p w14:paraId="6906698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根据竞争性磋商文件的规定独立进行评审，对个人的评审意见承担法律责任；磋商小组将综合分析、评审供应商的各项指标，而不以单项指标的优劣评定出成交候选人或成交人。</w:t>
      </w:r>
    </w:p>
    <w:p w14:paraId="3A7809A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）参与磋商报告的起草；</w:t>
      </w:r>
    </w:p>
    <w:p w14:paraId="39EDB9C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）配合采购人、代理机构答复供应商提出的质疑；</w:t>
      </w:r>
    </w:p>
    <w:p w14:paraId="19AC137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）配合财政部门的投诉处理和监督检查工作。</w:t>
      </w:r>
    </w:p>
    <w:p w14:paraId="40A28A6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rPr>
        <w:t>.2磋商小组由有关技术、经济方面的专家组成。磋商小组人数及技术、经济专家的确定方式见供应商须知前附表。</w:t>
      </w:r>
    </w:p>
    <w:p w14:paraId="1991E15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rPr>
        <w:t>.3磋商原则</w:t>
      </w:r>
    </w:p>
    <w:p w14:paraId="03DCCE0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严格按照竞争性磋商文件中的所有相关规定；按照“客观、公正、审慎”的原则进行磋商。</w:t>
      </w:r>
    </w:p>
    <w:p w14:paraId="60E4E07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.2反对不正当竞争。</w:t>
      </w:r>
    </w:p>
    <w:p w14:paraId="33B865D8">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5.4</w:t>
      </w:r>
      <w:r>
        <w:rPr>
          <w:rFonts w:hint="eastAsia" w:ascii="宋体" w:hAnsi="宋体" w:eastAsia="宋体" w:cs="宋体"/>
          <w:b/>
          <w:bCs/>
          <w:color w:val="auto"/>
          <w:sz w:val="24"/>
          <w:szCs w:val="24"/>
          <w:highlight w:val="none"/>
        </w:rPr>
        <w:t>、磋商过程的保密</w:t>
      </w:r>
    </w:p>
    <w:p w14:paraId="2FFFB9C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的审查、澄清、评价和比较的有关资料以及成交候选人的推荐情况，与评标有关的其他任何情况均应严格保密。</w:t>
      </w:r>
    </w:p>
    <w:p w14:paraId="66C210B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sz w:val="24"/>
          <w:szCs w:val="24"/>
          <w:highlight w:val="none"/>
        </w:rPr>
        <w:t>.2在</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的评审和比较、成交候选人推荐以及授予合同的过程中，供应商向采购人和磋商小组施加影响的任何行为，都将会导致其投标被拒绝。</w:t>
      </w:r>
    </w:p>
    <w:p w14:paraId="031A22E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sz w:val="24"/>
          <w:szCs w:val="24"/>
          <w:highlight w:val="none"/>
        </w:rPr>
        <w:t>.3采购人不对未成交人就评标过程以及未能成交原因作出任何解释。未成交人不得向磋商小组成员和其他有关人员索问评标过程的情况和资料。</w:t>
      </w:r>
    </w:p>
    <w:p w14:paraId="5034B0F9">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的澄清</w:t>
      </w:r>
    </w:p>
    <w:p w14:paraId="16CACFB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5.5</w:t>
      </w:r>
      <w:r>
        <w:rPr>
          <w:rFonts w:hint="eastAsia" w:ascii="宋体" w:hAnsi="宋体" w:eastAsia="宋体" w:cs="宋体"/>
          <w:b w:val="0"/>
          <w:bCs w:val="0"/>
          <w:color w:val="auto"/>
          <w:sz w:val="24"/>
          <w:szCs w:val="24"/>
          <w:highlight w:val="none"/>
        </w:rPr>
        <w:t>.1</w:t>
      </w:r>
      <w:r>
        <w:rPr>
          <w:rFonts w:hint="eastAsia" w:ascii="宋体" w:hAnsi="宋体" w:eastAsia="宋体" w:cs="宋体"/>
          <w:color w:val="auto"/>
          <w:sz w:val="24"/>
          <w:szCs w:val="24"/>
          <w:highlight w:val="none"/>
        </w:rPr>
        <w:t>在磋商期间，磋商小组可以要求供应商对其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中含义不明确、同类问题表述不一致或者有明显文字和计算错误的内容等作必要的澄清、说明或更正。供应商的澄清、说明或更正应在磋商小组规定的时间内以书面方式进行，并不得超出</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范围或者改变</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的实质性内容。供应商拒不进行澄清、说明、更正的，或者不能在规定时间内作出书面澄清、说明、更正的，其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将被作为无效</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处理。</w:t>
      </w:r>
    </w:p>
    <w:p w14:paraId="174B58A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磋商小组要求供应商澄清、说明或者更正</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将在</w:t>
      </w:r>
      <w:r>
        <w:rPr>
          <w:rFonts w:hint="eastAsia" w:ascii="宋体" w:hAnsi="宋体" w:eastAsia="宋体" w:cs="宋体"/>
          <w:color w:val="auto"/>
          <w:sz w:val="24"/>
          <w:szCs w:val="24"/>
          <w:highlight w:val="none"/>
          <w:lang w:val="en-US" w:eastAsia="zh-CN"/>
        </w:rPr>
        <w:t>三门峡市</w:t>
      </w:r>
      <w:r>
        <w:rPr>
          <w:rFonts w:hint="eastAsia" w:ascii="宋体" w:hAnsi="宋体" w:eastAsia="宋体" w:cs="宋体"/>
          <w:color w:val="auto"/>
          <w:sz w:val="24"/>
          <w:szCs w:val="24"/>
          <w:highlight w:val="none"/>
        </w:rPr>
        <w:t>资源交易系统中向供应商发出，供应商在收到该要求后，应在磋商小组规定时间内在交易系统中做出相应的回复，如果磋商小组在规定时间内没有收到供应商的回复则视为该供应商没有回复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由此造成后果由供应商自行承担</w:t>
      </w:r>
      <w:r>
        <w:rPr>
          <w:rFonts w:hint="eastAsia" w:ascii="宋体" w:hAnsi="宋体" w:eastAsia="宋体" w:cs="宋体"/>
          <w:color w:val="auto"/>
          <w:sz w:val="24"/>
          <w:szCs w:val="24"/>
          <w:highlight w:val="none"/>
        </w:rPr>
        <w:t>。</w:t>
      </w:r>
    </w:p>
    <w:p w14:paraId="60FE39F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5.5</w:t>
      </w:r>
      <w:r>
        <w:rPr>
          <w:rFonts w:hint="eastAsia" w:ascii="宋体" w:hAnsi="宋体" w:eastAsia="宋体" w:cs="宋体"/>
          <w:b w:val="0"/>
          <w:bCs w:val="0"/>
          <w:color w:val="auto"/>
          <w:sz w:val="24"/>
          <w:szCs w:val="24"/>
          <w:highlight w:val="none"/>
        </w:rPr>
        <w:t>.2供应商应当在采购文件中确定的</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递交截止时间前，登录远程开标大厅，在线准时参加磋商活动并根据需要进行文件答疑澄清等。</w:t>
      </w:r>
    </w:p>
    <w:p w14:paraId="20BBC3C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5.5</w:t>
      </w:r>
      <w:r>
        <w:rPr>
          <w:rFonts w:hint="eastAsia" w:ascii="宋体" w:hAnsi="宋体" w:eastAsia="宋体" w:cs="宋体"/>
          <w:b w:val="0"/>
          <w:bCs w:val="0"/>
          <w:color w:val="auto"/>
          <w:sz w:val="24"/>
          <w:szCs w:val="24"/>
          <w:highlight w:val="none"/>
        </w:rPr>
        <w:t>.3供应商的澄清、说明或者更正应当加盖单位的电子签章及法定代表人（或单位负责人）的电子签章（若平台不能提交法定代表人签章或者供应商电子章的除外）。</w:t>
      </w:r>
    </w:p>
    <w:p w14:paraId="18B00D5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5.5</w:t>
      </w: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的澄清、说明或者更正不得对</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的内容进行实质性修改。</w:t>
      </w:r>
    </w:p>
    <w:p w14:paraId="2ECEE48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5.5</w:t>
      </w:r>
      <w:r>
        <w:rPr>
          <w:rFonts w:hint="eastAsia" w:ascii="宋体" w:hAnsi="宋体" w:eastAsia="宋体" w:cs="宋体"/>
          <w:b w:val="0"/>
          <w:bCs w:val="0"/>
          <w:color w:val="auto"/>
          <w:sz w:val="24"/>
          <w:szCs w:val="24"/>
          <w:highlight w:val="none"/>
        </w:rPr>
        <w:t>.5供应商的澄清、说明或更正将作为</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的一部分并</w:t>
      </w:r>
      <w:r>
        <w:rPr>
          <w:rFonts w:hint="eastAsia" w:ascii="宋体" w:hAnsi="宋体" w:eastAsia="宋体" w:cs="宋体"/>
          <w:color w:val="auto"/>
          <w:sz w:val="24"/>
          <w:szCs w:val="24"/>
          <w:highlight w:val="none"/>
        </w:rPr>
        <w:t>取代</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中被澄清的部分</w:t>
      </w:r>
    </w:p>
    <w:p w14:paraId="06EDB36C">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5.6、响应文件的初步评审</w:t>
      </w:r>
    </w:p>
    <w:p w14:paraId="79AEE739">
      <w:pPr>
        <w:keepNext w:val="0"/>
        <w:keepLines w:val="0"/>
        <w:pageBreakBefore w:val="0"/>
        <w:widowControl/>
        <w:numPr>
          <w:ilvl w:val="0"/>
          <w:numId w:val="0"/>
        </w:numPr>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5.6</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资格审查</w:t>
      </w:r>
    </w:p>
    <w:p w14:paraId="2C9638A2">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磋商小组依据法律法规和采购文件中规定的内容，对供应商的资格（提交的资格证明材料见供应商须知前附表）进行审查。未通过资格审查的供应商不能进入下一阶段评审</w:t>
      </w:r>
      <w:r>
        <w:rPr>
          <w:rFonts w:hint="eastAsia" w:ascii="宋体" w:hAnsi="宋体" w:eastAsia="宋体" w:cs="宋体"/>
          <w:b w:val="0"/>
          <w:bCs w:val="0"/>
          <w:color w:val="auto"/>
          <w:sz w:val="24"/>
          <w:szCs w:val="24"/>
          <w:highlight w:val="none"/>
          <w:lang w:eastAsia="zh-CN"/>
        </w:rPr>
        <w:t>。磋商截止时间结束后参加供应商不足3家的，项目予以废标。在评审期间根据财库〔2015〕124号文件，采用竞争性磋商采购方式采购的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799BE8C">
      <w:pPr>
        <w:keepNext w:val="0"/>
        <w:keepLines w:val="0"/>
        <w:pageBreakBefore w:val="0"/>
        <w:widowControl/>
        <w:numPr>
          <w:ilvl w:val="0"/>
          <w:numId w:val="0"/>
        </w:numPr>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5.6.2</w:t>
      </w:r>
      <w:r>
        <w:rPr>
          <w:rFonts w:hint="eastAsia" w:ascii="宋体" w:hAnsi="宋体" w:eastAsia="宋体" w:cs="宋体"/>
          <w:b/>
          <w:bCs/>
          <w:color w:val="auto"/>
          <w:sz w:val="24"/>
          <w:szCs w:val="24"/>
          <w:highlight w:val="none"/>
          <w:lang w:eastAsia="zh-CN"/>
        </w:rPr>
        <w:t>响应文件符合性审查</w:t>
      </w:r>
    </w:p>
    <w:p w14:paraId="79403C6A">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符合性审查是指依据采购文件的规定，从商务和技术角度对响应文件的有效性、完整性和响应程度进行审查，以确定是否对采购文件的实质性要求做出响应。供应商应当按照采购文件中的相关要求，提交符合性证明材料。未通过符合性审查的供应商不能进入下一阶段评审，其响应文件将被认定为无效响应文件。</w:t>
      </w:r>
    </w:p>
    <w:p w14:paraId="2A75BE49">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计算错误的修正</w:t>
      </w:r>
    </w:p>
    <w:p w14:paraId="0919E6C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5.7</w:t>
      </w:r>
      <w:r>
        <w:rPr>
          <w:rFonts w:hint="eastAsia" w:ascii="宋体" w:hAnsi="宋体" w:eastAsia="宋体" w:cs="宋体"/>
          <w:b w:val="0"/>
          <w:bCs w:val="0"/>
          <w:color w:val="auto"/>
          <w:sz w:val="24"/>
          <w:szCs w:val="24"/>
          <w:highlight w:val="none"/>
        </w:rPr>
        <w:t>.1磋商小组将对确定为实质上响应竞争性磋商文件要求的</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进行校核，看其是否有计算或表达上的错误，修正错误的原则如下：</w:t>
      </w:r>
    </w:p>
    <w:p w14:paraId="48B94AB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5.7</w:t>
      </w:r>
      <w:r>
        <w:rPr>
          <w:rFonts w:hint="eastAsia" w:ascii="宋体" w:hAnsi="宋体" w:eastAsia="宋体" w:cs="宋体"/>
          <w:b w:val="0"/>
          <w:bCs w:val="0"/>
          <w:color w:val="auto"/>
          <w:sz w:val="24"/>
          <w:szCs w:val="24"/>
          <w:highlight w:val="none"/>
        </w:rPr>
        <w:t>.1如果数字表示的金额和用文字表示的金额不一致时，应以文字表示的金额为准；</w:t>
      </w:r>
    </w:p>
    <w:p w14:paraId="1CCEE6D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5.7</w:t>
      </w:r>
      <w:r>
        <w:rPr>
          <w:rFonts w:hint="eastAsia" w:ascii="宋体" w:hAnsi="宋体" w:eastAsia="宋体" w:cs="宋体"/>
          <w:b w:val="0"/>
          <w:bCs w:val="0"/>
          <w:color w:val="auto"/>
          <w:sz w:val="24"/>
          <w:szCs w:val="24"/>
          <w:highlight w:val="none"/>
        </w:rPr>
        <w:t>.2当单价与数量的乘积与合价不一致时，以单价为准，除非磋商小组认为单价有明显的小数点错误，此时应以标出的合价为准，并修改单价。</w:t>
      </w:r>
    </w:p>
    <w:p w14:paraId="6602D23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5.7.3</w:t>
      </w:r>
      <w:r>
        <w:rPr>
          <w:rFonts w:hint="eastAsia" w:ascii="宋体" w:hAnsi="宋体" w:eastAsia="宋体" w:cs="宋体"/>
          <w:b w:val="0"/>
          <w:bCs w:val="0"/>
          <w:color w:val="auto"/>
          <w:sz w:val="24"/>
          <w:szCs w:val="24"/>
          <w:highlight w:val="none"/>
        </w:rPr>
        <w:t>按上述修正错误的原则</w:t>
      </w:r>
      <w:r>
        <w:rPr>
          <w:rFonts w:hint="eastAsia" w:ascii="宋体" w:hAnsi="宋体" w:eastAsia="宋体" w:cs="宋体"/>
          <w:color w:val="auto"/>
          <w:sz w:val="24"/>
          <w:szCs w:val="24"/>
          <w:highlight w:val="none"/>
        </w:rPr>
        <w:t>及方法调整或修正</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的投标报价，供应商同意后，调整后的投标报价对供应商起约束作用。如果供应商不接受修正后的报价，则磋商小组对其不再进行评审。</w:t>
      </w:r>
    </w:p>
    <w:p w14:paraId="369E1465">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的评审、比较和否决</w:t>
      </w:r>
    </w:p>
    <w:p w14:paraId="484844C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5.8</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rPr>
        <w:t>1磋商小组仅对在实质上响应竞争性磋商文件要求的</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进行评估和比较。</w:t>
      </w:r>
    </w:p>
    <w:p w14:paraId="49105EB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5.8</w:t>
      </w: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磋商小组认为某供应商的报价明显低于其他通过符合性审查供应商的报价，有可能影响产品质量或者不能诚信履约的，磋商小组将通过交易系统向该供应商发出通知，要求该供应商通过交易系统（接到通知后30分钟内）提供书面说明，并提交相关证明材料， 供应商不能证明其报价合理性的，磋商小组将其响应文件作为无效响应文件处理。</w:t>
      </w:r>
    </w:p>
    <w:p w14:paraId="3F53715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snapToGrid w:val="0"/>
          <w:color w:val="auto"/>
          <w:kern w:val="0"/>
          <w:sz w:val="24"/>
          <w:szCs w:val="24"/>
          <w:highlight w:val="none"/>
          <w:shd w:val="clear" w:color="auto" w:fill="FFFFFF"/>
        </w:rPr>
      </w:pPr>
      <w:r>
        <w:rPr>
          <w:rFonts w:hint="eastAsia" w:ascii="宋体" w:hAnsi="宋体" w:eastAsia="宋体" w:cs="宋体"/>
          <w:b w:val="0"/>
          <w:bCs w:val="0"/>
          <w:color w:val="auto"/>
          <w:sz w:val="24"/>
          <w:szCs w:val="24"/>
          <w:highlight w:val="none"/>
          <w:lang w:val="en-US" w:eastAsia="zh-CN"/>
        </w:rPr>
        <w:t>5.8.3</w:t>
      </w:r>
      <w:r>
        <w:rPr>
          <w:rFonts w:hint="eastAsia" w:ascii="宋体" w:hAnsi="宋体" w:eastAsia="宋体" w:cs="宋体"/>
          <w:b w:val="0"/>
          <w:bCs w:val="0"/>
          <w:snapToGrid w:val="0"/>
          <w:color w:val="auto"/>
          <w:kern w:val="0"/>
          <w:sz w:val="24"/>
          <w:szCs w:val="24"/>
          <w:highlight w:val="none"/>
          <w:shd w:val="clear" w:color="auto" w:fill="FFFFFF"/>
        </w:rPr>
        <w:t>磋商小组应当要求所有实质性响应的供应商在规定时间内提交最后报价。</w:t>
      </w:r>
    </w:p>
    <w:p w14:paraId="2D6600A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5.8.4</w:t>
      </w:r>
      <w:r>
        <w:rPr>
          <w:rFonts w:hint="eastAsia" w:ascii="宋体" w:hAnsi="宋体" w:eastAsia="宋体" w:cs="宋体"/>
          <w:b w:val="0"/>
          <w:bCs w:val="0"/>
          <w:color w:val="auto"/>
          <w:sz w:val="24"/>
          <w:szCs w:val="24"/>
          <w:highlight w:val="none"/>
        </w:rPr>
        <w:t>出现下列情形之一的，采购人或者招标代理机构应当终止竞争性磋商活动，发布项目终止公告并说明原因，重新开展招标活动：</w:t>
      </w:r>
    </w:p>
    <w:p w14:paraId="4B1EF94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（一）因情况变化，不再符合规定的竞争性磋商采购方式适用情形的；</w:t>
      </w:r>
    </w:p>
    <w:p w14:paraId="67CA65E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（二）出现影响采购公正的违法、违规行为的；</w:t>
      </w:r>
    </w:p>
    <w:p w14:paraId="3643201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递交响应文件的</w:t>
      </w:r>
      <w:r>
        <w:rPr>
          <w:rFonts w:hint="eastAsia" w:ascii="宋体" w:hAnsi="宋体" w:eastAsia="宋体" w:cs="宋体"/>
          <w:color w:val="auto"/>
          <w:sz w:val="24"/>
          <w:szCs w:val="24"/>
          <w:highlight w:val="none"/>
        </w:rPr>
        <w:t>供应商不足3家的。</w:t>
      </w:r>
    </w:p>
    <w:p w14:paraId="196F9F3C">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5.9</w:t>
      </w:r>
      <w:r>
        <w:rPr>
          <w:rFonts w:hint="eastAsia" w:ascii="宋体" w:hAnsi="宋体" w:eastAsia="宋体" w:cs="宋体"/>
          <w:b/>
          <w:bCs w:val="0"/>
          <w:color w:val="auto"/>
          <w:sz w:val="24"/>
          <w:szCs w:val="24"/>
          <w:highlight w:val="none"/>
        </w:rPr>
        <w:t>、成交原则</w:t>
      </w:r>
    </w:p>
    <w:p w14:paraId="4D20E51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磋商小组根据综合评分情况，按照评审得分由高到低顺序推荐3名</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供应商，并编写评审报告并在报告上签字。评审得分相同的，按照最后报价由低到高的顺序推荐。评审得分且最后报价相同的，按照技术指标优劣顺序推荐。</w:t>
      </w:r>
    </w:p>
    <w:p w14:paraId="13CF90D2">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5.10</w:t>
      </w:r>
      <w:r>
        <w:rPr>
          <w:rFonts w:hint="eastAsia" w:ascii="宋体" w:hAnsi="宋体" w:eastAsia="宋体" w:cs="宋体"/>
          <w:b/>
          <w:bCs w:val="0"/>
          <w:color w:val="auto"/>
          <w:sz w:val="24"/>
          <w:szCs w:val="24"/>
          <w:highlight w:val="none"/>
        </w:rPr>
        <w:t>、评审报告</w:t>
      </w:r>
    </w:p>
    <w:p w14:paraId="4E2267F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磋商小组组应当根据评审记录和评审结果编写评审报告，其主要内容包括：</w:t>
      </w:r>
    </w:p>
    <w:p w14:paraId="5BA2EC7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lang w:val="en-US" w:eastAsia="zh-CN"/>
        </w:rPr>
        <w:t>5.10</w:t>
      </w:r>
      <w:r>
        <w:rPr>
          <w:rFonts w:hint="eastAsia" w:ascii="宋体" w:hAnsi="宋体" w:eastAsia="宋体" w:cs="宋体"/>
          <w:b w:val="0"/>
          <w:bCs/>
          <w:color w:val="auto"/>
          <w:sz w:val="24"/>
          <w:szCs w:val="24"/>
          <w:highlight w:val="none"/>
        </w:rPr>
        <w:t>.1招标活</w:t>
      </w:r>
      <w:r>
        <w:rPr>
          <w:rFonts w:hint="eastAsia" w:ascii="宋体" w:hAnsi="宋体" w:eastAsia="宋体" w:cs="宋体"/>
          <w:bCs/>
          <w:color w:val="auto"/>
          <w:sz w:val="24"/>
          <w:szCs w:val="24"/>
          <w:highlight w:val="none"/>
        </w:rPr>
        <w:t>动的具体方式和相关情况，以及参加招标活动的供应商名单；</w:t>
      </w:r>
    </w:p>
    <w:p w14:paraId="54F3D24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lang w:val="en-US" w:eastAsia="zh-CN"/>
        </w:rPr>
        <w:t>5.10</w:t>
      </w:r>
      <w:r>
        <w:rPr>
          <w:rFonts w:hint="eastAsia" w:ascii="宋体" w:hAnsi="宋体" w:eastAsia="宋体" w:cs="宋体"/>
          <w:b w:val="0"/>
          <w:bCs/>
          <w:color w:val="auto"/>
          <w:sz w:val="24"/>
          <w:szCs w:val="24"/>
          <w:highlight w:val="none"/>
        </w:rPr>
        <w:t>.2评审</w:t>
      </w:r>
      <w:r>
        <w:rPr>
          <w:rFonts w:hint="eastAsia" w:ascii="宋体" w:hAnsi="宋体" w:eastAsia="宋体" w:cs="宋体"/>
          <w:bCs/>
          <w:color w:val="auto"/>
          <w:sz w:val="24"/>
          <w:szCs w:val="24"/>
          <w:highlight w:val="none"/>
        </w:rPr>
        <w:t>日期和地点，磋商小组成员名单；</w:t>
      </w:r>
    </w:p>
    <w:p w14:paraId="603EB23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lang w:val="en-US" w:eastAsia="zh-CN"/>
        </w:rPr>
        <w:t>5.10</w:t>
      </w:r>
      <w:r>
        <w:rPr>
          <w:rFonts w:hint="eastAsia" w:ascii="宋体" w:hAnsi="宋体" w:eastAsia="宋体" w:cs="宋体"/>
          <w:bCs/>
          <w:color w:val="auto"/>
          <w:sz w:val="24"/>
          <w:szCs w:val="24"/>
          <w:highlight w:val="none"/>
        </w:rPr>
        <w:t>.3评审情况记录和说明，包括对供应商的资格审查情况、</w:t>
      </w:r>
      <w:r>
        <w:rPr>
          <w:rFonts w:hint="eastAsia" w:ascii="宋体" w:hAnsi="宋体" w:eastAsia="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评审情况、磋商情况、报价情况等；</w:t>
      </w:r>
    </w:p>
    <w:p w14:paraId="1E56616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lang w:val="en-US" w:eastAsia="zh-CN"/>
        </w:rPr>
        <w:t>5.10</w:t>
      </w:r>
      <w:r>
        <w:rPr>
          <w:rFonts w:hint="eastAsia" w:ascii="宋体" w:hAnsi="宋体" w:eastAsia="宋体" w:cs="宋体"/>
          <w:bCs/>
          <w:color w:val="auto"/>
          <w:sz w:val="24"/>
          <w:szCs w:val="24"/>
          <w:highlight w:val="none"/>
        </w:rPr>
        <w:t>.4提出的成交候选人的名单及理由。</w:t>
      </w:r>
    </w:p>
    <w:p w14:paraId="541F3A1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eastAsia="宋体" w:cs="宋体"/>
          <w:color w:val="auto"/>
          <w:sz w:val="24"/>
          <w:szCs w:val="24"/>
          <w:highlight w:val="none"/>
        </w:rPr>
        <w:t>。</w:t>
      </w:r>
    </w:p>
    <w:p w14:paraId="2DA927E4">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val="0"/>
          <w:color w:val="auto"/>
          <w:sz w:val="24"/>
          <w:szCs w:val="24"/>
          <w:highlight w:val="none"/>
          <w:lang w:val="zh-CN" w:eastAsia="zh-CN"/>
        </w:rPr>
      </w:pPr>
      <w:r>
        <w:rPr>
          <w:rFonts w:hint="eastAsia" w:ascii="宋体" w:hAnsi="宋体" w:eastAsia="宋体" w:cs="宋体"/>
          <w:b/>
          <w:bCs w:val="0"/>
          <w:color w:val="auto"/>
          <w:sz w:val="24"/>
          <w:szCs w:val="24"/>
          <w:highlight w:val="none"/>
          <w:lang w:val="en-US" w:eastAsia="zh-CN"/>
        </w:rPr>
        <w:t>6、</w:t>
      </w:r>
      <w:r>
        <w:rPr>
          <w:rFonts w:hint="eastAsia" w:ascii="宋体" w:hAnsi="宋体" w:eastAsia="宋体" w:cs="宋体"/>
          <w:b/>
          <w:bCs w:val="0"/>
          <w:color w:val="auto"/>
          <w:sz w:val="24"/>
          <w:szCs w:val="24"/>
          <w:highlight w:val="none"/>
          <w:lang w:val="zh-CN" w:eastAsia="zh-CN"/>
        </w:rPr>
        <w:t>确定成交供应商</w:t>
      </w:r>
    </w:p>
    <w:p w14:paraId="40E0BC7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.1 磋商小组应当根据综合评分情况，按照评审</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zh-CN"/>
        </w:rPr>
        <w:t>高到低的顺序推荐</w:t>
      </w:r>
      <w:r>
        <w:rPr>
          <w:rFonts w:hint="eastAsia" w:ascii="宋体" w:hAnsi="宋体" w:eastAsia="宋体" w:cs="宋体"/>
          <w:color w:val="auto"/>
          <w:sz w:val="24"/>
          <w:szCs w:val="24"/>
          <w:highlight w:val="none"/>
        </w:rPr>
        <w:t>3名</w:t>
      </w:r>
      <w:r>
        <w:rPr>
          <w:rFonts w:hint="eastAsia" w:ascii="宋体" w:hAnsi="宋体" w:eastAsia="宋体" w:cs="宋体"/>
          <w:color w:val="auto"/>
          <w:sz w:val="24"/>
          <w:szCs w:val="24"/>
          <w:highlight w:val="none"/>
          <w:lang w:val="zh-CN"/>
        </w:rPr>
        <w:t>成交候选人，并向采购人提供书面评审报告，</w:t>
      </w:r>
      <w:r>
        <w:rPr>
          <w:rFonts w:hint="eastAsia" w:ascii="宋体" w:hAnsi="宋体" w:eastAsia="宋体" w:cs="宋体"/>
          <w:color w:val="auto"/>
          <w:sz w:val="24"/>
          <w:szCs w:val="24"/>
          <w:highlight w:val="none"/>
        </w:rPr>
        <w:t>由采购人确定排名第一的为成交供应商</w:t>
      </w:r>
      <w:r>
        <w:rPr>
          <w:rFonts w:hint="eastAsia" w:ascii="宋体" w:hAnsi="宋体" w:eastAsia="宋体" w:cs="宋体"/>
          <w:color w:val="auto"/>
          <w:sz w:val="24"/>
          <w:szCs w:val="24"/>
          <w:highlight w:val="none"/>
          <w:lang w:val="zh-CN"/>
        </w:rPr>
        <w:t>，采购人及采购代理机构在政府采购项目评审结束之日当天完成评标报告的报送、中标（成交）供应商的确定、中标（成交）公告发布及中标（成交）通知书的发出等。</w:t>
      </w:r>
    </w:p>
    <w:p w14:paraId="4C4D7BBA">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、成交通知</w:t>
      </w:r>
    </w:p>
    <w:p w14:paraId="09822EC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.1成交供应商确定后，采购人向成交供应商签发《成交通知书》，并将成交结果通知所有未成交的供应商。</w:t>
      </w:r>
    </w:p>
    <w:p w14:paraId="3CDE993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.2《成交通知书》作为签订合同的依据，对采购人和成交供应商均具有法律效力，成交通知书发出后，采购人改变成交结果或者成交供应商放弃项目，应依法承担法律责任。</w:t>
      </w:r>
    </w:p>
    <w:p w14:paraId="3915E507">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、合同授予</w:t>
      </w:r>
    </w:p>
    <w:p w14:paraId="5A3FBDE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zh-CN" w:eastAsia="zh-CN"/>
        </w:rPr>
        <w:t>.1成交供应商接到《成交通知书》后</w:t>
      </w:r>
      <w:r>
        <w:rPr>
          <w:rFonts w:hint="eastAsia" w:ascii="宋体" w:hAnsi="宋体" w:eastAsia="宋体" w:cs="宋体"/>
          <w:b w:val="0"/>
          <w:bCs w:val="0"/>
          <w:color w:val="auto"/>
          <w:sz w:val="24"/>
          <w:szCs w:val="24"/>
          <w:highlight w:val="none"/>
          <w:lang w:val="en-US" w:eastAsia="zh-CN"/>
        </w:rPr>
        <w:t>1个工作</w:t>
      </w:r>
      <w:r>
        <w:rPr>
          <w:rFonts w:hint="eastAsia" w:ascii="宋体" w:hAnsi="宋体" w:eastAsia="宋体" w:cs="宋体"/>
          <w:b w:val="0"/>
          <w:bCs w:val="0"/>
          <w:color w:val="auto"/>
          <w:sz w:val="24"/>
          <w:szCs w:val="24"/>
          <w:highlight w:val="none"/>
          <w:lang w:val="zh-CN" w:eastAsia="zh-CN"/>
        </w:rPr>
        <w:t>日内按指定地点与采购人签订采购合同；采购人应当在合同签订后</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CN" w:eastAsia="zh-CN"/>
        </w:rPr>
        <w:t>个工作日内在河南政府采购网公示采购合同，并完成合同备案。</w:t>
      </w:r>
    </w:p>
    <w:p w14:paraId="5BCEC39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zh-CN" w:eastAsia="zh-CN"/>
        </w:rPr>
        <w:t>.2采购人签发的成交通知书、竞争性磋商文件、成交供应商的磋商响应文件及其澄清文件等，均为签订合同的依据。</w:t>
      </w:r>
    </w:p>
    <w:p w14:paraId="2DBC054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zh-CN" w:eastAsia="zh-CN"/>
        </w:rPr>
        <w:t>.3成交供应商如不按本供应商须知的规定与采购人订立合同，则采购人将废除授标，并做出相应的处罚，同时依法承担相应法律责任。</w:t>
      </w:r>
    </w:p>
    <w:p w14:paraId="4CCFF9F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zh-CN" w:eastAsia="zh-CN"/>
        </w:rPr>
        <w:t>.4成交供应商需向采购代理机构支付代理服务费。</w:t>
      </w:r>
    </w:p>
    <w:p w14:paraId="2A2279E5">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2" w:firstLineChars="200"/>
        <w:jc w:val="left"/>
        <w:outlineLvl w:val="3"/>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w:t>
      </w:r>
      <w:bookmarkStart w:id="36" w:name="_Toc7342_WPSOffice_Level3"/>
      <w:r>
        <w:rPr>
          <w:rFonts w:hint="eastAsia" w:ascii="宋体" w:hAnsi="宋体" w:eastAsia="宋体" w:cs="宋体"/>
          <w:b/>
          <w:bCs/>
          <w:color w:val="auto"/>
          <w:sz w:val="24"/>
          <w:szCs w:val="24"/>
          <w:highlight w:val="none"/>
          <w:lang w:val="zh-CN"/>
        </w:rPr>
        <w:t>特别注意事项</w:t>
      </w:r>
      <w:bookmarkEnd w:id="36"/>
    </w:p>
    <w:p w14:paraId="6BB472F5">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rPr>
        <w:t>.1现下列情形之一的，磋商小组可取消其磋商资格：</w:t>
      </w:r>
    </w:p>
    <w:p w14:paraId="42B388F4">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（1）未按磋商文件要求和规定提交实质性响应材料的；</w:t>
      </w:r>
    </w:p>
    <w:p w14:paraId="05CC40EB">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（2）相互串通磋商的（有下列情形之一的，视为供应商相互串通磋商）；</w:t>
      </w:r>
    </w:p>
    <w:p w14:paraId="74D42B5D">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A、不同供应商的响应文件由同一单位或者个人编制</w:t>
      </w:r>
    </w:p>
    <w:p w14:paraId="4C73FD7C">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B、不同供应商委托同一单位或者个人办理磋商事宜</w:t>
      </w:r>
    </w:p>
    <w:p w14:paraId="3DB6488D">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C、不同供应商的响应文件载明的项目管理成员为同一人</w:t>
      </w:r>
    </w:p>
    <w:p w14:paraId="54BE5219">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D、不同供应商的响应文件异常一致或者磋商报价呈规律性差异</w:t>
      </w:r>
    </w:p>
    <w:p w14:paraId="206265FE">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E、不同供应商的磋商保证金从同一单位的账户转出</w:t>
      </w:r>
    </w:p>
    <w:p w14:paraId="5EF29083">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.2供应商出现下列情形之一的，将被视为非实质性响应磋商文件要求：</w:t>
      </w:r>
    </w:p>
    <w:p w14:paraId="0A97980E">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（1）供货期限不确切或不符合磋商文件要求的；</w:t>
      </w:r>
    </w:p>
    <w:p w14:paraId="3A40B47F">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（2）最后报价有选择性的；</w:t>
      </w:r>
    </w:p>
    <w:p w14:paraId="28EA74DB">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（3）最后报价超过采购预算金额的；</w:t>
      </w:r>
    </w:p>
    <w:p w14:paraId="70414768">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（4）被磋商小组认定存在重大负偏离的；</w:t>
      </w:r>
    </w:p>
    <w:p w14:paraId="15C00891">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注：所谓重大负偏离是指供应商对磋商文件的响应在范围、质量、数量和供货期限要求等方面明显不能满足采购需求的。重大负偏离的认定须经磋商小组三分之二以上同意。</w:t>
      </w:r>
    </w:p>
    <w:p w14:paraId="10262C5C">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、纪律和监督</w:t>
      </w:r>
    </w:p>
    <w:p w14:paraId="20D694F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.1对采购人的纪律要求</w:t>
      </w:r>
    </w:p>
    <w:p w14:paraId="793CAB4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采购人不得泄漏竞争性磋商中应当保密的情况和资料，不得与供应商串通损害国家利益、社会公共利益或者他人合法权益。</w:t>
      </w:r>
    </w:p>
    <w:p w14:paraId="228C0C1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.2对供应商的纪律要求</w:t>
      </w:r>
    </w:p>
    <w:p w14:paraId="1003AF2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供应商不得相互串通或者与采购人串通，不得向采购人或者磋商小组成员行贿谋取成交，不得以他人名义磋商或者以其他方式弄虚作假骗取成交；供应商不得以任何方式干扰、影响磋商工作。</w:t>
      </w:r>
    </w:p>
    <w:p w14:paraId="1399F51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.3对磋商小组成员的纪律要求</w:t>
      </w:r>
    </w:p>
    <w:p w14:paraId="5173F8F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磋商小组成员不得收受他人的财物或者其他好处，不得向他人透漏对</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的评审和比较、成交候选人的推荐情况以及与磋商有关的其他情况。在磋商活动中，磋商小组成员不得擅离职守，影响磋商程序正常进行。</w:t>
      </w:r>
    </w:p>
    <w:p w14:paraId="4A4E878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.4对与磋商活动有关的工作人员的纪律要求</w:t>
      </w:r>
    </w:p>
    <w:p w14:paraId="19CCB7F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与磋商活动有关的工作人员不得收受他人的财物或者其他好处，不得向他人透漏对</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的评审和比较、成交候选人的推荐情况以及与磋商有关的其他情况。在磋商活动中，与磋商活动有关的工作人员不得擅离职守，影响磋商程序正常进行。</w:t>
      </w:r>
    </w:p>
    <w:p w14:paraId="29C978C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.5投诉</w:t>
      </w:r>
    </w:p>
    <w:p w14:paraId="116A5F8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供应商和其他利害关系人认为本次竞争性磋商违反法律、法规和规章规定的，有权向有关行政监督部门投诉。</w:t>
      </w:r>
    </w:p>
    <w:p w14:paraId="5A8F3E3B">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、质疑程序及处理</w:t>
      </w:r>
    </w:p>
    <w:p w14:paraId="47BF6F0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1BE52EA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（一）对可以质疑的磋商文件提出质疑的，为收到磋商文件之日或者磋商文件公告期限届满之日；</w:t>
      </w:r>
    </w:p>
    <w:p w14:paraId="059DF02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5645AE0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（三）对成交结果提出质疑的，为成交结果公告期限届满之日。</w:t>
      </w:r>
    </w:p>
    <w:p w14:paraId="712C971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.2质疑书应当包括下列主要内容，并按照“谁主张、谁举证”的原则，附上相关证明材料。否则，采购人不予受理：</w:t>
      </w:r>
    </w:p>
    <w:p w14:paraId="66DEA8F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（一）质疑供应商全称、地址、法定代表人、联系人及联系电话、邮政编码等；</w:t>
      </w:r>
    </w:p>
    <w:p w14:paraId="1D6C5DD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（二）被质疑采购项目的名称、编号；</w:t>
      </w:r>
    </w:p>
    <w:p w14:paraId="6570D01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（三）质疑的具体事项、明确的请求和主张；</w:t>
      </w:r>
    </w:p>
    <w:p w14:paraId="5C45417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（四）质疑所依据的法律依据（具体条款）、具体事实和具体理由。质疑书依据理由部分只有主观陈述、推理、猜测等，而没有提供客观事实依据、法律依据的；</w:t>
      </w:r>
    </w:p>
    <w:p w14:paraId="5326C79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4AA8A6E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（六）充足有效的相关证明材料；如果涉及到产品功能或技术指标的，应出具相关制造商的证明文件；</w:t>
      </w:r>
    </w:p>
    <w:p w14:paraId="6443D5A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（七）质疑材料中有外文资料的，应一并附上中文译本，并以中文译本为准。</w:t>
      </w:r>
    </w:p>
    <w:p w14:paraId="5285410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（八）提起质疑的日期</w:t>
      </w:r>
    </w:p>
    <w:p w14:paraId="1282C51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63EAB0D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.4供应商委托代理人办理质疑事宜，应当提交授权委托书，并载明委托代理的具体权限和事项。授权委托书应当由委托人签字并加盖单位公章。</w:t>
      </w:r>
    </w:p>
    <w:p w14:paraId="09139B2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5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06A0DEB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7C954C4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30476A3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8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643B74C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.9质疑供应商对采购人的答复不满意以及采购人未在规定的时间内做出答复的，可以在答复期满后15个工作日内向财政部门投诉。</w:t>
      </w:r>
    </w:p>
    <w:p w14:paraId="7BBA3F0A">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2" w:firstLineChars="200"/>
        <w:jc w:val="left"/>
        <w:outlineLvl w:val="3"/>
        <w:rPr>
          <w:rFonts w:hint="eastAsia" w:ascii="宋体" w:hAnsi="宋体" w:eastAsia="宋体" w:cs="宋体"/>
          <w:b/>
          <w:bCs/>
          <w:color w:val="auto"/>
          <w:sz w:val="24"/>
          <w:szCs w:val="24"/>
          <w:highlight w:val="none"/>
          <w:lang w:val="zh-CN" w:eastAsia="zh-CN"/>
        </w:rPr>
      </w:pPr>
      <w:bookmarkStart w:id="37" w:name="_Toc3220174"/>
      <w:bookmarkStart w:id="38" w:name="_Toc4433565"/>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val="zh-CN" w:eastAsia="zh-CN"/>
        </w:rPr>
        <w:t>重新开展采购活动</w:t>
      </w:r>
      <w:bookmarkEnd w:id="37"/>
      <w:bookmarkEnd w:id="38"/>
    </w:p>
    <w:p w14:paraId="7043951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出现下列情形之一的，将终止竞争性磋商采购活动，发布项目终止公告并说明原因，重新开展采购活动：</w:t>
      </w:r>
    </w:p>
    <w:p w14:paraId="7DB6974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12.1、不符合法律、法规和竞争性磋商文件中规定的其他实质性要求的；</w:t>
      </w:r>
    </w:p>
    <w:p w14:paraId="65EB885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12.2、其他法律、法规及本竞争性磋商文件规定的属响应无效的情形。终止竞争性磋商采购活动的条款；</w:t>
      </w:r>
    </w:p>
    <w:p w14:paraId="5E5D57E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12.3、因情况变化，不再符合规定的竞争性磋商采购方式适用情形的；出现影响采购公正的违法、违规行为的；</w:t>
      </w:r>
    </w:p>
    <w:p w14:paraId="2807E52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12.4、磋商截止时间结束后参加供应商不足3家的，应重新组织采购。</w:t>
      </w:r>
    </w:p>
    <w:p w14:paraId="5CBE946B">
      <w:pPr>
        <w:keepNext w:val="0"/>
        <w:keepLines w:val="0"/>
        <w:pageBreakBefore w:val="0"/>
        <w:widowControl/>
        <w:tabs>
          <w:tab w:val="left" w:pos="1341"/>
        </w:tabs>
        <w:kinsoku w:val="0"/>
        <w:wordWrap/>
        <w:autoSpaceDE w:val="0"/>
        <w:autoSpaceDN w:val="0"/>
        <w:bidi w:val="0"/>
        <w:adjustRightInd w:val="0"/>
        <w:snapToGrid w:val="0"/>
        <w:spacing w:line="360" w:lineRule="auto"/>
        <w:ind w:left="0" w:leftChars="0" w:right="0" w:rightChars="0" w:firstLine="478" w:firstLineChars="200"/>
        <w:rPr>
          <w:rFonts w:hint="eastAsia" w:ascii="宋体" w:hAnsi="宋体" w:eastAsia="宋体" w:cs="宋体"/>
          <w:b/>
          <w:bCs/>
          <w:color w:val="auto"/>
          <w:spacing w:val="-1"/>
          <w:sz w:val="24"/>
          <w:szCs w:val="24"/>
          <w:highlight w:val="none"/>
          <w:lang w:bidi="zh-CN"/>
        </w:rPr>
      </w:pPr>
      <w:r>
        <w:rPr>
          <w:rFonts w:hint="eastAsia" w:ascii="宋体" w:hAnsi="宋体" w:eastAsia="宋体" w:cs="宋体"/>
          <w:b/>
          <w:bCs/>
          <w:color w:val="auto"/>
          <w:spacing w:val="-1"/>
          <w:sz w:val="24"/>
          <w:szCs w:val="24"/>
          <w:highlight w:val="none"/>
          <w:lang w:val="en-US" w:eastAsia="zh-CN" w:bidi="zh-CN"/>
        </w:rPr>
        <w:t>13、</w:t>
      </w:r>
      <w:r>
        <w:rPr>
          <w:rFonts w:hint="eastAsia" w:ascii="宋体" w:hAnsi="宋体" w:eastAsia="宋体" w:cs="宋体"/>
          <w:b/>
          <w:bCs/>
          <w:color w:val="auto"/>
          <w:spacing w:val="-1"/>
          <w:sz w:val="24"/>
          <w:szCs w:val="24"/>
          <w:highlight w:val="none"/>
          <w:lang w:bidi="zh-CN"/>
        </w:rPr>
        <w:t>招标代理服务收费参照豫招协[2023]002号河南省招标投标协会关于印发《河南省招标代理服务收费指导意见》规定的收费标准收取中标服务费。</w:t>
      </w:r>
    </w:p>
    <w:p w14:paraId="31D37727">
      <w:pPr>
        <w:keepNext w:val="0"/>
        <w:keepLines w:val="0"/>
        <w:pageBreakBefore w:val="0"/>
        <w:widowControl/>
        <w:tabs>
          <w:tab w:val="left" w:pos="1341"/>
        </w:tabs>
        <w:kinsoku w:val="0"/>
        <w:wordWrap/>
        <w:autoSpaceDE w:val="0"/>
        <w:autoSpaceDN w:val="0"/>
        <w:bidi w:val="0"/>
        <w:adjustRightInd w:val="0"/>
        <w:snapToGrid w:val="0"/>
        <w:spacing w:line="360" w:lineRule="auto"/>
        <w:ind w:left="0" w:leftChars="0" w:right="0" w:rightChars="0" w:firstLine="478" w:firstLineChars="200"/>
        <w:rPr>
          <w:rFonts w:hint="eastAsia" w:ascii="宋体" w:hAnsi="宋体" w:eastAsia="宋体" w:cs="宋体"/>
          <w:b/>
          <w:bCs/>
          <w:color w:val="auto"/>
          <w:spacing w:val="-1"/>
          <w:sz w:val="24"/>
          <w:szCs w:val="24"/>
          <w:highlight w:val="none"/>
          <w:lang w:bidi="zh-CN"/>
        </w:rPr>
      </w:pPr>
      <w:r>
        <w:rPr>
          <w:rFonts w:hint="eastAsia" w:ascii="宋体" w:hAnsi="宋体" w:eastAsia="宋体" w:cs="宋体"/>
          <w:b/>
          <w:bCs/>
          <w:color w:val="auto"/>
          <w:spacing w:val="-1"/>
          <w:sz w:val="24"/>
          <w:szCs w:val="24"/>
          <w:highlight w:val="none"/>
          <w:lang w:bidi="zh-CN"/>
        </w:rPr>
        <w:t>河南省招标代理服务费计算标准</w:t>
      </w:r>
    </w:p>
    <w:tbl>
      <w:tblPr>
        <w:tblStyle w:val="17"/>
        <w:tblpPr w:leftFromText="180" w:rightFromText="180" w:vertAnchor="text" w:horzAnchor="page" w:tblpX="1862" w:tblpY="481"/>
        <w:tblOverlap w:val="never"/>
        <w:tblW w:w="8339" w:type="dxa"/>
        <w:tblInd w:w="0" w:type="dxa"/>
        <w:tblLayout w:type="fixed"/>
        <w:tblCellMar>
          <w:top w:w="0" w:type="dxa"/>
          <w:left w:w="15" w:type="dxa"/>
          <w:bottom w:w="0" w:type="dxa"/>
          <w:right w:w="15" w:type="dxa"/>
        </w:tblCellMar>
      </w:tblPr>
      <w:tblGrid>
        <w:gridCol w:w="3553"/>
        <w:gridCol w:w="1642"/>
        <w:gridCol w:w="1433"/>
        <w:gridCol w:w="1711"/>
      </w:tblGrid>
      <w:tr w14:paraId="04FF7CD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A211E42">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9263446">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AD3D68">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930E58">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服务</w:t>
            </w:r>
          </w:p>
        </w:tc>
      </w:tr>
      <w:tr w14:paraId="57EDA78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154E4595">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2E5FEB0">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86F33BA">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F1B1F66">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1.70%</w:t>
            </w:r>
          </w:p>
        </w:tc>
      </w:tr>
      <w:tr w14:paraId="560C417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723DC18E">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EC2DEE">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89E264B">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8A80464">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1.20%</w:t>
            </w:r>
          </w:p>
        </w:tc>
      </w:tr>
      <w:tr w14:paraId="6846C124">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F6FC86C">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20B7B55">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DF37E1">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9B2F4C8">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0.70%</w:t>
            </w:r>
          </w:p>
        </w:tc>
      </w:tr>
      <w:tr w14:paraId="77C2EFDE">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DA4B976">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2B54BE3">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F423510">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0208D38">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0.40%</w:t>
            </w:r>
          </w:p>
        </w:tc>
      </w:tr>
      <w:tr w14:paraId="020EFF50">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51D08417">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119BA5">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9FA74D5">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D4AD8DA">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0.25%</w:t>
            </w:r>
          </w:p>
        </w:tc>
      </w:tr>
      <w:tr w14:paraId="3A4C83F1">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64BF5FD0">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FEE6BFC">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C064A6B">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69C7F94">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0.10%</w:t>
            </w:r>
          </w:p>
        </w:tc>
      </w:tr>
      <w:tr w14:paraId="0775D32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right w:val="single" w:color="000000" w:sz="4" w:space="0"/>
            </w:tcBorders>
            <w:noWrap w:val="0"/>
            <w:vAlign w:val="center"/>
          </w:tcPr>
          <w:p w14:paraId="2C6EF382">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511B4815">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0.045%</w:t>
            </w:r>
          </w:p>
        </w:tc>
        <w:tc>
          <w:tcPr>
            <w:tcW w:w="1433" w:type="dxa"/>
            <w:tcBorders>
              <w:top w:val="single" w:color="000000" w:sz="4" w:space="0"/>
              <w:left w:val="single" w:color="000000" w:sz="4" w:space="0"/>
              <w:right w:val="single" w:color="000000" w:sz="4" w:space="0"/>
            </w:tcBorders>
            <w:noWrap w:val="0"/>
            <w:vAlign w:val="center"/>
          </w:tcPr>
          <w:p w14:paraId="78384711">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0.045%</w:t>
            </w:r>
          </w:p>
        </w:tc>
        <w:tc>
          <w:tcPr>
            <w:tcW w:w="1711" w:type="dxa"/>
            <w:tcBorders>
              <w:top w:val="single" w:color="000000" w:sz="4" w:space="0"/>
              <w:left w:val="single" w:color="000000" w:sz="4" w:space="0"/>
              <w:right w:val="single" w:color="000000" w:sz="4" w:space="0"/>
            </w:tcBorders>
            <w:noWrap w:val="0"/>
            <w:vAlign w:val="center"/>
          </w:tcPr>
          <w:p w14:paraId="1D91E433">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0.045%</w:t>
            </w:r>
          </w:p>
        </w:tc>
      </w:tr>
      <w:tr w14:paraId="28A182E3">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C3F37C9">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9A68601">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4D54DE7">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70D479B">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0.010%</w:t>
            </w:r>
          </w:p>
        </w:tc>
      </w:tr>
      <w:tr w14:paraId="26C5749B">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8555A81">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50亿--100亿元（含</w:t>
            </w:r>
            <w:r>
              <w:rPr>
                <w:rFonts w:hint="eastAsia" w:ascii="宋体" w:hAnsi="宋体" w:eastAsia="宋体" w:cs="宋体"/>
                <w:color w:val="auto"/>
                <w:sz w:val="24"/>
                <w:szCs w:val="24"/>
                <w:highlight w:val="none"/>
                <w:lang w:bidi="zh-CN"/>
              </w:rPr>
              <w:t>100</w:t>
            </w:r>
            <w:r>
              <w:rPr>
                <w:rFonts w:hint="eastAsia" w:ascii="宋体" w:hAnsi="宋体" w:eastAsia="宋体" w:cs="宋体"/>
                <w:color w:val="auto"/>
                <w:sz w:val="24"/>
                <w:szCs w:val="24"/>
                <w:highlight w:val="none"/>
                <w:lang w:val="zh-CN" w:bidi="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5DFB771">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A15B153">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052DFE8">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0.008%</w:t>
            </w:r>
          </w:p>
        </w:tc>
      </w:tr>
      <w:tr w14:paraId="455C7B8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60754A2">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BC7C0B5">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E748A3">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1778B20">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0.004%</w:t>
            </w:r>
          </w:p>
        </w:tc>
      </w:tr>
      <w:tr w14:paraId="1C259708">
        <w:tblPrEx>
          <w:tblCellMar>
            <w:top w:w="0" w:type="dxa"/>
            <w:left w:w="15" w:type="dxa"/>
            <w:bottom w:w="0" w:type="dxa"/>
            <w:right w:w="15" w:type="dxa"/>
          </w:tblCellMar>
        </w:tblPrEx>
        <w:trPr>
          <w:trHeight w:val="621" w:hRule="atLeast"/>
        </w:trPr>
        <w:tc>
          <w:tcPr>
            <w:tcW w:w="8339" w:type="dxa"/>
            <w:gridSpan w:val="4"/>
            <w:noWrap w:val="0"/>
            <w:vAlign w:val="center"/>
          </w:tcPr>
          <w:p w14:paraId="58BBBBA9">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注：1.按本表费率计算的收费金额为招标代理服务费的基准价格，不含工程量清单、最高投标限价（招标控制价）或标底的编制费用。</w:t>
            </w:r>
          </w:p>
          <w:p w14:paraId="52C32E11">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2.招标代理服务收费按差额定率累进法计算。</w:t>
            </w:r>
          </w:p>
          <w:p w14:paraId="18B03A8A">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例如：某工程招标代理业务，项目预算金额（招标控制价）为10000 万元，招标代理服务收费计算如下：</w:t>
            </w:r>
          </w:p>
          <w:p w14:paraId="3E0E8685">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bidi="zh-CN"/>
              </w:rPr>
              <w:t xml:space="preserve"> </w:t>
            </w:r>
            <w:r>
              <w:rPr>
                <w:rFonts w:hint="eastAsia" w:ascii="宋体" w:hAnsi="宋体" w:eastAsia="宋体" w:cs="宋体"/>
                <w:color w:val="auto"/>
                <w:sz w:val="24"/>
                <w:szCs w:val="24"/>
                <w:highlight w:val="none"/>
                <w:lang w:val="zh-CN" w:bidi="zh-CN"/>
              </w:rPr>
              <w:t>100万元×1.2%=1.2万元</w:t>
            </w:r>
          </w:p>
          <w:p w14:paraId="0ADC5F48">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（500-100）万元×1.0%=4万元</w:t>
            </w:r>
          </w:p>
          <w:p w14:paraId="70718E86">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（1000-500）×0.7%=3.5万元</w:t>
            </w:r>
          </w:p>
          <w:p w14:paraId="3AE9F4E3">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（5000-1000）×0.4%=16万元</w:t>
            </w:r>
          </w:p>
          <w:p w14:paraId="5575C17B">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（10000-5000）×0.25%=12.5万元合计收费=1.2+4+3.5+16+12.5=37.2万元</w:t>
            </w:r>
          </w:p>
        </w:tc>
      </w:tr>
    </w:tbl>
    <w:p w14:paraId="7FE1540E">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14、需要补充的其他内容</w:t>
      </w:r>
    </w:p>
    <w:p w14:paraId="7EB17B4B">
      <w:pPr>
        <w:keepNext w:val="0"/>
        <w:keepLines w:val="0"/>
        <w:pageBreakBefore w:val="0"/>
        <w:widowControl/>
        <w:kinsoku w:val="0"/>
        <w:wordWrap/>
        <w:autoSpaceDE w:val="0"/>
        <w:autoSpaceDN w:val="0"/>
        <w:bidi w:val="0"/>
        <w:adjustRightInd w:val="0"/>
        <w:snapToGrid w:val="0"/>
        <w:spacing w:line="360" w:lineRule="auto"/>
        <w:ind w:left="0" w:leftChars="0" w:right="0" w:rightChars="0"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14</w:t>
      </w:r>
      <w:r>
        <w:rPr>
          <w:rFonts w:hint="eastAsia" w:ascii="宋体" w:hAnsi="宋体" w:eastAsia="宋体" w:cs="宋体"/>
          <w:color w:val="auto"/>
          <w:spacing w:val="-4"/>
          <w:kern w:val="0"/>
          <w:sz w:val="24"/>
          <w:szCs w:val="24"/>
          <w:highlight w:val="none"/>
        </w:rPr>
        <w:t>.1采购人不承诺最低价中标，而且采购人没有义务解释说明未中标原因。</w:t>
      </w:r>
    </w:p>
    <w:p w14:paraId="25637B55">
      <w:pPr>
        <w:keepNext w:val="0"/>
        <w:keepLines w:val="0"/>
        <w:pageBreakBefore w:val="0"/>
        <w:widowControl/>
        <w:kinsoku w:val="0"/>
        <w:wordWrap/>
        <w:autoSpaceDE w:val="0"/>
        <w:autoSpaceDN w:val="0"/>
        <w:bidi w:val="0"/>
        <w:adjustRightInd w:val="0"/>
        <w:snapToGrid w:val="0"/>
        <w:spacing w:line="360" w:lineRule="auto"/>
        <w:ind w:left="0" w:leftChars="0" w:right="0" w:rightChars="0"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14</w:t>
      </w:r>
      <w:r>
        <w:rPr>
          <w:rFonts w:hint="eastAsia" w:ascii="宋体" w:hAnsi="宋体" w:eastAsia="宋体" w:cs="宋体"/>
          <w:color w:val="auto"/>
          <w:spacing w:val="-4"/>
          <w:kern w:val="0"/>
          <w:sz w:val="24"/>
          <w:szCs w:val="24"/>
          <w:highlight w:val="none"/>
        </w:rPr>
        <w:t>.2其它未尽事宜，按国家有关法律、法规执行。</w:t>
      </w:r>
    </w:p>
    <w:p w14:paraId="7C537ABB">
      <w:pPr>
        <w:keepNext w:val="0"/>
        <w:keepLines w:val="0"/>
        <w:pageBreakBefore w:val="0"/>
        <w:widowControl/>
        <w:kinsoku w:val="0"/>
        <w:wordWrap/>
        <w:autoSpaceDE w:val="0"/>
        <w:autoSpaceDN w:val="0"/>
        <w:bidi w:val="0"/>
        <w:adjustRightInd w:val="0"/>
        <w:snapToGrid w:val="0"/>
        <w:spacing w:line="360" w:lineRule="auto"/>
        <w:ind w:left="0" w:leftChars="0" w:right="0" w:rightChars="0"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14</w:t>
      </w:r>
      <w:r>
        <w:rPr>
          <w:rFonts w:hint="eastAsia" w:ascii="宋体" w:hAnsi="宋体" w:eastAsia="宋体" w:cs="宋体"/>
          <w:color w:val="auto"/>
          <w:spacing w:val="-4"/>
          <w:kern w:val="0"/>
          <w:sz w:val="24"/>
          <w:szCs w:val="24"/>
          <w:highlight w:val="none"/>
        </w:rPr>
        <w:t>.3本</w:t>
      </w:r>
      <w:r>
        <w:rPr>
          <w:rFonts w:hint="eastAsia" w:ascii="宋体" w:hAnsi="宋体" w:eastAsia="宋体" w:cs="宋体"/>
          <w:color w:val="auto"/>
          <w:spacing w:val="-4"/>
          <w:kern w:val="0"/>
          <w:sz w:val="24"/>
          <w:szCs w:val="24"/>
          <w:highlight w:val="none"/>
          <w:lang w:eastAsia="zh-CN"/>
        </w:rPr>
        <w:t>磋商文件</w:t>
      </w:r>
      <w:r>
        <w:rPr>
          <w:rFonts w:hint="eastAsia" w:ascii="宋体" w:hAnsi="宋体" w:eastAsia="宋体" w:cs="宋体"/>
          <w:color w:val="auto"/>
          <w:spacing w:val="-4"/>
          <w:kern w:val="0"/>
          <w:sz w:val="24"/>
          <w:szCs w:val="24"/>
          <w:highlight w:val="none"/>
        </w:rPr>
        <w:t>解释权归采购人。</w:t>
      </w:r>
    </w:p>
    <w:p w14:paraId="46274CA9">
      <w:pPr>
        <w:keepNext w:val="0"/>
        <w:keepLines w:val="0"/>
        <w:pageBreakBefore w:val="0"/>
        <w:widowControl/>
        <w:kinsoku w:val="0"/>
        <w:wordWrap/>
        <w:autoSpaceDE w:val="0"/>
        <w:autoSpaceDN w:val="0"/>
        <w:bidi w:val="0"/>
        <w:adjustRightInd w:val="0"/>
        <w:snapToGrid w:val="0"/>
        <w:spacing w:line="360" w:lineRule="auto"/>
        <w:ind w:left="0" w:leftChars="0" w:right="0" w:rightChars="0"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14</w:t>
      </w:r>
      <w:r>
        <w:rPr>
          <w:rFonts w:hint="eastAsia" w:ascii="宋体" w:hAnsi="宋体" w:eastAsia="宋体" w:cs="宋体"/>
          <w:color w:val="auto"/>
          <w:spacing w:val="-4"/>
          <w:kern w:val="0"/>
          <w:sz w:val="24"/>
          <w:szCs w:val="24"/>
          <w:highlight w:val="none"/>
        </w:rPr>
        <w:t>.4本项目落实节能环保、中小微型企业扶持等相关政府采购政策，本项目支持河南省政府采购合同融资政策。</w:t>
      </w:r>
    </w:p>
    <w:p w14:paraId="5E3C51B1">
      <w:pPr>
        <w:keepNext w:val="0"/>
        <w:keepLines w:val="0"/>
        <w:pageBreakBefore w:val="0"/>
        <w:widowControl/>
        <w:kinsoku w:val="0"/>
        <w:wordWrap/>
        <w:autoSpaceDE w:val="0"/>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p>
    <w:bookmarkEnd w:id="15"/>
    <w:bookmarkEnd w:id="16"/>
    <w:p w14:paraId="00C373A0">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color w:val="auto"/>
          <w:sz w:val="24"/>
          <w:szCs w:val="24"/>
          <w:highlight w:val="none"/>
        </w:rPr>
      </w:pPr>
    </w:p>
    <w:p w14:paraId="107E7CC4">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color w:val="auto"/>
          <w:sz w:val="24"/>
          <w:szCs w:val="24"/>
          <w:highlight w:val="none"/>
        </w:rPr>
      </w:pPr>
    </w:p>
    <w:p w14:paraId="1B47EE7C">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color w:val="auto"/>
          <w:sz w:val="24"/>
          <w:szCs w:val="24"/>
          <w:highlight w:val="none"/>
        </w:rPr>
      </w:pPr>
    </w:p>
    <w:p w14:paraId="4290081B">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color w:val="auto"/>
          <w:sz w:val="24"/>
          <w:szCs w:val="24"/>
          <w:highlight w:val="none"/>
        </w:rPr>
      </w:pPr>
    </w:p>
    <w:p w14:paraId="7F31DEBC">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color w:val="auto"/>
          <w:sz w:val="24"/>
          <w:szCs w:val="24"/>
          <w:highlight w:val="none"/>
        </w:rPr>
      </w:pPr>
    </w:p>
    <w:p w14:paraId="1F7F26D5">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color w:val="auto"/>
          <w:sz w:val="24"/>
          <w:szCs w:val="24"/>
          <w:highlight w:val="none"/>
        </w:rPr>
      </w:pPr>
    </w:p>
    <w:p w14:paraId="16963559">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color w:val="auto"/>
          <w:sz w:val="24"/>
          <w:szCs w:val="24"/>
          <w:highlight w:val="none"/>
        </w:rPr>
      </w:pPr>
    </w:p>
    <w:p w14:paraId="1D1069A9">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color w:val="auto"/>
          <w:sz w:val="24"/>
          <w:szCs w:val="24"/>
          <w:highlight w:val="none"/>
        </w:rPr>
      </w:pPr>
    </w:p>
    <w:p w14:paraId="7D6C6605">
      <w:pPr>
        <w:keepNext w:val="0"/>
        <w:keepLines w:val="0"/>
        <w:pageBreakBefore w:val="0"/>
        <w:widowControl/>
        <w:kinsoku w:val="0"/>
        <w:wordWrap/>
        <w:bidi w:val="0"/>
        <w:adjustRightInd w:val="0"/>
        <w:snapToGrid w:val="0"/>
        <w:spacing w:line="360" w:lineRule="auto"/>
        <w:ind w:right="0" w:right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附件1：质疑函范本</w:t>
      </w:r>
    </w:p>
    <w:p w14:paraId="275B8D3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4C8F8B18">
      <w:pPr>
        <w:keepNext w:val="0"/>
        <w:keepLines w:val="0"/>
        <w:pageBreakBefore w:val="0"/>
        <w:widowControl/>
        <w:kinsoku w:val="0"/>
        <w:wordWrap/>
        <w:bidi w:val="0"/>
        <w:adjustRightInd w:val="0"/>
        <w:snapToGrid w:val="0"/>
        <w:spacing w:line="360" w:lineRule="auto"/>
        <w:ind w:left="0" w:leftChars="0" w:right="0" w:rightChars="0" w:firstLine="480" w:firstLineChars="200"/>
        <w:outlineLvl w:val="3"/>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一、质疑供应商基本信息</w:t>
      </w:r>
    </w:p>
    <w:p w14:paraId="16E5AB8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质疑供应商：                                        </w:t>
      </w:r>
    </w:p>
    <w:p w14:paraId="27DB305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6B38A83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联系人：                        联系电话：                              </w:t>
      </w:r>
    </w:p>
    <w:p w14:paraId="5706A7A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授权代表：                                          </w:t>
      </w:r>
    </w:p>
    <w:p w14:paraId="40167B1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联系电话：                                            </w:t>
      </w:r>
    </w:p>
    <w:p w14:paraId="21C71CB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5EB2A504">
      <w:pPr>
        <w:keepNext w:val="0"/>
        <w:keepLines w:val="0"/>
        <w:pageBreakBefore w:val="0"/>
        <w:widowControl/>
        <w:kinsoku w:val="0"/>
        <w:wordWrap/>
        <w:bidi w:val="0"/>
        <w:adjustRightInd w:val="0"/>
        <w:snapToGrid w:val="0"/>
        <w:spacing w:line="360" w:lineRule="auto"/>
        <w:ind w:left="0" w:leftChars="0" w:right="0" w:rightChars="0" w:firstLine="480" w:firstLineChars="200"/>
        <w:outlineLvl w:val="3"/>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二、质疑项目基本情况</w:t>
      </w:r>
    </w:p>
    <w:p w14:paraId="0AC347E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质疑项目的名称：                                      </w:t>
      </w:r>
    </w:p>
    <w:p w14:paraId="3C4DBD2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质疑项目的编号：               包号：                 </w:t>
      </w:r>
    </w:p>
    <w:p w14:paraId="32259BB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招标人名称：                                         </w:t>
      </w:r>
    </w:p>
    <w:p w14:paraId="1D66A50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 xml:space="preserve">获取日期：                                           </w:t>
      </w:r>
    </w:p>
    <w:p w14:paraId="03EDD92A">
      <w:pPr>
        <w:keepNext w:val="0"/>
        <w:keepLines w:val="0"/>
        <w:pageBreakBefore w:val="0"/>
        <w:widowControl/>
        <w:kinsoku w:val="0"/>
        <w:wordWrap/>
        <w:bidi w:val="0"/>
        <w:adjustRightInd w:val="0"/>
        <w:snapToGrid w:val="0"/>
        <w:spacing w:line="360" w:lineRule="auto"/>
        <w:ind w:left="0" w:leftChars="0" w:right="0" w:rightChars="0" w:firstLine="480" w:firstLineChars="200"/>
        <w:outlineLvl w:val="3"/>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三、质疑事项具体内容</w:t>
      </w:r>
    </w:p>
    <w:p w14:paraId="259803D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质疑事项1：                                         </w:t>
      </w:r>
    </w:p>
    <w:p w14:paraId="45096B7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事实依据：                                          </w:t>
      </w:r>
    </w:p>
    <w:p w14:paraId="7E858B7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0"/>
          <w:sz w:val="24"/>
          <w:szCs w:val="24"/>
          <w:highlight w:val="none"/>
        </w:rPr>
      </w:pPr>
    </w:p>
    <w:p w14:paraId="560DB0B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法律依据：                                          </w:t>
      </w:r>
    </w:p>
    <w:p w14:paraId="24BBEB4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0"/>
          <w:sz w:val="24"/>
          <w:szCs w:val="24"/>
          <w:highlight w:val="none"/>
        </w:rPr>
      </w:pPr>
    </w:p>
    <w:p w14:paraId="61CD841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质疑事项2</w:t>
      </w:r>
    </w:p>
    <w:p w14:paraId="1FB805E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184247DD">
      <w:pPr>
        <w:keepNext w:val="0"/>
        <w:keepLines w:val="0"/>
        <w:pageBreakBefore w:val="0"/>
        <w:widowControl/>
        <w:kinsoku w:val="0"/>
        <w:wordWrap/>
        <w:bidi w:val="0"/>
        <w:adjustRightInd w:val="0"/>
        <w:snapToGrid w:val="0"/>
        <w:spacing w:line="360" w:lineRule="auto"/>
        <w:ind w:left="0" w:leftChars="0" w:right="0" w:rightChars="0" w:firstLine="480" w:firstLineChars="200"/>
        <w:outlineLvl w:val="3"/>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四、与质疑事项相关的质疑请求</w:t>
      </w:r>
    </w:p>
    <w:p w14:paraId="5B3005D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请求：                                               </w:t>
      </w:r>
    </w:p>
    <w:p w14:paraId="6DFF7D5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签字(签章)：                   公章：                      </w:t>
      </w:r>
    </w:p>
    <w:p w14:paraId="7E87EC7E">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3CC4A893">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28C4024">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eastAsia" w:ascii="宋体" w:hAnsi="宋体" w:eastAsia="宋体" w:cs="宋体"/>
          <w:b/>
          <w:bCs/>
          <w:color w:val="auto"/>
          <w:sz w:val="32"/>
          <w:szCs w:val="32"/>
          <w:highlight w:val="none"/>
        </w:rPr>
      </w:pPr>
      <w:bookmarkStart w:id="39" w:name="_Toc11929"/>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章  评审标准</w:t>
      </w:r>
      <w:bookmarkEnd w:id="39"/>
    </w:p>
    <w:p w14:paraId="582A31A6">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bCs/>
          <w:color w:val="auto"/>
          <w:sz w:val="24"/>
          <w:szCs w:val="24"/>
          <w:highlight w:val="none"/>
        </w:rPr>
      </w:pPr>
      <w:bookmarkStart w:id="40" w:name="OLE_LINK2"/>
      <w:bookmarkEnd w:id="40"/>
      <w:r>
        <w:rPr>
          <w:rFonts w:hint="eastAsia" w:ascii="宋体" w:hAnsi="宋体" w:eastAsia="宋体" w:cs="宋体"/>
          <w:b/>
          <w:bCs/>
          <w:color w:val="auto"/>
          <w:sz w:val="24"/>
          <w:szCs w:val="24"/>
          <w:highlight w:val="none"/>
        </w:rPr>
        <w:t>一、初步审查详见下表</w:t>
      </w:r>
    </w:p>
    <w:tbl>
      <w:tblPr>
        <w:tblStyle w:val="17"/>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38"/>
        <w:gridCol w:w="1569"/>
        <w:gridCol w:w="6410"/>
      </w:tblGrid>
      <w:tr w14:paraId="137D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38" w:type="dxa"/>
            <w:gridSpan w:val="2"/>
            <w:tcBorders>
              <w:top w:val="single" w:color="auto" w:sz="4" w:space="0"/>
              <w:left w:val="single" w:color="auto" w:sz="4" w:space="0"/>
              <w:bottom w:val="single" w:color="auto" w:sz="4" w:space="0"/>
              <w:right w:val="single" w:color="auto" w:sz="4" w:space="0"/>
            </w:tcBorders>
            <w:vAlign w:val="center"/>
          </w:tcPr>
          <w:p w14:paraId="192B75FB">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1569" w:type="dxa"/>
            <w:tcBorders>
              <w:top w:val="single" w:color="auto" w:sz="4" w:space="0"/>
              <w:left w:val="nil"/>
              <w:bottom w:val="single" w:color="auto" w:sz="4" w:space="0"/>
              <w:right w:val="single" w:color="auto" w:sz="4" w:space="0"/>
            </w:tcBorders>
            <w:vAlign w:val="center"/>
          </w:tcPr>
          <w:p w14:paraId="2006E171">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410" w:type="dxa"/>
            <w:tcBorders>
              <w:top w:val="single" w:color="auto" w:sz="4" w:space="0"/>
              <w:left w:val="nil"/>
              <w:bottom w:val="single" w:color="auto" w:sz="4" w:space="0"/>
              <w:right w:val="single" w:color="auto" w:sz="4" w:space="0"/>
            </w:tcBorders>
            <w:vAlign w:val="center"/>
          </w:tcPr>
          <w:p w14:paraId="32D6EE1D">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30C2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00" w:type="dxa"/>
            <w:vMerge w:val="restart"/>
            <w:tcBorders>
              <w:top w:val="nil"/>
              <w:left w:val="single" w:color="auto" w:sz="4" w:space="0"/>
              <w:bottom w:val="single" w:color="auto" w:sz="4" w:space="0"/>
              <w:right w:val="single" w:color="auto" w:sz="4" w:space="0"/>
            </w:tcBorders>
            <w:vAlign w:val="center"/>
          </w:tcPr>
          <w:p w14:paraId="51737D22">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938" w:type="dxa"/>
            <w:vMerge w:val="restart"/>
            <w:tcBorders>
              <w:top w:val="nil"/>
              <w:left w:val="nil"/>
              <w:bottom w:val="single" w:color="auto" w:sz="4" w:space="0"/>
              <w:right w:val="single" w:color="auto" w:sz="4" w:space="0"/>
            </w:tcBorders>
            <w:vAlign w:val="center"/>
          </w:tcPr>
          <w:p w14:paraId="695EA5E3">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w:t>
            </w:r>
          </w:p>
          <w:p w14:paraId="5FA2E2D7">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审标准</w:t>
            </w:r>
          </w:p>
        </w:tc>
        <w:tc>
          <w:tcPr>
            <w:tcW w:w="1569" w:type="dxa"/>
            <w:tcBorders>
              <w:top w:val="single" w:color="auto" w:sz="4" w:space="0"/>
              <w:left w:val="nil"/>
              <w:bottom w:val="single" w:color="auto" w:sz="4" w:space="0"/>
              <w:right w:val="single" w:color="auto" w:sz="4" w:space="0"/>
            </w:tcBorders>
            <w:vAlign w:val="center"/>
          </w:tcPr>
          <w:p w14:paraId="593FFCB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410" w:type="dxa"/>
            <w:tcBorders>
              <w:top w:val="single" w:color="auto" w:sz="4" w:space="0"/>
              <w:left w:val="nil"/>
              <w:bottom w:val="single" w:color="auto" w:sz="4" w:space="0"/>
              <w:right w:val="single" w:color="auto" w:sz="4" w:space="0"/>
            </w:tcBorders>
            <w:vAlign w:val="center"/>
          </w:tcPr>
          <w:p w14:paraId="7DA7EE68">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有效的营业执照</w:t>
            </w:r>
          </w:p>
        </w:tc>
      </w:tr>
      <w:tr w14:paraId="50CF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600" w:type="dxa"/>
            <w:vMerge w:val="continue"/>
            <w:tcBorders>
              <w:top w:val="nil"/>
              <w:left w:val="single" w:color="auto" w:sz="4" w:space="0"/>
              <w:bottom w:val="single" w:color="auto" w:sz="4" w:space="0"/>
              <w:right w:val="single" w:color="auto" w:sz="4" w:space="0"/>
            </w:tcBorders>
            <w:vAlign w:val="center"/>
          </w:tcPr>
          <w:p w14:paraId="24B61F15">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p>
        </w:tc>
        <w:tc>
          <w:tcPr>
            <w:tcW w:w="938" w:type="dxa"/>
            <w:vMerge w:val="continue"/>
            <w:tcBorders>
              <w:top w:val="nil"/>
              <w:left w:val="nil"/>
              <w:bottom w:val="single" w:color="auto" w:sz="4" w:space="0"/>
              <w:right w:val="single" w:color="auto" w:sz="4" w:space="0"/>
            </w:tcBorders>
            <w:vAlign w:val="center"/>
          </w:tcPr>
          <w:p w14:paraId="37089FE3">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center"/>
          </w:tcPr>
          <w:p w14:paraId="711D76D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资质要求</w:t>
            </w:r>
          </w:p>
        </w:tc>
        <w:tc>
          <w:tcPr>
            <w:tcW w:w="6410" w:type="dxa"/>
            <w:tcBorders>
              <w:top w:val="single" w:color="auto" w:sz="4" w:space="0"/>
              <w:left w:val="nil"/>
              <w:bottom w:val="single" w:color="auto" w:sz="4" w:space="0"/>
              <w:right w:val="single" w:color="auto" w:sz="4" w:space="0"/>
            </w:tcBorders>
            <w:vAlign w:val="center"/>
          </w:tcPr>
          <w:p w14:paraId="66EB59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fill="FFFFFF"/>
                <w:lang w:val="en-US" w:eastAsia="zh-CN" w:bidi="ar"/>
              </w:rPr>
              <w:t>供应商为生产商的需提供农药生产许可证(登记对象必须包含</w:t>
            </w:r>
            <w:r>
              <w:rPr>
                <w:rFonts w:hint="eastAsia" w:ascii="宋体" w:hAnsi="宋体" w:cs="宋体"/>
                <w:color w:val="auto"/>
                <w:kern w:val="0"/>
                <w:sz w:val="24"/>
                <w:szCs w:val="24"/>
                <w:highlight w:val="none"/>
                <w:shd w:val="clear" w:fill="FFFFFF"/>
                <w:lang w:val="en-US" w:eastAsia="zh-CN" w:bidi="ar"/>
              </w:rPr>
              <w:t>玉米</w:t>
            </w:r>
            <w:r>
              <w:rPr>
                <w:rFonts w:hint="eastAsia" w:ascii="宋体" w:hAnsi="宋体" w:eastAsia="宋体" w:cs="宋体"/>
                <w:color w:val="auto"/>
                <w:kern w:val="0"/>
                <w:sz w:val="24"/>
                <w:szCs w:val="24"/>
                <w:highlight w:val="none"/>
                <w:shd w:val="clear" w:fill="FFFFFF"/>
                <w:lang w:val="en-US" w:eastAsia="zh-CN" w:bidi="ar"/>
              </w:rPr>
              <w:t>)，若供应商为经销商的需提供农药经营许可证；所提供的农药产品须 “三证”（生产许可证或生产批准证、农药登记证(登记对象必须包含</w:t>
            </w:r>
            <w:r>
              <w:rPr>
                <w:rFonts w:hint="eastAsia" w:ascii="宋体" w:hAnsi="宋体" w:cs="宋体"/>
                <w:color w:val="auto"/>
                <w:kern w:val="0"/>
                <w:sz w:val="24"/>
                <w:szCs w:val="24"/>
                <w:highlight w:val="none"/>
                <w:shd w:val="clear" w:fill="FFFFFF"/>
                <w:lang w:val="en-US" w:eastAsia="zh-CN" w:bidi="ar"/>
              </w:rPr>
              <w:t>玉米</w:t>
            </w:r>
            <w:r>
              <w:rPr>
                <w:rFonts w:hint="eastAsia" w:ascii="宋体" w:hAnsi="宋体" w:eastAsia="宋体" w:cs="宋体"/>
                <w:color w:val="auto"/>
                <w:kern w:val="0"/>
                <w:sz w:val="24"/>
                <w:szCs w:val="24"/>
                <w:highlight w:val="none"/>
                <w:shd w:val="clear" w:fill="FFFFFF"/>
                <w:lang w:val="en-US" w:eastAsia="zh-CN" w:bidi="ar"/>
              </w:rPr>
              <w:t>)、产品标准证）齐全，并在有效期内。</w:t>
            </w:r>
          </w:p>
        </w:tc>
      </w:tr>
      <w:tr w14:paraId="67D0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600" w:type="dxa"/>
            <w:vMerge w:val="continue"/>
            <w:tcBorders>
              <w:top w:val="nil"/>
              <w:left w:val="single" w:color="auto" w:sz="4" w:space="0"/>
              <w:bottom w:val="single" w:color="auto" w:sz="4" w:space="0"/>
              <w:right w:val="single" w:color="auto" w:sz="4" w:space="0"/>
            </w:tcBorders>
            <w:vAlign w:val="center"/>
          </w:tcPr>
          <w:p w14:paraId="57FA36D6">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938" w:type="dxa"/>
            <w:vMerge w:val="continue"/>
            <w:tcBorders>
              <w:top w:val="nil"/>
              <w:left w:val="nil"/>
              <w:bottom w:val="single" w:color="auto" w:sz="4" w:space="0"/>
              <w:right w:val="single" w:color="auto" w:sz="4" w:space="0"/>
            </w:tcBorders>
            <w:vAlign w:val="center"/>
          </w:tcPr>
          <w:p w14:paraId="220D239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center"/>
          </w:tcPr>
          <w:p w14:paraId="32EAC66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承诺书</w:t>
            </w:r>
          </w:p>
        </w:tc>
        <w:tc>
          <w:tcPr>
            <w:tcW w:w="6410" w:type="dxa"/>
            <w:tcBorders>
              <w:top w:val="single" w:color="auto" w:sz="4" w:space="0"/>
              <w:left w:val="nil"/>
              <w:bottom w:val="single" w:color="auto" w:sz="4" w:space="0"/>
              <w:right w:val="single" w:color="auto" w:sz="4" w:space="0"/>
            </w:tcBorders>
            <w:vAlign w:val="center"/>
          </w:tcPr>
          <w:p w14:paraId="44B9DE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供应商具有履行合同所必须的设备和专业能力，具有良好的社会信誉，在实施项目中没有出现不良记录，并且没有出现经营管理、产品质量安全、纳税、环保等问题，能够接受行业管理部门的监督、管理（提供承诺书）2、参加政府采购活动前三年内，在经营活动中没有重大违法记录（承诺对象公司、法人）。</w:t>
            </w:r>
          </w:p>
          <w:p w14:paraId="2B6A98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3、企业自行出具本企业无商业贿赂和不正当竞争行为的承诺书（承诺对象公司、法人）。</w:t>
            </w:r>
          </w:p>
        </w:tc>
      </w:tr>
      <w:tr w14:paraId="59EF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00" w:type="dxa"/>
            <w:vMerge w:val="continue"/>
            <w:tcBorders>
              <w:top w:val="nil"/>
              <w:left w:val="single" w:color="auto" w:sz="4" w:space="0"/>
              <w:bottom w:val="single" w:color="auto" w:sz="4" w:space="0"/>
              <w:right w:val="single" w:color="auto" w:sz="4" w:space="0"/>
            </w:tcBorders>
            <w:vAlign w:val="center"/>
          </w:tcPr>
          <w:p w14:paraId="7C595BA0">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938" w:type="dxa"/>
            <w:vMerge w:val="continue"/>
            <w:tcBorders>
              <w:top w:val="nil"/>
              <w:left w:val="nil"/>
              <w:bottom w:val="single" w:color="auto" w:sz="4" w:space="0"/>
              <w:right w:val="single" w:color="auto" w:sz="4" w:space="0"/>
            </w:tcBorders>
            <w:vAlign w:val="center"/>
          </w:tcPr>
          <w:p w14:paraId="442C495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center"/>
          </w:tcPr>
          <w:p w14:paraId="5D513441">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信用查询</w:t>
            </w:r>
          </w:p>
        </w:tc>
        <w:tc>
          <w:tcPr>
            <w:tcW w:w="6410" w:type="dxa"/>
            <w:tcBorders>
              <w:top w:val="single" w:color="auto" w:sz="4" w:space="0"/>
              <w:left w:val="nil"/>
              <w:bottom w:val="single" w:color="auto" w:sz="4" w:space="0"/>
              <w:right w:val="single" w:color="auto" w:sz="4" w:space="0"/>
            </w:tcBorders>
            <w:vAlign w:val="center"/>
          </w:tcPr>
          <w:p w14:paraId="24527CC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开标时间前截止，提供网站查询截图；同时，开标后由</w:t>
            </w:r>
            <w:r>
              <w:rPr>
                <w:rFonts w:hint="eastAsia" w:ascii="宋体" w:hAnsi="宋体" w:cs="宋体"/>
                <w:color w:val="auto"/>
                <w:kern w:val="0"/>
                <w:sz w:val="24"/>
                <w:szCs w:val="24"/>
                <w:highlight w:val="none"/>
                <w:lang w:val="en-US" w:eastAsia="zh-CN" w:bidi="ar"/>
              </w:rPr>
              <w:t>采购</w:t>
            </w:r>
            <w:r>
              <w:rPr>
                <w:rFonts w:hint="eastAsia" w:ascii="宋体" w:hAnsi="宋体" w:eastAsia="宋体" w:cs="宋体"/>
                <w:color w:val="auto"/>
                <w:kern w:val="0"/>
                <w:sz w:val="24"/>
                <w:szCs w:val="24"/>
                <w:highlight w:val="none"/>
                <w:lang w:val="en-US" w:eastAsia="zh-CN" w:bidi="ar"/>
              </w:rPr>
              <w:t>人或代理机构通过以上网站进行查询，信用信息查询记录和证据将同</w:t>
            </w:r>
            <w:r>
              <w:rPr>
                <w:rFonts w:hint="eastAsia" w:ascii="宋体" w:hAnsi="宋体" w:cs="宋体"/>
                <w:color w:val="auto"/>
                <w:kern w:val="0"/>
                <w:sz w:val="24"/>
                <w:szCs w:val="24"/>
                <w:highlight w:val="none"/>
                <w:lang w:val="en-US" w:eastAsia="zh-CN" w:bidi="ar"/>
              </w:rPr>
              <w:t>磋商文件</w:t>
            </w:r>
            <w:r>
              <w:rPr>
                <w:rFonts w:hint="eastAsia" w:ascii="宋体" w:hAnsi="宋体" w:eastAsia="宋体" w:cs="宋体"/>
                <w:color w:val="auto"/>
                <w:kern w:val="0"/>
                <w:sz w:val="24"/>
                <w:szCs w:val="24"/>
                <w:highlight w:val="none"/>
                <w:lang w:val="en-US" w:eastAsia="zh-CN" w:bidi="ar"/>
              </w:rPr>
              <w:t>等资料一同归档保存。相关网站有最新规定的，按最新规定执行）</w:t>
            </w:r>
          </w:p>
        </w:tc>
      </w:tr>
      <w:tr w14:paraId="69FB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600" w:type="dxa"/>
            <w:vMerge w:val="continue"/>
            <w:tcBorders>
              <w:top w:val="nil"/>
              <w:left w:val="single" w:color="auto" w:sz="4" w:space="0"/>
              <w:bottom w:val="single" w:color="auto" w:sz="4" w:space="0"/>
              <w:right w:val="single" w:color="auto" w:sz="4" w:space="0"/>
            </w:tcBorders>
            <w:vAlign w:val="center"/>
          </w:tcPr>
          <w:p w14:paraId="6AE2D3FD">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938" w:type="dxa"/>
            <w:vMerge w:val="continue"/>
            <w:tcBorders>
              <w:top w:val="nil"/>
              <w:left w:val="nil"/>
              <w:bottom w:val="single" w:color="auto" w:sz="4" w:space="0"/>
              <w:right w:val="single" w:color="auto" w:sz="4" w:space="0"/>
            </w:tcBorders>
            <w:vAlign w:val="center"/>
          </w:tcPr>
          <w:p w14:paraId="77923FC2">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center"/>
          </w:tcPr>
          <w:p w14:paraId="7BCE36B1">
            <w:pPr>
              <w:keepNext w:val="0"/>
              <w:keepLines w:val="0"/>
              <w:pageBreakBefore w:val="0"/>
              <w:widowControl/>
              <w:suppressLineNumbers w:val="0"/>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“国家企业信用信息公示系统”网页</w:t>
            </w:r>
          </w:p>
          <w:p w14:paraId="71331755">
            <w:pPr>
              <w:keepNext w:val="0"/>
              <w:keepLines w:val="0"/>
              <w:pageBreakBefore w:val="0"/>
              <w:widowControl/>
              <w:suppressLineNumbers w:val="0"/>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查询</w:t>
            </w:r>
          </w:p>
        </w:tc>
        <w:tc>
          <w:tcPr>
            <w:tcW w:w="6410" w:type="dxa"/>
            <w:tcBorders>
              <w:top w:val="single" w:color="auto" w:sz="4" w:space="0"/>
              <w:left w:val="nil"/>
              <w:bottom w:val="single" w:color="auto" w:sz="4" w:space="0"/>
              <w:right w:val="single" w:color="auto" w:sz="4" w:space="0"/>
            </w:tcBorders>
            <w:vAlign w:val="center"/>
          </w:tcPr>
          <w:p w14:paraId="3975D397">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单位负责人为同一人或者存在控股、管理关系的不同单位，不得同时参加本项目的投标；（提供“国家企业信用信息公示系统”中公示的公司信息、股东或投资人信息查询截图（查询时间自公告发布之日起）。</w:t>
            </w:r>
          </w:p>
        </w:tc>
      </w:tr>
      <w:tr w14:paraId="04D2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00" w:type="dxa"/>
            <w:vMerge w:val="restart"/>
            <w:tcBorders>
              <w:top w:val="nil"/>
              <w:left w:val="single" w:color="auto" w:sz="4" w:space="0"/>
              <w:right w:val="single" w:color="auto" w:sz="4" w:space="0"/>
            </w:tcBorders>
            <w:vAlign w:val="center"/>
          </w:tcPr>
          <w:p w14:paraId="003A13BD">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w:t>
            </w:r>
          </w:p>
        </w:tc>
        <w:tc>
          <w:tcPr>
            <w:tcW w:w="938" w:type="dxa"/>
            <w:vMerge w:val="restart"/>
            <w:tcBorders>
              <w:top w:val="nil"/>
              <w:left w:val="nil"/>
              <w:bottom w:val="single" w:color="auto" w:sz="4" w:space="0"/>
              <w:right w:val="single" w:color="auto" w:sz="4" w:space="0"/>
            </w:tcBorders>
            <w:vAlign w:val="center"/>
          </w:tcPr>
          <w:p w14:paraId="05B62A31">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符合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评审标准</w:t>
            </w:r>
          </w:p>
        </w:tc>
        <w:tc>
          <w:tcPr>
            <w:tcW w:w="1569" w:type="dxa"/>
            <w:tcBorders>
              <w:top w:val="single" w:color="auto" w:sz="4" w:space="0"/>
              <w:left w:val="nil"/>
              <w:bottom w:val="single" w:color="auto" w:sz="4" w:space="0"/>
              <w:right w:val="single" w:color="auto" w:sz="4" w:space="0"/>
            </w:tcBorders>
            <w:vAlign w:val="center"/>
          </w:tcPr>
          <w:p w14:paraId="67B97FA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p>
        </w:tc>
        <w:tc>
          <w:tcPr>
            <w:tcW w:w="6410" w:type="dxa"/>
            <w:tcBorders>
              <w:top w:val="single" w:color="auto" w:sz="4" w:space="0"/>
              <w:left w:val="nil"/>
              <w:bottom w:val="single" w:color="auto" w:sz="4" w:space="0"/>
              <w:right w:val="single" w:color="auto" w:sz="4" w:space="0"/>
            </w:tcBorders>
            <w:vAlign w:val="center"/>
          </w:tcPr>
          <w:p w14:paraId="0C515B92">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与营业执照一致</w:t>
            </w:r>
          </w:p>
        </w:tc>
      </w:tr>
      <w:tr w14:paraId="6D68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600" w:type="dxa"/>
            <w:vMerge w:val="continue"/>
            <w:tcBorders>
              <w:left w:val="single" w:color="auto" w:sz="4" w:space="0"/>
              <w:right w:val="single" w:color="auto" w:sz="4" w:space="0"/>
            </w:tcBorders>
            <w:vAlign w:val="center"/>
          </w:tcPr>
          <w:p w14:paraId="746AB57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938" w:type="dxa"/>
            <w:vMerge w:val="continue"/>
            <w:tcBorders>
              <w:top w:val="nil"/>
              <w:left w:val="nil"/>
              <w:bottom w:val="single" w:color="auto" w:sz="4" w:space="0"/>
              <w:right w:val="single" w:color="auto" w:sz="4" w:space="0"/>
            </w:tcBorders>
            <w:vAlign w:val="center"/>
          </w:tcPr>
          <w:p w14:paraId="75067167">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center"/>
          </w:tcPr>
          <w:p w14:paraId="5DF87FD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磋商函签字盖章</w:t>
            </w:r>
          </w:p>
        </w:tc>
        <w:tc>
          <w:tcPr>
            <w:tcW w:w="6410" w:type="dxa"/>
            <w:tcBorders>
              <w:top w:val="single" w:color="auto" w:sz="4" w:space="0"/>
              <w:left w:val="nil"/>
              <w:bottom w:val="single" w:color="auto" w:sz="4" w:space="0"/>
              <w:right w:val="single" w:color="auto" w:sz="4" w:space="0"/>
            </w:tcBorders>
            <w:vAlign w:val="center"/>
          </w:tcPr>
          <w:p w14:paraId="3FE22C44">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在生成电子化</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后，应对电子化</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进行签章，未对电子化文件进行签章的视为无效投标。</w:t>
            </w:r>
          </w:p>
          <w:p w14:paraId="7273A5B8">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2、竞争性磋商文件中要求</w:t>
            </w:r>
            <w:r>
              <w:rPr>
                <w:rFonts w:hint="eastAsia" w:ascii="宋体" w:hAnsi="宋体" w:eastAsia="宋体" w:cs="宋体"/>
                <w:b/>
                <w:bCs/>
                <w:color w:val="auto"/>
                <w:sz w:val="24"/>
                <w:szCs w:val="24"/>
                <w:highlight w:val="none"/>
              </w:rPr>
              <w:t>法定代表人或授权委托人签字或盖章的，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在进行</w:t>
            </w:r>
            <w:r>
              <w:rPr>
                <w:rFonts w:hint="eastAsia" w:ascii="宋体" w:hAnsi="宋体" w:eastAsia="宋体" w:cs="宋体"/>
                <w:b/>
                <w:bCs/>
                <w:color w:val="auto"/>
                <w:sz w:val="24"/>
                <w:szCs w:val="24"/>
                <w:highlight w:val="none"/>
              </w:rPr>
              <w:t>电子化</w:t>
            </w:r>
            <w:r>
              <w:rPr>
                <w:rFonts w:hint="eastAsia" w:ascii="宋体" w:hAnsi="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签章时，以签盖法定代表人签章为准</w:t>
            </w:r>
            <w:r>
              <w:rPr>
                <w:rFonts w:hint="eastAsia" w:ascii="宋体" w:hAnsi="宋体" w:eastAsia="宋体" w:cs="宋体"/>
                <w:color w:val="auto"/>
                <w:sz w:val="24"/>
                <w:szCs w:val="24"/>
                <w:highlight w:val="none"/>
              </w:rPr>
              <w:t>。</w:t>
            </w:r>
          </w:p>
        </w:tc>
      </w:tr>
      <w:tr w14:paraId="1F8C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00" w:type="dxa"/>
            <w:vMerge w:val="continue"/>
            <w:tcBorders>
              <w:left w:val="single" w:color="auto" w:sz="4" w:space="0"/>
              <w:bottom w:val="single" w:color="auto" w:sz="4" w:space="0"/>
              <w:right w:val="single" w:color="auto" w:sz="4" w:space="0"/>
            </w:tcBorders>
            <w:vAlign w:val="center"/>
          </w:tcPr>
          <w:p w14:paraId="3CCBE32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938" w:type="dxa"/>
            <w:vMerge w:val="continue"/>
            <w:tcBorders>
              <w:top w:val="nil"/>
              <w:left w:val="nil"/>
              <w:bottom w:val="single" w:color="auto" w:sz="4" w:space="0"/>
              <w:right w:val="single" w:color="auto" w:sz="4" w:space="0"/>
            </w:tcBorders>
            <w:vAlign w:val="center"/>
          </w:tcPr>
          <w:p w14:paraId="6A3EA375">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top"/>
          </w:tcPr>
          <w:p w14:paraId="14480107">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kern w:val="0"/>
                <w:sz w:val="24"/>
                <w:szCs w:val="24"/>
                <w:highlight w:val="none"/>
              </w:rPr>
            </w:pPr>
            <w:r>
              <w:rPr>
                <w:rFonts w:hint="eastAsia" w:ascii="宋体" w:hAnsi="宋体" w:cs="宋体"/>
                <w:snapToGrid w:val="0"/>
                <w:color w:val="auto"/>
                <w:sz w:val="24"/>
                <w:szCs w:val="24"/>
                <w:highlight w:val="none"/>
                <w:lang w:eastAsia="zh-CN"/>
              </w:rPr>
              <w:t>响应文件</w:t>
            </w:r>
            <w:r>
              <w:rPr>
                <w:rFonts w:hint="eastAsia" w:ascii="宋体" w:hAnsi="宋体" w:eastAsia="宋体" w:cs="宋体"/>
                <w:snapToGrid w:val="0"/>
                <w:color w:val="auto"/>
                <w:sz w:val="24"/>
                <w:szCs w:val="24"/>
                <w:highlight w:val="none"/>
              </w:rPr>
              <w:t>格式</w:t>
            </w:r>
          </w:p>
        </w:tc>
        <w:tc>
          <w:tcPr>
            <w:tcW w:w="6410" w:type="dxa"/>
            <w:tcBorders>
              <w:top w:val="single" w:color="auto" w:sz="4" w:space="0"/>
              <w:left w:val="nil"/>
              <w:bottom w:val="single" w:color="auto" w:sz="4" w:space="0"/>
              <w:right w:val="single" w:color="auto" w:sz="4" w:space="0"/>
            </w:tcBorders>
            <w:vAlign w:val="top"/>
          </w:tcPr>
          <w:p w14:paraId="34AC60D8">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snapToGrid w:val="0"/>
                <w:color w:val="auto"/>
                <w:sz w:val="24"/>
                <w:szCs w:val="24"/>
                <w:highlight w:val="none"/>
              </w:rPr>
              <w:t>符合“</w:t>
            </w:r>
            <w:r>
              <w:rPr>
                <w:rFonts w:hint="eastAsia" w:ascii="宋体" w:hAnsi="宋体" w:cs="宋体"/>
                <w:snapToGrid w:val="0"/>
                <w:color w:val="auto"/>
                <w:sz w:val="24"/>
                <w:szCs w:val="24"/>
                <w:highlight w:val="none"/>
                <w:lang w:eastAsia="zh-CN"/>
              </w:rPr>
              <w:t>响应文件</w:t>
            </w:r>
            <w:r>
              <w:rPr>
                <w:rFonts w:hint="eastAsia" w:ascii="宋体" w:hAnsi="宋体" w:eastAsia="宋体" w:cs="宋体"/>
                <w:snapToGrid w:val="0"/>
                <w:color w:val="auto"/>
                <w:sz w:val="24"/>
                <w:szCs w:val="24"/>
                <w:highlight w:val="none"/>
              </w:rPr>
              <w:t>格式”的要求</w:t>
            </w:r>
          </w:p>
        </w:tc>
      </w:tr>
      <w:tr w14:paraId="0AFA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00" w:type="dxa"/>
            <w:vMerge w:val="continue"/>
            <w:tcBorders>
              <w:left w:val="single" w:color="auto" w:sz="4" w:space="0"/>
              <w:bottom w:val="single" w:color="auto" w:sz="4" w:space="0"/>
              <w:right w:val="single" w:color="auto" w:sz="4" w:space="0"/>
            </w:tcBorders>
            <w:vAlign w:val="center"/>
          </w:tcPr>
          <w:p w14:paraId="3466BA4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938" w:type="dxa"/>
            <w:vMerge w:val="continue"/>
            <w:tcBorders>
              <w:top w:val="nil"/>
              <w:left w:val="nil"/>
              <w:bottom w:val="single" w:color="auto" w:sz="4" w:space="0"/>
              <w:right w:val="single" w:color="auto" w:sz="4" w:space="0"/>
            </w:tcBorders>
            <w:vAlign w:val="center"/>
          </w:tcPr>
          <w:p w14:paraId="7B3DB375">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center"/>
          </w:tcPr>
          <w:p w14:paraId="4D12E22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报价唯一</w:t>
            </w:r>
          </w:p>
        </w:tc>
        <w:tc>
          <w:tcPr>
            <w:tcW w:w="6410" w:type="dxa"/>
            <w:tcBorders>
              <w:top w:val="single" w:color="auto" w:sz="4" w:space="0"/>
              <w:left w:val="nil"/>
              <w:bottom w:val="single" w:color="auto" w:sz="4" w:space="0"/>
              <w:right w:val="single" w:color="auto" w:sz="4" w:space="0"/>
            </w:tcBorders>
            <w:vAlign w:val="center"/>
          </w:tcPr>
          <w:p w14:paraId="6A70D95E">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中只能有一个有效报价，且不超过采购预算价</w:t>
            </w:r>
          </w:p>
        </w:tc>
      </w:tr>
      <w:tr w14:paraId="758F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0" w:type="dxa"/>
            <w:vMerge w:val="restart"/>
            <w:tcBorders>
              <w:top w:val="nil"/>
              <w:left w:val="single" w:color="auto" w:sz="4" w:space="0"/>
              <w:right w:val="single" w:color="auto" w:sz="4" w:space="0"/>
            </w:tcBorders>
            <w:vAlign w:val="center"/>
          </w:tcPr>
          <w:p w14:paraId="174C13E8">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21.1.3</w:t>
            </w:r>
          </w:p>
        </w:tc>
        <w:tc>
          <w:tcPr>
            <w:tcW w:w="938" w:type="dxa"/>
            <w:vMerge w:val="restart"/>
            <w:tcBorders>
              <w:top w:val="nil"/>
              <w:left w:val="nil"/>
              <w:right w:val="single" w:color="auto" w:sz="4" w:space="0"/>
            </w:tcBorders>
            <w:vAlign w:val="center"/>
          </w:tcPr>
          <w:p w14:paraId="10464DCF">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响应性评审标准</w:t>
            </w:r>
          </w:p>
        </w:tc>
        <w:tc>
          <w:tcPr>
            <w:tcW w:w="1569" w:type="dxa"/>
            <w:tcBorders>
              <w:top w:val="single" w:color="auto" w:sz="4" w:space="0"/>
              <w:left w:val="nil"/>
              <w:bottom w:val="single" w:color="auto" w:sz="4" w:space="0"/>
              <w:right w:val="single" w:color="auto" w:sz="4" w:space="0"/>
            </w:tcBorders>
            <w:vAlign w:val="center"/>
          </w:tcPr>
          <w:p w14:paraId="25873F8E">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z w:val="24"/>
                <w:szCs w:val="24"/>
                <w:highlight w:val="none"/>
              </w:rPr>
              <w:t>采购内容</w:t>
            </w:r>
          </w:p>
        </w:tc>
        <w:tc>
          <w:tcPr>
            <w:tcW w:w="6410" w:type="dxa"/>
            <w:tcBorders>
              <w:top w:val="single" w:color="auto" w:sz="4" w:space="0"/>
              <w:left w:val="nil"/>
              <w:bottom w:val="single" w:color="auto" w:sz="4" w:space="0"/>
              <w:right w:val="single" w:color="auto" w:sz="4" w:space="0"/>
            </w:tcBorders>
            <w:vAlign w:val="center"/>
          </w:tcPr>
          <w:p w14:paraId="123DC8B5">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z w:val="24"/>
                <w:szCs w:val="24"/>
                <w:highlight w:val="none"/>
              </w:rPr>
              <w:t>符合磋商文件要求</w:t>
            </w:r>
          </w:p>
        </w:tc>
      </w:tr>
      <w:tr w14:paraId="79D8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0" w:type="dxa"/>
            <w:vMerge w:val="continue"/>
            <w:tcBorders>
              <w:left w:val="single" w:color="auto" w:sz="4" w:space="0"/>
              <w:right w:val="single" w:color="auto" w:sz="4" w:space="0"/>
            </w:tcBorders>
            <w:vAlign w:val="center"/>
          </w:tcPr>
          <w:p w14:paraId="350F322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938" w:type="dxa"/>
            <w:vMerge w:val="continue"/>
            <w:tcBorders>
              <w:left w:val="nil"/>
              <w:right w:val="single" w:color="auto" w:sz="4" w:space="0"/>
            </w:tcBorders>
            <w:vAlign w:val="center"/>
          </w:tcPr>
          <w:p w14:paraId="32A59432">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1569" w:type="dxa"/>
            <w:tcBorders>
              <w:top w:val="single" w:color="auto" w:sz="4" w:space="0"/>
              <w:left w:val="nil"/>
              <w:bottom w:val="single" w:color="auto" w:sz="4" w:space="0"/>
              <w:right w:val="single" w:color="auto" w:sz="4" w:space="0"/>
            </w:tcBorders>
            <w:vAlign w:val="center"/>
          </w:tcPr>
          <w:p w14:paraId="5883045E">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交货</w:t>
            </w:r>
            <w:r>
              <w:rPr>
                <w:rFonts w:hint="eastAsia" w:ascii="宋体" w:hAnsi="宋体" w:eastAsia="宋体" w:cs="宋体"/>
                <w:snapToGrid w:val="0"/>
                <w:color w:val="auto"/>
                <w:sz w:val="24"/>
                <w:szCs w:val="24"/>
                <w:highlight w:val="none"/>
                <w:lang w:val="en-US" w:eastAsia="zh-CN"/>
              </w:rPr>
              <w:t>服务</w:t>
            </w:r>
            <w:r>
              <w:rPr>
                <w:rFonts w:hint="eastAsia" w:ascii="宋体" w:hAnsi="宋体" w:eastAsia="宋体" w:cs="宋体"/>
                <w:snapToGrid w:val="0"/>
                <w:color w:val="auto"/>
                <w:sz w:val="24"/>
                <w:szCs w:val="24"/>
                <w:highlight w:val="none"/>
                <w:lang w:eastAsia="zh-CN"/>
              </w:rPr>
              <w:t>期</w:t>
            </w:r>
          </w:p>
        </w:tc>
        <w:tc>
          <w:tcPr>
            <w:tcW w:w="6410" w:type="dxa"/>
            <w:tcBorders>
              <w:top w:val="single" w:color="auto" w:sz="4" w:space="0"/>
              <w:left w:val="nil"/>
              <w:bottom w:val="single" w:color="auto" w:sz="4" w:space="0"/>
              <w:right w:val="single" w:color="auto" w:sz="4" w:space="0"/>
            </w:tcBorders>
            <w:vAlign w:val="center"/>
          </w:tcPr>
          <w:p w14:paraId="19416ED6">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z w:val="24"/>
                <w:szCs w:val="24"/>
                <w:highlight w:val="none"/>
              </w:rPr>
              <w:t>符合磋商文件要求</w:t>
            </w:r>
          </w:p>
        </w:tc>
      </w:tr>
      <w:tr w14:paraId="5DDC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0" w:type="dxa"/>
            <w:vMerge w:val="continue"/>
            <w:tcBorders>
              <w:left w:val="single" w:color="auto" w:sz="4" w:space="0"/>
              <w:right w:val="single" w:color="auto" w:sz="4" w:space="0"/>
            </w:tcBorders>
            <w:vAlign w:val="center"/>
          </w:tcPr>
          <w:p w14:paraId="7A13B96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938" w:type="dxa"/>
            <w:vMerge w:val="continue"/>
            <w:tcBorders>
              <w:left w:val="nil"/>
              <w:right w:val="single" w:color="auto" w:sz="4" w:space="0"/>
            </w:tcBorders>
            <w:vAlign w:val="center"/>
          </w:tcPr>
          <w:p w14:paraId="32B6057F">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1569" w:type="dxa"/>
            <w:tcBorders>
              <w:top w:val="single" w:color="auto" w:sz="4" w:space="0"/>
              <w:left w:val="nil"/>
              <w:bottom w:val="single" w:color="auto" w:sz="4" w:space="0"/>
              <w:right w:val="single" w:color="auto" w:sz="4" w:space="0"/>
            </w:tcBorders>
            <w:vAlign w:val="top"/>
          </w:tcPr>
          <w:p w14:paraId="6AC9708D">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z w:val="24"/>
                <w:szCs w:val="24"/>
                <w:highlight w:val="none"/>
              </w:rPr>
              <w:t>质量要求</w:t>
            </w:r>
          </w:p>
        </w:tc>
        <w:tc>
          <w:tcPr>
            <w:tcW w:w="6410" w:type="dxa"/>
            <w:tcBorders>
              <w:top w:val="single" w:color="auto" w:sz="4" w:space="0"/>
              <w:left w:val="nil"/>
              <w:bottom w:val="single" w:color="auto" w:sz="4" w:space="0"/>
              <w:right w:val="single" w:color="auto" w:sz="4" w:space="0"/>
            </w:tcBorders>
            <w:vAlign w:val="top"/>
          </w:tcPr>
          <w:p w14:paraId="4751058D">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z w:val="24"/>
                <w:szCs w:val="24"/>
                <w:highlight w:val="none"/>
              </w:rPr>
              <w:t>符合磋商文件要求</w:t>
            </w:r>
          </w:p>
        </w:tc>
      </w:tr>
      <w:tr w14:paraId="7CEB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0" w:type="dxa"/>
            <w:vMerge w:val="continue"/>
            <w:tcBorders>
              <w:left w:val="single" w:color="auto" w:sz="4" w:space="0"/>
              <w:right w:val="single" w:color="auto" w:sz="4" w:space="0"/>
            </w:tcBorders>
            <w:vAlign w:val="center"/>
          </w:tcPr>
          <w:p w14:paraId="1CBEEE66">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938" w:type="dxa"/>
            <w:vMerge w:val="continue"/>
            <w:tcBorders>
              <w:left w:val="nil"/>
              <w:right w:val="single" w:color="auto" w:sz="4" w:space="0"/>
            </w:tcBorders>
            <w:vAlign w:val="center"/>
          </w:tcPr>
          <w:p w14:paraId="2FA93639">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1569" w:type="dxa"/>
            <w:tcBorders>
              <w:top w:val="single" w:color="auto" w:sz="4" w:space="0"/>
              <w:left w:val="nil"/>
              <w:bottom w:val="single" w:color="auto" w:sz="4" w:space="0"/>
              <w:right w:val="single" w:color="auto" w:sz="4" w:space="0"/>
            </w:tcBorders>
            <w:vAlign w:val="center"/>
          </w:tcPr>
          <w:p w14:paraId="6794E64A">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w:t>
            </w:r>
          </w:p>
        </w:tc>
        <w:tc>
          <w:tcPr>
            <w:tcW w:w="6410" w:type="dxa"/>
            <w:tcBorders>
              <w:top w:val="single" w:color="auto" w:sz="4" w:space="0"/>
              <w:left w:val="nil"/>
              <w:bottom w:val="single" w:color="auto" w:sz="4" w:space="0"/>
              <w:right w:val="single" w:color="auto" w:sz="4" w:space="0"/>
            </w:tcBorders>
            <w:vAlign w:val="center"/>
          </w:tcPr>
          <w:p w14:paraId="6CE96815">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符合竞争性磋商文件要求</w:t>
            </w:r>
          </w:p>
        </w:tc>
      </w:tr>
      <w:tr w14:paraId="0FEC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00" w:type="dxa"/>
            <w:vMerge w:val="continue"/>
            <w:tcBorders>
              <w:left w:val="single" w:color="auto" w:sz="4" w:space="0"/>
              <w:bottom w:val="single" w:color="auto" w:sz="4" w:space="0"/>
              <w:right w:val="single" w:color="auto" w:sz="4" w:space="0"/>
            </w:tcBorders>
            <w:vAlign w:val="center"/>
          </w:tcPr>
          <w:p w14:paraId="33172D38">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938" w:type="dxa"/>
            <w:vMerge w:val="continue"/>
            <w:tcBorders>
              <w:left w:val="nil"/>
              <w:bottom w:val="single" w:color="auto" w:sz="4" w:space="0"/>
              <w:right w:val="single" w:color="auto" w:sz="4" w:space="0"/>
            </w:tcBorders>
            <w:vAlign w:val="center"/>
          </w:tcPr>
          <w:p w14:paraId="0C2D56F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1569" w:type="dxa"/>
            <w:tcBorders>
              <w:top w:val="single" w:color="auto" w:sz="4" w:space="0"/>
              <w:left w:val="nil"/>
              <w:bottom w:val="single" w:color="auto" w:sz="4" w:space="0"/>
              <w:right w:val="single" w:color="auto" w:sz="4" w:space="0"/>
            </w:tcBorders>
            <w:vAlign w:val="center"/>
          </w:tcPr>
          <w:p w14:paraId="4360CA48">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z w:val="24"/>
                <w:szCs w:val="24"/>
                <w:highlight w:val="none"/>
              </w:rPr>
              <w:t>磋商价格</w:t>
            </w:r>
          </w:p>
        </w:tc>
        <w:tc>
          <w:tcPr>
            <w:tcW w:w="6410" w:type="dxa"/>
            <w:tcBorders>
              <w:top w:val="single" w:color="auto" w:sz="4" w:space="0"/>
              <w:left w:val="nil"/>
              <w:bottom w:val="single" w:color="auto" w:sz="4" w:space="0"/>
              <w:right w:val="single" w:color="auto" w:sz="4" w:space="0"/>
            </w:tcBorders>
            <w:vAlign w:val="center"/>
          </w:tcPr>
          <w:p w14:paraId="3110396C">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bCs/>
                <w:snapToGrid w:val="0"/>
                <w:color w:val="auto"/>
                <w:sz w:val="24"/>
                <w:szCs w:val="24"/>
                <w:highlight w:val="none"/>
              </w:rPr>
              <w:t>本次磋商采用二轮（最终）报价法，供应商递交的</w:t>
            </w:r>
            <w:r>
              <w:rPr>
                <w:rFonts w:hint="eastAsia" w:ascii="宋体" w:hAnsi="宋体" w:cs="宋体"/>
                <w:bCs/>
                <w:snapToGrid w:val="0"/>
                <w:color w:val="auto"/>
                <w:sz w:val="24"/>
                <w:szCs w:val="24"/>
                <w:highlight w:val="none"/>
                <w:lang w:eastAsia="zh-CN"/>
              </w:rPr>
              <w:t>响应文件</w:t>
            </w:r>
            <w:r>
              <w:rPr>
                <w:rFonts w:hint="eastAsia" w:ascii="宋体" w:hAnsi="宋体" w:eastAsia="宋体" w:cs="宋体"/>
                <w:bCs/>
                <w:snapToGrid w:val="0"/>
                <w:color w:val="auto"/>
                <w:sz w:val="24"/>
                <w:szCs w:val="24"/>
                <w:highlight w:val="none"/>
              </w:rPr>
              <w:t>中的报价为第一轮报价，</w:t>
            </w:r>
            <w:r>
              <w:rPr>
                <w:rFonts w:hint="eastAsia" w:ascii="宋体" w:hAnsi="宋体" w:eastAsia="宋体" w:cs="宋体"/>
                <w:snapToGrid w:val="0"/>
                <w:color w:val="auto"/>
                <w:sz w:val="24"/>
                <w:szCs w:val="24"/>
                <w:highlight w:val="none"/>
              </w:rPr>
              <w:t>供应商的两轮磋商报价都不得高于采购人公布的控制价，否则其投标将被否决。</w:t>
            </w:r>
          </w:p>
        </w:tc>
      </w:tr>
    </w:tbl>
    <w:p w14:paraId="5F5DF665">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p w14:paraId="7EAB13C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p w14:paraId="27B85929">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br w:type="page"/>
      </w:r>
    </w:p>
    <w:p w14:paraId="41B6CF8B">
      <w:pPr>
        <w:keepNext w:val="0"/>
        <w:keepLines w:val="0"/>
        <w:pageBreakBefore w:val="0"/>
        <w:widowControl/>
        <w:numPr>
          <w:ilvl w:val="0"/>
          <w:numId w:val="0"/>
        </w:numPr>
        <w:kinsoku w:val="0"/>
        <w:wordWrap/>
        <w:bidi w:val="0"/>
        <w:adjustRightInd w:val="0"/>
        <w:snapToGrid w:val="0"/>
        <w:spacing w:line="360" w:lineRule="auto"/>
        <w:ind w:left="0" w:leftChars="0" w:right="0" w:righ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sz w:val="24"/>
          <w:szCs w:val="24"/>
          <w:highlight w:val="none"/>
          <w:lang w:val="en-US" w:eastAsia="zh-CN"/>
        </w:rPr>
        <w:t>详细评审标准</w:t>
      </w:r>
    </w:p>
    <w:tbl>
      <w:tblPr>
        <w:tblStyle w:val="17"/>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639"/>
        <w:gridCol w:w="6441"/>
      </w:tblGrid>
      <w:tr w14:paraId="78EEE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jc w:val="center"/>
        </w:trPr>
        <w:tc>
          <w:tcPr>
            <w:tcW w:w="1276" w:type="dxa"/>
            <w:vAlign w:val="center"/>
          </w:tcPr>
          <w:p w14:paraId="6827C9AF">
            <w:pPr>
              <w:pStyle w:val="33"/>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1639" w:type="dxa"/>
            <w:vAlign w:val="center"/>
          </w:tcPr>
          <w:p w14:paraId="1B6FD869">
            <w:pPr>
              <w:pStyle w:val="33"/>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评分内容</w:t>
            </w:r>
          </w:p>
        </w:tc>
        <w:tc>
          <w:tcPr>
            <w:tcW w:w="6441" w:type="dxa"/>
            <w:vAlign w:val="center"/>
          </w:tcPr>
          <w:p w14:paraId="5EC6D676">
            <w:pPr>
              <w:pStyle w:val="33"/>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790B3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jc w:val="center"/>
        </w:trPr>
        <w:tc>
          <w:tcPr>
            <w:tcW w:w="1276" w:type="dxa"/>
            <w:vAlign w:val="center"/>
          </w:tcPr>
          <w:p w14:paraId="15889E0F">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val="0"/>
                <w:bCs w:val="0"/>
                <w:snapToGrid w:val="0"/>
                <w:color w:val="auto"/>
                <w:sz w:val="24"/>
                <w:szCs w:val="24"/>
                <w:highlight w:val="none"/>
              </w:rPr>
              <w:t>价格部分</w:t>
            </w:r>
            <w:r>
              <w:rPr>
                <w:rFonts w:hint="eastAsia" w:ascii="宋体" w:hAnsi="宋体" w:eastAsia="宋体" w:cs="宋体"/>
                <w:b w:val="0"/>
                <w:bCs w:val="0"/>
                <w:snapToGrid w:val="0"/>
                <w:color w:val="auto"/>
                <w:sz w:val="24"/>
                <w:szCs w:val="24"/>
                <w:highlight w:val="none"/>
                <w:lang w:val="en-US" w:eastAsia="zh-CN"/>
              </w:rPr>
              <w:t>30</w:t>
            </w:r>
            <w:r>
              <w:rPr>
                <w:rFonts w:hint="eastAsia" w:ascii="宋体" w:hAnsi="宋体" w:eastAsia="宋体" w:cs="宋体"/>
                <w:b w:val="0"/>
                <w:bCs w:val="0"/>
                <w:snapToGrid w:val="0"/>
                <w:color w:val="auto"/>
                <w:sz w:val="24"/>
                <w:szCs w:val="24"/>
                <w:highlight w:val="none"/>
              </w:rPr>
              <w:t>分</w:t>
            </w:r>
          </w:p>
        </w:tc>
        <w:tc>
          <w:tcPr>
            <w:tcW w:w="1639" w:type="dxa"/>
            <w:vAlign w:val="center"/>
          </w:tcPr>
          <w:p w14:paraId="3DDAC608">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val="0"/>
                <w:bCs w:val="0"/>
                <w:snapToGrid w:val="0"/>
                <w:color w:val="auto"/>
                <w:sz w:val="24"/>
                <w:szCs w:val="24"/>
                <w:highlight w:val="none"/>
              </w:rPr>
              <w:t>投标报价</w:t>
            </w:r>
          </w:p>
        </w:tc>
        <w:tc>
          <w:tcPr>
            <w:tcW w:w="6441" w:type="dxa"/>
            <w:vAlign w:val="top"/>
          </w:tcPr>
          <w:p w14:paraId="70812322">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color w:val="auto"/>
                <w:kern w:val="2"/>
                <w:sz w:val="24"/>
                <w:szCs w:val="24"/>
                <w:highlight w:val="none"/>
                <w:lang w:val="en-US" w:eastAsia="zh-CN"/>
              </w:rPr>
            </w:pPr>
            <w:r>
              <w:rPr>
                <w:rFonts w:hint="eastAsia" w:ascii="宋体" w:hAnsi="宋体" w:eastAsia="宋体" w:cs="宋体"/>
                <w:b w:val="0"/>
                <w:bCs w:val="0"/>
                <w:snapToGrid w:val="0"/>
                <w:color w:val="auto"/>
                <w:kern w:val="2"/>
                <w:sz w:val="24"/>
                <w:szCs w:val="24"/>
                <w:highlight w:val="none"/>
                <w:lang w:val="en-US" w:eastAsia="zh-CN"/>
              </w:rPr>
              <w:t>1、价格分采用低价优先法计算，即满足</w:t>
            </w:r>
            <w:r>
              <w:rPr>
                <w:rFonts w:hint="eastAsia" w:ascii="宋体" w:hAnsi="宋体" w:cs="宋体"/>
                <w:b w:val="0"/>
                <w:bCs w:val="0"/>
                <w:snapToGrid w:val="0"/>
                <w:color w:val="auto"/>
                <w:kern w:val="2"/>
                <w:sz w:val="24"/>
                <w:szCs w:val="24"/>
                <w:highlight w:val="none"/>
                <w:lang w:val="en-US" w:eastAsia="zh-CN"/>
              </w:rPr>
              <w:t>磋商文件</w:t>
            </w:r>
            <w:r>
              <w:rPr>
                <w:rFonts w:hint="eastAsia" w:ascii="宋体" w:hAnsi="宋体" w:eastAsia="宋体" w:cs="宋体"/>
                <w:b w:val="0"/>
                <w:bCs w:val="0"/>
                <w:snapToGrid w:val="0"/>
                <w:color w:val="auto"/>
                <w:kern w:val="2"/>
                <w:sz w:val="24"/>
                <w:szCs w:val="24"/>
                <w:highlight w:val="none"/>
                <w:lang w:val="en-US" w:eastAsia="zh-CN"/>
              </w:rPr>
              <w:t>通过资格性和形式性审查且投标价格最低的投标报价为评标基准价，其价格得分为满分30分。</w:t>
            </w:r>
          </w:p>
          <w:p w14:paraId="4F5A34DF">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color w:val="auto"/>
                <w:kern w:val="2"/>
                <w:sz w:val="24"/>
                <w:szCs w:val="24"/>
                <w:highlight w:val="none"/>
                <w:lang w:val="en-US" w:eastAsia="zh-CN"/>
              </w:rPr>
            </w:pPr>
            <w:r>
              <w:rPr>
                <w:rFonts w:hint="eastAsia" w:ascii="宋体" w:hAnsi="宋体" w:eastAsia="宋体" w:cs="宋体"/>
                <w:b w:val="0"/>
                <w:bCs w:val="0"/>
                <w:snapToGrid w:val="0"/>
                <w:color w:val="auto"/>
                <w:kern w:val="2"/>
                <w:sz w:val="24"/>
                <w:szCs w:val="24"/>
                <w:highlight w:val="none"/>
                <w:lang w:val="en-US" w:eastAsia="zh-CN"/>
              </w:rPr>
              <w:t>2、其他供应商的价格分统一按照下列公式计算：</w:t>
            </w:r>
          </w:p>
          <w:p w14:paraId="6583B8F2">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color w:val="auto"/>
                <w:kern w:val="2"/>
                <w:sz w:val="24"/>
                <w:szCs w:val="24"/>
                <w:highlight w:val="none"/>
                <w:lang w:val="en-US" w:eastAsia="zh-CN"/>
              </w:rPr>
            </w:pPr>
            <w:r>
              <w:rPr>
                <w:rFonts w:hint="eastAsia" w:ascii="宋体" w:hAnsi="宋体" w:eastAsia="宋体" w:cs="宋体"/>
                <w:b w:val="0"/>
                <w:bCs w:val="0"/>
                <w:snapToGrid w:val="0"/>
                <w:color w:val="auto"/>
                <w:kern w:val="2"/>
                <w:sz w:val="24"/>
                <w:szCs w:val="24"/>
                <w:highlight w:val="none"/>
                <w:lang w:val="en-US" w:eastAsia="zh-CN"/>
              </w:rPr>
              <w:t>投标报价得分=(评标基准价／投标报价)×30</w:t>
            </w:r>
          </w:p>
          <w:p w14:paraId="4288A9B3">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color w:val="auto"/>
                <w:kern w:val="2"/>
                <w:sz w:val="24"/>
                <w:szCs w:val="24"/>
                <w:highlight w:val="none"/>
                <w:lang w:val="en-US" w:eastAsia="zh-CN"/>
              </w:rPr>
            </w:pPr>
            <w:r>
              <w:rPr>
                <w:rFonts w:hint="eastAsia" w:ascii="宋体" w:hAnsi="宋体" w:eastAsia="宋体" w:cs="宋体"/>
                <w:b w:val="0"/>
                <w:bCs w:val="0"/>
                <w:snapToGrid w:val="0"/>
                <w:color w:val="auto"/>
                <w:kern w:val="2"/>
                <w:sz w:val="24"/>
                <w:szCs w:val="24"/>
                <w:highlight w:val="none"/>
                <w:lang w:val="en-US" w:eastAsia="zh-CN"/>
              </w:rPr>
              <w:t>3、价格扣除：1.根据《政府采购促进中小企业发展管理办法》（财库﹝2020﹞46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提供证明材料）按20%扣除，使用扣除后的价格参与评审。对于中型企业产品的价格不予扣除。小微企业需完整填写小微企业声明函并提供证明资料。</w:t>
            </w:r>
          </w:p>
          <w:p w14:paraId="462E0B3E">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color w:val="auto"/>
                <w:kern w:val="2"/>
                <w:sz w:val="24"/>
                <w:szCs w:val="24"/>
                <w:highlight w:val="none"/>
                <w:lang w:val="en-US" w:eastAsia="zh-CN"/>
              </w:rPr>
            </w:pPr>
            <w:r>
              <w:rPr>
                <w:rFonts w:hint="eastAsia" w:ascii="宋体" w:hAnsi="宋体" w:eastAsia="宋体" w:cs="宋体"/>
                <w:b w:val="0"/>
                <w:bCs w:val="0"/>
                <w:snapToGrid w:val="0"/>
                <w:color w:val="auto"/>
                <w:kern w:val="2"/>
                <w:sz w:val="24"/>
                <w:szCs w:val="24"/>
                <w:highlight w:val="none"/>
                <w:lang w:val="en-US" w:eastAsia="zh-CN"/>
              </w:rPr>
              <w:t>所投小微企业产品报价=所投小微企业产品报价×（1-20%）</w:t>
            </w:r>
          </w:p>
          <w:p w14:paraId="6C561A37">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color w:val="auto"/>
                <w:kern w:val="2"/>
                <w:sz w:val="24"/>
                <w:szCs w:val="24"/>
                <w:highlight w:val="none"/>
                <w:lang w:val="en-US" w:eastAsia="zh-CN"/>
              </w:rPr>
            </w:pPr>
            <w:r>
              <w:rPr>
                <w:rFonts w:hint="eastAsia" w:ascii="宋体" w:hAnsi="宋体" w:eastAsia="宋体" w:cs="宋体"/>
                <w:b w:val="0"/>
                <w:bCs w:val="0"/>
                <w:snapToGrid w:val="0"/>
                <w:color w:val="auto"/>
                <w:kern w:val="2"/>
                <w:sz w:val="24"/>
                <w:szCs w:val="24"/>
                <w:highlight w:val="none"/>
                <w:lang w:val="en-US" w:eastAsia="zh-CN"/>
              </w:rPr>
              <w:t>4、根据财政部司法部《关于政府采购支持监狱企业发展有关问题的通知》（财库〔2014〕68号）规定及《关于进一步加大政府采购支持中小企业发展有关事项的通知》（灵财[2022]97号）通知，本项目对监狱企业作为供应商所提供的本企业生产的产品的价格给予20%的扣除。监狱企业，应当提供由省级以上监狱管理局、戒毒管理局（含新疆生产建设兵团）出具的属于监狱企业的证明文件。</w:t>
            </w:r>
          </w:p>
          <w:p w14:paraId="379A4E0F">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color w:val="auto"/>
                <w:kern w:val="2"/>
                <w:sz w:val="24"/>
                <w:szCs w:val="24"/>
                <w:highlight w:val="none"/>
                <w:lang w:val="en-US" w:eastAsia="zh-CN"/>
              </w:rPr>
            </w:pPr>
            <w:r>
              <w:rPr>
                <w:rFonts w:hint="eastAsia" w:ascii="宋体" w:hAnsi="宋体" w:eastAsia="宋体" w:cs="宋体"/>
                <w:b w:val="0"/>
                <w:bCs w:val="0"/>
                <w:snapToGrid w:val="0"/>
                <w:color w:val="auto"/>
                <w:kern w:val="2"/>
                <w:sz w:val="24"/>
                <w:szCs w:val="24"/>
                <w:highlight w:val="none"/>
                <w:lang w:val="en-US" w:eastAsia="zh-CN"/>
              </w:rPr>
              <w:t>5、根据财政部民政部中国残疾人联合会《关于促进残疾人就业政府采购政策的通知》（财库〔2017〕141号）规定，对于残疾人福利性单位视同为小型、微型企业，价格给予20%的扣除。</w:t>
            </w:r>
          </w:p>
          <w:p w14:paraId="37F73118">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color w:val="auto"/>
                <w:kern w:val="2"/>
                <w:sz w:val="24"/>
                <w:szCs w:val="24"/>
                <w:highlight w:val="none"/>
                <w:lang w:val="en-US" w:eastAsia="zh-CN"/>
              </w:rPr>
            </w:pPr>
            <w:r>
              <w:rPr>
                <w:rFonts w:hint="eastAsia" w:ascii="宋体" w:hAnsi="宋体" w:eastAsia="宋体" w:cs="宋体"/>
                <w:b w:val="0"/>
                <w:bCs w:val="0"/>
                <w:snapToGrid w:val="0"/>
                <w:color w:val="auto"/>
                <w:kern w:val="2"/>
                <w:sz w:val="24"/>
                <w:szCs w:val="24"/>
                <w:highlight w:val="none"/>
                <w:lang w:val="en-US" w:eastAsia="zh-CN"/>
              </w:rPr>
              <w:t>6、同一供应商，中小微企业产品和监狱企业产品价格扣除优惠只享受一次，不得重复享受。</w:t>
            </w:r>
          </w:p>
          <w:p w14:paraId="0067F186">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color w:val="auto"/>
                <w:kern w:val="2"/>
                <w:sz w:val="24"/>
                <w:szCs w:val="24"/>
                <w:highlight w:val="none"/>
                <w:lang w:val="en-US" w:eastAsia="zh-CN"/>
              </w:rPr>
            </w:pPr>
            <w:r>
              <w:rPr>
                <w:rFonts w:hint="eastAsia" w:ascii="宋体" w:hAnsi="宋体" w:eastAsia="宋体" w:cs="宋体"/>
                <w:b w:val="0"/>
                <w:bCs w:val="0"/>
                <w:snapToGrid w:val="0"/>
                <w:color w:val="auto"/>
                <w:kern w:val="2"/>
                <w:sz w:val="24"/>
                <w:szCs w:val="24"/>
                <w:highlight w:val="none"/>
                <w:lang w:val="en-US" w:eastAsia="zh-CN"/>
              </w:rPr>
              <w:t>注：价格分计算保留小数点后二位。</w:t>
            </w:r>
          </w:p>
          <w:p w14:paraId="1D018862">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z w:val="24"/>
                <w:szCs w:val="24"/>
                <w:highlight w:val="none"/>
              </w:rPr>
            </w:pPr>
            <w:r>
              <w:rPr>
                <w:rFonts w:hint="eastAsia" w:ascii="宋体" w:hAnsi="宋体" w:eastAsia="宋体" w:cs="宋体"/>
                <w:b w:val="0"/>
                <w:bCs w:val="0"/>
                <w:snapToGrid w:val="0"/>
                <w:color w:val="auto"/>
                <w:kern w:val="2"/>
                <w:sz w:val="24"/>
                <w:szCs w:val="24"/>
                <w:highlight w:val="none"/>
                <w:lang w:val="en-US" w:eastAsia="zh-CN"/>
              </w:rPr>
              <w:t>在评标过程中，评标委员会发现供应商的报价明显低于成本价时或明显低于其他通过初步审查供应商的报价，有可能影响产品质量或者不能诚信履约的，评标委员会可向该供应商提出询问， 要求该供应商作出书面说明并提供相关证明材料。供应商不能合理说明及不能提供相关证明材料的，评标委员会认定该供应商以低于成本价恶意竞标，其投标作废标处理。</w:t>
            </w:r>
          </w:p>
        </w:tc>
      </w:tr>
      <w:tr w14:paraId="3FC2A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vMerge w:val="restart"/>
            <w:vAlign w:val="center"/>
          </w:tcPr>
          <w:p w14:paraId="73EE8602">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技术部分（0-50分）</w:t>
            </w:r>
          </w:p>
        </w:tc>
        <w:tc>
          <w:tcPr>
            <w:tcW w:w="1639" w:type="dxa"/>
            <w:vAlign w:val="center"/>
          </w:tcPr>
          <w:p w14:paraId="11A27270">
            <w:pPr>
              <w:keepNext w:val="0"/>
              <w:keepLines w:val="0"/>
              <w:pageBreakBefore w:val="0"/>
              <w:widowControl/>
              <w:numPr>
                <w:ilvl w:val="0"/>
                <w:numId w:val="0"/>
              </w:numPr>
              <w:kinsoku w:val="0"/>
              <w:wordWrap/>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实施方案</w:t>
            </w:r>
          </w:p>
          <w:p w14:paraId="058FD803">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（0-10分）</w:t>
            </w:r>
          </w:p>
        </w:tc>
        <w:tc>
          <w:tcPr>
            <w:tcW w:w="6441" w:type="dxa"/>
            <w:vAlign w:val="top"/>
          </w:tcPr>
          <w:p w14:paraId="499CAC59">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cs="宋体"/>
                <w:b w:val="0"/>
                <w:bCs w:val="0"/>
                <w:snapToGrid w:val="0"/>
                <w:color w:val="auto"/>
                <w:kern w:val="2"/>
                <w:sz w:val="24"/>
                <w:szCs w:val="24"/>
                <w:highlight w:val="none"/>
                <w:lang w:val="en-US" w:eastAsia="zh-CN"/>
              </w:rPr>
            </w:pPr>
            <w:r>
              <w:rPr>
                <w:rFonts w:hint="eastAsia" w:ascii="宋体" w:hAnsi="宋体" w:eastAsia="宋体" w:cs="宋体"/>
                <w:b w:val="0"/>
                <w:bCs w:val="0"/>
                <w:snapToGrid w:val="0"/>
                <w:color w:val="auto"/>
                <w:kern w:val="2"/>
                <w:sz w:val="24"/>
                <w:szCs w:val="24"/>
                <w:highlight w:val="none"/>
                <w:lang w:val="en-US" w:eastAsia="zh-CN"/>
              </w:rPr>
              <w:t>提供项目组织实施方案，评委根据方案中人员组织、进度安排、实施步骤、保障措施等内容及优惠服务等内容进行对比</w:t>
            </w:r>
            <w:r>
              <w:rPr>
                <w:rFonts w:hint="eastAsia" w:ascii="宋体" w:hAnsi="宋体" w:cs="宋体"/>
                <w:b w:val="0"/>
                <w:bCs w:val="0"/>
                <w:snapToGrid w:val="0"/>
                <w:color w:val="auto"/>
                <w:kern w:val="2"/>
                <w:sz w:val="24"/>
                <w:szCs w:val="24"/>
                <w:highlight w:val="none"/>
                <w:lang w:val="en-US" w:eastAsia="zh-CN"/>
              </w:rPr>
              <w:t>；</w:t>
            </w:r>
          </w:p>
          <w:p w14:paraId="0BC4DCE5">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方案</w:t>
            </w:r>
            <w:r>
              <w:rPr>
                <w:rFonts w:hint="default" w:asciiTheme="minorEastAsia" w:hAnsiTheme="minorEastAsia" w:eastAsiaTheme="minorEastAsia" w:cstheme="minorEastAsia"/>
                <w:color w:val="auto"/>
                <w:kern w:val="0"/>
                <w:sz w:val="24"/>
                <w:szCs w:val="24"/>
                <w:highlight w:val="none"/>
                <w:lang w:val="en-US" w:eastAsia="zh-CN"/>
              </w:rPr>
              <w:t>全面细致，逻辑严谨，完全贴合项目实际需求，得</w:t>
            </w:r>
            <w:r>
              <w:rPr>
                <w:rFonts w:hint="eastAsia" w:asciiTheme="minorEastAsia" w:hAnsiTheme="minorEastAsia" w:eastAsiaTheme="minorEastAsia" w:cstheme="minorEastAsia"/>
                <w:color w:val="auto"/>
                <w:kern w:val="0"/>
                <w:sz w:val="24"/>
                <w:szCs w:val="24"/>
                <w:highlight w:val="none"/>
                <w:lang w:val="en-US" w:eastAsia="zh-CN"/>
              </w:rPr>
              <w:t>10</w:t>
            </w:r>
            <w:r>
              <w:rPr>
                <w:rFonts w:hint="default" w:asciiTheme="minorEastAsia" w:hAnsiTheme="minorEastAsia" w:eastAsiaTheme="minorEastAsia" w:cstheme="minorEastAsia"/>
                <w:color w:val="auto"/>
                <w:kern w:val="0"/>
                <w:sz w:val="24"/>
                <w:szCs w:val="24"/>
                <w:highlight w:val="none"/>
                <w:lang w:val="en-US" w:eastAsia="zh-CN"/>
              </w:rPr>
              <w:t>分</w:t>
            </w:r>
            <w:r>
              <w:rPr>
                <w:rFonts w:hint="eastAsia" w:asciiTheme="minorEastAsia" w:hAnsiTheme="minorEastAsia" w:eastAsiaTheme="minorEastAsia" w:cstheme="minorEastAsia"/>
                <w:color w:val="auto"/>
                <w:kern w:val="0"/>
                <w:sz w:val="24"/>
                <w:szCs w:val="24"/>
                <w:highlight w:val="none"/>
                <w:lang w:val="en-US" w:eastAsia="zh-CN"/>
              </w:rPr>
              <w:t>；</w:t>
            </w:r>
          </w:p>
          <w:p w14:paraId="38024CC4">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方案</w:t>
            </w:r>
            <w:r>
              <w:rPr>
                <w:rFonts w:hint="default" w:asciiTheme="minorEastAsia" w:hAnsiTheme="minorEastAsia" w:eastAsiaTheme="minorEastAsia" w:cstheme="minorEastAsia"/>
                <w:color w:val="auto"/>
                <w:kern w:val="0"/>
                <w:sz w:val="24"/>
                <w:szCs w:val="24"/>
                <w:highlight w:val="none"/>
                <w:lang w:val="en-US" w:eastAsia="zh-CN"/>
              </w:rPr>
              <w:t>详细完整，合理可行，基本符合项目需求，得</w:t>
            </w:r>
            <w:r>
              <w:rPr>
                <w:rFonts w:hint="eastAsia" w:asciiTheme="minorEastAsia" w:hAnsiTheme="minorEastAsia" w:eastAsiaTheme="minorEastAsia" w:cstheme="minorEastAsia"/>
                <w:color w:val="auto"/>
                <w:kern w:val="0"/>
                <w:sz w:val="24"/>
                <w:szCs w:val="24"/>
                <w:highlight w:val="none"/>
                <w:lang w:val="en-US" w:eastAsia="zh-CN"/>
              </w:rPr>
              <w:t>7</w:t>
            </w:r>
            <w:r>
              <w:rPr>
                <w:rFonts w:hint="default" w:asciiTheme="minorEastAsia" w:hAnsiTheme="minorEastAsia" w:eastAsiaTheme="minorEastAsia" w:cstheme="minorEastAsia"/>
                <w:color w:val="auto"/>
                <w:kern w:val="0"/>
                <w:sz w:val="24"/>
                <w:szCs w:val="24"/>
                <w:highlight w:val="none"/>
                <w:lang w:val="en-US" w:eastAsia="zh-CN"/>
              </w:rPr>
              <w:t>分</w:t>
            </w:r>
            <w:r>
              <w:rPr>
                <w:rFonts w:hint="eastAsia" w:asciiTheme="minorEastAsia" w:hAnsiTheme="minorEastAsia" w:eastAsiaTheme="minorEastAsia" w:cstheme="minorEastAsia"/>
                <w:color w:val="auto"/>
                <w:kern w:val="0"/>
                <w:sz w:val="24"/>
                <w:szCs w:val="24"/>
                <w:highlight w:val="none"/>
                <w:lang w:val="en-US" w:eastAsia="zh-CN"/>
              </w:rPr>
              <w:t>；</w:t>
            </w:r>
          </w:p>
          <w:p w14:paraId="4212FB54">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方案</w:t>
            </w:r>
            <w:r>
              <w:rPr>
                <w:rFonts w:hint="default" w:asciiTheme="minorEastAsia" w:hAnsiTheme="minorEastAsia" w:eastAsiaTheme="minorEastAsia" w:cstheme="minorEastAsia"/>
                <w:color w:val="auto"/>
                <w:kern w:val="0"/>
                <w:sz w:val="24"/>
                <w:szCs w:val="24"/>
                <w:highlight w:val="none"/>
                <w:lang w:val="en-US" w:eastAsia="zh-CN"/>
              </w:rPr>
              <w:t>基本合理，具备可行性，能满足项目常规执行要求，得</w:t>
            </w:r>
            <w:r>
              <w:rPr>
                <w:rFonts w:hint="eastAsia" w:asciiTheme="minorEastAsia" w:hAnsiTheme="minorEastAsia" w:eastAsiaTheme="minorEastAsia" w:cstheme="minorEastAsia"/>
                <w:color w:val="auto"/>
                <w:kern w:val="0"/>
                <w:sz w:val="24"/>
                <w:szCs w:val="24"/>
                <w:highlight w:val="none"/>
                <w:lang w:val="en-US" w:eastAsia="zh-CN"/>
              </w:rPr>
              <w:t>4</w:t>
            </w:r>
            <w:r>
              <w:rPr>
                <w:rFonts w:hint="default" w:asciiTheme="minorEastAsia" w:hAnsiTheme="minorEastAsia" w:eastAsiaTheme="minorEastAsia" w:cstheme="minorEastAsia"/>
                <w:color w:val="auto"/>
                <w:kern w:val="0"/>
                <w:sz w:val="24"/>
                <w:szCs w:val="24"/>
                <w:highlight w:val="none"/>
                <w:lang w:val="en-US" w:eastAsia="zh-CN"/>
              </w:rPr>
              <w:t>分</w:t>
            </w:r>
            <w:r>
              <w:rPr>
                <w:rFonts w:hint="eastAsia" w:asciiTheme="minorEastAsia" w:hAnsiTheme="minorEastAsia" w:eastAsiaTheme="minorEastAsia" w:cstheme="minorEastAsia"/>
                <w:color w:val="auto"/>
                <w:kern w:val="0"/>
                <w:sz w:val="24"/>
                <w:szCs w:val="24"/>
                <w:highlight w:val="none"/>
                <w:lang w:val="en-US" w:eastAsia="zh-CN"/>
              </w:rPr>
              <w:t>；</w:t>
            </w:r>
          </w:p>
          <w:p w14:paraId="4275FEEE">
            <w:pPr>
              <w:pageBreakBefore w:val="0"/>
              <w:kinsoku/>
              <w:wordWrap/>
              <w:overflowPunct/>
              <w:topLinePunct w:val="0"/>
              <w:autoSpaceDE/>
              <w:autoSpaceDN/>
              <w:bidi w:val="0"/>
              <w:adjustRightInd w:val="0"/>
              <w:snapToGrid w:val="0"/>
              <w:spacing w:beforeAutospacing="0" w:after="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方案</w:t>
            </w:r>
            <w:r>
              <w:rPr>
                <w:rFonts w:hint="default" w:asciiTheme="minorEastAsia" w:hAnsiTheme="minorEastAsia" w:eastAsiaTheme="minorEastAsia" w:cstheme="minorEastAsia"/>
                <w:color w:val="auto"/>
                <w:kern w:val="0"/>
                <w:sz w:val="24"/>
                <w:szCs w:val="24"/>
                <w:highlight w:val="none"/>
                <w:lang w:val="en-US" w:eastAsia="zh-CN"/>
              </w:rPr>
              <w:t>存在明显瑕疵，合理性和可行性一般，得</w:t>
            </w:r>
            <w:r>
              <w:rPr>
                <w:rFonts w:hint="eastAsia" w:asciiTheme="minorEastAsia" w:hAnsiTheme="minorEastAsia" w:eastAsiaTheme="minorEastAsia" w:cstheme="minorEastAsia"/>
                <w:color w:val="auto"/>
                <w:kern w:val="0"/>
                <w:sz w:val="24"/>
                <w:szCs w:val="24"/>
                <w:highlight w:val="none"/>
                <w:lang w:val="en-US" w:eastAsia="zh-CN"/>
              </w:rPr>
              <w:t>1</w:t>
            </w:r>
            <w:r>
              <w:rPr>
                <w:rFonts w:hint="default" w:asciiTheme="minorEastAsia" w:hAnsiTheme="minorEastAsia" w:eastAsiaTheme="minorEastAsia" w:cstheme="minorEastAsia"/>
                <w:color w:val="auto"/>
                <w:kern w:val="0"/>
                <w:sz w:val="24"/>
                <w:szCs w:val="24"/>
                <w:highlight w:val="none"/>
                <w:lang w:val="en-US" w:eastAsia="zh-CN"/>
              </w:rPr>
              <w:t>分；​</w:t>
            </w:r>
          </w:p>
          <w:p w14:paraId="477DF195">
            <w:pPr>
              <w:pageBreakBefore w:val="0"/>
              <w:kinsoku/>
              <w:wordWrap/>
              <w:overflowPunct/>
              <w:topLinePunct w:val="0"/>
              <w:autoSpaceDE/>
              <w:autoSpaceDN/>
              <w:bidi w:val="0"/>
              <w:adjustRightInd w:val="0"/>
              <w:snapToGrid w:val="0"/>
              <w:spacing w:beforeAutospacing="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缺项的不得分。</w:t>
            </w:r>
          </w:p>
        </w:tc>
      </w:tr>
      <w:tr w14:paraId="265E9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114B374F">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639" w:type="dxa"/>
            <w:vAlign w:val="center"/>
          </w:tcPr>
          <w:p w14:paraId="271C47E1">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w:t>
            </w:r>
            <w:r>
              <w:rPr>
                <w:rFonts w:hint="eastAsia" w:ascii="宋体" w:hAnsi="宋体" w:eastAsia="宋体" w:cs="宋体"/>
                <w:color w:val="auto"/>
                <w:sz w:val="24"/>
                <w:szCs w:val="24"/>
                <w:highlight w:val="none"/>
                <w:lang w:val="en-US" w:eastAsia="zh-CN"/>
              </w:rPr>
              <w:t>（0-10分）</w:t>
            </w:r>
          </w:p>
        </w:tc>
        <w:tc>
          <w:tcPr>
            <w:tcW w:w="6441" w:type="dxa"/>
            <w:vAlign w:val="center"/>
          </w:tcPr>
          <w:p w14:paraId="3C3E5FBC">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根据供应商提供的质量保障措施是否科学、合理、可行。</w:t>
            </w:r>
          </w:p>
          <w:p w14:paraId="285D0691">
            <w:pPr>
              <w:pageBreakBefore w:val="0"/>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提供的质量保证措施便于实施、具有针对性、完善程度高得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4042876D">
            <w:pPr>
              <w:pageBreakBefore w:val="0"/>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提供的质量保证措施合理便于实施、但完善程度一般不够详尽的得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79AE8256">
            <w:pPr>
              <w:pageBreakBefore w:val="0"/>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提供的质量保证措施合理性一般，不便于实施，完善程度一般不够详尽的得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p w14:paraId="5C1EE991">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缺项的不得分。</w:t>
            </w:r>
          </w:p>
        </w:tc>
      </w:tr>
      <w:tr w14:paraId="4EEED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5F87BFEA">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639" w:type="dxa"/>
            <w:vAlign w:val="center"/>
          </w:tcPr>
          <w:p w14:paraId="4447E1C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供货方案（</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10分）</w:t>
            </w:r>
          </w:p>
        </w:tc>
        <w:tc>
          <w:tcPr>
            <w:tcW w:w="6441" w:type="dxa"/>
            <w:vAlign w:val="center"/>
          </w:tcPr>
          <w:p w14:paraId="75A471DF">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根据采购人实际需求，针对项目实际情况，提供农药统一进行送货到指定地点的实施有详细的供货、组织协调计划，人员、车辆配备合理、可行，供货保证措施明确、具体的，得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3E12D6DB">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根据采购人实际需求，针对项目实际情况，提供农药统一进行送货到指定地点的实施有基本合理的供货、组织协调计划，人员、车辆配备基本满足供货需求，供货保证措施基本可行的，得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42DF92ED">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针对项目实际情况，提供农药统一进行送货到指定地点的实施有详细的供货、基本合理。有人员安排计划、供货计划的，得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623F4E15">
            <w:pPr>
              <w:keepNext w:val="0"/>
              <w:keepLines w:val="0"/>
              <w:pageBreakBefore w:val="0"/>
              <w:widowControl/>
              <w:kinsoku w:val="0"/>
              <w:wordWrap/>
              <w:bidi w:val="0"/>
              <w:adjustRightInd w:val="0"/>
              <w:snapToGrid w:val="0"/>
              <w:spacing w:line="360" w:lineRule="auto"/>
              <w:ind w:left="0" w:leftChars="0" w:right="0" w:rightChars="0"/>
              <w:jc w:val="left"/>
              <w:rPr>
                <w:rFonts w:hint="eastAsia"/>
                <w:color w:val="auto"/>
                <w:highlight w:val="none"/>
              </w:rPr>
            </w:pPr>
            <w:r>
              <w:rPr>
                <w:rFonts w:hint="eastAsia" w:ascii="宋体" w:hAnsi="宋体" w:eastAsia="宋体" w:cs="宋体"/>
                <w:color w:val="auto"/>
                <w:sz w:val="24"/>
                <w:szCs w:val="24"/>
                <w:highlight w:val="none"/>
                <w:lang w:val="en-US" w:eastAsia="zh-CN"/>
              </w:rPr>
              <w:t>缺项的不得分。</w:t>
            </w:r>
          </w:p>
        </w:tc>
      </w:tr>
      <w:tr w14:paraId="4EEB9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5A8959C5">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639" w:type="dxa"/>
            <w:shd w:val="clear" w:color="auto" w:fill="auto"/>
            <w:vAlign w:val="center"/>
          </w:tcPr>
          <w:p w14:paraId="53DF90D9">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安全保障措施</w:t>
            </w:r>
            <w:r>
              <w:rPr>
                <w:rFonts w:hint="eastAsia" w:ascii="宋体" w:hAnsi="宋体" w:eastAsia="宋体" w:cs="宋体"/>
                <w:color w:val="auto"/>
                <w:sz w:val="24"/>
                <w:szCs w:val="24"/>
                <w:highlight w:val="none"/>
                <w:lang w:val="en-US" w:eastAsia="zh-CN"/>
              </w:rPr>
              <w:t>（0-10分）</w:t>
            </w:r>
          </w:p>
        </w:tc>
        <w:tc>
          <w:tcPr>
            <w:tcW w:w="6441" w:type="dxa"/>
            <w:shd w:val="clear" w:color="auto" w:fill="auto"/>
            <w:vAlign w:val="center"/>
          </w:tcPr>
          <w:p w14:paraId="63903E23">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有制定全面的服务安全保障</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，对服务过程中的关键节点有具体安全控制措施，有相应的人力、物力投入安排，能够确保服务安全的，得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6604DD1B">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第</w:t>
            </w:r>
            <w:r>
              <w:rPr>
                <w:rFonts w:hint="eastAsia" w:ascii="宋体" w:hAnsi="宋体" w:eastAsia="宋体" w:cs="宋体"/>
                <w:color w:val="auto"/>
                <w:sz w:val="24"/>
                <w:szCs w:val="24"/>
                <w:highlight w:val="none"/>
              </w:rPr>
              <w:t>安全保障</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较完整详细、基本合理、可靠性较强的，得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64C45FC3">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安全保障</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一般、合理性和可靠性一般的，得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7F0ECF36">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缺项的不得分。</w:t>
            </w:r>
          </w:p>
        </w:tc>
      </w:tr>
      <w:tr w14:paraId="064CC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7E8F5076">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639" w:type="dxa"/>
            <w:shd w:val="clear" w:color="auto" w:fill="auto"/>
            <w:vAlign w:val="center"/>
          </w:tcPr>
          <w:p w14:paraId="22F92C7A">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突发应急措施</w:t>
            </w:r>
            <w:r>
              <w:rPr>
                <w:rFonts w:hint="eastAsia" w:ascii="宋体" w:hAnsi="宋体" w:eastAsia="宋体" w:cs="宋体"/>
                <w:color w:val="auto"/>
                <w:sz w:val="24"/>
                <w:szCs w:val="24"/>
                <w:highlight w:val="none"/>
                <w:lang w:val="en-US" w:eastAsia="zh-CN"/>
              </w:rPr>
              <w:t>（0-5分）</w:t>
            </w:r>
          </w:p>
        </w:tc>
        <w:tc>
          <w:tcPr>
            <w:tcW w:w="6441" w:type="dxa"/>
            <w:shd w:val="clear" w:color="auto" w:fill="auto"/>
            <w:vAlign w:val="center"/>
          </w:tcPr>
          <w:p w14:paraId="3582EA07">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服务方案中的突发应急措施</w:t>
            </w:r>
          </w:p>
          <w:p w14:paraId="54F37D77">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服务方案全面、详尽、合理、有保障、完全满足项目要求的，得5分；</w:t>
            </w:r>
          </w:p>
          <w:p w14:paraId="696E4627">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方案不全面、或者不详尽的，得3分；</w:t>
            </w:r>
          </w:p>
          <w:p w14:paraId="0525100F">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方案不合理或者技术质量无保障的得1分；</w:t>
            </w:r>
          </w:p>
          <w:p w14:paraId="5CF12944">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缺项的不得分。</w:t>
            </w:r>
          </w:p>
        </w:tc>
      </w:tr>
      <w:tr w14:paraId="16E1A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1152B6F2">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639" w:type="dxa"/>
            <w:vAlign w:val="center"/>
          </w:tcPr>
          <w:p w14:paraId="20D61D9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因服务质量问题引起纠纷时提供的应急解决方案及赔偿标准</w:t>
            </w:r>
            <w:r>
              <w:rPr>
                <w:rFonts w:hint="eastAsia" w:ascii="宋体" w:hAnsi="宋体" w:eastAsia="宋体" w:cs="宋体"/>
                <w:color w:val="auto"/>
                <w:sz w:val="24"/>
                <w:szCs w:val="24"/>
                <w:highlight w:val="none"/>
                <w:lang w:val="en-US" w:eastAsia="zh-CN"/>
              </w:rPr>
              <w:t>（0-5分）</w:t>
            </w:r>
          </w:p>
        </w:tc>
        <w:tc>
          <w:tcPr>
            <w:tcW w:w="6441" w:type="dxa"/>
            <w:vAlign w:val="center"/>
          </w:tcPr>
          <w:p w14:paraId="1277F928">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因服务质量问题引起纠纷时提供的应急解决方案及赔偿标准</w:t>
            </w:r>
          </w:p>
          <w:p w14:paraId="024F5662">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服务方案全面、详尽、合理、有保障、完全满足项目要求的，得5分；</w:t>
            </w:r>
          </w:p>
          <w:p w14:paraId="171BD8EE">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方案不全面、或者不详尽的，得3分；</w:t>
            </w:r>
          </w:p>
          <w:p w14:paraId="38A20F47">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方案不合理或者技术质量无保障的，得1分；</w:t>
            </w:r>
          </w:p>
          <w:p w14:paraId="07268B41">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缺项的不得分。</w:t>
            </w:r>
          </w:p>
        </w:tc>
      </w:tr>
      <w:tr w14:paraId="3DCF5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276" w:type="dxa"/>
            <w:vMerge w:val="restart"/>
            <w:vAlign w:val="center"/>
          </w:tcPr>
          <w:p w14:paraId="382468DA">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w:t>
            </w:r>
          </w:p>
          <w:p w14:paraId="2F21FBA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分）</w:t>
            </w:r>
          </w:p>
        </w:tc>
        <w:tc>
          <w:tcPr>
            <w:tcW w:w="1639" w:type="dxa"/>
            <w:vAlign w:val="center"/>
          </w:tcPr>
          <w:p w14:paraId="638EAFFF">
            <w:pPr>
              <w:pStyle w:val="33"/>
              <w:keepNext w:val="0"/>
              <w:keepLines w:val="0"/>
              <w:pageBreakBefore w:val="0"/>
              <w:widowControl/>
              <w:kinsoku w:val="0"/>
              <w:wordWrap/>
              <w:bidi w:val="0"/>
              <w:adjustRightInd w:val="0"/>
              <w:snapToGrid w:val="0"/>
              <w:spacing w:line="36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r>
              <w:rPr>
                <w:rFonts w:hint="eastAsia" w:ascii="宋体" w:hAnsi="宋体" w:eastAsia="宋体" w:cs="宋体"/>
                <w:color w:val="auto"/>
                <w:spacing w:val="-8"/>
                <w:sz w:val="24"/>
                <w:szCs w:val="24"/>
                <w:highlight w:val="none"/>
              </w:rPr>
              <w:t>（</w:t>
            </w:r>
            <w:r>
              <w:rPr>
                <w:rFonts w:hint="eastAsia" w:ascii="宋体" w:hAnsi="宋体" w:eastAsia="宋体" w:cs="宋体"/>
                <w:snapToGrid w:val="0"/>
                <w:color w:val="auto"/>
                <w:kern w:val="2"/>
                <w:sz w:val="24"/>
                <w:szCs w:val="24"/>
                <w:highlight w:val="none"/>
                <w:lang w:val="en-US" w:eastAsia="zh-CN"/>
              </w:rPr>
              <w:t>0-</w:t>
            </w:r>
            <w:r>
              <w:rPr>
                <w:rFonts w:hint="eastAsia" w:ascii="宋体" w:hAnsi="宋体" w:eastAsia="宋体" w:cs="宋体"/>
                <w:color w:val="auto"/>
                <w:spacing w:val="-8"/>
                <w:sz w:val="24"/>
                <w:szCs w:val="24"/>
                <w:highlight w:val="none"/>
                <w:lang w:val="en-US" w:eastAsia="zh-CN"/>
              </w:rPr>
              <w:t>6</w:t>
            </w:r>
            <w:r>
              <w:rPr>
                <w:rFonts w:hint="eastAsia" w:ascii="宋体" w:hAnsi="宋体" w:eastAsia="宋体" w:cs="宋体"/>
                <w:color w:val="auto"/>
                <w:spacing w:val="-8"/>
                <w:sz w:val="24"/>
                <w:szCs w:val="24"/>
                <w:highlight w:val="none"/>
              </w:rPr>
              <w:t>分）</w:t>
            </w:r>
          </w:p>
        </w:tc>
        <w:tc>
          <w:tcPr>
            <w:tcW w:w="6441" w:type="dxa"/>
            <w:vAlign w:val="center"/>
          </w:tcPr>
          <w:p w14:paraId="2F08B655">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供应商自20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年1月</w:t>
            </w:r>
            <w:r>
              <w:rPr>
                <w:rFonts w:hint="eastAsia" w:ascii="宋体" w:hAnsi="宋体" w:eastAsia="宋体" w:cs="宋体"/>
                <w:color w:val="auto"/>
                <w:sz w:val="24"/>
                <w:szCs w:val="24"/>
                <w:highlight w:val="none"/>
                <w:lang w:val="en-US" w:eastAsia="zh-CN"/>
              </w:rPr>
              <w:t>1日</w:t>
            </w:r>
            <w:r>
              <w:rPr>
                <w:rFonts w:hint="eastAsia" w:ascii="宋体" w:hAnsi="宋体" w:eastAsia="宋体" w:cs="宋体"/>
                <w:color w:val="auto"/>
                <w:sz w:val="24"/>
                <w:szCs w:val="24"/>
                <w:highlight w:val="none"/>
              </w:rPr>
              <w:t>以来承接过类似项目的，每个得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分（提供合同协议，以合同签订日期为准）。</w:t>
            </w:r>
          </w:p>
        </w:tc>
      </w:tr>
      <w:tr w14:paraId="50641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276" w:type="dxa"/>
            <w:vMerge w:val="continue"/>
            <w:vAlign w:val="center"/>
          </w:tcPr>
          <w:p w14:paraId="3B94D4E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sz w:val="24"/>
                <w:szCs w:val="24"/>
                <w:highlight w:val="none"/>
              </w:rPr>
            </w:pPr>
          </w:p>
        </w:tc>
        <w:tc>
          <w:tcPr>
            <w:tcW w:w="1639" w:type="dxa"/>
            <w:vAlign w:val="center"/>
          </w:tcPr>
          <w:p w14:paraId="4ABB61E5">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center"/>
              <w:rPr>
                <w:rFonts w:hint="default" w:ascii="宋体" w:hAnsi="宋体" w:eastAsia="宋体" w:cs="宋体"/>
                <w:snapToGrid w:val="0"/>
                <w:color w:val="auto"/>
                <w:kern w:val="2"/>
                <w:sz w:val="24"/>
                <w:szCs w:val="24"/>
                <w:highlight w:val="none"/>
                <w:lang w:val="en-US" w:eastAsia="zh-CN"/>
              </w:rPr>
            </w:pPr>
            <w:r>
              <w:rPr>
                <w:rFonts w:hint="eastAsia" w:ascii="宋体" w:hAnsi="宋体" w:eastAsia="宋体" w:cs="宋体"/>
                <w:snapToGrid w:val="0"/>
                <w:color w:val="auto"/>
                <w:kern w:val="2"/>
                <w:sz w:val="24"/>
                <w:szCs w:val="24"/>
                <w:highlight w:val="none"/>
                <w:lang w:val="en-US" w:eastAsia="zh-CN"/>
              </w:rPr>
              <w:t>优惠承诺承诺</w:t>
            </w:r>
          </w:p>
          <w:p w14:paraId="06F7C6A8">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2"/>
                <w:sz w:val="24"/>
                <w:szCs w:val="24"/>
                <w:highlight w:val="none"/>
                <w:lang w:val="en-US" w:eastAsia="zh-CN"/>
              </w:rPr>
              <w:t>(0-4分)</w:t>
            </w:r>
          </w:p>
        </w:tc>
        <w:tc>
          <w:tcPr>
            <w:tcW w:w="6441" w:type="dxa"/>
            <w:vAlign w:val="center"/>
          </w:tcPr>
          <w:p w14:paraId="47B3FED8">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napToGrid w:val="0"/>
                <w:color w:val="auto"/>
                <w:kern w:val="2"/>
                <w:sz w:val="24"/>
                <w:szCs w:val="24"/>
                <w:highlight w:val="none"/>
                <w:lang w:val="zh-CN" w:eastAsia="zh-CN"/>
              </w:rPr>
            </w:pPr>
            <w:r>
              <w:rPr>
                <w:rFonts w:hint="eastAsia" w:ascii="宋体" w:hAnsi="宋体" w:eastAsia="宋体" w:cs="宋体"/>
                <w:snapToGrid w:val="0"/>
                <w:color w:val="auto"/>
                <w:kern w:val="2"/>
                <w:sz w:val="24"/>
                <w:szCs w:val="24"/>
                <w:highlight w:val="none"/>
                <w:lang w:val="en-US" w:eastAsia="zh-CN"/>
              </w:rPr>
              <w:t>磋商小组根据</w:t>
            </w:r>
            <w:r>
              <w:rPr>
                <w:rFonts w:hint="eastAsia" w:ascii="宋体" w:hAnsi="宋体" w:eastAsia="宋体" w:cs="宋体"/>
                <w:snapToGrid w:val="0"/>
                <w:color w:val="auto"/>
                <w:kern w:val="2"/>
                <w:sz w:val="24"/>
                <w:szCs w:val="24"/>
                <w:highlight w:val="none"/>
                <w:lang w:val="zh-CN" w:eastAsia="zh-CN"/>
              </w:rPr>
              <w:t>投标人</w:t>
            </w:r>
            <w:r>
              <w:rPr>
                <w:rFonts w:hint="eastAsia" w:ascii="宋体" w:hAnsi="宋体" w:eastAsia="宋体" w:cs="宋体"/>
                <w:snapToGrid w:val="0"/>
                <w:color w:val="auto"/>
                <w:kern w:val="2"/>
                <w:sz w:val="24"/>
                <w:szCs w:val="24"/>
                <w:highlight w:val="none"/>
                <w:lang w:val="en-US" w:eastAsia="zh-CN"/>
              </w:rPr>
              <w:t>提供优惠承诺</w:t>
            </w:r>
            <w:r>
              <w:rPr>
                <w:rFonts w:hint="eastAsia" w:ascii="宋体" w:hAnsi="宋体" w:eastAsia="宋体" w:cs="宋体"/>
                <w:snapToGrid w:val="0"/>
                <w:color w:val="auto"/>
                <w:kern w:val="2"/>
                <w:sz w:val="24"/>
                <w:szCs w:val="24"/>
                <w:highlight w:val="none"/>
                <w:lang w:val="zh-CN" w:eastAsia="zh-CN"/>
              </w:rPr>
              <w:t>内容详实，科学、合理，考虑周全，措施到位，针对性强，完全能够满足项目的需要。（</w:t>
            </w:r>
            <w:r>
              <w:rPr>
                <w:rFonts w:hint="eastAsia" w:ascii="宋体" w:hAnsi="宋体" w:eastAsia="宋体" w:cs="宋体"/>
                <w:snapToGrid w:val="0"/>
                <w:color w:val="auto"/>
                <w:kern w:val="2"/>
                <w:sz w:val="24"/>
                <w:szCs w:val="24"/>
                <w:highlight w:val="none"/>
                <w:lang w:val="en-US" w:eastAsia="zh-CN"/>
              </w:rPr>
              <w:t>4分</w:t>
            </w:r>
            <w:r>
              <w:rPr>
                <w:rFonts w:hint="eastAsia" w:ascii="宋体" w:hAnsi="宋体" w:eastAsia="宋体" w:cs="宋体"/>
                <w:snapToGrid w:val="0"/>
                <w:color w:val="auto"/>
                <w:kern w:val="2"/>
                <w:sz w:val="24"/>
                <w:szCs w:val="24"/>
                <w:highlight w:val="none"/>
                <w:lang w:val="zh-CN" w:eastAsia="zh-CN"/>
              </w:rPr>
              <w:t>）</w:t>
            </w:r>
          </w:p>
          <w:p w14:paraId="172551AC">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优惠服务承诺</w:t>
            </w:r>
            <w:r>
              <w:rPr>
                <w:rFonts w:hint="eastAsia" w:ascii="宋体" w:hAnsi="宋体" w:eastAsia="宋体" w:cs="宋体"/>
                <w:color w:val="auto"/>
                <w:sz w:val="24"/>
                <w:szCs w:val="24"/>
                <w:highlight w:val="none"/>
              </w:rPr>
              <w:t>便于实施、科学、合理、可行</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1B0EE38F">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优惠服务承诺</w:t>
            </w:r>
            <w:r>
              <w:rPr>
                <w:rFonts w:hint="eastAsia" w:ascii="宋体" w:hAnsi="宋体" w:eastAsia="宋体" w:cs="宋体"/>
                <w:color w:val="auto"/>
                <w:sz w:val="24"/>
                <w:szCs w:val="24"/>
                <w:highlight w:val="none"/>
              </w:rPr>
              <w:t>合理性一般，不便于实施，完善程度一般，不够详尽的，得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7C4CF75">
            <w:pPr>
              <w:pStyle w:val="34"/>
              <w:keepNext w:val="0"/>
              <w:keepLines w:val="0"/>
              <w:pageBreakBefore w:val="0"/>
              <w:widowControl/>
              <w:kinsoku w:val="0"/>
              <w:wordWrap/>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不提供得0分。</w:t>
            </w:r>
          </w:p>
        </w:tc>
      </w:tr>
      <w:tr w14:paraId="3C7EA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7" w:hRule="atLeast"/>
          <w:jc w:val="center"/>
        </w:trPr>
        <w:tc>
          <w:tcPr>
            <w:tcW w:w="1276" w:type="dxa"/>
            <w:vMerge w:val="continue"/>
            <w:vAlign w:val="center"/>
          </w:tcPr>
          <w:p w14:paraId="49DA1F5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sz w:val="24"/>
                <w:szCs w:val="24"/>
                <w:highlight w:val="none"/>
              </w:rPr>
            </w:pPr>
          </w:p>
        </w:tc>
        <w:tc>
          <w:tcPr>
            <w:tcW w:w="1639" w:type="dxa"/>
            <w:vAlign w:val="center"/>
          </w:tcPr>
          <w:p w14:paraId="6E5F3743">
            <w:pPr>
              <w:pStyle w:val="33"/>
              <w:keepNext w:val="0"/>
              <w:keepLines w:val="0"/>
              <w:pageBreakBefore w:val="0"/>
              <w:widowControl/>
              <w:kinsoku w:val="0"/>
              <w:wordWrap/>
              <w:bidi w:val="0"/>
              <w:adjustRightInd w:val="0"/>
              <w:snapToGrid w:val="0"/>
              <w:spacing w:line="36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售后服务方案</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lang w:val="en-US" w:eastAsia="zh-CN"/>
              </w:rPr>
              <w:t>10</w:t>
            </w:r>
            <w:r>
              <w:rPr>
                <w:rFonts w:hint="eastAsia" w:ascii="宋体" w:hAnsi="宋体" w:eastAsia="宋体" w:cs="宋体"/>
                <w:color w:val="auto"/>
                <w:spacing w:val="-8"/>
                <w:sz w:val="24"/>
                <w:szCs w:val="24"/>
                <w:highlight w:val="none"/>
              </w:rPr>
              <w:t>分）</w:t>
            </w:r>
          </w:p>
        </w:tc>
        <w:tc>
          <w:tcPr>
            <w:tcW w:w="6441" w:type="dxa"/>
            <w:vAlign w:val="center"/>
          </w:tcPr>
          <w:p w14:paraId="7617C4C5">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1.有优惠条件，有完善的售后服务计划、稳定的售后服务队伍、良好的服务信誉，服务热线、详细的人员培训计划</w:t>
            </w:r>
            <w:r>
              <w:rPr>
                <w:rFonts w:hint="eastAsia" w:ascii="宋体" w:hAnsi="宋体" w:eastAsia="宋体" w:cs="宋体"/>
                <w:color w:val="auto"/>
                <w:sz w:val="24"/>
                <w:szCs w:val="24"/>
                <w:highlight w:val="none"/>
                <w:lang w:eastAsia="zh-CN"/>
              </w:rPr>
              <w:t>。</w:t>
            </w:r>
          </w:p>
          <w:p w14:paraId="70C6AF54">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2.质保期内，出现任何问题，无条件负责等承诺情况；</w:t>
            </w:r>
          </w:p>
          <w:p w14:paraId="3A5A2367">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3.供应商应书面对本次对投标产品的性能、货源组织安排进行详细描述，发放到指定地点，配备相应技术人员和服务团队，为采购人免费提供技术培训、指导等承诺；</w:t>
            </w:r>
          </w:p>
          <w:p w14:paraId="60C56F92">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4.后期指导服务方案。</w:t>
            </w:r>
          </w:p>
          <w:p w14:paraId="510E163B">
            <w:pPr>
              <w:keepNext w:val="0"/>
              <w:keepLines w:val="0"/>
              <w:pageBreakBefore w:val="0"/>
              <w:widowControl/>
              <w:numPr>
                <w:ilvl w:val="0"/>
                <w:numId w:val="1"/>
              </w:numPr>
              <w:kinsoku w:val="0"/>
              <w:wordWrap/>
              <w:bidi w:val="0"/>
              <w:adjustRightInd w:val="0"/>
              <w:snapToGrid w:val="0"/>
              <w:spacing w:line="360" w:lineRule="auto"/>
              <w:ind w:left="0" w:leftChars="0" w:right="0" w:rightChars="0" w:hanging="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第一档：服务方案、措施及承诺特别全面、合理、可行、可实施性强，有详细的产品退换货方案及措施，能较好的满足本项目要求的得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00154348">
            <w:pPr>
              <w:keepNext w:val="0"/>
              <w:keepLines w:val="0"/>
              <w:pageBreakBefore w:val="0"/>
              <w:widowControl/>
              <w:numPr>
                <w:ilvl w:val="0"/>
                <w:numId w:val="1"/>
              </w:numPr>
              <w:kinsoku w:val="0"/>
              <w:wordWrap/>
              <w:bidi w:val="0"/>
              <w:adjustRightInd w:val="0"/>
              <w:snapToGrid w:val="0"/>
              <w:spacing w:line="360" w:lineRule="auto"/>
              <w:ind w:left="0" w:leftChars="0" w:right="0" w:rightChars="0" w:hanging="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第二档：服务方案各方面安排较合理，产品退换货方案及措施简单、可实践实施的得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5D11C7BF">
            <w:pPr>
              <w:keepNext w:val="0"/>
              <w:keepLines w:val="0"/>
              <w:pageBreakBefore w:val="0"/>
              <w:widowControl/>
              <w:numPr>
                <w:ilvl w:val="0"/>
                <w:numId w:val="1"/>
              </w:numPr>
              <w:kinsoku w:val="0"/>
              <w:wordWrap/>
              <w:bidi w:val="0"/>
              <w:adjustRightInd w:val="0"/>
              <w:snapToGrid w:val="0"/>
              <w:spacing w:line="360" w:lineRule="auto"/>
              <w:ind w:left="0" w:leftChars="0" w:right="0" w:rightChars="0" w:hanging="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第三档：服务方案各方面安排较差、均为通用性的说明，产品退换货方案及措施不具有实践实施性的得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1C3A2E28">
            <w:pPr>
              <w:keepNext w:val="0"/>
              <w:keepLines w:val="0"/>
              <w:pageBreakBefore w:val="0"/>
              <w:widowControl/>
              <w:numPr>
                <w:ilvl w:val="0"/>
                <w:numId w:val="1"/>
              </w:numPr>
              <w:kinsoku w:val="0"/>
              <w:wordWrap/>
              <w:bidi w:val="0"/>
              <w:adjustRightInd w:val="0"/>
              <w:snapToGrid w:val="0"/>
              <w:spacing w:line="360" w:lineRule="auto"/>
              <w:ind w:left="0" w:leftChars="0" w:right="0" w:rightChars="0" w:hanging="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第四档：有服务方案，但内容与本项目实际不符，无操作性的得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74EE3E7B">
            <w:pPr>
              <w:keepNext w:val="0"/>
              <w:keepLines w:val="0"/>
              <w:pageBreakBefore w:val="0"/>
              <w:widowControl/>
              <w:numPr>
                <w:ilvl w:val="0"/>
                <w:numId w:val="1"/>
              </w:numPr>
              <w:kinsoku w:val="0"/>
              <w:wordWrap/>
              <w:bidi w:val="0"/>
              <w:adjustRightInd w:val="0"/>
              <w:snapToGrid w:val="0"/>
              <w:spacing w:line="360" w:lineRule="auto"/>
              <w:ind w:left="0" w:leftChars="0" w:right="0" w:rightChars="0" w:hanging="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第五档：完全不满足不得分。</w:t>
            </w:r>
          </w:p>
        </w:tc>
      </w:tr>
      <w:tr w14:paraId="5AD9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9356" w:type="dxa"/>
            <w:gridSpan w:val="3"/>
            <w:vAlign w:val="center"/>
          </w:tcPr>
          <w:p w14:paraId="15231F1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备注：1、评标打分部分：评标打分部分仍按照100分制原则进行，涉及到资格审查、企业荣誉、人员业绩、企业业绩等计分部分时，以投标单位自行上传到</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中的相应内容为准。</w:t>
            </w:r>
          </w:p>
          <w:p w14:paraId="2307CC09">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编制部分：在</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格式进行</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编制，在</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编制时，应明确将投标单位企业基本情况、资质情况、人员情况、财务情况、业绩情况编入</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，便于进行资格审查及评标打分以</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业绩信息为准，可使用电子营业执照。</w:t>
            </w:r>
          </w:p>
          <w:p w14:paraId="00F53A9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3、磋商文件中涉及到资格审查、企业荣誉、人员业绩、企业业绩等计分部分，以投标单位自行上传到</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中的相应内容为准.</w:t>
            </w:r>
          </w:p>
          <w:p w14:paraId="14B8A610">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以上项目若有缺项的，该项为0分；不缺项的，不低于最低分。</w:t>
            </w:r>
          </w:p>
          <w:p w14:paraId="1C5FEF1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供应商综合得分等于投标报价、技术部分、综合部分的汇总得分。</w:t>
            </w:r>
          </w:p>
          <w:p w14:paraId="73127F49">
            <w:pPr>
              <w:keepNext w:val="0"/>
              <w:keepLines w:val="0"/>
              <w:pageBreakBefore w:val="0"/>
              <w:widowControl/>
              <w:numPr>
                <w:ilvl w:val="0"/>
                <w:numId w:val="1"/>
              </w:numPr>
              <w:kinsoku w:val="0"/>
              <w:wordWrap/>
              <w:bidi w:val="0"/>
              <w:adjustRightInd w:val="0"/>
              <w:snapToGrid w:val="0"/>
              <w:spacing w:line="360" w:lineRule="auto"/>
              <w:ind w:left="0" w:leftChars="0" w:right="0" w:rightChars="0" w:hanging="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磋商小组对各供应商的得分进行汇总，计算过程中磋商小组个人分值按四舍五入保留三位小数，最终结果按四舍五入保留两位小数。以各磋商小组打分的算术平均值作为该供应商的最终得分</w:t>
            </w:r>
          </w:p>
        </w:tc>
      </w:tr>
    </w:tbl>
    <w:p w14:paraId="5E4D453F">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vanish/>
          <w:color w:val="auto"/>
          <w:sz w:val="24"/>
          <w:szCs w:val="24"/>
          <w:highlight w:val="none"/>
        </w:rPr>
      </w:pPr>
    </w:p>
    <w:p w14:paraId="42EE498A">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outlineLvl w:val="1"/>
        <w:rPr>
          <w:rFonts w:hint="eastAsia" w:ascii="宋体" w:hAnsi="宋体" w:eastAsia="宋体" w:cs="宋体"/>
          <w:b/>
          <w:snapToGrid w:val="0"/>
          <w:color w:val="auto"/>
          <w:sz w:val="24"/>
          <w:szCs w:val="24"/>
          <w:highlight w:val="none"/>
        </w:rPr>
      </w:pPr>
    </w:p>
    <w:p w14:paraId="1A253165">
      <w:pPr>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4"/>
          <w:szCs w:val="24"/>
          <w:highlight w:val="none"/>
        </w:rPr>
        <w:br w:type="page"/>
      </w:r>
    </w:p>
    <w:p w14:paraId="7E881387">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outlineLvl w:val="1"/>
        <w:rPr>
          <w:rFonts w:hint="eastAsia"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1. 磋商文件的评审、比较和否决</w:t>
      </w:r>
    </w:p>
    <w:p w14:paraId="021ADCDE">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1.1</w:t>
      </w:r>
      <w:r>
        <w:rPr>
          <w:rFonts w:hint="eastAsia" w:ascii="宋体" w:hAnsi="宋体" w:eastAsia="宋体" w:cs="宋体"/>
          <w:snapToGrid w:val="0"/>
          <w:color w:val="auto"/>
          <w:sz w:val="24"/>
          <w:szCs w:val="24"/>
          <w:highlight w:val="none"/>
          <w:lang w:eastAsia="zh-CN"/>
        </w:rPr>
        <w:t>磋商小组</w:t>
      </w:r>
      <w:r>
        <w:rPr>
          <w:rFonts w:hint="eastAsia" w:ascii="宋体" w:hAnsi="宋体" w:eastAsia="宋体" w:cs="宋体"/>
          <w:snapToGrid w:val="0"/>
          <w:color w:val="auto"/>
          <w:sz w:val="24"/>
          <w:szCs w:val="24"/>
          <w:highlight w:val="none"/>
        </w:rPr>
        <w:t>将按照竞争性磋商文件的规定，仅对在实质上响应竞争性磋商文件要求的磋商文件进行评估和比较。</w:t>
      </w:r>
    </w:p>
    <w:p w14:paraId="7FE09562">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1.2</w:t>
      </w:r>
      <w:r>
        <w:rPr>
          <w:rFonts w:hint="eastAsia" w:ascii="宋体" w:hAnsi="宋体" w:eastAsia="宋体" w:cs="宋体"/>
          <w:snapToGrid w:val="0"/>
          <w:color w:val="auto"/>
          <w:sz w:val="24"/>
          <w:szCs w:val="24"/>
          <w:highlight w:val="none"/>
        </w:rPr>
        <w:t>根据相关法律法规及有关磋商文件规定，结合本项目具体情况，制定本次采购评标办法。并按照“公平、公正、科学、择优”的原则进行评标。采用百分制综合评估法进行评比。</w:t>
      </w:r>
    </w:p>
    <w:p w14:paraId="369F395D">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1.3</w:t>
      </w:r>
      <w:r>
        <w:rPr>
          <w:rFonts w:hint="eastAsia" w:ascii="宋体" w:hAnsi="宋体" w:eastAsia="宋体" w:cs="宋体"/>
          <w:snapToGrid w:val="0"/>
          <w:color w:val="auto"/>
          <w:sz w:val="24"/>
          <w:szCs w:val="24"/>
          <w:highlight w:val="none"/>
        </w:rPr>
        <w:t>在评审过程中，</w:t>
      </w:r>
      <w:r>
        <w:rPr>
          <w:rFonts w:hint="eastAsia" w:ascii="宋体" w:hAnsi="宋体" w:eastAsia="宋体" w:cs="宋体"/>
          <w:snapToGrid w:val="0"/>
          <w:color w:val="auto"/>
          <w:sz w:val="24"/>
          <w:szCs w:val="24"/>
          <w:highlight w:val="none"/>
          <w:lang w:eastAsia="zh-CN"/>
        </w:rPr>
        <w:t>磋商小组</w:t>
      </w:r>
      <w:r>
        <w:rPr>
          <w:rFonts w:hint="eastAsia" w:ascii="宋体" w:hAnsi="宋体" w:eastAsia="宋体" w:cs="宋体"/>
          <w:snapToGrid w:val="0"/>
          <w:color w:val="auto"/>
          <w:sz w:val="24"/>
          <w:szCs w:val="24"/>
          <w:highlight w:val="none"/>
        </w:rPr>
        <w:t>可以以书面形式要求磋商供应商就磋商文件中含义不明确的内容进行书面说明并提供相关材料；</w:t>
      </w:r>
      <w:r>
        <w:rPr>
          <w:rFonts w:hint="eastAsia" w:ascii="宋体" w:hAnsi="宋体" w:eastAsia="宋体" w:cs="宋体"/>
          <w:snapToGrid w:val="0"/>
          <w:color w:val="auto"/>
          <w:spacing w:val="-12"/>
          <w:sz w:val="24"/>
          <w:szCs w:val="24"/>
          <w:highlight w:val="none"/>
        </w:rPr>
        <w:t>凡遇到竞争性磋商文件中无界定或界定不清、前后不一致使评委会成员</w:t>
      </w:r>
      <w:r>
        <w:rPr>
          <w:rFonts w:hint="eastAsia" w:ascii="宋体" w:hAnsi="宋体" w:eastAsia="宋体" w:cs="宋体"/>
          <w:snapToGrid w:val="0"/>
          <w:color w:val="auto"/>
          <w:sz w:val="24"/>
          <w:szCs w:val="24"/>
          <w:highlight w:val="none"/>
        </w:rPr>
        <w:t>意见</w:t>
      </w:r>
      <w:r>
        <w:rPr>
          <w:rFonts w:hint="eastAsia" w:ascii="宋体" w:hAnsi="宋体" w:eastAsia="宋体" w:cs="宋体"/>
          <w:snapToGrid w:val="0"/>
          <w:color w:val="auto"/>
          <w:spacing w:val="-12"/>
          <w:sz w:val="24"/>
          <w:szCs w:val="24"/>
          <w:highlight w:val="none"/>
        </w:rPr>
        <w:t>有分歧且又难于协商一致的问题，均由评委会予以表决，获半数以上同意的即为通过，未获半数同意的即为否决</w:t>
      </w:r>
      <w:r>
        <w:rPr>
          <w:rFonts w:hint="eastAsia" w:ascii="宋体" w:hAnsi="宋体" w:eastAsia="宋体" w:cs="宋体"/>
          <w:snapToGrid w:val="0"/>
          <w:color w:val="auto"/>
          <w:sz w:val="24"/>
          <w:szCs w:val="24"/>
          <w:highlight w:val="none"/>
        </w:rPr>
        <w:t>。</w:t>
      </w:r>
    </w:p>
    <w:p w14:paraId="2031BE25">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1.4</w:t>
      </w:r>
      <w:r>
        <w:rPr>
          <w:rFonts w:hint="eastAsia" w:ascii="宋体" w:hAnsi="宋体" w:eastAsia="宋体" w:cs="宋体"/>
          <w:snapToGrid w:val="0"/>
          <w:color w:val="auto"/>
          <w:sz w:val="24"/>
          <w:szCs w:val="24"/>
          <w:highlight w:val="none"/>
        </w:rPr>
        <w:t>评标时，磋商报价是评标的重要依据，但不是唯一依据，采购人不承诺将合同授予报价最低或最高的磋商供应商。</w:t>
      </w:r>
    </w:p>
    <w:p w14:paraId="174A5810">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1.5</w:t>
      </w:r>
      <w:r>
        <w:rPr>
          <w:rFonts w:hint="eastAsia" w:ascii="宋体" w:hAnsi="宋体" w:eastAsia="宋体" w:cs="宋体"/>
          <w:snapToGrid w:val="0"/>
          <w:color w:val="auto"/>
          <w:sz w:val="24"/>
          <w:szCs w:val="24"/>
          <w:highlight w:val="none"/>
          <w:lang w:eastAsia="zh-CN"/>
        </w:rPr>
        <w:t>磋商小组</w:t>
      </w:r>
      <w:r>
        <w:rPr>
          <w:rFonts w:hint="eastAsia" w:ascii="宋体" w:hAnsi="宋体" w:eastAsia="宋体" w:cs="宋体"/>
          <w:snapToGrid w:val="0"/>
          <w:color w:val="auto"/>
          <w:sz w:val="24"/>
          <w:szCs w:val="24"/>
          <w:highlight w:val="none"/>
        </w:rPr>
        <w:t>依据竞争性磋商文件中规定的评标标准和方法，对磋商文件进行评审和比较，向采购人提出书面评标报告，并推荐合格的中标候选人。采购人根据</w:t>
      </w:r>
      <w:r>
        <w:rPr>
          <w:rFonts w:hint="eastAsia" w:ascii="宋体" w:hAnsi="宋体" w:eastAsia="宋体" w:cs="宋体"/>
          <w:snapToGrid w:val="0"/>
          <w:color w:val="auto"/>
          <w:sz w:val="24"/>
          <w:szCs w:val="24"/>
          <w:highlight w:val="none"/>
          <w:lang w:eastAsia="zh-CN"/>
        </w:rPr>
        <w:t>磋商小组</w:t>
      </w:r>
      <w:r>
        <w:rPr>
          <w:rFonts w:hint="eastAsia" w:ascii="宋体" w:hAnsi="宋体" w:eastAsia="宋体" w:cs="宋体"/>
          <w:snapToGrid w:val="0"/>
          <w:color w:val="auto"/>
          <w:sz w:val="24"/>
          <w:szCs w:val="24"/>
          <w:highlight w:val="none"/>
        </w:rPr>
        <w:t>提出的书面评标报告和推荐的中标候选人按序确定中标人。</w:t>
      </w:r>
    </w:p>
    <w:p w14:paraId="6C691915">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outlineLvl w:val="1"/>
        <w:rPr>
          <w:rFonts w:hint="eastAsia" w:ascii="宋体" w:hAnsi="宋体" w:eastAsia="宋体" w:cs="宋体"/>
          <w:snapToGrid w:val="0"/>
          <w:color w:val="auto"/>
          <w:sz w:val="24"/>
          <w:szCs w:val="24"/>
          <w:highlight w:val="none"/>
        </w:rPr>
      </w:pPr>
      <w:bookmarkStart w:id="41" w:name="_Toc4591"/>
      <w:r>
        <w:rPr>
          <w:rFonts w:hint="eastAsia" w:ascii="宋体" w:hAnsi="宋体" w:eastAsia="宋体" w:cs="宋体"/>
          <w:b/>
          <w:snapToGrid w:val="0"/>
          <w:color w:val="auto"/>
          <w:sz w:val="24"/>
          <w:szCs w:val="24"/>
          <w:highlight w:val="none"/>
        </w:rPr>
        <w:t>2. 评审程序</w:t>
      </w:r>
      <w:bookmarkEnd w:id="41"/>
    </w:p>
    <w:p w14:paraId="0D8D7706">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2.1 资格审查</w:t>
      </w:r>
    </w:p>
    <w:p w14:paraId="68C8FB5D">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本项目采用资格后审</w:t>
      </w:r>
    </w:p>
    <w:p w14:paraId="219A91B9">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eastAsia="zh-CN"/>
        </w:rPr>
        <w:t>磋商小组</w:t>
      </w:r>
      <w:r>
        <w:rPr>
          <w:rFonts w:hint="eastAsia" w:ascii="宋体" w:hAnsi="宋体" w:eastAsia="宋体" w:cs="宋体"/>
          <w:snapToGrid w:val="0"/>
          <w:color w:val="auto"/>
          <w:sz w:val="24"/>
          <w:szCs w:val="24"/>
          <w:highlight w:val="none"/>
        </w:rPr>
        <w:t>按照竞争性磋商文件供应商资格要求，对磋商供应商的磋商文件进行初步评审，有一项不符合的，视为未通过初步审查，按废标处理，符合的进入下一评标程序。</w:t>
      </w:r>
    </w:p>
    <w:p w14:paraId="3DB24F15">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72" w:firstLineChars="196"/>
        <w:outlineLvl w:val="1"/>
        <w:rPr>
          <w:rFonts w:hint="eastAsia" w:ascii="宋体" w:hAnsi="宋体" w:eastAsia="宋体" w:cs="宋体"/>
          <w:b/>
          <w:snapToGrid w:val="0"/>
          <w:color w:val="auto"/>
          <w:sz w:val="24"/>
          <w:szCs w:val="24"/>
          <w:highlight w:val="none"/>
        </w:rPr>
      </w:pPr>
      <w:bookmarkStart w:id="42" w:name="_Toc3412"/>
      <w:r>
        <w:rPr>
          <w:rFonts w:hint="eastAsia" w:ascii="宋体" w:hAnsi="宋体" w:eastAsia="宋体" w:cs="宋体"/>
          <w:b/>
          <w:snapToGrid w:val="0"/>
          <w:color w:val="auto"/>
          <w:sz w:val="24"/>
          <w:szCs w:val="24"/>
          <w:highlight w:val="none"/>
        </w:rPr>
        <w:t>3.评标具体方法和标准</w:t>
      </w:r>
      <w:bookmarkEnd w:id="42"/>
    </w:p>
    <w:p w14:paraId="0EED3D44">
      <w:pPr>
        <w:keepNext w:val="0"/>
        <w:keepLines w:val="0"/>
        <w:pageBreakBefore w:val="0"/>
        <w:widowControl/>
        <w:kinsoku w:val="0"/>
        <w:wordWrap/>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eastAsia="zh-CN"/>
        </w:rPr>
        <w:t>磋商小组</w:t>
      </w:r>
      <w:r>
        <w:rPr>
          <w:rFonts w:hint="eastAsia" w:ascii="宋体" w:hAnsi="宋体" w:eastAsia="宋体" w:cs="宋体"/>
          <w:snapToGrid w:val="0"/>
          <w:color w:val="auto"/>
          <w:sz w:val="24"/>
          <w:szCs w:val="24"/>
          <w:highlight w:val="none"/>
        </w:rPr>
        <w:t>根据评标原则和办法对所有磋商文件进行集中审核，分别评价。</w:t>
      </w:r>
    </w:p>
    <w:p w14:paraId="2180E8BE">
      <w:pPr>
        <w:keepNext w:val="0"/>
        <w:keepLines w:val="0"/>
        <w:pageBreakBefore w:val="0"/>
        <w:widowControl/>
        <w:kinsoku w:val="0"/>
        <w:wordWrap/>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投标报价有算术错误的，磋商小组按以下原则对投标报价进行修正，修正的价格经供应商书面确认后具有约束力。供应商不接受修正价格的，其投标作废标处理。</w:t>
      </w:r>
    </w:p>
    <w:p w14:paraId="4EDC428A">
      <w:pPr>
        <w:keepNext w:val="0"/>
        <w:keepLines w:val="0"/>
        <w:pageBreakBefore w:val="0"/>
        <w:widowControl/>
        <w:kinsoku w:val="0"/>
        <w:wordWrap/>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中的大写金额与小写金额不一致的，以大写金额为准；</w:t>
      </w:r>
    </w:p>
    <w:p w14:paraId="53D6B23B">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(2）总价金额与依据单价计算</w:t>
      </w:r>
      <w:r>
        <w:rPr>
          <w:rFonts w:hint="eastAsia" w:ascii="宋体" w:hAnsi="宋体" w:eastAsia="宋体" w:cs="宋体"/>
          <w:b w:val="0"/>
          <w:bCs w:val="0"/>
          <w:color w:val="auto"/>
          <w:sz w:val="24"/>
          <w:szCs w:val="24"/>
          <w:highlight w:val="none"/>
        </w:rPr>
        <w:t>出的结果不一致的，以单价金额为准修正总价，但单价金额小数点有明显错误的除外。</w:t>
      </w:r>
    </w:p>
    <w:p w14:paraId="04C1E580">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snapToGrid w:val="0"/>
          <w:color w:val="auto"/>
          <w:sz w:val="24"/>
          <w:szCs w:val="24"/>
          <w:highlight w:val="none"/>
          <w:lang w:val="en-US" w:eastAsia="zh-CN"/>
        </w:rPr>
        <w:t>磋商小组</w:t>
      </w:r>
      <w:r>
        <w:rPr>
          <w:rFonts w:hint="eastAsia" w:ascii="宋体" w:hAnsi="宋体" w:eastAsia="宋体" w:cs="宋体"/>
          <w:b w:val="0"/>
          <w:bCs w:val="0"/>
          <w:snapToGrid w:val="0"/>
          <w:color w:val="auto"/>
          <w:sz w:val="24"/>
          <w:szCs w:val="24"/>
          <w:highlight w:val="none"/>
        </w:rPr>
        <w:t>否决投标时应审慎。因</w:t>
      </w:r>
      <w:r>
        <w:rPr>
          <w:rFonts w:hint="eastAsia" w:ascii="宋体" w:hAnsi="宋体" w:cs="宋体"/>
          <w:b w:val="0"/>
          <w:bCs w:val="0"/>
          <w:snapToGrid w:val="0"/>
          <w:color w:val="auto"/>
          <w:sz w:val="24"/>
          <w:szCs w:val="24"/>
          <w:highlight w:val="none"/>
          <w:lang w:eastAsia="zh-CN"/>
        </w:rPr>
        <w:t>磋商文件</w:t>
      </w:r>
      <w:r>
        <w:rPr>
          <w:rFonts w:hint="eastAsia" w:ascii="宋体" w:hAnsi="宋体" w:eastAsia="宋体" w:cs="宋体"/>
          <w:b w:val="0"/>
          <w:bCs w:val="0"/>
          <w:snapToGrid w:val="0"/>
          <w:color w:val="auto"/>
          <w:sz w:val="24"/>
          <w:szCs w:val="24"/>
          <w:highlight w:val="none"/>
        </w:rPr>
        <w:t>表述歧义或逻辑错误等原因，造成</w:t>
      </w:r>
      <w:r>
        <w:rPr>
          <w:rFonts w:hint="eastAsia" w:ascii="宋体" w:hAnsi="宋体" w:cs="宋体"/>
          <w:b w:val="0"/>
          <w:bCs w:val="0"/>
          <w:snapToGrid w:val="0"/>
          <w:color w:val="auto"/>
          <w:sz w:val="24"/>
          <w:szCs w:val="24"/>
          <w:highlight w:val="none"/>
          <w:lang w:eastAsia="zh-CN"/>
        </w:rPr>
        <w:t>响应文件</w:t>
      </w:r>
      <w:r>
        <w:rPr>
          <w:rFonts w:hint="eastAsia" w:ascii="宋体" w:hAnsi="宋体" w:eastAsia="宋体" w:cs="宋体"/>
          <w:b w:val="0"/>
          <w:bCs w:val="0"/>
          <w:snapToGrid w:val="0"/>
          <w:color w:val="auto"/>
          <w:sz w:val="24"/>
          <w:szCs w:val="24"/>
          <w:highlight w:val="none"/>
        </w:rPr>
        <w:t>表述不一致的，不作为否决投标的因素，</w:t>
      </w:r>
      <w:r>
        <w:rPr>
          <w:rFonts w:hint="eastAsia" w:ascii="宋体" w:hAnsi="宋体" w:eastAsia="宋体" w:cs="宋体"/>
          <w:b w:val="0"/>
          <w:bCs w:val="0"/>
          <w:snapToGrid w:val="0"/>
          <w:color w:val="auto"/>
          <w:sz w:val="24"/>
          <w:szCs w:val="24"/>
          <w:highlight w:val="none"/>
          <w:lang w:eastAsia="zh-CN"/>
        </w:rPr>
        <w:t>供应商</w:t>
      </w:r>
      <w:r>
        <w:rPr>
          <w:rFonts w:hint="eastAsia" w:ascii="宋体" w:hAnsi="宋体" w:eastAsia="宋体" w:cs="宋体"/>
          <w:b w:val="0"/>
          <w:bCs w:val="0"/>
          <w:snapToGrid w:val="0"/>
          <w:color w:val="auto"/>
          <w:sz w:val="24"/>
          <w:szCs w:val="24"/>
          <w:highlight w:val="none"/>
        </w:rPr>
        <w:t>明显打字或排版错误且不影响实质内容的，</w:t>
      </w:r>
      <w:r>
        <w:rPr>
          <w:rFonts w:hint="eastAsia" w:ascii="宋体" w:hAnsi="宋体" w:eastAsia="宋体" w:cs="宋体"/>
          <w:b w:val="0"/>
          <w:bCs w:val="0"/>
          <w:snapToGrid w:val="0"/>
          <w:color w:val="auto"/>
          <w:sz w:val="24"/>
          <w:szCs w:val="24"/>
          <w:highlight w:val="none"/>
          <w:lang w:eastAsia="zh-CN"/>
        </w:rPr>
        <w:t>磋商小组</w:t>
      </w:r>
      <w:r>
        <w:rPr>
          <w:rFonts w:hint="eastAsia" w:ascii="宋体" w:hAnsi="宋体" w:eastAsia="宋体" w:cs="宋体"/>
          <w:b w:val="0"/>
          <w:bCs w:val="0"/>
          <w:snapToGrid w:val="0"/>
          <w:color w:val="auto"/>
          <w:sz w:val="24"/>
          <w:szCs w:val="24"/>
          <w:highlight w:val="none"/>
        </w:rPr>
        <w:t>可要求</w:t>
      </w:r>
      <w:r>
        <w:rPr>
          <w:rFonts w:hint="eastAsia" w:ascii="宋体" w:hAnsi="宋体" w:eastAsia="宋体" w:cs="宋体"/>
          <w:b w:val="0"/>
          <w:bCs w:val="0"/>
          <w:snapToGrid w:val="0"/>
          <w:color w:val="auto"/>
          <w:sz w:val="24"/>
          <w:szCs w:val="24"/>
          <w:highlight w:val="none"/>
          <w:lang w:eastAsia="zh-CN"/>
        </w:rPr>
        <w:t>供应商</w:t>
      </w:r>
      <w:r>
        <w:rPr>
          <w:rFonts w:hint="eastAsia" w:ascii="宋体" w:hAnsi="宋体" w:eastAsia="宋体" w:cs="宋体"/>
          <w:b w:val="0"/>
          <w:bCs w:val="0"/>
          <w:snapToGrid w:val="0"/>
          <w:color w:val="auto"/>
          <w:sz w:val="24"/>
          <w:szCs w:val="24"/>
          <w:highlight w:val="none"/>
        </w:rPr>
        <w:t>作出书面澄清、说明或补正，不予以否决投标。</w:t>
      </w:r>
    </w:p>
    <w:p w14:paraId="60F7EC2E">
      <w:pPr>
        <w:keepNext w:val="0"/>
        <w:keepLines w:val="0"/>
        <w:pageBreakBefore w:val="0"/>
        <w:widowControl/>
        <w:kinsoku w:val="0"/>
        <w:wordWrap/>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对通过初步评审的磋商文件，磋商小组按本规定的量化因素和分值进行打分，并计算出综合评估得分。每个供应商最终得分为各评委打分的算术平均值。</w:t>
      </w:r>
    </w:p>
    <w:p w14:paraId="311181B6">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2" w:firstLineChars="200"/>
        <w:rPr>
          <w:rFonts w:hint="eastAsia" w:ascii="宋体" w:hAnsi="宋体" w:eastAsia="宋体" w:cs="宋体"/>
          <w:bCs/>
          <w:snapToGrid w:val="0"/>
          <w:color w:val="auto"/>
          <w:sz w:val="24"/>
          <w:szCs w:val="24"/>
          <w:highlight w:val="none"/>
        </w:rPr>
      </w:pPr>
      <w:r>
        <w:rPr>
          <w:rFonts w:hint="eastAsia" w:ascii="宋体" w:hAnsi="宋体" w:eastAsia="宋体" w:cs="宋体"/>
          <w:b/>
          <w:snapToGrid w:val="0"/>
          <w:color w:val="auto"/>
          <w:sz w:val="24"/>
          <w:szCs w:val="24"/>
          <w:highlight w:val="none"/>
          <w:lang w:val="en-US" w:eastAsia="zh-CN"/>
        </w:rPr>
        <w:t>4、</w:t>
      </w:r>
      <w:r>
        <w:rPr>
          <w:rFonts w:hint="eastAsia" w:ascii="宋体" w:hAnsi="宋体" w:eastAsia="宋体" w:cs="宋体"/>
          <w:b/>
          <w:snapToGrid w:val="0"/>
          <w:color w:val="auto"/>
          <w:sz w:val="24"/>
          <w:szCs w:val="24"/>
          <w:highlight w:val="none"/>
        </w:rPr>
        <w:t>定标办法</w:t>
      </w:r>
    </w:p>
    <w:p w14:paraId="59B154BE">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1、供应商的排名按得分顺序从高到低排列；得分相同的，按响应报价由低到高顺序排列；得分且响应报价相同的，按技术指标优劣顺序排列。</w:t>
      </w:r>
    </w:p>
    <w:p w14:paraId="6EF76E95">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2、评标委员会写出评标报告推荐3名成交候选人。</w:t>
      </w:r>
    </w:p>
    <w:p w14:paraId="759369D1">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b/>
          <w:bCs/>
          <w:color w:val="auto"/>
          <w:sz w:val="24"/>
          <w:szCs w:val="24"/>
          <w:highlight w:val="none"/>
        </w:rPr>
      </w:pPr>
    </w:p>
    <w:p w14:paraId="70A70321">
      <w:pPr>
        <w:pStyle w:val="6"/>
        <w:keepNext w:val="0"/>
        <w:keepLines w:val="0"/>
        <w:pageBreakBefore w:val="0"/>
        <w:widowControl/>
        <w:kinsoku w:val="0"/>
        <w:wordWrap/>
        <w:bidi w:val="0"/>
        <w:adjustRightInd w:val="0"/>
        <w:snapToGrid w:val="0"/>
        <w:spacing w:after="0"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p>
    <w:p w14:paraId="37E15EEE">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eastAsia" w:ascii="宋体" w:hAnsi="宋体" w:eastAsia="宋体" w:cs="宋体"/>
          <w:b/>
          <w:bCs/>
          <w:color w:val="auto"/>
          <w:sz w:val="32"/>
          <w:szCs w:val="32"/>
          <w:highlight w:val="none"/>
        </w:rPr>
      </w:pPr>
      <w:bookmarkStart w:id="43" w:name="_Toc30035"/>
      <w:r>
        <w:rPr>
          <w:rFonts w:hint="eastAsia" w:ascii="宋体" w:hAnsi="宋体" w:eastAsia="宋体" w:cs="宋体"/>
          <w:b/>
          <w:bCs/>
          <w:color w:val="auto"/>
          <w:sz w:val="32"/>
          <w:szCs w:val="32"/>
          <w:highlight w:val="none"/>
        </w:rPr>
        <w:t>第四章   合同条款及各式</w:t>
      </w:r>
      <w:bookmarkEnd w:id="43"/>
    </w:p>
    <w:p w14:paraId="22B53C8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注：本合同仅为合同的参考文本，合同签订双方可根据项目的具体要求进行修订。</w:t>
      </w:r>
    </w:p>
    <w:p w14:paraId="56322DC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p>
    <w:p w14:paraId="049D668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甲方（需方）：_________</w:t>
      </w:r>
    </w:p>
    <w:p w14:paraId="0FC46A0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乙方（供方）：_________</w:t>
      </w:r>
    </w:p>
    <w:p w14:paraId="7D09E9C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经过双方友好协商，依据《中华人民共和国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》，双方同意签订以下合同条款，以便双方共同遵守、履行合同。</w:t>
      </w:r>
    </w:p>
    <w:p w14:paraId="0CE76D6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一、产品清单及付款方式</w:t>
      </w:r>
    </w:p>
    <w:p w14:paraId="7889022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1．产品清单及价格</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976"/>
        <w:gridCol w:w="2940"/>
        <w:gridCol w:w="976"/>
        <w:gridCol w:w="900"/>
        <w:gridCol w:w="1028"/>
      </w:tblGrid>
      <w:tr w14:paraId="154F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2" w:type="dxa"/>
            <w:vAlign w:val="center"/>
          </w:tcPr>
          <w:p w14:paraId="0EA70AF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76" w:type="dxa"/>
            <w:vAlign w:val="center"/>
          </w:tcPr>
          <w:p w14:paraId="1B109493">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2940" w:type="dxa"/>
            <w:vAlign w:val="center"/>
          </w:tcPr>
          <w:p w14:paraId="352E6AFD">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976" w:type="dxa"/>
            <w:vAlign w:val="center"/>
          </w:tcPr>
          <w:p w14:paraId="78C8090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900" w:type="dxa"/>
            <w:vAlign w:val="center"/>
          </w:tcPr>
          <w:p w14:paraId="0886881D">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028" w:type="dxa"/>
            <w:vAlign w:val="center"/>
          </w:tcPr>
          <w:p w14:paraId="2FFB9B72">
            <w:pPr>
              <w:keepNext w:val="0"/>
              <w:keepLines w:val="0"/>
              <w:pageBreakBefore w:val="0"/>
              <w:widowControl/>
              <w:kinsoku w:val="0"/>
              <w:wordWrap/>
              <w:bidi w:val="0"/>
              <w:adjustRightInd w:val="0"/>
              <w:snapToGrid w:val="0"/>
              <w:spacing w:line="360" w:lineRule="auto"/>
              <w:ind w:left="0" w:leftChars="0" w:right="0" w:rightChars="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3D5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2" w:type="dxa"/>
            <w:vAlign w:val="center"/>
          </w:tcPr>
          <w:p w14:paraId="4A025560">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976" w:type="dxa"/>
            <w:vAlign w:val="center"/>
          </w:tcPr>
          <w:p w14:paraId="77ED5765">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2940" w:type="dxa"/>
            <w:vAlign w:val="center"/>
          </w:tcPr>
          <w:p w14:paraId="41AEB282">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76" w:type="dxa"/>
            <w:vAlign w:val="center"/>
          </w:tcPr>
          <w:p w14:paraId="23AABB9A">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00" w:type="dxa"/>
            <w:vAlign w:val="center"/>
          </w:tcPr>
          <w:p w14:paraId="4175C3E7">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028" w:type="dxa"/>
            <w:vAlign w:val="center"/>
          </w:tcPr>
          <w:p w14:paraId="5E6CBBC6">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r>
      <w:tr w14:paraId="4631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vAlign w:val="center"/>
          </w:tcPr>
          <w:p w14:paraId="63376D12">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976" w:type="dxa"/>
            <w:vAlign w:val="center"/>
          </w:tcPr>
          <w:p w14:paraId="22FE9AC1">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2940" w:type="dxa"/>
            <w:vAlign w:val="center"/>
          </w:tcPr>
          <w:p w14:paraId="5C7BE782">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76" w:type="dxa"/>
            <w:vAlign w:val="center"/>
          </w:tcPr>
          <w:p w14:paraId="20A71AC0">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00" w:type="dxa"/>
            <w:vAlign w:val="center"/>
          </w:tcPr>
          <w:p w14:paraId="3A80DE69">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028" w:type="dxa"/>
            <w:vAlign w:val="center"/>
          </w:tcPr>
          <w:p w14:paraId="08892C12">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r>
      <w:tr w14:paraId="38C0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vAlign w:val="center"/>
          </w:tcPr>
          <w:p w14:paraId="23AB04D2">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976" w:type="dxa"/>
            <w:vAlign w:val="center"/>
          </w:tcPr>
          <w:p w14:paraId="190B65AA">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2940" w:type="dxa"/>
            <w:vAlign w:val="center"/>
          </w:tcPr>
          <w:p w14:paraId="22FB3044">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76" w:type="dxa"/>
            <w:vAlign w:val="center"/>
          </w:tcPr>
          <w:p w14:paraId="2B5AB6C8">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00" w:type="dxa"/>
            <w:vAlign w:val="center"/>
          </w:tcPr>
          <w:p w14:paraId="1D83856D">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028" w:type="dxa"/>
            <w:vAlign w:val="center"/>
          </w:tcPr>
          <w:p w14:paraId="6C938857">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r>
      <w:tr w14:paraId="10FD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vAlign w:val="center"/>
          </w:tcPr>
          <w:p w14:paraId="1C36786F">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976" w:type="dxa"/>
            <w:vAlign w:val="center"/>
          </w:tcPr>
          <w:p w14:paraId="085C9BBE">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2940" w:type="dxa"/>
            <w:vAlign w:val="center"/>
          </w:tcPr>
          <w:p w14:paraId="2F8F80EA">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76" w:type="dxa"/>
            <w:vAlign w:val="center"/>
          </w:tcPr>
          <w:p w14:paraId="2873E514">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00" w:type="dxa"/>
            <w:vAlign w:val="center"/>
          </w:tcPr>
          <w:p w14:paraId="28834C07">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028" w:type="dxa"/>
            <w:vAlign w:val="center"/>
          </w:tcPr>
          <w:p w14:paraId="339D3F08">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r>
      <w:tr w14:paraId="3E5C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vAlign w:val="center"/>
          </w:tcPr>
          <w:p w14:paraId="26440DBD">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976" w:type="dxa"/>
            <w:vAlign w:val="center"/>
          </w:tcPr>
          <w:p w14:paraId="2CFA65E4">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2940" w:type="dxa"/>
            <w:vAlign w:val="center"/>
          </w:tcPr>
          <w:p w14:paraId="6AFAF0D2">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76" w:type="dxa"/>
            <w:vAlign w:val="center"/>
          </w:tcPr>
          <w:p w14:paraId="728A4BBC">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00" w:type="dxa"/>
            <w:vAlign w:val="center"/>
          </w:tcPr>
          <w:p w14:paraId="18F3C87C">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028" w:type="dxa"/>
            <w:vAlign w:val="center"/>
          </w:tcPr>
          <w:p w14:paraId="2ACAF410">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r>
      <w:tr w14:paraId="2BB2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522" w:type="dxa"/>
            <w:gridSpan w:val="6"/>
            <w:vAlign w:val="center"/>
          </w:tcPr>
          <w:p w14:paraId="25594BD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中标总价（小写）：</w:t>
            </w:r>
          </w:p>
        </w:tc>
      </w:tr>
      <w:tr w14:paraId="5665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22" w:type="dxa"/>
            <w:gridSpan w:val="6"/>
            <w:vAlign w:val="center"/>
          </w:tcPr>
          <w:p w14:paraId="5E3EEC6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中标总价（大写）：</w:t>
            </w:r>
          </w:p>
        </w:tc>
      </w:tr>
    </w:tbl>
    <w:p w14:paraId="3FC191C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2．付款方式</w:t>
      </w:r>
    </w:p>
    <w:p w14:paraId="7F1DDA8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二、交货时间及地点</w:t>
      </w:r>
    </w:p>
    <w:p w14:paraId="0300581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1．交货时间：_________（响应性文件承诺时间）。若延期交货，乙方每天应向甲方缴纳延期额的千分之一作为罚金。因不可抗拒力所导致的交货、服务及付款延迟等按照《中华人民共和国合同法》有关条文处理。</w:t>
      </w:r>
    </w:p>
    <w:p w14:paraId="579B0E5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2．交货地点：____</w:t>
      </w:r>
    </w:p>
    <w:p w14:paraId="742B960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三、相关权利及义务</w:t>
      </w:r>
    </w:p>
    <w:p w14:paraId="2D06398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1．甲方收到乙方设备后，乙方应在_________政府采购管理办公室、_________监察审计部门、_________集中采购机构的共同监督下及时验收，验收时可对不符合合同要求及评标样本的设备或产品拒绝接收；</w:t>
      </w:r>
    </w:p>
    <w:p w14:paraId="2D3ABEB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2．甲方有权监督乙方对所交付设备进行安装调试，并督导完成；</w:t>
      </w:r>
    </w:p>
    <w:p w14:paraId="266D29B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3．甲方有权监督乙方的售后服务，并对乙方的售后服务不符合合同要求时加以指出乃至追究合同责任；</w:t>
      </w:r>
    </w:p>
    <w:p w14:paraId="6F4244F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4．甲方在合同约定期限内履行付款责任；</w:t>
      </w:r>
    </w:p>
    <w:p w14:paraId="45B7DE4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5．甲方在乙方进行安装调试时应给予协助和协调各方关系，乙方应及时提出需要甲方协助和协调的内容，以便保证合同的正常履行；</w:t>
      </w:r>
    </w:p>
    <w:p w14:paraId="3299E19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6．甲方对乙方的技术及商业机密予以保密；</w:t>
      </w:r>
    </w:p>
    <w:p w14:paraId="4EA358F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7．乙方有权按照合同，要求甲方支付相应款项；</w:t>
      </w:r>
    </w:p>
    <w:p w14:paraId="246FD85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8．乙方有权在实施安装调试时，提出合乎情理的协助要求；</w:t>
      </w:r>
    </w:p>
    <w:p w14:paraId="58A634F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9．双方指定联系人，所有保修过程均应由双方经手人签字记录。</w:t>
      </w:r>
    </w:p>
    <w:p w14:paraId="46802F8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四、争议</w:t>
      </w:r>
    </w:p>
    <w:p w14:paraId="4DCC720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双方本着友好合作的态度，对合同履行过程中发生的违约行为进行及时的协商解决，如不能协商解决，可通过XX仲裁委员会仲裁解决。</w:t>
      </w:r>
    </w:p>
    <w:p w14:paraId="10CC444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五、其它</w:t>
      </w:r>
    </w:p>
    <w:p w14:paraId="7E4A16E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1．本合同一式四份，甲乙双方各执一份，政府采购管理办公室一份，集中采购机构一份；</w:t>
      </w:r>
    </w:p>
    <w:p w14:paraId="087793D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2．本合同自签订之日起生效；</w:t>
      </w:r>
    </w:p>
    <w:p w14:paraId="47620E1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3．本项目的竞争性磋商文件、响应性文件、中标通知书是合同的附件，与合同具有同等的法律效力；</w:t>
      </w:r>
    </w:p>
    <w:p w14:paraId="7016253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4．其它未尽事宜，由双方友好协商解决，并参照《中华人民共和国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》有关条款执行。</w:t>
      </w:r>
    </w:p>
    <w:p w14:paraId="587F863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甲方（盖章）：_________　　　　　乙方（盖章）：________</w:t>
      </w:r>
    </w:p>
    <w:p w14:paraId="13B0BE8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p>
    <w:p w14:paraId="082C325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法定代表人（签字）：_________　　法定代表人（签字）：</w:t>
      </w:r>
    </w:p>
    <w:p w14:paraId="227A69C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p>
    <w:p w14:paraId="4EA511F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_______年____月____日　　　______年____月____日</w:t>
      </w:r>
    </w:p>
    <w:p w14:paraId="7B98D35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bookmarkStart w:id="44" w:name="_Toc22552"/>
      <w:bookmarkStart w:id="45" w:name="_Toc70237183"/>
      <w:r>
        <w:rPr>
          <w:rFonts w:hint="eastAsia" w:ascii="宋体" w:hAnsi="宋体" w:eastAsia="宋体" w:cs="宋体"/>
          <w:color w:val="auto"/>
          <w:sz w:val="24"/>
          <w:szCs w:val="24"/>
          <w:highlight w:val="none"/>
        </w:rPr>
        <w:t>签订地点：_________　　　　　　签订地点：______</w:t>
      </w:r>
      <w:bookmarkEnd w:id="44"/>
      <w:bookmarkEnd w:id="45"/>
    </w:p>
    <w:p w14:paraId="270F51E7">
      <w:pPr>
        <w:pStyle w:val="10"/>
        <w:keepNext w:val="0"/>
        <w:keepLines w:val="0"/>
        <w:pageBreakBefore w:val="0"/>
        <w:widowControl/>
        <w:kinsoku w:val="0"/>
        <w:wordWrap/>
        <w:bidi w:val="0"/>
        <w:adjustRightInd w:val="0"/>
        <w:snapToGrid w:val="0"/>
        <w:spacing w:line="360" w:lineRule="auto"/>
        <w:ind w:left="0" w:leftChars="0" w:right="0" w:rightChars="0"/>
        <w:contextualSpacing/>
        <w:jc w:val="center"/>
        <w:rPr>
          <w:rFonts w:hint="eastAsia" w:ascii="宋体" w:hAnsi="宋体" w:eastAsia="宋体" w:cs="宋体"/>
          <w:b/>
          <w:bCs/>
          <w:color w:val="auto"/>
          <w:sz w:val="24"/>
          <w:szCs w:val="24"/>
          <w:highlight w:val="none"/>
        </w:rPr>
      </w:pPr>
    </w:p>
    <w:p w14:paraId="0335C88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1F554674">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eastAsia" w:ascii="宋体" w:hAnsi="宋体" w:eastAsia="宋体" w:cs="宋体"/>
          <w:b/>
          <w:bCs/>
          <w:color w:val="auto"/>
          <w:sz w:val="32"/>
          <w:szCs w:val="32"/>
          <w:highlight w:val="none"/>
        </w:rPr>
      </w:pPr>
      <w:bookmarkStart w:id="46" w:name="_Toc19183"/>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 xml:space="preserve">章  </w:t>
      </w:r>
      <w:bookmarkEnd w:id="46"/>
      <w:r>
        <w:rPr>
          <w:rFonts w:hint="eastAsia" w:ascii="宋体" w:hAnsi="宋体" w:eastAsia="宋体" w:cs="宋体"/>
          <w:b/>
          <w:bCs/>
          <w:color w:val="auto"/>
          <w:sz w:val="32"/>
          <w:szCs w:val="32"/>
          <w:highlight w:val="none"/>
        </w:rPr>
        <w:t>采购</w:t>
      </w:r>
      <w:r>
        <w:rPr>
          <w:rFonts w:hint="eastAsia" w:ascii="宋体" w:hAnsi="宋体" w:eastAsia="宋体" w:cs="宋体"/>
          <w:b/>
          <w:bCs/>
          <w:color w:val="auto"/>
          <w:sz w:val="32"/>
          <w:szCs w:val="32"/>
          <w:highlight w:val="none"/>
          <w:lang w:val="en-US" w:eastAsia="zh-CN"/>
        </w:rPr>
        <w:t>内容及技术要求</w:t>
      </w:r>
    </w:p>
    <w:p w14:paraId="004B874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default" w:ascii="仿宋" w:hAnsi="仿宋" w:eastAsia="仿宋"/>
          <w:b/>
          <w:bCs/>
          <w:sz w:val="28"/>
          <w:szCs w:val="28"/>
          <w:highlight w:val="none"/>
          <w:lang w:val="en-US" w:eastAsia="zh-CN"/>
        </w:rPr>
      </w:pPr>
      <w:r>
        <w:rPr>
          <w:rFonts w:hint="eastAsia" w:ascii="仿宋" w:hAnsi="仿宋" w:eastAsia="仿宋"/>
          <w:b/>
          <w:bCs/>
          <w:kern w:val="2"/>
          <w:sz w:val="28"/>
          <w:szCs w:val="28"/>
          <w:highlight w:val="none"/>
          <w:lang w:val="en-US" w:eastAsia="zh-CN" w:bidi="ar-SA"/>
        </w:rPr>
        <w:t>一、</w:t>
      </w:r>
      <w:r>
        <w:rPr>
          <w:rFonts w:hint="eastAsia" w:ascii="仿宋" w:hAnsi="仿宋" w:eastAsia="仿宋"/>
          <w:b/>
          <w:bCs/>
          <w:sz w:val="28"/>
          <w:szCs w:val="28"/>
          <w:highlight w:val="none"/>
        </w:rPr>
        <w:t>采购内容、数量及参数要求</w:t>
      </w:r>
    </w:p>
    <w:tbl>
      <w:tblPr>
        <w:tblStyle w:val="18"/>
        <w:tblW w:w="10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2957"/>
        <w:gridCol w:w="1432"/>
        <w:gridCol w:w="1487"/>
        <w:gridCol w:w="1433"/>
        <w:gridCol w:w="2385"/>
      </w:tblGrid>
      <w:tr w14:paraId="2034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690" w:type="dxa"/>
            <w:noWrap w:val="0"/>
            <w:vAlign w:val="center"/>
          </w:tcPr>
          <w:p w14:paraId="1FB18ABA">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序号</w:t>
            </w:r>
          </w:p>
        </w:tc>
        <w:tc>
          <w:tcPr>
            <w:tcW w:w="2957" w:type="dxa"/>
            <w:noWrap w:val="0"/>
            <w:vAlign w:val="center"/>
          </w:tcPr>
          <w:p w14:paraId="5E4E5000">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rPr>
              <w:t>采购内容</w:t>
            </w:r>
          </w:p>
        </w:tc>
        <w:tc>
          <w:tcPr>
            <w:tcW w:w="1432" w:type="dxa"/>
            <w:noWrap w:val="0"/>
            <w:vAlign w:val="center"/>
          </w:tcPr>
          <w:p w14:paraId="128F03ED">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lang w:val="en-US" w:eastAsia="zh-CN"/>
              </w:rPr>
              <w:t>规格</w:t>
            </w:r>
          </w:p>
        </w:tc>
        <w:tc>
          <w:tcPr>
            <w:tcW w:w="1487" w:type="dxa"/>
            <w:noWrap w:val="0"/>
            <w:vAlign w:val="center"/>
          </w:tcPr>
          <w:p w14:paraId="37031A7A">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lang w:val="en-US" w:eastAsia="zh-CN"/>
              </w:rPr>
              <w:t>采购数量(公斤）</w:t>
            </w:r>
          </w:p>
        </w:tc>
        <w:tc>
          <w:tcPr>
            <w:tcW w:w="1433" w:type="dxa"/>
            <w:noWrap w:val="0"/>
            <w:vAlign w:val="center"/>
          </w:tcPr>
          <w:p w14:paraId="7A10DD76">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总价</w:t>
            </w:r>
          </w:p>
          <w:p w14:paraId="49475B0F">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lang w:val="en-US" w:eastAsia="zh-CN"/>
              </w:rPr>
              <w:t>（万元)</w:t>
            </w:r>
          </w:p>
        </w:tc>
        <w:tc>
          <w:tcPr>
            <w:tcW w:w="2385" w:type="dxa"/>
            <w:noWrap w:val="0"/>
            <w:vAlign w:val="center"/>
          </w:tcPr>
          <w:p w14:paraId="154F3B9F">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lang w:val="en-US" w:eastAsia="zh-CN"/>
              </w:rPr>
              <w:t>备注</w:t>
            </w:r>
          </w:p>
        </w:tc>
      </w:tr>
      <w:tr w14:paraId="10F8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90" w:type="dxa"/>
            <w:noWrap w:val="0"/>
            <w:vAlign w:val="center"/>
          </w:tcPr>
          <w:p w14:paraId="10F67ABF">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仿宋" w:hAnsi="仿宋" w:eastAsia="仿宋"/>
                <w:sz w:val="28"/>
                <w:szCs w:val="28"/>
                <w:highlight w:val="none"/>
                <w:vertAlign w:val="baseline"/>
                <w:lang w:val="en-US" w:eastAsia="zh-CN"/>
              </w:rPr>
            </w:pPr>
            <w:r>
              <w:rPr>
                <w:rFonts w:hint="eastAsia" w:ascii="仿宋" w:hAnsi="仿宋" w:eastAsia="仿宋"/>
                <w:sz w:val="28"/>
                <w:szCs w:val="28"/>
                <w:highlight w:val="none"/>
                <w:vertAlign w:val="baseline"/>
                <w:lang w:val="en-US" w:eastAsia="zh-CN"/>
              </w:rPr>
              <w:t>1</w:t>
            </w:r>
          </w:p>
        </w:tc>
        <w:tc>
          <w:tcPr>
            <w:tcW w:w="2957" w:type="dxa"/>
            <w:noWrap w:val="0"/>
            <w:vAlign w:val="center"/>
          </w:tcPr>
          <w:p w14:paraId="5A6D8072">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sz w:val="28"/>
                <w:szCs w:val="28"/>
                <w:highlight w:val="none"/>
                <w:vertAlign w:val="baseline"/>
                <w:lang w:val="en-US" w:eastAsia="zh-CN"/>
              </w:rPr>
            </w:pPr>
            <w:r>
              <w:rPr>
                <w:rFonts w:hint="eastAsia" w:ascii="仿宋" w:hAnsi="仿宋" w:eastAsia="仿宋" w:cs="仿宋"/>
                <w:sz w:val="28"/>
                <w:szCs w:val="28"/>
                <w:highlight w:val="none"/>
                <w:lang w:val="en-US" w:eastAsia="zh-CN"/>
              </w:rPr>
              <w:t>40%唑醚·戊唑醇悬浮剂</w:t>
            </w:r>
          </w:p>
        </w:tc>
        <w:tc>
          <w:tcPr>
            <w:tcW w:w="1432" w:type="dxa"/>
            <w:noWrap w:val="0"/>
            <w:vAlign w:val="center"/>
          </w:tcPr>
          <w:p w14:paraId="3F2D171B">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sz w:val="28"/>
                <w:szCs w:val="28"/>
                <w:highlight w:val="none"/>
                <w:vertAlign w:val="baseline"/>
                <w:lang w:val="en-US" w:eastAsia="zh-CN"/>
              </w:rPr>
            </w:pPr>
            <w:r>
              <w:rPr>
                <w:rFonts w:hint="default" w:ascii="仿宋" w:hAnsi="仿宋" w:eastAsia="仿宋" w:cs="仿宋"/>
                <w:sz w:val="28"/>
                <w:szCs w:val="28"/>
                <w:highlight w:val="none"/>
                <w:lang w:eastAsia="zh-CN"/>
              </w:rPr>
              <w:t>20</w:t>
            </w:r>
            <w:r>
              <w:rPr>
                <w:rFonts w:hint="eastAsia" w:ascii="仿宋" w:hAnsi="仿宋" w:eastAsia="仿宋"/>
                <w:sz w:val="28"/>
                <w:szCs w:val="28"/>
                <w:highlight w:val="none"/>
                <w:lang w:val="en-US" w:eastAsia="zh-CN"/>
              </w:rPr>
              <w:t>克/</w:t>
            </w:r>
            <w:r>
              <w:rPr>
                <w:rFonts w:hint="default" w:ascii="仿宋" w:hAnsi="仿宋" w:eastAsia="仿宋"/>
                <w:sz w:val="28"/>
                <w:szCs w:val="28"/>
                <w:highlight w:val="none"/>
                <w:lang w:eastAsia="zh-CN"/>
              </w:rPr>
              <w:t>袋</w:t>
            </w:r>
          </w:p>
        </w:tc>
        <w:tc>
          <w:tcPr>
            <w:tcW w:w="1487" w:type="dxa"/>
            <w:noWrap w:val="0"/>
            <w:vAlign w:val="center"/>
          </w:tcPr>
          <w:p w14:paraId="1E0E625C">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sz w:val="28"/>
                <w:szCs w:val="28"/>
                <w:highlight w:val="none"/>
                <w:vertAlign w:val="baseline"/>
                <w:lang w:val="en-US" w:eastAsia="zh-CN"/>
              </w:rPr>
            </w:pPr>
            <w:r>
              <w:rPr>
                <w:rFonts w:hint="eastAsia" w:ascii="仿宋" w:hAnsi="仿宋" w:eastAsia="仿宋" w:cs="仿宋"/>
                <w:sz w:val="28"/>
                <w:szCs w:val="28"/>
                <w:highlight w:val="none"/>
                <w:lang w:val="en-US" w:eastAsia="zh-CN"/>
              </w:rPr>
              <w:t>1500</w:t>
            </w:r>
          </w:p>
        </w:tc>
        <w:tc>
          <w:tcPr>
            <w:tcW w:w="1433" w:type="dxa"/>
            <w:noWrap w:val="0"/>
            <w:vAlign w:val="center"/>
          </w:tcPr>
          <w:p w14:paraId="0BC8DFED">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sz w:val="28"/>
                <w:szCs w:val="28"/>
                <w:highlight w:val="none"/>
                <w:vertAlign w:val="baseline"/>
                <w:lang w:val="en-US" w:eastAsia="zh-CN"/>
              </w:rPr>
            </w:pPr>
          </w:p>
        </w:tc>
        <w:tc>
          <w:tcPr>
            <w:tcW w:w="2385" w:type="dxa"/>
            <w:vMerge w:val="restart"/>
            <w:noWrap w:val="0"/>
            <w:vAlign w:val="center"/>
          </w:tcPr>
          <w:p w14:paraId="202B8E68">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生产</w:t>
            </w:r>
            <w:r>
              <w:rPr>
                <w:rFonts w:hint="eastAsia" w:ascii="仿宋" w:hAnsi="仿宋" w:eastAsia="仿宋" w:cs="仿宋"/>
                <w:sz w:val="21"/>
                <w:szCs w:val="21"/>
                <w:highlight w:val="none"/>
                <w:lang w:val="en-US" w:eastAsia="zh-CN"/>
              </w:rPr>
              <w:t>许可证</w:t>
            </w:r>
            <w:r>
              <w:rPr>
                <w:rFonts w:hint="eastAsia" w:ascii="仿宋" w:hAnsi="仿宋" w:eastAsia="仿宋" w:cs="仿宋"/>
                <w:sz w:val="21"/>
                <w:szCs w:val="21"/>
                <w:highlight w:val="none"/>
              </w:rPr>
              <w:t>或生产批准证</w:t>
            </w:r>
            <w:r>
              <w:rPr>
                <w:rFonts w:hint="eastAsia" w:ascii="仿宋" w:hAnsi="仿宋" w:eastAsia="仿宋" w:cs="仿宋"/>
                <w:sz w:val="21"/>
                <w:szCs w:val="21"/>
                <w:highlight w:val="none"/>
                <w:lang w:val="en-US" w:eastAsia="zh-CN"/>
              </w:rPr>
              <w:t>、农药登记证、产品标准证“三证”齐全；</w:t>
            </w:r>
          </w:p>
          <w:p w14:paraId="37025AFB">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2.序号“1、2、3项”内容登记对象必须包含玉米；</w:t>
            </w:r>
          </w:p>
          <w:p w14:paraId="0EF4AA15">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sz w:val="28"/>
                <w:szCs w:val="28"/>
                <w:highlight w:val="none"/>
                <w:vertAlign w:val="baseline"/>
                <w:lang w:val="en-US" w:eastAsia="zh-CN"/>
              </w:rPr>
            </w:pPr>
            <w:r>
              <w:rPr>
                <w:rFonts w:hint="eastAsia" w:ascii="仿宋" w:hAnsi="仿宋" w:eastAsia="仿宋" w:cs="仿宋"/>
                <w:sz w:val="21"/>
                <w:szCs w:val="21"/>
                <w:highlight w:val="none"/>
                <w:lang w:val="en-US" w:eastAsia="zh-CN"/>
              </w:rPr>
              <w:t>3.生产日期在本年度内；</w:t>
            </w:r>
          </w:p>
        </w:tc>
      </w:tr>
      <w:tr w14:paraId="090D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90" w:type="dxa"/>
            <w:noWrap w:val="0"/>
            <w:vAlign w:val="center"/>
          </w:tcPr>
          <w:p w14:paraId="5FF91B32">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仿宋" w:hAnsi="仿宋" w:eastAsia="仿宋"/>
                <w:sz w:val="28"/>
                <w:szCs w:val="28"/>
                <w:highlight w:val="none"/>
                <w:vertAlign w:val="baseline"/>
                <w:lang w:val="en-US" w:eastAsia="zh-CN"/>
              </w:rPr>
            </w:pPr>
            <w:r>
              <w:rPr>
                <w:rFonts w:hint="eastAsia" w:ascii="仿宋" w:hAnsi="仿宋" w:eastAsia="仿宋"/>
                <w:sz w:val="28"/>
                <w:szCs w:val="28"/>
                <w:highlight w:val="none"/>
                <w:vertAlign w:val="baseline"/>
                <w:lang w:val="en-US" w:eastAsia="zh-CN"/>
              </w:rPr>
              <w:t>2</w:t>
            </w:r>
          </w:p>
        </w:tc>
        <w:tc>
          <w:tcPr>
            <w:tcW w:w="2957" w:type="dxa"/>
            <w:noWrap w:val="0"/>
            <w:vAlign w:val="center"/>
          </w:tcPr>
          <w:p w14:paraId="36AA5804">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sz w:val="28"/>
                <w:szCs w:val="28"/>
                <w:highlight w:val="none"/>
                <w:vertAlign w:val="baseline"/>
                <w:lang w:val="en-US" w:eastAsia="zh-CN"/>
              </w:rPr>
            </w:pPr>
            <w:r>
              <w:rPr>
                <w:rFonts w:hint="eastAsia" w:ascii="仿宋" w:hAnsi="仿宋" w:eastAsia="仿宋" w:cs="仿宋"/>
                <w:sz w:val="28"/>
                <w:szCs w:val="28"/>
                <w:highlight w:val="none"/>
                <w:lang w:val="en-US" w:eastAsia="zh-CN"/>
              </w:rPr>
              <w:t>5%氯虫苯甲酰胺</w:t>
            </w:r>
            <w:r>
              <w:rPr>
                <w:rFonts w:hint="default" w:ascii="仿宋" w:hAnsi="仿宋" w:eastAsia="仿宋" w:cs="仿宋"/>
                <w:sz w:val="28"/>
                <w:szCs w:val="28"/>
                <w:highlight w:val="none"/>
                <w:lang w:eastAsia="zh-CN"/>
              </w:rPr>
              <w:t>悬浮</w:t>
            </w:r>
            <w:r>
              <w:rPr>
                <w:rFonts w:hint="eastAsia" w:ascii="仿宋" w:hAnsi="仿宋" w:eastAsia="仿宋" w:cs="仿宋"/>
                <w:sz w:val="28"/>
                <w:szCs w:val="28"/>
                <w:highlight w:val="none"/>
                <w:lang w:val="en-US" w:eastAsia="zh-CN"/>
              </w:rPr>
              <w:t>剂</w:t>
            </w:r>
          </w:p>
        </w:tc>
        <w:tc>
          <w:tcPr>
            <w:tcW w:w="1432" w:type="dxa"/>
            <w:noWrap w:val="0"/>
            <w:vAlign w:val="center"/>
          </w:tcPr>
          <w:p w14:paraId="20D7E0E2">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sz w:val="28"/>
                <w:szCs w:val="28"/>
                <w:highlight w:val="none"/>
                <w:vertAlign w:val="baseline"/>
                <w:lang w:val="en-US" w:eastAsia="zh-CN"/>
              </w:rPr>
            </w:pPr>
            <w:r>
              <w:rPr>
                <w:rFonts w:hint="eastAsia" w:ascii="仿宋" w:hAnsi="仿宋" w:eastAsia="仿宋" w:cs="仿宋"/>
                <w:sz w:val="28"/>
                <w:szCs w:val="28"/>
                <w:highlight w:val="none"/>
                <w:lang w:val="en-US" w:eastAsia="zh-CN"/>
              </w:rPr>
              <w:t>20ml</w:t>
            </w:r>
            <w:r>
              <w:rPr>
                <w:rFonts w:hint="eastAsia" w:ascii="仿宋" w:hAnsi="仿宋" w:eastAsia="仿宋"/>
                <w:sz w:val="28"/>
                <w:szCs w:val="28"/>
                <w:highlight w:val="none"/>
                <w:lang w:val="en-US" w:eastAsia="zh-CN"/>
              </w:rPr>
              <w:t>/</w:t>
            </w:r>
            <w:r>
              <w:rPr>
                <w:rFonts w:hint="default" w:ascii="仿宋" w:hAnsi="仿宋" w:eastAsia="仿宋"/>
                <w:sz w:val="28"/>
                <w:szCs w:val="28"/>
                <w:highlight w:val="none"/>
                <w:lang w:eastAsia="zh-CN"/>
              </w:rPr>
              <w:t>袋</w:t>
            </w:r>
          </w:p>
        </w:tc>
        <w:tc>
          <w:tcPr>
            <w:tcW w:w="1487" w:type="dxa"/>
            <w:noWrap w:val="0"/>
            <w:vAlign w:val="center"/>
          </w:tcPr>
          <w:p w14:paraId="7F30362B">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sz w:val="28"/>
                <w:szCs w:val="28"/>
                <w:highlight w:val="none"/>
                <w:vertAlign w:val="baseline"/>
                <w:lang w:val="en-US" w:eastAsia="zh-CN"/>
              </w:rPr>
            </w:pPr>
            <w:r>
              <w:rPr>
                <w:rFonts w:hint="eastAsia" w:ascii="仿宋" w:hAnsi="仿宋" w:eastAsia="仿宋" w:cs="仿宋"/>
                <w:sz w:val="28"/>
                <w:szCs w:val="28"/>
                <w:highlight w:val="none"/>
                <w:lang w:val="en-US" w:eastAsia="zh-CN"/>
              </w:rPr>
              <w:t>1500</w:t>
            </w:r>
          </w:p>
        </w:tc>
        <w:tc>
          <w:tcPr>
            <w:tcW w:w="1433" w:type="dxa"/>
            <w:noWrap w:val="0"/>
            <w:vAlign w:val="center"/>
          </w:tcPr>
          <w:p w14:paraId="6D6179CF">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sz w:val="28"/>
                <w:szCs w:val="28"/>
                <w:highlight w:val="none"/>
                <w:vertAlign w:val="baseline"/>
                <w:lang w:val="en-US" w:eastAsia="zh-CN"/>
              </w:rPr>
            </w:pPr>
          </w:p>
        </w:tc>
        <w:tc>
          <w:tcPr>
            <w:tcW w:w="2385" w:type="dxa"/>
            <w:vMerge w:val="continue"/>
            <w:noWrap w:val="0"/>
            <w:vAlign w:val="center"/>
          </w:tcPr>
          <w:p w14:paraId="000ECFF1">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sz w:val="28"/>
                <w:szCs w:val="28"/>
                <w:highlight w:val="none"/>
                <w:vertAlign w:val="baseline"/>
                <w:lang w:val="en-US" w:eastAsia="zh-CN"/>
              </w:rPr>
            </w:pPr>
          </w:p>
        </w:tc>
      </w:tr>
      <w:tr w14:paraId="70E3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690" w:type="dxa"/>
            <w:noWrap w:val="0"/>
            <w:vAlign w:val="center"/>
          </w:tcPr>
          <w:p w14:paraId="29858518">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仿宋" w:hAnsi="仿宋" w:eastAsia="仿宋"/>
                <w:sz w:val="28"/>
                <w:szCs w:val="28"/>
                <w:highlight w:val="none"/>
                <w:vertAlign w:val="baseline"/>
                <w:lang w:val="en-US" w:eastAsia="zh-CN"/>
              </w:rPr>
            </w:pPr>
            <w:r>
              <w:rPr>
                <w:rFonts w:hint="eastAsia" w:ascii="仿宋" w:hAnsi="仿宋" w:eastAsia="仿宋"/>
                <w:sz w:val="28"/>
                <w:szCs w:val="28"/>
                <w:highlight w:val="none"/>
                <w:vertAlign w:val="baseline"/>
                <w:lang w:val="en-US" w:eastAsia="zh-CN"/>
              </w:rPr>
              <w:t>3</w:t>
            </w:r>
          </w:p>
        </w:tc>
        <w:tc>
          <w:tcPr>
            <w:tcW w:w="2957" w:type="dxa"/>
            <w:noWrap w:val="0"/>
            <w:vAlign w:val="center"/>
          </w:tcPr>
          <w:p w14:paraId="7959C465">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sz w:val="28"/>
                <w:szCs w:val="28"/>
                <w:highlight w:val="none"/>
                <w:vertAlign w:val="baseline"/>
                <w:lang w:val="en-US" w:eastAsia="zh-CN"/>
              </w:rPr>
            </w:pPr>
            <w:r>
              <w:rPr>
                <w:rFonts w:hint="eastAsia" w:ascii="仿宋" w:hAnsi="仿宋" w:eastAsia="仿宋" w:cs="仿宋"/>
                <w:sz w:val="28"/>
                <w:szCs w:val="28"/>
                <w:highlight w:val="none"/>
                <w:lang w:val="en-US" w:eastAsia="zh-CN"/>
              </w:rPr>
              <w:t>0.01%24表芸苔素内酯可溶液剂</w:t>
            </w:r>
          </w:p>
        </w:tc>
        <w:tc>
          <w:tcPr>
            <w:tcW w:w="1432" w:type="dxa"/>
            <w:noWrap w:val="0"/>
            <w:vAlign w:val="center"/>
          </w:tcPr>
          <w:p w14:paraId="35B9370E">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sz w:val="28"/>
                <w:szCs w:val="28"/>
                <w:highlight w:val="none"/>
                <w:vertAlign w:val="baseline"/>
                <w:lang w:val="en-US" w:eastAsia="zh-CN"/>
              </w:rPr>
            </w:pPr>
            <w:r>
              <w:rPr>
                <w:rFonts w:hint="eastAsia" w:ascii="仿宋" w:hAnsi="仿宋" w:eastAsia="仿宋" w:cs="仿宋"/>
                <w:sz w:val="28"/>
                <w:szCs w:val="28"/>
                <w:highlight w:val="none"/>
                <w:lang w:val="en-US" w:eastAsia="zh-CN"/>
              </w:rPr>
              <w:t>10ml/袋</w:t>
            </w:r>
          </w:p>
        </w:tc>
        <w:tc>
          <w:tcPr>
            <w:tcW w:w="1487" w:type="dxa"/>
            <w:noWrap w:val="0"/>
            <w:vAlign w:val="center"/>
          </w:tcPr>
          <w:p w14:paraId="6E38E4EF">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sz w:val="28"/>
                <w:szCs w:val="28"/>
                <w:highlight w:val="none"/>
                <w:vertAlign w:val="baseline"/>
                <w:lang w:val="en-US" w:eastAsia="zh-CN"/>
              </w:rPr>
            </w:pPr>
            <w:r>
              <w:rPr>
                <w:rFonts w:hint="eastAsia" w:ascii="仿宋" w:hAnsi="仿宋" w:eastAsia="仿宋" w:cs="仿宋"/>
                <w:sz w:val="28"/>
                <w:szCs w:val="28"/>
                <w:highlight w:val="none"/>
                <w:lang w:val="en-US" w:eastAsia="zh-CN"/>
              </w:rPr>
              <w:t>750</w:t>
            </w:r>
          </w:p>
        </w:tc>
        <w:tc>
          <w:tcPr>
            <w:tcW w:w="1433" w:type="dxa"/>
            <w:noWrap w:val="0"/>
            <w:vAlign w:val="center"/>
          </w:tcPr>
          <w:p w14:paraId="7DAF02DA">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sz w:val="28"/>
                <w:szCs w:val="28"/>
                <w:highlight w:val="none"/>
                <w:vertAlign w:val="baseline"/>
                <w:lang w:val="en-US" w:eastAsia="zh-CN"/>
              </w:rPr>
            </w:pPr>
          </w:p>
        </w:tc>
        <w:tc>
          <w:tcPr>
            <w:tcW w:w="2385" w:type="dxa"/>
            <w:vMerge w:val="continue"/>
            <w:noWrap w:val="0"/>
            <w:vAlign w:val="center"/>
          </w:tcPr>
          <w:p w14:paraId="6D5961E4">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sz w:val="28"/>
                <w:szCs w:val="28"/>
                <w:highlight w:val="none"/>
                <w:vertAlign w:val="baseline"/>
                <w:lang w:val="en-US" w:eastAsia="zh-CN"/>
              </w:rPr>
            </w:pPr>
          </w:p>
        </w:tc>
      </w:tr>
      <w:tr w14:paraId="2DB1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90" w:type="dxa"/>
            <w:noWrap w:val="0"/>
            <w:vAlign w:val="center"/>
          </w:tcPr>
          <w:p w14:paraId="56A5A745">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仿宋" w:hAnsi="仿宋" w:eastAsia="仿宋"/>
                <w:sz w:val="28"/>
                <w:szCs w:val="28"/>
                <w:highlight w:val="none"/>
                <w:vertAlign w:val="baseline"/>
                <w:lang w:val="en-US" w:eastAsia="zh-CN"/>
              </w:rPr>
            </w:pPr>
            <w:r>
              <w:rPr>
                <w:rFonts w:hint="eastAsia" w:ascii="仿宋" w:hAnsi="仿宋" w:eastAsia="仿宋"/>
                <w:sz w:val="28"/>
                <w:szCs w:val="28"/>
                <w:highlight w:val="none"/>
                <w:vertAlign w:val="baseline"/>
                <w:lang w:val="en-US" w:eastAsia="zh-CN"/>
              </w:rPr>
              <w:t>4</w:t>
            </w:r>
          </w:p>
        </w:tc>
        <w:tc>
          <w:tcPr>
            <w:tcW w:w="2957" w:type="dxa"/>
            <w:noWrap w:val="0"/>
            <w:vAlign w:val="center"/>
          </w:tcPr>
          <w:p w14:paraId="2DBC3628">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sz w:val="28"/>
                <w:szCs w:val="28"/>
                <w:highlight w:val="none"/>
                <w:vertAlign w:val="baseline"/>
                <w:lang w:val="en-US" w:eastAsia="zh-CN"/>
              </w:rPr>
            </w:pPr>
            <w:r>
              <w:rPr>
                <w:rFonts w:hint="eastAsia" w:ascii="仿宋" w:hAnsi="仿宋" w:eastAsia="仿宋" w:cs="仿宋"/>
                <w:sz w:val="28"/>
                <w:szCs w:val="28"/>
                <w:highlight w:val="none"/>
                <w:lang w:val="en-US" w:eastAsia="zh-CN"/>
              </w:rPr>
              <w:t>99%磷酸二氢钾</w:t>
            </w:r>
          </w:p>
        </w:tc>
        <w:tc>
          <w:tcPr>
            <w:tcW w:w="1432" w:type="dxa"/>
            <w:noWrap w:val="0"/>
            <w:vAlign w:val="center"/>
          </w:tcPr>
          <w:p w14:paraId="77104B4E">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sz w:val="28"/>
                <w:szCs w:val="28"/>
                <w:highlight w:val="none"/>
                <w:vertAlign w:val="baseline"/>
                <w:lang w:val="en-US" w:eastAsia="zh-CN"/>
              </w:rPr>
            </w:pPr>
            <w:r>
              <w:rPr>
                <w:rFonts w:hint="eastAsia" w:ascii="仿宋" w:hAnsi="仿宋" w:eastAsia="仿宋" w:cs="仿宋"/>
                <w:sz w:val="28"/>
                <w:szCs w:val="28"/>
                <w:highlight w:val="none"/>
                <w:lang w:val="en-US" w:eastAsia="zh-CN"/>
              </w:rPr>
              <w:t>100克/袋</w:t>
            </w:r>
          </w:p>
        </w:tc>
        <w:tc>
          <w:tcPr>
            <w:tcW w:w="1487" w:type="dxa"/>
            <w:noWrap w:val="0"/>
            <w:vAlign w:val="center"/>
          </w:tcPr>
          <w:p w14:paraId="2B5D0B09">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sz w:val="28"/>
                <w:szCs w:val="28"/>
                <w:highlight w:val="none"/>
                <w:vertAlign w:val="baseline"/>
                <w:lang w:val="en-US" w:eastAsia="zh-CN"/>
              </w:rPr>
            </w:pPr>
            <w:r>
              <w:rPr>
                <w:rFonts w:hint="eastAsia" w:ascii="仿宋" w:hAnsi="仿宋" w:eastAsia="仿宋" w:cs="仿宋"/>
                <w:sz w:val="28"/>
                <w:szCs w:val="28"/>
                <w:highlight w:val="none"/>
                <w:lang w:val="en-US" w:eastAsia="zh-CN"/>
              </w:rPr>
              <w:t>7500</w:t>
            </w:r>
          </w:p>
        </w:tc>
        <w:tc>
          <w:tcPr>
            <w:tcW w:w="1433" w:type="dxa"/>
            <w:noWrap w:val="0"/>
            <w:vAlign w:val="center"/>
          </w:tcPr>
          <w:p w14:paraId="26B60D18">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sz w:val="28"/>
                <w:szCs w:val="28"/>
                <w:highlight w:val="none"/>
                <w:vertAlign w:val="baseline"/>
                <w:lang w:val="en-US" w:eastAsia="zh-CN"/>
              </w:rPr>
            </w:pPr>
          </w:p>
        </w:tc>
        <w:tc>
          <w:tcPr>
            <w:tcW w:w="2385" w:type="dxa"/>
            <w:vMerge w:val="continue"/>
            <w:noWrap w:val="0"/>
            <w:vAlign w:val="center"/>
          </w:tcPr>
          <w:p w14:paraId="419F6592">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sz w:val="28"/>
                <w:szCs w:val="28"/>
                <w:highlight w:val="none"/>
                <w:vertAlign w:val="baseline"/>
                <w:lang w:val="en-US" w:eastAsia="zh-CN"/>
              </w:rPr>
            </w:pPr>
          </w:p>
        </w:tc>
      </w:tr>
      <w:tr w14:paraId="4D5F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647" w:type="dxa"/>
            <w:gridSpan w:val="2"/>
            <w:noWrap w:val="0"/>
            <w:vAlign w:val="center"/>
          </w:tcPr>
          <w:p w14:paraId="1268CC4C">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cs="仿宋"/>
                <w:b/>
                <w:bCs/>
                <w:sz w:val="28"/>
                <w:szCs w:val="28"/>
                <w:highlight w:val="none"/>
                <w:lang w:val="en-US" w:eastAsia="zh-CN"/>
              </w:rPr>
              <w:t>合计</w:t>
            </w:r>
          </w:p>
        </w:tc>
        <w:tc>
          <w:tcPr>
            <w:tcW w:w="4352" w:type="dxa"/>
            <w:gridSpan w:val="3"/>
            <w:noWrap w:val="0"/>
            <w:vAlign w:val="center"/>
          </w:tcPr>
          <w:p w14:paraId="2599777E">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59.23万元</w:t>
            </w:r>
          </w:p>
        </w:tc>
        <w:tc>
          <w:tcPr>
            <w:tcW w:w="2385" w:type="dxa"/>
            <w:vMerge w:val="continue"/>
            <w:noWrap w:val="0"/>
            <w:vAlign w:val="center"/>
          </w:tcPr>
          <w:p w14:paraId="67709B2F">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sz w:val="28"/>
                <w:szCs w:val="28"/>
                <w:highlight w:val="none"/>
                <w:vertAlign w:val="baseline"/>
                <w:lang w:val="en-US" w:eastAsia="zh-CN"/>
              </w:rPr>
            </w:pPr>
          </w:p>
        </w:tc>
      </w:tr>
    </w:tbl>
    <w:p w14:paraId="0965DD7D">
      <w:pPr>
        <w:pStyle w:val="32"/>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二、农药供应商应当具备的条件</w:t>
      </w:r>
    </w:p>
    <w:p w14:paraId="3240DCED">
      <w:pPr>
        <w:pStyle w:val="3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（一）农药供货单位应为信誉高、产品质量好的生产企业或经销商、具有履行合同所必须的设备和专业能力。</w:t>
      </w:r>
    </w:p>
    <w:p w14:paraId="20C8512F">
      <w:pPr>
        <w:pStyle w:val="3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二</w:t>
      </w:r>
      <w:r>
        <w:rPr>
          <w:rFonts w:hint="eastAsia" w:ascii="仿宋" w:hAnsi="仿宋" w:eastAsia="仿宋"/>
          <w:sz w:val="28"/>
          <w:szCs w:val="28"/>
          <w:highlight w:val="none"/>
        </w:rPr>
        <w:t>）农药产品必须“三证”（ 生产许可证或生产批准证、农药登记证、产品标准证）齐全，</w:t>
      </w:r>
      <w:r>
        <w:rPr>
          <w:rFonts w:hint="eastAsia" w:ascii="仿宋" w:hAnsi="仿宋" w:eastAsia="仿宋"/>
          <w:sz w:val="28"/>
          <w:szCs w:val="28"/>
          <w:highlight w:val="none"/>
          <w:lang w:val="en-US" w:eastAsia="zh-CN"/>
        </w:rPr>
        <w:t>生产日期在本年度</w:t>
      </w:r>
      <w:r>
        <w:rPr>
          <w:rFonts w:hint="eastAsia" w:ascii="仿宋" w:hAnsi="仿宋" w:eastAsia="仿宋"/>
          <w:sz w:val="28"/>
          <w:szCs w:val="28"/>
          <w:highlight w:val="none"/>
        </w:rPr>
        <w:t>内</w:t>
      </w:r>
      <w:r>
        <w:rPr>
          <w:rFonts w:hint="eastAsia" w:ascii="仿宋" w:hAnsi="仿宋" w:eastAsia="仿宋"/>
          <w:sz w:val="28"/>
          <w:szCs w:val="28"/>
          <w:highlight w:val="none"/>
          <w:lang w:eastAsia="zh-CN"/>
        </w:rPr>
        <w:t>。</w:t>
      </w:r>
    </w:p>
    <w:p w14:paraId="42171CA4">
      <w:pPr>
        <w:pStyle w:val="3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三</w:t>
      </w:r>
      <w:r>
        <w:rPr>
          <w:rFonts w:hint="eastAsia" w:ascii="仿宋" w:hAnsi="仿宋" w:eastAsia="仿宋"/>
          <w:sz w:val="28"/>
          <w:szCs w:val="28"/>
          <w:highlight w:val="none"/>
        </w:rPr>
        <w:t>）中标单位签订合同后</w:t>
      </w:r>
      <w:r>
        <w:rPr>
          <w:rFonts w:hint="eastAsia" w:ascii="仿宋" w:hAnsi="仿宋" w:eastAsia="仿宋"/>
          <w:sz w:val="28"/>
          <w:szCs w:val="28"/>
          <w:highlight w:val="none"/>
          <w:lang w:val="en-US" w:eastAsia="zh-CN"/>
        </w:rPr>
        <w:t>5日历天</w:t>
      </w:r>
      <w:r>
        <w:rPr>
          <w:rFonts w:hint="eastAsia" w:ascii="仿宋" w:hAnsi="仿宋" w:eastAsia="仿宋"/>
          <w:sz w:val="28"/>
          <w:szCs w:val="28"/>
          <w:highlight w:val="none"/>
        </w:rPr>
        <w:t>内供货完毕。</w:t>
      </w:r>
    </w:p>
    <w:p w14:paraId="2DD55E6B">
      <w:pPr>
        <w:pStyle w:val="32"/>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eastAsia="zh-CN"/>
        </w:rPr>
        <w:t>三</w:t>
      </w:r>
      <w:r>
        <w:rPr>
          <w:rFonts w:hint="eastAsia" w:ascii="仿宋" w:hAnsi="仿宋" w:eastAsia="仿宋"/>
          <w:b/>
          <w:bCs/>
          <w:sz w:val="28"/>
          <w:szCs w:val="28"/>
          <w:highlight w:val="none"/>
        </w:rPr>
        <w:t>、采购产品质量抽检要求</w:t>
      </w:r>
    </w:p>
    <w:p w14:paraId="48887CEE">
      <w:pPr>
        <w:pStyle w:val="3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产品抽检程序。严格按照国家标准、行业标准或企业标准的要求对采购产品进行抽样。所抽取样品必须是具有本批次质量合格检验证明的产品</w:t>
      </w:r>
      <w:r>
        <w:rPr>
          <w:rFonts w:hint="eastAsia" w:ascii="仿宋" w:hAnsi="仿宋" w:eastAsia="仿宋"/>
          <w:sz w:val="28"/>
          <w:szCs w:val="28"/>
          <w:highlight w:val="none"/>
          <w:lang w:eastAsia="zh-CN"/>
        </w:rPr>
        <w:t>。</w:t>
      </w:r>
    </w:p>
    <w:p w14:paraId="4B77B591">
      <w:pPr>
        <w:rPr>
          <w:rFonts w:hint="eastAsia" w:ascii="宋体" w:hAnsi="宋体" w:eastAsia="宋体" w:cs="宋体"/>
          <w:b/>
          <w:bCs/>
          <w:color w:val="auto"/>
          <w:sz w:val="24"/>
          <w:szCs w:val="24"/>
          <w:highlight w:val="none"/>
        </w:rPr>
      </w:pPr>
    </w:p>
    <w:p w14:paraId="28A59832">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6AFC05AE">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eastAsia" w:ascii="宋体" w:hAnsi="宋体" w:eastAsia="宋体" w:cs="宋体"/>
          <w:b/>
          <w:bCs/>
          <w:color w:val="auto"/>
          <w:sz w:val="32"/>
          <w:szCs w:val="32"/>
          <w:highlight w:val="none"/>
        </w:rPr>
      </w:pPr>
      <w:bookmarkStart w:id="47" w:name="_Toc31215"/>
      <w:r>
        <w:rPr>
          <w:rFonts w:hint="eastAsia" w:ascii="宋体" w:hAnsi="宋体" w:eastAsia="宋体" w:cs="宋体"/>
          <w:b/>
          <w:bCs/>
          <w:color w:val="auto"/>
          <w:sz w:val="32"/>
          <w:szCs w:val="32"/>
          <w:highlight w:val="none"/>
        </w:rPr>
        <w:t xml:space="preserve">第六章  </w:t>
      </w:r>
      <w:r>
        <w:rPr>
          <w:rFonts w:hint="eastAsia" w:ascii="宋体" w:hAnsi="宋体" w:cs="宋体"/>
          <w:b/>
          <w:bCs/>
          <w:color w:val="auto"/>
          <w:sz w:val="32"/>
          <w:szCs w:val="32"/>
          <w:highlight w:val="none"/>
          <w:lang w:val="en-US" w:eastAsia="zh-CN"/>
        </w:rPr>
        <w:t>响应</w:t>
      </w:r>
      <w:r>
        <w:rPr>
          <w:rFonts w:hint="eastAsia" w:ascii="宋体" w:hAnsi="宋体" w:eastAsia="宋体" w:cs="宋体"/>
          <w:b/>
          <w:bCs/>
          <w:color w:val="auto"/>
          <w:sz w:val="32"/>
          <w:szCs w:val="32"/>
          <w:highlight w:val="none"/>
          <w:lang w:eastAsia="zh-CN"/>
        </w:rPr>
        <w:t>文件</w:t>
      </w:r>
      <w:r>
        <w:rPr>
          <w:rFonts w:hint="eastAsia" w:ascii="宋体" w:hAnsi="宋体" w:eastAsia="宋体" w:cs="宋体"/>
          <w:b/>
          <w:bCs/>
          <w:color w:val="auto"/>
          <w:sz w:val="32"/>
          <w:szCs w:val="32"/>
          <w:highlight w:val="none"/>
        </w:rPr>
        <w:t>格式</w:t>
      </w:r>
      <w:bookmarkEnd w:id="47"/>
    </w:p>
    <w:p w14:paraId="6B0D063D">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5AAA20A0">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1A9BBEED">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default" w:ascii="宋体" w:hAnsi="宋体" w:eastAsia="宋体" w:cs="宋体"/>
          <w:b/>
          <w:bCs/>
          <w:color w:val="auto"/>
          <w:sz w:val="36"/>
          <w:szCs w:val="36"/>
          <w:highlight w:val="none"/>
          <w:lang w:val="en-US" w:eastAsia="zh-CN"/>
        </w:rPr>
      </w:pPr>
      <w:bookmarkStart w:id="48" w:name="_Toc28286"/>
      <w:bookmarkStart w:id="49" w:name="_Toc5605"/>
      <w:r>
        <w:rPr>
          <w:rFonts w:hint="eastAsia" w:ascii="宋体" w:hAnsi="宋体" w:eastAsia="宋体" w:cs="宋体"/>
          <w:b/>
          <w:bCs/>
          <w:color w:val="auto"/>
          <w:sz w:val="36"/>
          <w:szCs w:val="36"/>
          <w:highlight w:val="none"/>
          <w:u w:val="single"/>
        </w:rPr>
        <w:t>（项目名称）</w:t>
      </w:r>
      <w:bookmarkEnd w:id="48"/>
      <w:bookmarkEnd w:id="49"/>
    </w:p>
    <w:p w14:paraId="7F02E5BE">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 w:val="36"/>
          <w:szCs w:val="36"/>
          <w:highlight w:val="none"/>
        </w:rPr>
      </w:pPr>
    </w:p>
    <w:p w14:paraId="0641BE3A">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 w:val="36"/>
          <w:szCs w:val="36"/>
          <w:highlight w:val="none"/>
        </w:rPr>
      </w:pPr>
    </w:p>
    <w:p w14:paraId="3A490400">
      <w:pPr>
        <w:keepNext w:val="0"/>
        <w:keepLines w:val="0"/>
        <w:pageBreakBefore w:val="0"/>
        <w:widowControl/>
        <w:kinsoku w:val="0"/>
        <w:wordWrap/>
        <w:bidi w:val="0"/>
        <w:adjustRightInd w:val="0"/>
        <w:snapToGrid w:val="0"/>
        <w:spacing w:line="360" w:lineRule="auto"/>
        <w:ind w:left="0" w:leftChars="0" w:right="0" w:rightChars="0"/>
        <w:jc w:val="center"/>
        <w:outlineLvl w:val="0"/>
        <w:rPr>
          <w:rFonts w:ascii="宋体" w:hAnsi="宋体" w:cs="宋体"/>
          <w:b/>
          <w:bCs/>
          <w:color w:val="auto"/>
          <w:sz w:val="36"/>
          <w:szCs w:val="36"/>
          <w:highlight w:val="none"/>
        </w:rPr>
      </w:pPr>
      <w:bookmarkStart w:id="50" w:name="_Toc24018"/>
      <w:bookmarkStart w:id="51" w:name="_Toc17705"/>
      <w:bookmarkStart w:id="52" w:name="_Toc21316"/>
      <w:r>
        <w:rPr>
          <w:rFonts w:hint="eastAsia" w:ascii="宋体" w:hAnsi="宋体" w:cs="宋体"/>
          <w:b/>
          <w:bCs/>
          <w:color w:val="auto"/>
          <w:sz w:val="36"/>
          <w:szCs w:val="36"/>
          <w:highlight w:val="none"/>
          <w:lang w:val="en-US" w:eastAsia="zh-CN"/>
        </w:rPr>
        <w:t>响 应</w:t>
      </w:r>
      <w:r>
        <w:rPr>
          <w:rFonts w:hint="eastAsia" w:ascii="宋体" w:hAnsi="宋体" w:cs="宋体"/>
          <w:b/>
          <w:bCs/>
          <w:color w:val="auto"/>
          <w:sz w:val="36"/>
          <w:szCs w:val="36"/>
          <w:highlight w:val="none"/>
        </w:rPr>
        <w:t xml:space="preserve"> 文 件</w:t>
      </w:r>
      <w:bookmarkEnd w:id="50"/>
      <w:bookmarkEnd w:id="51"/>
      <w:bookmarkEnd w:id="52"/>
    </w:p>
    <w:p w14:paraId="3890DFB7">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黑体"/>
          <w:b/>
          <w:color w:val="auto"/>
          <w:sz w:val="28"/>
          <w:szCs w:val="28"/>
          <w:highlight w:val="none"/>
        </w:rPr>
      </w:pPr>
      <w:r>
        <w:rPr>
          <w:rFonts w:hint="eastAsia" w:ascii="宋体" w:hAnsi="宋体" w:cs="黑体"/>
          <w:b/>
          <w:color w:val="auto"/>
          <w:sz w:val="28"/>
          <w:szCs w:val="28"/>
          <w:highlight w:val="none"/>
        </w:rPr>
        <w:t>（项目编号：</w:t>
      </w:r>
      <w:r>
        <w:rPr>
          <w:rFonts w:hint="eastAsia" w:ascii="宋体" w:hAnsi="宋体" w:cs="黑体"/>
          <w:b/>
          <w:color w:val="auto"/>
          <w:sz w:val="28"/>
          <w:szCs w:val="28"/>
          <w:highlight w:val="none"/>
          <w:lang w:val="en-US" w:eastAsia="zh-CN"/>
        </w:rPr>
        <w:t xml:space="preserve">    </w:t>
      </w:r>
      <w:r>
        <w:rPr>
          <w:rFonts w:hint="eastAsia" w:ascii="宋体" w:hAnsi="宋体" w:cs="黑体"/>
          <w:b/>
          <w:color w:val="auto"/>
          <w:sz w:val="28"/>
          <w:szCs w:val="28"/>
          <w:highlight w:val="none"/>
        </w:rPr>
        <w:t>）</w:t>
      </w:r>
    </w:p>
    <w:p w14:paraId="1A20A17F">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Cs w:val="24"/>
          <w:highlight w:val="none"/>
        </w:rPr>
      </w:pPr>
    </w:p>
    <w:p w14:paraId="576E9735">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Cs w:val="24"/>
          <w:highlight w:val="none"/>
        </w:rPr>
      </w:pPr>
    </w:p>
    <w:p w14:paraId="6DA091AB">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Cs w:val="24"/>
          <w:highlight w:val="none"/>
        </w:rPr>
      </w:pPr>
    </w:p>
    <w:p w14:paraId="68821705">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Cs w:val="24"/>
          <w:highlight w:val="none"/>
        </w:rPr>
      </w:pPr>
    </w:p>
    <w:p w14:paraId="3A51430E">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Cs w:val="24"/>
          <w:highlight w:val="none"/>
        </w:rPr>
      </w:pPr>
    </w:p>
    <w:p w14:paraId="74CA2788">
      <w:pPr>
        <w:pStyle w:val="11"/>
        <w:keepNext w:val="0"/>
        <w:keepLines w:val="0"/>
        <w:pageBreakBefore w:val="0"/>
        <w:widowControl/>
        <w:kinsoku w:val="0"/>
        <w:wordWrap/>
        <w:bidi w:val="0"/>
        <w:adjustRightInd w:val="0"/>
        <w:snapToGrid w:val="0"/>
        <w:spacing w:after="0" w:line="360" w:lineRule="auto"/>
        <w:ind w:left="0" w:leftChars="0" w:right="0" w:rightChars="0"/>
        <w:rPr>
          <w:color w:val="auto"/>
          <w:highlight w:val="none"/>
        </w:rPr>
      </w:pPr>
    </w:p>
    <w:p w14:paraId="27BFDDA5">
      <w:pPr>
        <w:keepNext w:val="0"/>
        <w:keepLines w:val="0"/>
        <w:pageBreakBefore w:val="0"/>
        <w:widowControl/>
        <w:kinsoku w:val="0"/>
        <w:wordWrap/>
        <w:bidi w:val="0"/>
        <w:adjustRightInd w:val="0"/>
        <w:snapToGrid w:val="0"/>
        <w:spacing w:line="360" w:lineRule="auto"/>
        <w:ind w:left="0" w:leftChars="0" w:right="0" w:rightChars="0" w:firstLine="1400" w:firstLineChars="500"/>
        <w:rPr>
          <w:rFonts w:hint="eastAsia" w:ascii="宋体" w:hAnsi="宋体"/>
          <w:color w:val="auto"/>
          <w:sz w:val="28"/>
          <w:szCs w:val="20"/>
          <w:highlight w:val="none"/>
        </w:rPr>
      </w:pPr>
      <w:bookmarkStart w:id="53" w:name="_Toc6470"/>
      <w:bookmarkEnd w:id="53"/>
      <w:bookmarkStart w:id="54" w:name="_Toc152045787"/>
      <w:bookmarkEnd w:id="54"/>
      <w:bookmarkStart w:id="55" w:name="_Toc247085873"/>
      <w:bookmarkEnd w:id="55"/>
      <w:bookmarkStart w:id="56" w:name="_Toc179632807"/>
      <w:bookmarkEnd w:id="56"/>
      <w:bookmarkStart w:id="57" w:name="_Toc152042576"/>
      <w:bookmarkEnd w:id="57"/>
      <w:bookmarkStart w:id="58" w:name="_Toc394651920"/>
      <w:bookmarkEnd w:id="58"/>
      <w:bookmarkStart w:id="59" w:name="_Toc246996355"/>
      <w:bookmarkEnd w:id="59"/>
      <w:bookmarkStart w:id="60" w:name="_Toc144974856"/>
      <w:bookmarkEnd w:id="60"/>
      <w:bookmarkStart w:id="61" w:name="_Toc246997098"/>
      <w:bookmarkStart w:id="62" w:name="_Toc528078065"/>
    </w:p>
    <w:p w14:paraId="53055284">
      <w:pPr>
        <w:keepNext w:val="0"/>
        <w:keepLines w:val="0"/>
        <w:pageBreakBefore w:val="0"/>
        <w:widowControl/>
        <w:kinsoku w:val="0"/>
        <w:wordWrap/>
        <w:bidi w:val="0"/>
        <w:adjustRightInd w:val="0"/>
        <w:snapToGrid w:val="0"/>
        <w:spacing w:line="360" w:lineRule="auto"/>
        <w:ind w:left="0" w:leftChars="0" w:right="0" w:rightChars="0" w:firstLine="1400" w:firstLineChars="500"/>
        <w:rPr>
          <w:rFonts w:hint="eastAsia" w:ascii="宋体" w:hAnsi="宋体"/>
          <w:color w:val="auto"/>
          <w:sz w:val="28"/>
          <w:szCs w:val="20"/>
          <w:highlight w:val="none"/>
        </w:rPr>
      </w:pPr>
    </w:p>
    <w:p w14:paraId="700A47E5">
      <w:pPr>
        <w:keepNext w:val="0"/>
        <w:keepLines w:val="0"/>
        <w:pageBreakBefore w:val="0"/>
        <w:widowControl/>
        <w:kinsoku w:val="0"/>
        <w:wordWrap/>
        <w:bidi w:val="0"/>
        <w:adjustRightInd w:val="0"/>
        <w:snapToGrid w:val="0"/>
        <w:spacing w:line="360" w:lineRule="auto"/>
        <w:ind w:left="0" w:leftChars="0" w:right="0" w:rightChars="0" w:firstLine="1400" w:firstLineChars="500"/>
        <w:rPr>
          <w:rFonts w:hint="eastAsia" w:ascii="宋体" w:hAnsi="宋体"/>
          <w:color w:val="auto"/>
          <w:sz w:val="28"/>
          <w:szCs w:val="20"/>
          <w:highlight w:val="none"/>
        </w:rPr>
      </w:pPr>
    </w:p>
    <w:p w14:paraId="1FBB8FEA">
      <w:pPr>
        <w:keepNext w:val="0"/>
        <w:keepLines w:val="0"/>
        <w:pageBreakBefore w:val="0"/>
        <w:widowControl/>
        <w:kinsoku w:val="0"/>
        <w:wordWrap/>
        <w:bidi w:val="0"/>
        <w:adjustRightInd w:val="0"/>
        <w:snapToGrid w:val="0"/>
        <w:spacing w:line="360" w:lineRule="auto"/>
        <w:ind w:left="0" w:leftChars="0" w:right="0" w:rightChars="0" w:firstLine="1400" w:firstLineChars="500"/>
        <w:rPr>
          <w:rFonts w:ascii="宋体" w:hAnsi="宋体"/>
          <w:color w:val="auto"/>
          <w:sz w:val="28"/>
          <w:szCs w:val="20"/>
          <w:highlight w:val="none"/>
        </w:rPr>
      </w:pPr>
      <w:r>
        <w:rPr>
          <w:rFonts w:hint="eastAsia" w:ascii="宋体" w:hAnsi="宋体"/>
          <w:color w:val="auto"/>
          <w:sz w:val="28"/>
          <w:szCs w:val="20"/>
          <w:highlight w:val="none"/>
          <w:lang w:val="en-US" w:eastAsia="zh-CN"/>
        </w:rPr>
        <w:t>供应商</w:t>
      </w:r>
      <w:r>
        <w:rPr>
          <w:rFonts w:hint="eastAsia" w:ascii="宋体" w:hAnsi="宋体"/>
          <w:color w:val="auto"/>
          <w:sz w:val="28"/>
          <w:szCs w:val="20"/>
          <w:highlight w:val="none"/>
        </w:rPr>
        <w:t>：</w:t>
      </w:r>
      <w:r>
        <w:rPr>
          <w:rFonts w:hint="eastAsia" w:ascii="宋体" w:hAnsi="宋体" w:cs="宋体"/>
          <w:color w:val="auto"/>
          <w:sz w:val="28"/>
          <w:szCs w:val="20"/>
          <w:highlight w:val="none"/>
          <w:u w:val="single"/>
        </w:rPr>
        <w:t xml:space="preserve">                     </w:t>
      </w:r>
      <w:r>
        <w:rPr>
          <w:rFonts w:hint="eastAsia" w:ascii="宋体" w:hAnsi="宋体"/>
          <w:color w:val="auto"/>
          <w:sz w:val="28"/>
          <w:szCs w:val="20"/>
          <w:highlight w:val="none"/>
        </w:rPr>
        <w:t>（电子签章）</w:t>
      </w:r>
    </w:p>
    <w:p w14:paraId="553942E1">
      <w:pPr>
        <w:keepNext w:val="0"/>
        <w:keepLines w:val="0"/>
        <w:pageBreakBefore w:val="0"/>
        <w:widowControl/>
        <w:kinsoku w:val="0"/>
        <w:wordWrap/>
        <w:bidi w:val="0"/>
        <w:adjustRightInd w:val="0"/>
        <w:snapToGrid w:val="0"/>
        <w:spacing w:line="360" w:lineRule="auto"/>
        <w:ind w:left="0" w:leftChars="0" w:right="0" w:rightChars="0" w:firstLine="1400" w:firstLineChars="500"/>
        <w:jc w:val="left"/>
        <w:rPr>
          <w:rFonts w:ascii="宋体" w:hAnsi="宋体"/>
          <w:color w:val="auto"/>
          <w:sz w:val="28"/>
          <w:szCs w:val="20"/>
          <w:highlight w:val="none"/>
        </w:rPr>
      </w:pPr>
      <w:r>
        <w:rPr>
          <w:rFonts w:hint="eastAsia" w:ascii="宋体" w:hAnsi="宋体"/>
          <w:color w:val="auto"/>
          <w:sz w:val="28"/>
          <w:szCs w:val="20"/>
          <w:highlight w:val="none"/>
        </w:rPr>
        <w:t>法定代表人：</w:t>
      </w:r>
      <w:r>
        <w:rPr>
          <w:rFonts w:hint="eastAsia" w:ascii="宋体" w:hAnsi="宋体" w:cs="宋体"/>
          <w:color w:val="auto"/>
          <w:sz w:val="28"/>
          <w:szCs w:val="20"/>
          <w:highlight w:val="none"/>
          <w:u w:val="single"/>
        </w:rPr>
        <w:t xml:space="preserve">                     </w:t>
      </w:r>
      <w:r>
        <w:rPr>
          <w:rFonts w:hint="eastAsia" w:ascii="宋体" w:hAnsi="宋体"/>
          <w:color w:val="auto"/>
          <w:sz w:val="28"/>
          <w:szCs w:val="20"/>
          <w:highlight w:val="none"/>
        </w:rPr>
        <w:t>（电子签章）</w:t>
      </w:r>
    </w:p>
    <w:p w14:paraId="3AAD6816">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olor w:val="auto"/>
          <w:sz w:val="28"/>
          <w:szCs w:val="20"/>
          <w:highlight w:val="none"/>
        </w:rPr>
      </w:pPr>
      <w:r>
        <w:rPr>
          <w:rFonts w:hint="eastAsia" w:ascii="宋体" w:hAnsi="宋体"/>
          <w:color w:val="auto"/>
          <w:sz w:val="28"/>
          <w:szCs w:val="20"/>
          <w:highlight w:val="none"/>
          <w:u w:val="single"/>
        </w:rPr>
        <w:t xml:space="preserve">         </w:t>
      </w:r>
      <w:r>
        <w:rPr>
          <w:rFonts w:hint="eastAsia" w:ascii="宋体" w:hAnsi="宋体"/>
          <w:color w:val="auto"/>
          <w:sz w:val="28"/>
          <w:szCs w:val="20"/>
          <w:highlight w:val="none"/>
        </w:rPr>
        <w:t>年</w:t>
      </w:r>
      <w:r>
        <w:rPr>
          <w:rFonts w:hint="eastAsia" w:ascii="宋体" w:hAnsi="宋体"/>
          <w:color w:val="auto"/>
          <w:sz w:val="28"/>
          <w:szCs w:val="20"/>
          <w:highlight w:val="none"/>
          <w:u w:val="single"/>
        </w:rPr>
        <w:t xml:space="preserve">    </w:t>
      </w:r>
      <w:r>
        <w:rPr>
          <w:rFonts w:hint="eastAsia" w:ascii="宋体" w:hAnsi="宋体"/>
          <w:color w:val="auto"/>
          <w:sz w:val="28"/>
          <w:szCs w:val="20"/>
          <w:highlight w:val="none"/>
        </w:rPr>
        <w:t>月</w:t>
      </w:r>
      <w:r>
        <w:rPr>
          <w:rFonts w:hint="eastAsia" w:ascii="宋体" w:hAnsi="宋体"/>
          <w:color w:val="auto"/>
          <w:sz w:val="28"/>
          <w:szCs w:val="20"/>
          <w:highlight w:val="none"/>
          <w:u w:val="single"/>
        </w:rPr>
        <w:t xml:space="preserve">    </w:t>
      </w:r>
      <w:r>
        <w:rPr>
          <w:rFonts w:hint="eastAsia" w:ascii="宋体" w:hAnsi="宋体"/>
          <w:color w:val="auto"/>
          <w:sz w:val="28"/>
          <w:szCs w:val="20"/>
          <w:highlight w:val="none"/>
        </w:rPr>
        <w:t>日</w:t>
      </w:r>
    </w:p>
    <w:p w14:paraId="7A69393F">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color w:val="auto"/>
          <w:sz w:val="32"/>
          <w:szCs w:val="32"/>
          <w:highlight w:val="none"/>
        </w:rPr>
      </w:pPr>
      <w:r>
        <w:rPr>
          <w:rFonts w:hint="eastAsia" w:ascii="宋体" w:hAnsi="宋体" w:cs="宋体"/>
          <w:color w:val="auto"/>
          <w:sz w:val="36"/>
          <w:szCs w:val="36"/>
          <w:highlight w:val="none"/>
        </w:rPr>
        <w:br w:type="page"/>
      </w:r>
      <w:r>
        <w:rPr>
          <w:rFonts w:hint="eastAsia" w:ascii="宋体" w:hAnsi="宋体" w:cs="宋体"/>
          <w:color w:val="auto"/>
          <w:sz w:val="32"/>
          <w:szCs w:val="32"/>
          <w:highlight w:val="none"/>
        </w:rPr>
        <w:t>目   录</w:t>
      </w:r>
      <w:bookmarkEnd w:id="61"/>
      <w:bookmarkEnd w:id="62"/>
    </w:p>
    <w:p w14:paraId="6418CBDA">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color w:val="auto"/>
          <w:sz w:val="32"/>
          <w:szCs w:val="32"/>
          <w:highlight w:val="none"/>
        </w:rPr>
      </w:pPr>
      <w:r>
        <w:rPr>
          <w:rFonts w:hint="eastAsia" w:ascii="宋体" w:hAnsi="宋体" w:cs="宋体"/>
          <w:color w:val="auto"/>
          <w:sz w:val="32"/>
          <w:szCs w:val="32"/>
          <w:highlight w:val="none"/>
        </w:rPr>
        <w:t>（自拟）</w:t>
      </w:r>
    </w:p>
    <w:p w14:paraId="7FDFCDBD">
      <w:pPr>
        <w:keepNext w:val="0"/>
        <w:keepLines w:val="0"/>
        <w:pageBreakBefore w:val="0"/>
        <w:widowControl/>
        <w:kinsoku w:val="0"/>
        <w:wordWrap/>
        <w:bidi w:val="0"/>
        <w:adjustRightInd w:val="0"/>
        <w:snapToGrid w:val="0"/>
        <w:spacing w:line="360" w:lineRule="auto"/>
        <w:ind w:left="0" w:leftChars="0" w:right="0" w:rightChars="0" w:firstLine="820" w:firstLineChars="342"/>
        <w:rPr>
          <w:rFonts w:ascii="宋体" w:hAnsi="宋体" w:cs="宋体"/>
          <w:color w:val="auto"/>
          <w:highlight w:val="none"/>
        </w:rPr>
      </w:pPr>
    </w:p>
    <w:p w14:paraId="0BFEA04F">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2E9F13A5">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4484A58B">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7A0547E0">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5BF8875C">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71FD0727">
      <w:pPr>
        <w:pStyle w:val="2"/>
        <w:keepNext w:val="0"/>
        <w:keepLines w:val="0"/>
        <w:pageBreakBefore w:val="0"/>
        <w:widowControl/>
        <w:kinsoku w:val="0"/>
        <w:wordWrap/>
        <w:bidi w:val="0"/>
        <w:adjustRightInd w:val="0"/>
        <w:snapToGrid w:val="0"/>
        <w:spacing w:before="0" w:line="360" w:lineRule="auto"/>
        <w:ind w:left="0" w:leftChars="0" w:right="0" w:rightChars="0"/>
        <w:jc w:val="center"/>
        <w:rPr>
          <w:rFonts w:ascii="宋体" w:hAnsi="宋体" w:eastAsia="宋体" w:cs="宋体"/>
          <w:b w:val="0"/>
          <w:bCs w:val="0"/>
          <w:color w:val="auto"/>
          <w:highlight w:val="none"/>
        </w:rPr>
      </w:pPr>
      <w:bookmarkStart w:id="63" w:name="_Toc27687"/>
      <w:bookmarkEnd w:id="63"/>
      <w:bookmarkStart w:id="64" w:name="_Toc394651921"/>
      <w:bookmarkStart w:id="65" w:name="_Toc528078066"/>
      <w:r>
        <w:rPr>
          <w:rFonts w:hint="eastAsia" w:ascii="宋体" w:hAnsi="宋体" w:eastAsia="宋体" w:cs="宋体"/>
          <w:b w:val="0"/>
          <w:bCs w:val="0"/>
          <w:color w:val="auto"/>
          <w:highlight w:val="none"/>
        </w:rPr>
        <w:br w:type="page"/>
      </w:r>
      <w:bookmarkEnd w:id="64"/>
      <w:bookmarkEnd w:id="65"/>
      <w:bookmarkStart w:id="66" w:name="_Toc23721"/>
      <w:bookmarkStart w:id="67" w:name="_Toc70237184"/>
      <w:r>
        <w:rPr>
          <w:rFonts w:hint="eastAsia" w:ascii="宋体" w:hAnsi="宋体" w:eastAsia="宋体" w:cs="宋体"/>
          <w:b w:val="0"/>
          <w:bCs w:val="0"/>
          <w:color w:val="auto"/>
          <w:highlight w:val="none"/>
        </w:rPr>
        <w:t>一、磋商响应书及第一轮报价表</w:t>
      </w:r>
      <w:bookmarkEnd w:id="66"/>
      <w:bookmarkEnd w:id="67"/>
    </w:p>
    <w:p w14:paraId="6D011751">
      <w:pPr>
        <w:keepNext w:val="0"/>
        <w:keepLines w:val="0"/>
        <w:pageBreakBefore w:val="0"/>
        <w:widowControl/>
        <w:kinsoku w:val="0"/>
        <w:wordWrap/>
        <w:bidi w:val="0"/>
        <w:adjustRightInd w:val="0"/>
        <w:snapToGrid w:val="0"/>
        <w:spacing w:line="360" w:lineRule="auto"/>
        <w:ind w:left="0" w:leftChars="0" w:right="0" w:rightChars="0"/>
        <w:jc w:val="center"/>
        <w:outlineLvl w:val="2"/>
        <w:rPr>
          <w:rFonts w:ascii="宋体" w:hAnsi="宋体" w:cs="宋体"/>
          <w:color w:val="auto"/>
          <w:sz w:val="28"/>
          <w:szCs w:val="28"/>
          <w:highlight w:val="none"/>
          <w:u w:val="single"/>
        </w:rPr>
      </w:pPr>
      <w:bookmarkStart w:id="68" w:name="_Toc19389"/>
      <w:bookmarkEnd w:id="68"/>
      <w:bookmarkStart w:id="69" w:name="_Toc144974858"/>
      <w:bookmarkEnd w:id="69"/>
      <w:bookmarkStart w:id="70" w:name="_Toc152042578"/>
      <w:bookmarkEnd w:id="70"/>
      <w:bookmarkStart w:id="71" w:name="_Toc246996357"/>
      <w:bookmarkEnd w:id="71"/>
      <w:bookmarkStart w:id="72" w:name="_Toc152045789"/>
      <w:bookmarkEnd w:id="72"/>
      <w:bookmarkStart w:id="73" w:name="_Toc179632809"/>
      <w:bookmarkEnd w:id="73"/>
      <w:bookmarkStart w:id="74" w:name="_Toc246997100"/>
      <w:bookmarkEnd w:id="74"/>
      <w:bookmarkStart w:id="75" w:name="_Toc394651922"/>
      <w:bookmarkEnd w:id="75"/>
      <w:bookmarkStart w:id="76" w:name="_Toc247085875"/>
      <w:bookmarkEnd w:id="76"/>
      <w:bookmarkStart w:id="77" w:name="_Toc528078067"/>
      <w:bookmarkStart w:id="78" w:name="_Toc70237185"/>
      <w:r>
        <w:rPr>
          <w:rFonts w:hint="eastAsia" w:ascii="宋体" w:hAnsi="宋体" w:cs="宋体"/>
          <w:color w:val="auto"/>
          <w:sz w:val="32"/>
          <w:szCs w:val="32"/>
          <w:highlight w:val="none"/>
        </w:rPr>
        <w:t>（一）</w:t>
      </w:r>
      <w:bookmarkEnd w:id="77"/>
      <w:r>
        <w:rPr>
          <w:rFonts w:hint="eastAsia" w:ascii="宋体" w:hAnsi="宋体" w:cs="宋体"/>
          <w:color w:val="auto"/>
          <w:sz w:val="32"/>
          <w:szCs w:val="32"/>
          <w:highlight w:val="none"/>
        </w:rPr>
        <w:t>磋商响应书</w:t>
      </w:r>
      <w:bookmarkEnd w:id="78"/>
    </w:p>
    <w:p w14:paraId="0317C3CE">
      <w:pPr>
        <w:keepNext w:val="0"/>
        <w:keepLines w:val="0"/>
        <w:pageBreakBefore w:val="0"/>
        <w:widowControl/>
        <w:kinsoku w:val="0"/>
        <w:wordWrap/>
        <w:bidi w:val="0"/>
        <w:adjustRightInd w:val="0"/>
        <w:snapToGrid w:val="0"/>
        <w:spacing w:line="360" w:lineRule="auto"/>
        <w:ind w:left="0" w:leftChars="0" w:right="0" w:rightChars="0" w:firstLine="480" w:firstLineChars="200"/>
        <w:outlineLvl w:val="0"/>
        <w:rPr>
          <w:rFonts w:ascii="宋体" w:hAnsi="宋体" w:cs="宋体"/>
          <w:color w:val="auto"/>
          <w:szCs w:val="24"/>
          <w:highlight w:val="none"/>
          <w:u w:val="single"/>
        </w:rPr>
      </w:pPr>
      <w:bookmarkStart w:id="79" w:name="_Toc11920"/>
      <w:bookmarkStart w:id="80" w:name="_Toc8092"/>
      <w:bookmarkStart w:id="81" w:name="_Toc23604"/>
      <w:bookmarkStart w:id="82" w:name="_Toc70237186"/>
      <w:r>
        <w:rPr>
          <w:rFonts w:hint="eastAsia" w:ascii="宋体" w:hAnsi="宋体" w:cs="宋体"/>
          <w:color w:val="auto"/>
          <w:szCs w:val="24"/>
          <w:highlight w:val="none"/>
        </w:rPr>
        <w:t>致:</w:t>
      </w:r>
      <w:r>
        <w:rPr>
          <w:rFonts w:hint="eastAsia" w:ascii="宋体" w:hAnsi="宋体" w:cs="宋体"/>
          <w:color w:val="auto"/>
          <w:szCs w:val="24"/>
          <w:highlight w:val="none"/>
          <w:u w:val="single"/>
        </w:rPr>
        <w:t xml:space="preserve">                （采购人）</w:t>
      </w:r>
      <w:bookmarkEnd w:id="79"/>
      <w:bookmarkEnd w:id="80"/>
      <w:bookmarkEnd w:id="81"/>
      <w:bookmarkEnd w:id="82"/>
    </w:p>
    <w:p w14:paraId="576D50AD">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我方收到了</w:t>
      </w:r>
      <w:r>
        <w:rPr>
          <w:rFonts w:hint="eastAsia" w:ascii="宋体" w:hAnsi="宋体" w:cs="宋体"/>
          <w:b w:val="0"/>
          <w:bCs w:val="0"/>
          <w:color w:val="auto"/>
          <w:sz w:val="24"/>
          <w:szCs w:val="20"/>
          <w:highlight w:val="none"/>
          <w:u w:val="single"/>
        </w:rPr>
        <w:t>（项目名称）</w:t>
      </w:r>
      <w:r>
        <w:rPr>
          <w:rFonts w:hint="eastAsia" w:ascii="宋体" w:hAnsi="宋体" w:cs="宋体"/>
          <w:b w:val="0"/>
          <w:bCs w:val="0"/>
          <w:color w:val="auto"/>
          <w:sz w:val="24"/>
          <w:szCs w:val="20"/>
          <w:highlight w:val="none"/>
        </w:rPr>
        <w:t>的</w:t>
      </w:r>
      <w:r>
        <w:rPr>
          <w:rFonts w:hint="eastAsia" w:ascii="宋体" w:hAnsi="宋体" w:cs="宋体"/>
          <w:b w:val="0"/>
          <w:bCs w:val="0"/>
          <w:color w:val="auto"/>
          <w:sz w:val="24"/>
          <w:szCs w:val="20"/>
          <w:highlight w:val="none"/>
          <w:lang w:val="en-US" w:eastAsia="zh-CN"/>
        </w:rPr>
        <w:t>磋商</w:t>
      </w:r>
      <w:r>
        <w:rPr>
          <w:rFonts w:hint="eastAsia" w:ascii="宋体" w:hAnsi="宋体" w:cs="宋体"/>
          <w:b w:val="0"/>
          <w:bCs w:val="0"/>
          <w:color w:val="auto"/>
          <w:sz w:val="24"/>
          <w:szCs w:val="20"/>
          <w:highlight w:val="none"/>
        </w:rPr>
        <w:t>文件，经详细研究决定参加该项目投标活动，郑重声明以下诸点并负法律责任</w:t>
      </w:r>
      <w:r>
        <w:rPr>
          <w:rFonts w:hint="eastAsia" w:ascii="宋体" w:hAnsi="宋体" w:cs="宋体"/>
          <w:color w:val="auto"/>
          <w:sz w:val="24"/>
          <w:szCs w:val="20"/>
          <w:highlight w:val="none"/>
        </w:rPr>
        <w:t>：</w:t>
      </w:r>
    </w:p>
    <w:p w14:paraId="6A96CF57">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(1)我方愿意以人民币（大写）：</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；（小写）¥</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的总报价完成本项目相关的所有工作，并严格按照合同约定，供货、交付本项目全部内容，并在合同约定的期限内完成合同规定的全部内容。</w:t>
      </w:r>
    </w:p>
    <w:p w14:paraId="6CB054A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cs="宋体"/>
          <w:color w:val="auto"/>
          <w:sz w:val="24"/>
          <w:szCs w:val="20"/>
          <w:highlight w:val="none"/>
          <w:u w:val="single"/>
        </w:rPr>
      </w:pPr>
      <w:r>
        <w:rPr>
          <w:rFonts w:hint="eastAsia" w:ascii="宋体" w:hAnsi="宋体" w:cs="宋体"/>
          <w:color w:val="auto"/>
          <w:sz w:val="24"/>
          <w:szCs w:val="20"/>
          <w:highlight w:val="none"/>
        </w:rPr>
        <w:t>(2)如果我方中标，我方保证交货</w:t>
      </w:r>
      <w:r>
        <w:rPr>
          <w:rFonts w:hint="eastAsia" w:ascii="宋体" w:hAnsi="宋体" w:cs="宋体"/>
          <w:color w:val="auto"/>
          <w:sz w:val="24"/>
          <w:szCs w:val="20"/>
          <w:highlight w:val="none"/>
          <w:lang w:val="en-US" w:eastAsia="zh-CN"/>
        </w:rPr>
        <w:t>服务</w:t>
      </w:r>
      <w:r>
        <w:rPr>
          <w:rFonts w:hint="eastAsia" w:ascii="宋体" w:hAnsi="宋体" w:cs="宋体"/>
          <w:color w:val="auto"/>
          <w:sz w:val="24"/>
          <w:szCs w:val="20"/>
          <w:highlight w:val="none"/>
        </w:rPr>
        <w:t>期：</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0"/>
          <w:highlight w:val="none"/>
        </w:rPr>
        <w:t>，质量达到：</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 xml:space="preserve"> ，质保期：</w:t>
      </w:r>
    </w:p>
    <w:p w14:paraId="762416B0">
      <w:pPr>
        <w:keepNext w:val="0"/>
        <w:keepLines w:val="0"/>
        <w:pageBreakBefore w:val="0"/>
        <w:widowControl/>
        <w:kinsoku w:val="0"/>
        <w:wordWrap/>
        <w:bidi w:val="0"/>
        <w:adjustRightInd w:val="0"/>
        <w:snapToGrid w:val="0"/>
        <w:spacing w:line="360" w:lineRule="auto"/>
        <w:ind w:right="0" w:rightChars="0"/>
        <w:rPr>
          <w:rFonts w:ascii="宋体" w:hAnsi="宋体" w:cs="宋体"/>
          <w:color w:val="auto"/>
          <w:sz w:val="24"/>
          <w:highlight w:val="none"/>
        </w:rPr>
      </w:pP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。我方同意按</w:t>
      </w:r>
      <w:r>
        <w:rPr>
          <w:rFonts w:hint="eastAsia" w:ascii="宋体" w:hAnsi="宋体" w:cs="宋体"/>
          <w:color w:val="auto"/>
          <w:sz w:val="24"/>
          <w:szCs w:val="20"/>
          <w:highlight w:val="none"/>
          <w:lang w:eastAsia="zh-CN"/>
        </w:rPr>
        <w:t>磋商文件</w:t>
      </w:r>
      <w:r>
        <w:rPr>
          <w:rFonts w:hint="eastAsia" w:ascii="宋体" w:hAnsi="宋体" w:cs="宋体"/>
          <w:color w:val="auto"/>
          <w:sz w:val="24"/>
          <w:szCs w:val="20"/>
          <w:highlight w:val="none"/>
        </w:rPr>
        <w:t>中的规定，本</w:t>
      </w:r>
      <w:r>
        <w:rPr>
          <w:rFonts w:hint="eastAsia" w:ascii="宋体" w:hAnsi="宋体" w:cs="宋体"/>
          <w:color w:val="auto"/>
          <w:sz w:val="24"/>
          <w:szCs w:val="20"/>
          <w:highlight w:val="none"/>
          <w:lang w:val="en-US" w:eastAsia="zh-CN"/>
        </w:rPr>
        <w:t>响应</w:t>
      </w:r>
      <w:r>
        <w:rPr>
          <w:rFonts w:hint="eastAsia" w:ascii="宋体" w:hAnsi="宋体" w:cs="宋体"/>
          <w:color w:val="auto"/>
          <w:sz w:val="24"/>
          <w:szCs w:val="20"/>
          <w:highlight w:val="none"/>
        </w:rPr>
        <w:t>文件的有效期自</w:t>
      </w:r>
      <w:r>
        <w:rPr>
          <w:rFonts w:hint="eastAsia" w:ascii="宋体" w:hAnsi="宋体" w:cs="宋体"/>
          <w:color w:val="auto"/>
          <w:sz w:val="24"/>
          <w:szCs w:val="20"/>
          <w:highlight w:val="none"/>
          <w:lang w:val="en-US" w:eastAsia="zh-CN"/>
        </w:rPr>
        <w:t>响应</w:t>
      </w:r>
      <w:r>
        <w:rPr>
          <w:rFonts w:hint="eastAsia" w:ascii="宋体" w:hAnsi="宋体" w:cs="宋体"/>
          <w:color w:val="auto"/>
          <w:sz w:val="24"/>
          <w:szCs w:val="20"/>
          <w:highlight w:val="none"/>
        </w:rPr>
        <w:t>文件递交截止之日起</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日历天。</w:t>
      </w:r>
    </w:p>
    <w:p w14:paraId="75F1DCD3">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olor w:val="auto"/>
          <w:sz w:val="24"/>
          <w:szCs w:val="20"/>
          <w:highlight w:val="none"/>
        </w:rPr>
      </w:pPr>
      <w:r>
        <w:rPr>
          <w:rFonts w:hint="eastAsia" w:ascii="宋体" w:hAnsi="宋体" w:cs="宋体"/>
          <w:color w:val="auto"/>
          <w:sz w:val="24"/>
          <w:szCs w:val="20"/>
          <w:highlight w:val="none"/>
        </w:rPr>
        <w:t>(3)</w:t>
      </w:r>
      <w:r>
        <w:rPr>
          <w:rFonts w:hint="eastAsia" w:ascii="宋体" w:hAnsi="宋体"/>
          <w:color w:val="auto"/>
          <w:sz w:val="24"/>
          <w:szCs w:val="20"/>
          <w:highlight w:val="none"/>
        </w:rPr>
        <w:t>我方愿提供</w:t>
      </w:r>
      <w:r>
        <w:rPr>
          <w:rFonts w:hint="eastAsia" w:ascii="宋体" w:hAnsi="宋体"/>
          <w:color w:val="auto"/>
          <w:sz w:val="24"/>
          <w:szCs w:val="20"/>
          <w:highlight w:val="none"/>
          <w:lang w:eastAsia="zh-CN"/>
        </w:rPr>
        <w:t>磋商文件</w:t>
      </w:r>
      <w:r>
        <w:rPr>
          <w:rFonts w:hint="eastAsia" w:ascii="宋体" w:hAnsi="宋体"/>
          <w:color w:val="auto"/>
          <w:sz w:val="24"/>
          <w:szCs w:val="20"/>
          <w:highlight w:val="none"/>
        </w:rPr>
        <w:t>中要求的所有文件资料。</w:t>
      </w:r>
    </w:p>
    <w:p w14:paraId="11B33143">
      <w:pPr>
        <w:keepNext w:val="0"/>
        <w:keepLines w:val="0"/>
        <w:pageBreakBefore w:val="0"/>
        <w:widowControl/>
        <w:kinsoku w:val="0"/>
        <w:wordWrap/>
        <w:bidi w:val="0"/>
        <w:adjustRightInd w:val="0"/>
        <w:snapToGrid w:val="0"/>
        <w:spacing w:line="360" w:lineRule="auto"/>
        <w:ind w:left="0" w:leftChars="0" w:right="0" w:rightChars="0" w:firstLine="477" w:firstLineChars="199"/>
        <w:rPr>
          <w:rFonts w:ascii="宋体" w:hAnsi="宋体"/>
          <w:color w:val="auto"/>
          <w:sz w:val="24"/>
          <w:szCs w:val="20"/>
          <w:highlight w:val="none"/>
        </w:rPr>
      </w:pPr>
      <w:r>
        <w:rPr>
          <w:rFonts w:hint="eastAsia" w:ascii="宋体" w:hAnsi="宋体" w:cs="宋体"/>
          <w:color w:val="auto"/>
          <w:sz w:val="24"/>
          <w:szCs w:val="20"/>
          <w:highlight w:val="none"/>
        </w:rPr>
        <w:t>(4)</w:t>
      </w:r>
      <w:r>
        <w:rPr>
          <w:rFonts w:hint="eastAsia" w:ascii="宋体" w:hAnsi="宋体"/>
          <w:color w:val="auto"/>
          <w:sz w:val="24"/>
          <w:szCs w:val="20"/>
          <w:highlight w:val="none"/>
        </w:rPr>
        <w:t>我方已经详细审核了全部</w:t>
      </w:r>
      <w:r>
        <w:rPr>
          <w:rFonts w:hint="eastAsia" w:ascii="宋体" w:hAnsi="宋体"/>
          <w:color w:val="auto"/>
          <w:sz w:val="24"/>
          <w:szCs w:val="20"/>
          <w:highlight w:val="none"/>
          <w:lang w:eastAsia="zh-CN"/>
        </w:rPr>
        <w:t>磋商文件</w:t>
      </w:r>
      <w:r>
        <w:rPr>
          <w:rFonts w:hint="eastAsia" w:ascii="宋体" w:hAnsi="宋体"/>
          <w:color w:val="auto"/>
          <w:sz w:val="24"/>
          <w:szCs w:val="20"/>
          <w:highlight w:val="none"/>
        </w:rPr>
        <w:t>，包括修改、补充的文件（如果有），我方完全理解并同意放弃对这方面有不明及误解的权利。</w:t>
      </w:r>
    </w:p>
    <w:p w14:paraId="5CEDFE3F">
      <w:pPr>
        <w:keepNext w:val="0"/>
        <w:keepLines w:val="0"/>
        <w:pageBreakBefore w:val="0"/>
        <w:widowControl/>
        <w:kinsoku w:val="0"/>
        <w:wordWrap/>
        <w:bidi w:val="0"/>
        <w:adjustRightInd w:val="0"/>
        <w:snapToGrid w:val="0"/>
        <w:spacing w:line="360" w:lineRule="auto"/>
        <w:ind w:left="0" w:leftChars="0" w:right="0" w:rightChars="0" w:firstLine="480"/>
        <w:rPr>
          <w:rFonts w:ascii="宋体" w:hAnsi="宋体"/>
          <w:color w:val="auto"/>
          <w:sz w:val="24"/>
          <w:szCs w:val="20"/>
          <w:highlight w:val="none"/>
        </w:rPr>
      </w:pPr>
      <w:r>
        <w:rPr>
          <w:rFonts w:hint="eastAsia" w:ascii="宋体" w:hAnsi="宋体" w:cs="宋体"/>
          <w:color w:val="auto"/>
          <w:sz w:val="24"/>
          <w:szCs w:val="20"/>
          <w:highlight w:val="none"/>
        </w:rPr>
        <w:t>(5)</w:t>
      </w:r>
      <w:r>
        <w:rPr>
          <w:rFonts w:hint="eastAsia" w:ascii="宋体" w:hAnsi="宋体"/>
          <w:color w:val="auto"/>
          <w:sz w:val="24"/>
          <w:szCs w:val="20"/>
          <w:highlight w:val="none"/>
        </w:rPr>
        <w:t>我们愿按《中华人民共和国民法典》履行自己的全部责任。</w:t>
      </w:r>
    </w:p>
    <w:p w14:paraId="506EA9F9">
      <w:pPr>
        <w:keepNext w:val="0"/>
        <w:keepLines w:val="0"/>
        <w:pageBreakBefore w:val="0"/>
        <w:widowControl/>
        <w:kinsoku w:val="0"/>
        <w:wordWrap/>
        <w:bidi w:val="0"/>
        <w:adjustRightInd w:val="0"/>
        <w:snapToGrid w:val="0"/>
        <w:spacing w:line="360" w:lineRule="auto"/>
        <w:ind w:left="0" w:leftChars="0" w:right="0" w:rightChars="0" w:firstLine="480"/>
        <w:rPr>
          <w:rFonts w:ascii="宋体" w:hAnsi="宋体"/>
          <w:color w:val="auto"/>
          <w:sz w:val="24"/>
          <w:szCs w:val="20"/>
          <w:highlight w:val="none"/>
        </w:rPr>
      </w:pPr>
      <w:r>
        <w:rPr>
          <w:rFonts w:hint="eastAsia" w:ascii="宋体" w:hAnsi="宋体" w:cs="宋体"/>
          <w:color w:val="auto"/>
          <w:sz w:val="24"/>
          <w:szCs w:val="20"/>
          <w:highlight w:val="none"/>
        </w:rPr>
        <w:t>(6)</w:t>
      </w:r>
      <w:r>
        <w:rPr>
          <w:rFonts w:hint="eastAsia" w:ascii="宋体" w:hAnsi="宋体"/>
          <w:color w:val="auto"/>
          <w:sz w:val="24"/>
          <w:szCs w:val="20"/>
          <w:highlight w:val="none"/>
        </w:rPr>
        <w:t>如果我单位中标，我单位保证按照</w:t>
      </w:r>
      <w:r>
        <w:rPr>
          <w:rFonts w:hint="eastAsia" w:ascii="宋体" w:hAnsi="宋体"/>
          <w:color w:val="auto"/>
          <w:sz w:val="24"/>
          <w:szCs w:val="20"/>
          <w:highlight w:val="none"/>
          <w:lang w:eastAsia="zh-CN"/>
        </w:rPr>
        <w:t>磋商文件</w:t>
      </w:r>
      <w:r>
        <w:rPr>
          <w:rFonts w:hint="eastAsia" w:ascii="宋体" w:hAnsi="宋体"/>
          <w:color w:val="auto"/>
          <w:sz w:val="24"/>
          <w:szCs w:val="20"/>
          <w:highlight w:val="none"/>
        </w:rPr>
        <w:t>（含补充文件）的规定，向招标代理机构缴纳招标代理机构服务费。</w:t>
      </w:r>
    </w:p>
    <w:p w14:paraId="39930654">
      <w:pPr>
        <w:keepNext w:val="0"/>
        <w:keepLines w:val="0"/>
        <w:pageBreakBefore w:val="0"/>
        <w:widowControl/>
        <w:kinsoku w:val="0"/>
        <w:wordWrap/>
        <w:bidi w:val="0"/>
        <w:adjustRightInd w:val="0"/>
        <w:snapToGrid w:val="0"/>
        <w:spacing w:line="360" w:lineRule="auto"/>
        <w:ind w:left="0" w:leftChars="0" w:right="0" w:rightChars="0" w:firstLine="480"/>
        <w:rPr>
          <w:rFonts w:ascii="宋体" w:hAnsi="宋体"/>
          <w:color w:val="auto"/>
          <w:sz w:val="24"/>
          <w:szCs w:val="20"/>
          <w:highlight w:val="none"/>
        </w:rPr>
      </w:pPr>
      <w:r>
        <w:rPr>
          <w:rFonts w:hint="eastAsia" w:ascii="宋体" w:hAnsi="宋体" w:cs="宋体"/>
          <w:color w:val="auto"/>
          <w:sz w:val="24"/>
          <w:szCs w:val="20"/>
          <w:highlight w:val="none"/>
        </w:rPr>
        <w:t>(7)</w:t>
      </w:r>
      <w:r>
        <w:rPr>
          <w:rFonts w:hint="eastAsia" w:ascii="宋体" w:hAnsi="宋体"/>
          <w:color w:val="auto"/>
          <w:sz w:val="24"/>
          <w:szCs w:val="20"/>
          <w:highlight w:val="none"/>
        </w:rPr>
        <w:t>我方在此声明，所递交的</w:t>
      </w:r>
      <w:r>
        <w:rPr>
          <w:rFonts w:hint="eastAsia" w:ascii="宋体" w:hAnsi="宋体"/>
          <w:color w:val="auto"/>
          <w:sz w:val="24"/>
          <w:szCs w:val="20"/>
          <w:highlight w:val="none"/>
          <w:lang w:eastAsia="zh-CN"/>
        </w:rPr>
        <w:t>响应文件</w:t>
      </w:r>
      <w:r>
        <w:rPr>
          <w:rFonts w:hint="eastAsia" w:ascii="宋体" w:hAnsi="宋体"/>
          <w:color w:val="auto"/>
          <w:sz w:val="24"/>
          <w:szCs w:val="20"/>
          <w:highlight w:val="none"/>
        </w:rPr>
        <w:t>及有关资料内容完整、真实和准确。</w:t>
      </w:r>
    </w:p>
    <w:p w14:paraId="42A18C0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color w:val="auto"/>
          <w:sz w:val="24"/>
          <w:szCs w:val="20"/>
          <w:highlight w:val="none"/>
        </w:rPr>
      </w:pPr>
      <w:r>
        <w:rPr>
          <w:rFonts w:hint="eastAsia" w:ascii="宋体" w:hAnsi="宋体" w:cs="宋体"/>
          <w:color w:val="auto"/>
          <w:sz w:val="24"/>
          <w:szCs w:val="20"/>
          <w:highlight w:val="none"/>
        </w:rPr>
        <w:t>(8)</w:t>
      </w:r>
      <w:r>
        <w:rPr>
          <w:rFonts w:hint="eastAsia" w:ascii="宋体" w:hAnsi="宋体"/>
          <w:color w:val="auto"/>
          <w:sz w:val="24"/>
          <w:szCs w:val="20"/>
          <w:highlight w:val="none"/>
        </w:rPr>
        <w:t>与本投标有关的正式通讯地址：</w:t>
      </w:r>
    </w:p>
    <w:p w14:paraId="26A2D508">
      <w:pPr>
        <w:keepNext w:val="0"/>
        <w:keepLines w:val="0"/>
        <w:pageBreakBefore w:val="0"/>
        <w:widowControl/>
        <w:kinsoku w:val="0"/>
        <w:wordWrap/>
        <w:bidi w:val="0"/>
        <w:adjustRightInd w:val="0"/>
        <w:snapToGrid w:val="0"/>
        <w:spacing w:line="360" w:lineRule="auto"/>
        <w:ind w:left="0" w:leftChars="0" w:right="0" w:rightChars="0" w:firstLine="360" w:firstLineChars="150"/>
        <w:rPr>
          <w:rFonts w:ascii="宋体" w:hAnsi="宋体" w:cs="宋体"/>
          <w:color w:val="auto"/>
          <w:sz w:val="24"/>
          <w:szCs w:val="20"/>
          <w:highlight w:val="none"/>
        </w:rPr>
      </w:pPr>
      <w:r>
        <w:rPr>
          <w:rFonts w:hint="eastAsia" w:ascii="宋体" w:hAnsi="宋体" w:cs="宋体"/>
          <w:color w:val="auto"/>
          <w:sz w:val="24"/>
          <w:szCs w:val="20"/>
          <w:highlight w:val="none"/>
        </w:rPr>
        <w:t xml:space="preserve">（9）本项目的联系人 </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，联系电话：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 xml:space="preserve">。   </w:t>
      </w:r>
    </w:p>
    <w:p w14:paraId="09C03BFF">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cs="宋体"/>
          <w:color w:val="auto"/>
          <w:sz w:val="24"/>
          <w:szCs w:val="20"/>
          <w:highlight w:val="none"/>
          <w:lang w:eastAsia="zh-CN"/>
        </w:rPr>
      </w:pPr>
    </w:p>
    <w:p w14:paraId="1B98074F">
      <w:pPr>
        <w:keepNext w:val="0"/>
        <w:keepLines w:val="0"/>
        <w:pageBreakBefore w:val="0"/>
        <w:widowControl/>
        <w:kinsoku w:val="0"/>
        <w:wordWrap/>
        <w:bidi w:val="0"/>
        <w:adjustRightInd w:val="0"/>
        <w:snapToGrid w:val="0"/>
        <w:spacing w:line="360" w:lineRule="auto"/>
        <w:ind w:left="0" w:leftChars="0" w:right="0" w:rightChars="0"/>
        <w:jc w:val="left"/>
        <w:rPr>
          <w:rFonts w:ascii="宋体" w:hAnsi="宋体" w:cs="宋体"/>
          <w:color w:val="auto"/>
          <w:sz w:val="24"/>
          <w:szCs w:val="20"/>
          <w:highlight w:val="none"/>
          <w:u w:val="single"/>
        </w:rPr>
      </w:pP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14:paraId="3EE85666">
      <w:pPr>
        <w:keepNext w:val="0"/>
        <w:keepLines w:val="0"/>
        <w:pageBreakBefore w:val="0"/>
        <w:widowControl/>
        <w:kinsoku w:val="0"/>
        <w:wordWrap/>
        <w:bidi w:val="0"/>
        <w:adjustRightInd w:val="0"/>
        <w:snapToGrid w:val="0"/>
        <w:spacing w:line="360" w:lineRule="auto"/>
        <w:ind w:right="0" w:rightChars="0"/>
        <w:jc w:val="left"/>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14:paraId="75F42DAE">
      <w:pPr>
        <w:keepNext w:val="0"/>
        <w:keepLines w:val="0"/>
        <w:pageBreakBefore w:val="0"/>
        <w:widowControl/>
        <w:kinsoku w:val="0"/>
        <w:wordWrap/>
        <w:bidi w:val="0"/>
        <w:adjustRightInd w:val="0"/>
        <w:snapToGrid w:val="0"/>
        <w:spacing w:line="360" w:lineRule="auto"/>
        <w:ind w:right="0" w:rightChars="0"/>
        <w:jc w:val="left"/>
        <w:rPr>
          <w:rFonts w:ascii="宋体" w:hAnsi="宋体" w:cs="宋体"/>
          <w:color w:val="auto"/>
          <w:sz w:val="24"/>
          <w:szCs w:val="20"/>
          <w:highlight w:val="none"/>
          <w:u w:val="single"/>
        </w:rPr>
      </w:pPr>
      <w:r>
        <w:rPr>
          <w:rFonts w:hint="eastAsia" w:ascii="宋体" w:hAnsi="宋体" w:cs="宋体"/>
          <w:color w:val="auto"/>
          <w:sz w:val="24"/>
          <w:szCs w:val="20"/>
          <w:highlight w:val="none"/>
        </w:rPr>
        <w:t>地    址：</w:t>
      </w:r>
      <w:r>
        <w:rPr>
          <w:rFonts w:hint="eastAsia" w:ascii="宋体" w:hAnsi="宋体" w:cs="宋体"/>
          <w:color w:val="auto"/>
          <w:sz w:val="24"/>
          <w:szCs w:val="20"/>
          <w:highlight w:val="none"/>
          <w:u w:val="single"/>
        </w:rPr>
        <w:t xml:space="preserve">                                    </w:t>
      </w:r>
    </w:p>
    <w:p w14:paraId="46192B8B">
      <w:pPr>
        <w:keepNext w:val="0"/>
        <w:keepLines w:val="0"/>
        <w:pageBreakBefore w:val="0"/>
        <w:widowControl/>
        <w:kinsoku w:val="0"/>
        <w:wordWrap/>
        <w:bidi w:val="0"/>
        <w:adjustRightInd w:val="0"/>
        <w:snapToGrid w:val="0"/>
        <w:spacing w:line="360" w:lineRule="auto"/>
        <w:ind w:right="0" w:rightChars="0"/>
        <w:jc w:val="left"/>
        <w:rPr>
          <w:rFonts w:ascii="宋体" w:hAnsi="宋体" w:cs="宋体"/>
          <w:color w:val="auto"/>
          <w:sz w:val="24"/>
          <w:szCs w:val="20"/>
          <w:highlight w:val="none"/>
          <w:u w:val="single"/>
        </w:rPr>
      </w:pPr>
      <w:r>
        <w:rPr>
          <w:rFonts w:hint="eastAsia" w:ascii="宋体" w:hAnsi="宋体" w:cs="宋体"/>
          <w:color w:val="auto"/>
          <w:sz w:val="24"/>
          <w:szCs w:val="20"/>
          <w:highlight w:val="none"/>
        </w:rPr>
        <w:t>邮    编：</w:t>
      </w:r>
      <w:r>
        <w:rPr>
          <w:rFonts w:hint="eastAsia" w:ascii="宋体" w:hAnsi="宋体" w:cs="宋体"/>
          <w:color w:val="auto"/>
          <w:sz w:val="24"/>
          <w:szCs w:val="20"/>
          <w:highlight w:val="none"/>
          <w:u w:val="single"/>
        </w:rPr>
        <w:t xml:space="preserve">                                    </w:t>
      </w:r>
    </w:p>
    <w:p w14:paraId="18D2967F">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olor w:val="auto"/>
          <w:sz w:val="24"/>
          <w:highlight w:val="none"/>
          <w:lang w:eastAsia="zh-CN"/>
        </w:rPr>
      </w:pPr>
      <w:r>
        <w:rPr>
          <w:rFonts w:hint="eastAsia" w:ascii="宋体" w:hAnsi="宋体" w:cs="宋体"/>
          <w:color w:val="auto"/>
          <w:sz w:val="24"/>
          <w:szCs w:val="20"/>
          <w:highlight w:val="none"/>
        </w:rPr>
        <w:t>电    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lang w:eastAsia="zh-CN"/>
        </w:rPr>
        <w:t>（填写可以联系到的电话，方便二次报价通知）</w:t>
      </w:r>
    </w:p>
    <w:p w14:paraId="72F59989">
      <w:pPr>
        <w:keepNext w:val="0"/>
        <w:keepLines w:val="0"/>
        <w:pageBreakBefore w:val="0"/>
        <w:widowControl/>
        <w:kinsoku w:val="0"/>
        <w:wordWrap/>
        <w:bidi w:val="0"/>
        <w:adjustRightInd w:val="0"/>
        <w:snapToGrid w:val="0"/>
        <w:spacing w:line="360" w:lineRule="auto"/>
        <w:ind w:right="0" w:rightChars="0"/>
        <w:jc w:val="left"/>
        <w:rPr>
          <w:rFonts w:ascii="宋体" w:hAnsi="宋体" w:cs="宋体"/>
          <w:color w:val="auto"/>
          <w:sz w:val="24"/>
          <w:szCs w:val="20"/>
          <w:highlight w:val="none"/>
        </w:rPr>
      </w:pP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年</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月</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日</w:t>
      </w:r>
    </w:p>
    <w:p w14:paraId="24A2225C">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kern w:val="0"/>
          <w:szCs w:val="24"/>
          <w:highlight w:val="none"/>
        </w:rPr>
      </w:pPr>
    </w:p>
    <w:p w14:paraId="2511035B">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color w:val="auto"/>
          <w:szCs w:val="24"/>
          <w:highlight w:val="none"/>
        </w:rPr>
      </w:pPr>
      <w:r>
        <w:rPr>
          <w:rFonts w:hint="eastAsia" w:ascii="宋体" w:hAnsi="宋体" w:cs="宋体"/>
          <w:color w:val="auto"/>
          <w:szCs w:val="24"/>
          <w:highlight w:val="none"/>
        </w:rPr>
        <w:br w:type="page"/>
      </w:r>
      <w:bookmarkStart w:id="83" w:name="_Toc528078068"/>
      <w:r>
        <w:rPr>
          <w:rFonts w:hint="eastAsia" w:ascii="宋体" w:hAnsi="宋体" w:cs="宋体"/>
          <w:color w:val="auto"/>
          <w:szCs w:val="24"/>
          <w:highlight w:val="none"/>
        </w:rPr>
        <w:t>（二）第一轮报价表</w:t>
      </w:r>
    </w:p>
    <w:tbl>
      <w:tblPr>
        <w:tblStyle w:val="17"/>
        <w:tblW w:w="95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57"/>
        <w:gridCol w:w="7219"/>
      </w:tblGrid>
      <w:tr w14:paraId="551E4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2357" w:type="dxa"/>
            <w:tcBorders>
              <w:top w:val="single" w:color="auto" w:sz="4" w:space="0"/>
              <w:left w:val="single" w:color="auto" w:sz="4" w:space="0"/>
              <w:right w:val="single" w:color="auto" w:sz="4" w:space="0"/>
            </w:tcBorders>
            <w:vAlign w:val="center"/>
          </w:tcPr>
          <w:p w14:paraId="60893F3C">
            <w:pPr>
              <w:keepNext w:val="0"/>
              <w:keepLines w:val="0"/>
              <w:pageBreakBefore w:val="0"/>
              <w:widowControl/>
              <w:kinsoku w:val="0"/>
              <w:wordWrap/>
              <w:bidi w:val="0"/>
              <w:adjustRightInd w:val="0"/>
              <w:snapToGrid w:val="0"/>
              <w:spacing w:line="360" w:lineRule="auto"/>
              <w:ind w:left="0" w:leftChars="0" w:right="0" w:rightChars="0"/>
              <w:contextualSpacing/>
              <w:jc w:val="center"/>
              <w:rPr>
                <w:rFonts w:ascii="宋体" w:hAnsi="宋体" w:cs="宋体"/>
                <w:color w:val="auto"/>
                <w:szCs w:val="24"/>
                <w:highlight w:val="none"/>
              </w:rPr>
            </w:pPr>
            <w:r>
              <w:rPr>
                <w:rFonts w:hint="eastAsia" w:ascii="宋体" w:hAnsi="宋体" w:cs="宋体"/>
                <w:color w:val="auto"/>
                <w:szCs w:val="24"/>
                <w:highlight w:val="none"/>
              </w:rPr>
              <w:t>项目名称</w:t>
            </w:r>
          </w:p>
        </w:tc>
        <w:tc>
          <w:tcPr>
            <w:tcW w:w="7219" w:type="dxa"/>
            <w:tcBorders>
              <w:top w:val="single" w:color="auto" w:sz="4" w:space="0"/>
              <w:left w:val="nil"/>
              <w:bottom w:val="single" w:color="auto" w:sz="4" w:space="0"/>
              <w:right w:val="single" w:color="auto" w:sz="4" w:space="0"/>
            </w:tcBorders>
            <w:vAlign w:val="center"/>
          </w:tcPr>
          <w:p w14:paraId="5EBB0620">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p>
        </w:tc>
      </w:tr>
      <w:tr w14:paraId="12213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2357" w:type="dxa"/>
            <w:tcBorders>
              <w:top w:val="single" w:color="auto" w:sz="4" w:space="0"/>
              <w:left w:val="single" w:color="auto" w:sz="4" w:space="0"/>
              <w:bottom w:val="single" w:color="auto" w:sz="4" w:space="0"/>
              <w:right w:val="single" w:color="auto" w:sz="4" w:space="0"/>
            </w:tcBorders>
            <w:vAlign w:val="center"/>
          </w:tcPr>
          <w:p w14:paraId="4A27EAC4">
            <w:pPr>
              <w:keepNext w:val="0"/>
              <w:keepLines w:val="0"/>
              <w:pageBreakBefore w:val="0"/>
              <w:widowControl/>
              <w:kinsoku w:val="0"/>
              <w:wordWrap/>
              <w:bidi w:val="0"/>
              <w:adjustRightInd w:val="0"/>
              <w:snapToGrid w:val="0"/>
              <w:spacing w:line="360" w:lineRule="auto"/>
              <w:ind w:left="0" w:leftChars="0" w:right="0" w:rightChars="0"/>
              <w:contextualSpacing/>
              <w:jc w:val="center"/>
              <w:rPr>
                <w:rFonts w:ascii="宋体" w:hAnsi="宋体" w:cs="宋体"/>
                <w:color w:val="auto"/>
                <w:szCs w:val="24"/>
                <w:highlight w:val="none"/>
              </w:rPr>
            </w:pPr>
            <w:r>
              <w:rPr>
                <w:rFonts w:hint="eastAsia" w:ascii="宋体" w:hAnsi="宋体" w:cs="宋体"/>
                <w:color w:val="auto"/>
                <w:szCs w:val="24"/>
                <w:highlight w:val="none"/>
              </w:rPr>
              <w:t>供应商名称</w:t>
            </w:r>
          </w:p>
        </w:tc>
        <w:tc>
          <w:tcPr>
            <w:tcW w:w="7219" w:type="dxa"/>
            <w:tcBorders>
              <w:top w:val="single" w:color="auto" w:sz="4" w:space="0"/>
              <w:left w:val="nil"/>
              <w:bottom w:val="single" w:color="auto" w:sz="4" w:space="0"/>
              <w:right w:val="single" w:color="auto" w:sz="4" w:space="0"/>
            </w:tcBorders>
            <w:vAlign w:val="center"/>
          </w:tcPr>
          <w:p w14:paraId="413D6EA0">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p>
        </w:tc>
      </w:tr>
      <w:tr w14:paraId="7D65D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2357" w:type="dxa"/>
            <w:tcBorders>
              <w:top w:val="single" w:color="auto" w:sz="4" w:space="0"/>
              <w:left w:val="single" w:color="auto" w:sz="4" w:space="0"/>
              <w:bottom w:val="nil"/>
              <w:right w:val="single" w:color="auto" w:sz="4" w:space="0"/>
            </w:tcBorders>
            <w:vAlign w:val="center"/>
          </w:tcPr>
          <w:p w14:paraId="162DEF19">
            <w:pPr>
              <w:keepNext w:val="0"/>
              <w:keepLines w:val="0"/>
              <w:pageBreakBefore w:val="0"/>
              <w:widowControl/>
              <w:kinsoku w:val="0"/>
              <w:wordWrap/>
              <w:bidi w:val="0"/>
              <w:adjustRightInd w:val="0"/>
              <w:snapToGrid w:val="0"/>
              <w:spacing w:line="360" w:lineRule="auto"/>
              <w:ind w:left="0" w:leftChars="0" w:right="0" w:rightChars="0"/>
              <w:contextualSpacing/>
              <w:jc w:val="center"/>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采购内容</w:t>
            </w:r>
          </w:p>
        </w:tc>
        <w:tc>
          <w:tcPr>
            <w:tcW w:w="7219" w:type="dxa"/>
            <w:tcBorders>
              <w:top w:val="single" w:color="auto" w:sz="4" w:space="0"/>
              <w:left w:val="nil"/>
              <w:bottom w:val="single" w:color="auto" w:sz="4" w:space="0"/>
              <w:right w:val="single" w:color="auto" w:sz="4" w:space="0"/>
            </w:tcBorders>
            <w:vAlign w:val="center"/>
          </w:tcPr>
          <w:p w14:paraId="75E10A33">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hint="eastAsia" w:ascii="宋体" w:hAnsi="宋体" w:cs="宋体"/>
                <w:color w:val="auto"/>
                <w:szCs w:val="24"/>
                <w:highlight w:val="none"/>
              </w:rPr>
            </w:pPr>
          </w:p>
        </w:tc>
      </w:tr>
      <w:tr w14:paraId="074D2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57" w:type="dxa"/>
            <w:tcBorders>
              <w:top w:val="single" w:color="auto" w:sz="4" w:space="0"/>
              <w:left w:val="single" w:color="auto" w:sz="4" w:space="0"/>
              <w:bottom w:val="nil"/>
              <w:right w:val="single" w:color="auto" w:sz="4" w:space="0"/>
            </w:tcBorders>
            <w:vAlign w:val="center"/>
          </w:tcPr>
          <w:p w14:paraId="507CDEB2">
            <w:pPr>
              <w:keepNext w:val="0"/>
              <w:keepLines w:val="0"/>
              <w:pageBreakBefore w:val="0"/>
              <w:widowControl/>
              <w:kinsoku w:val="0"/>
              <w:wordWrap/>
              <w:bidi w:val="0"/>
              <w:adjustRightInd w:val="0"/>
              <w:snapToGrid w:val="0"/>
              <w:spacing w:line="360" w:lineRule="auto"/>
              <w:ind w:left="0" w:leftChars="0" w:right="0" w:rightChars="0"/>
              <w:contextualSpacing/>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磋商报价</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元</w:t>
            </w:r>
            <w:r>
              <w:rPr>
                <w:rFonts w:hint="eastAsia" w:ascii="宋体" w:hAnsi="宋体" w:cs="宋体"/>
                <w:color w:val="auto"/>
                <w:szCs w:val="24"/>
                <w:highlight w:val="none"/>
                <w:lang w:eastAsia="zh-CN"/>
              </w:rPr>
              <w:t>）</w:t>
            </w:r>
          </w:p>
          <w:p w14:paraId="3A816FB0">
            <w:pPr>
              <w:keepNext w:val="0"/>
              <w:keepLines w:val="0"/>
              <w:pageBreakBefore w:val="0"/>
              <w:widowControl/>
              <w:kinsoku w:val="0"/>
              <w:wordWrap/>
              <w:bidi w:val="0"/>
              <w:adjustRightInd w:val="0"/>
              <w:snapToGrid w:val="0"/>
              <w:spacing w:line="360" w:lineRule="auto"/>
              <w:ind w:left="0" w:leftChars="0" w:right="0" w:rightChars="0"/>
              <w:contextualSpacing/>
              <w:jc w:val="center"/>
              <w:rPr>
                <w:color w:val="auto"/>
                <w:highlight w:val="none"/>
              </w:rPr>
            </w:pPr>
            <w:r>
              <w:rPr>
                <w:rFonts w:hint="eastAsia" w:ascii="宋体" w:hAnsi="宋体" w:eastAsia="宋体" w:cs="宋体"/>
                <w:color w:val="auto"/>
                <w:szCs w:val="24"/>
                <w:highlight w:val="none"/>
              </w:rPr>
              <w:t>（供应商应在此填列第一次报价，但以供应商最后一次的投标报价为成交价）</w:t>
            </w:r>
          </w:p>
        </w:tc>
        <w:tc>
          <w:tcPr>
            <w:tcW w:w="7219" w:type="dxa"/>
            <w:tcBorders>
              <w:top w:val="single" w:color="auto" w:sz="4" w:space="0"/>
              <w:left w:val="nil"/>
              <w:bottom w:val="single" w:color="auto" w:sz="4" w:space="0"/>
              <w:right w:val="single" w:color="auto" w:sz="4" w:space="0"/>
            </w:tcBorders>
            <w:vAlign w:val="center"/>
          </w:tcPr>
          <w:p w14:paraId="6D382A6C">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hint="eastAsia" w:ascii="宋体" w:hAnsi="宋体" w:cs="宋体"/>
                <w:color w:val="auto"/>
                <w:szCs w:val="24"/>
                <w:highlight w:val="none"/>
              </w:rPr>
            </w:pPr>
            <w:r>
              <w:rPr>
                <w:rFonts w:hint="eastAsia" w:ascii="宋体" w:hAnsi="宋体" w:cs="宋体"/>
                <w:color w:val="auto"/>
                <w:szCs w:val="24"/>
                <w:highlight w:val="none"/>
              </w:rPr>
              <w:t>（大写）     ，</w:t>
            </w:r>
          </w:p>
          <w:p w14:paraId="0630C98F">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r>
              <w:rPr>
                <w:rFonts w:hint="eastAsia" w:ascii="宋体" w:hAnsi="宋体" w:cs="宋体"/>
                <w:color w:val="auto"/>
                <w:szCs w:val="24"/>
                <w:highlight w:val="none"/>
              </w:rPr>
              <w:t>（小写）    元</w:t>
            </w:r>
          </w:p>
        </w:tc>
      </w:tr>
      <w:tr w14:paraId="3E2C7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57" w:type="dxa"/>
            <w:tcBorders>
              <w:top w:val="single" w:color="auto" w:sz="4" w:space="0"/>
              <w:left w:val="single" w:color="auto" w:sz="4" w:space="0"/>
              <w:bottom w:val="nil"/>
              <w:right w:val="single" w:color="auto" w:sz="4" w:space="0"/>
            </w:tcBorders>
            <w:vAlign w:val="center"/>
          </w:tcPr>
          <w:p w14:paraId="01CC794B">
            <w:pPr>
              <w:keepNext w:val="0"/>
              <w:keepLines w:val="0"/>
              <w:pageBreakBefore w:val="0"/>
              <w:widowControl/>
              <w:kinsoku w:val="0"/>
              <w:wordWrap/>
              <w:bidi w:val="0"/>
              <w:adjustRightInd w:val="0"/>
              <w:snapToGrid w:val="0"/>
              <w:spacing w:line="360" w:lineRule="auto"/>
              <w:ind w:left="0" w:leftChars="0" w:right="0" w:rightChars="0"/>
              <w:contextualSpacing/>
              <w:jc w:val="center"/>
              <w:rPr>
                <w:rFonts w:ascii="宋体" w:hAnsi="宋体" w:cs="宋体"/>
                <w:color w:val="auto"/>
                <w:szCs w:val="24"/>
                <w:highlight w:val="none"/>
              </w:rPr>
            </w:pPr>
            <w:r>
              <w:rPr>
                <w:rFonts w:hint="eastAsia" w:ascii="宋体" w:hAnsi="宋体" w:cs="宋体"/>
                <w:color w:val="auto"/>
                <w:szCs w:val="24"/>
                <w:highlight w:val="none"/>
                <w:lang w:val="en-US" w:eastAsia="zh-CN"/>
              </w:rPr>
              <w:t>供货服务</w:t>
            </w:r>
            <w:r>
              <w:rPr>
                <w:rFonts w:hint="eastAsia" w:ascii="宋体" w:hAnsi="宋体" w:cs="宋体"/>
                <w:color w:val="auto"/>
                <w:szCs w:val="24"/>
                <w:highlight w:val="none"/>
              </w:rPr>
              <w:t>期</w:t>
            </w:r>
          </w:p>
        </w:tc>
        <w:tc>
          <w:tcPr>
            <w:tcW w:w="7219" w:type="dxa"/>
            <w:tcBorders>
              <w:top w:val="single" w:color="auto" w:sz="4" w:space="0"/>
              <w:left w:val="nil"/>
              <w:bottom w:val="single" w:color="auto" w:sz="4" w:space="0"/>
              <w:right w:val="single" w:color="auto" w:sz="4" w:space="0"/>
            </w:tcBorders>
            <w:vAlign w:val="center"/>
          </w:tcPr>
          <w:p w14:paraId="7212336C">
            <w:pPr>
              <w:keepNext w:val="0"/>
              <w:keepLines w:val="0"/>
              <w:pageBreakBefore w:val="0"/>
              <w:widowControl/>
              <w:kinsoku w:val="0"/>
              <w:wordWrap/>
              <w:bidi w:val="0"/>
              <w:adjustRightInd w:val="0"/>
              <w:snapToGrid w:val="0"/>
              <w:spacing w:line="360" w:lineRule="auto"/>
              <w:ind w:left="0" w:leftChars="0" w:right="0" w:rightChars="0"/>
              <w:contextualSpacing/>
              <w:rPr>
                <w:rFonts w:ascii="宋体" w:hAnsi="宋体" w:cs="宋体"/>
                <w:color w:val="auto"/>
                <w:szCs w:val="24"/>
                <w:highlight w:val="none"/>
              </w:rPr>
            </w:pPr>
          </w:p>
        </w:tc>
      </w:tr>
      <w:tr w14:paraId="3010C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2" w:hRule="atLeast"/>
        </w:trPr>
        <w:tc>
          <w:tcPr>
            <w:tcW w:w="2357" w:type="dxa"/>
            <w:tcBorders>
              <w:top w:val="single" w:color="auto" w:sz="4" w:space="0"/>
              <w:left w:val="single" w:color="auto" w:sz="4" w:space="0"/>
              <w:bottom w:val="single" w:color="auto" w:sz="4" w:space="0"/>
              <w:right w:val="single" w:color="auto" w:sz="4" w:space="0"/>
            </w:tcBorders>
            <w:vAlign w:val="center"/>
          </w:tcPr>
          <w:p w14:paraId="26DC1030">
            <w:pPr>
              <w:keepNext w:val="0"/>
              <w:keepLines w:val="0"/>
              <w:pageBreakBefore w:val="0"/>
              <w:widowControl/>
              <w:kinsoku w:val="0"/>
              <w:wordWrap/>
              <w:bidi w:val="0"/>
              <w:adjustRightInd w:val="0"/>
              <w:snapToGrid w:val="0"/>
              <w:spacing w:line="360" w:lineRule="auto"/>
              <w:ind w:left="0" w:leftChars="0" w:right="0" w:rightChars="0"/>
              <w:contextualSpacing/>
              <w:jc w:val="center"/>
              <w:rPr>
                <w:rFonts w:ascii="宋体" w:hAnsi="宋体" w:cs="宋体"/>
                <w:color w:val="auto"/>
                <w:szCs w:val="24"/>
                <w:highlight w:val="none"/>
              </w:rPr>
            </w:pPr>
            <w:r>
              <w:rPr>
                <w:rFonts w:hint="eastAsia" w:ascii="宋体" w:hAnsi="宋体" w:cs="宋体"/>
                <w:color w:val="auto"/>
                <w:szCs w:val="24"/>
                <w:highlight w:val="none"/>
              </w:rPr>
              <w:t>质量要求</w:t>
            </w:r>
          </w:p>
        </w:tc>
        <w:tc>
          <w:tcPr>
            <w:tcW w:w="7219" w:type="dxa"/>
            <w:tcBorders>
              <w:top w:val="single" w:color="auto" w:sz="4" w:space="0"/>
              <w:left w:val="nil"/>
              <w:bottom w:val="single" w:color="auto" w:sz="4" w:space="0"/>
              <w:right w:val="single" w:color="auto" w:sz="4" w:space="0"/>
            </w:tcBorders>
            <w:vAlign w:val="center"/>
          </w:tcPr>
          <w:p w14:paraId="64B1B129">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p>
        </w:tc>
      </w:tr>
      <w:tr w14:paraId="00A7C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2" w:hRule="atLeast"/>
        </w:trPr>
        <w:tc>
          <w:tcPr>
            <w:tcW w:w="2357" w:type="dxa"/>
            <w:tcBorders>
              <w:top w:val="single" w:color="auto" w:sz="4" w:space="0"/>
              <w:left w:val="single" w:color="auto" w:sz="4" w:space="0"/>
              <w:bottom w:val="single" w:color="auto" w:sz="4" w:space="0"/>
              <w:right w:val="single" w:color="auto" w:sz="4" w:space="0"/>
            </w:tcBorders>
            <w:vAlign w:val="center"/>
          </w:tcPr>
          <w:p w14:paraId="1207EF95">
            <w:pPr>
              <w:keepNext w:val="0"/>
              <w:keepLines w:val="0"/>
              <w:pageBreakBefore w:val="0"/>
              <w:widowControl/>
              <w:kinsoku w:val="0"/>
              <w:wordWrap/>
              <w:bidi w:val="0"/>
              <w:adjustRightInd w:val="0"/>
              <w:snapToGrid w:val="0"/>
              <w:spacing w:line="360" w:lineRule="auto"/>
              <w:ind w:left="0" w:leftChars="0" w:right="0" w:rightChars="0"/>
              <w:contextualSpacing/>
              <w:jc w:val="center"/>
              <w:rPr>
                <w:rFonts w:ascii="宋体" w:hAnsi="宋体" w:cs="宋体"/>
                <w:color w:val="auto"/>
                <w:szCs w:val="24"/>
                <w:highlight w:val="none"/>
              </w:rPr>
            </w:pPr>
            <w:r>
              <w:rPr>
                <w:rFonts w:hint="eastAsia" w:ascii="宋体" w:hAnsi="宋体" w:cs="宋体"/>
                <w:color w:val="auto"/>
                <w:szCs w:val="24"/>
                <w:highlight w:val="none"/>
              </w:rPr>
              <w:t>磋商有效期</w:t>
            </w:r>
          </w:p>
        </w:tc>
        <w:tc>
          <w:tcPr>
            <w:tcW w:w="7219" w:type="dxa"/>
            <w:tcBorders>
              <w:top w:val="single" w:color="auto" w:sz="4" w:space="0"/>
              <w:left w:val="nil"/>
              <w:bottom w:val="single" w:color="auto" w:sz="4" w:space="0"/>
              <w:right w:val="single" w:color="auto" w:sz="4" w:space="0"/>
            </w:tcBorders>
            <w:vAlign w:val="center"/>
          </w:tcPr>
          <w:p w14:paraId="6EDE38D6">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p>
        </w:tc>
      </w:tr>
      <w:tr w14:paraId="494A0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2" w:hRule="atLeast"/>
        </w:trPr>
        <w:tc>
          <w:tcPr>
            <w:tcW w:w="2357" w:type="dxa"/>
            <w:tcBorders>
              <w:top w:val="single" w:color="auto" w:sz="4" w:space="0"/>
              <w:left w:val="single" w:color="auto" w:sz="4" w:space="0"/>
              <w:bottom w:val="single" w:color="auto" w:sz="4" w:space="0"/>
              <w:right w:val="single" w:color="auto" w:sz="4" w:space="0"/>
            </w:tcBorders>
            <w:vAlign w:val="center"/>
          </w:tcPr>
          <w:p w14:paraId="6228AF8F">
            <w:pPr>
              <w:keepNext w:val="0"/>
              <w:keepLines w:val="0"/>
              <w:pageBreakBefore w:val="0"/>
              <w:widowControl/>
              <w:kinsoku w:val="0"/>
              <w:wordWrap/>
              <w:bidi w:val="0"/>
              <w:adjustRightInd w:val="0"/>
              <w:snapToGrid w:val="0"/>
              <w:spacing w:line="360" w:lineRule="auto"/>
              <w:ind w:left="0" w:leftChars="0" w:right="0" w:rightChars="0"/>
              <w:contextualSpacing/>
              <w:jc w:val="center"/>
              <w:rPr>
                <w:rFonts w:hint="eastAsia" w:ascii="宋体" w:hAnsi="宋体" w:cs="宋体"/>
                <w:color w:val="auto"/>
                <w:szCs w:val="24"/>
                <w:highlight w:val="none"/>
              </w:rPr>
            </w:pPr>
            <w:r>
              <w:rPr>
                <w:rFonts w:hint="eastAsia" w:ascii="宋体" w:hAnsi="宋体" w:cs="宋体"/>
                <w:color w:val="auto"/>
                <w:szCs w:val="24"/>
                <w:highlight w:val="none"/>
              </w:rPr>
              <w:t>项目负责人及联系方式</w:t>
            </w:r>
          </w:p>
        </w:tc>
        <w:tc>
          <w:tcPr>
            <w:tcW w:w="7219" w:type="dxa"/>
            <w:tcBorders>
              <w:top w:val="single" w:color="auto" w:sz="4" w:space="0"/>
              <w:left w:val="nil"/>
              <w:bottom w:val="single" w:color="auto" w:sz="4" w:space="0"/>
              <w:right w:val="single" w:color="auto" w:sz="4" w:space="0"/>
            </w:tcBorders>
            <w:vAlign w:val="center"/>
          </w:tcPr>
          <w:p w14:paraId="531FABD4">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p>
        </w:tc>
      </w:tr>
      <w:tr w14:paraId="04CE4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576" w:type="dxa"/>
            <w:gridSpan w:val="2"/>
            <w:tcBorders>
              <w:top w:val="single" w:color="auto" w:sz="4" w:space="0"/>
              <w:left w:val="single" w:color="auto" w:sz="4" w:space="0"/>
              <w:bottom w:val="single" w:color="auto" w:sz="4" w:space="0"/>
              <w:right w:val="single" w:color="auto" w:sz="4" w:space="0"/>
            </w:tcBorders>
          </w:tcPr>
          <w:p w14:paraId="6AB36209">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r>
              <w:rPr>
                <w:rFonts w:hint="eastAsia" w:ascii="宋体" w:hAnsi="宋体" w:cs="宋体"/>
                <w:color w:val="auto"/>
                <w:szCs w:val="24"/>
                <w:highlight w:val="none"/>
              </w:rPr>
              <w:t>补充（如有）</w:t>
            </w:r>
          </w:p>
        </w:tc>
      </w:tr>
    </w:tbl>
    <w:p w14:paraId="548A7CE0">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color w:val="auto"/>
          <w:sz w:val="24"/>
          <w:szCs w:val="20"/>
          <w:highlight w:val="none"/>
          <w:lang w:eastAsia="zh-CN"/>
        </w:rPr>
      </w:pPr>
    </w:p>
    <w:p w14:paraId="3A698F67">
      <w:pPr>
        <w:keepNext w:val="0"/>
        <w:keepLines w:val="0"/>
        <w:pageBreakBefore w:val="0"/>
        <w:widowControl/>
        <w:kinsoku w:val="0"/>
        <w:wordWrap/>
        <w:bidi w:val="0"/>
        <w:adjustRightInd w:val="0"/>
        <w:snapToGrid w:val="0"/>
        <w:spacing w:line="360" w:lineRule="auto"/>
        <w:ind w:left="0" w:leftChars="0" w:right="0" w:rightChars="0"/>
        <w:rPr>
          <w:rFonts w:ascii="宋体" w:hAnsi="宋体"/>
          <w:color w:val="auto"/>
          <w:sz w:val="24"/>
          <w:szCs w:val="20"/>
          <w:highlight w:val="none"/>
        </w:rPr>
      </w:pPr>
      <w:r>
        <w:rPr>
          <w:rFonts w:hint="eastAsia" w:ascii="宋体" w:hAnsi="宋体"/>
          <w:color w:val="auto"/>
          <w:sz w:val="24"/>
          <w:szCs w:val="20"/>
          <w:highlight w:val="none"/>
          <w:lang w:eastAsia="zh-CN"/>
        </w:rPr>
        <w:t>供应商</w:t>
      </w:r>
      <w:r>
        <w:rPr>
          <w:rFonts w:hint="eastAsia" w:ascii="宋体" w:hAnsi="宋体"/>
          <w:color w:val="auto"/>
          <w:sz w:val="24"/>
          <w:szCs w:val="20"/>
          <w:highlight w:val="none"/>
        </w:rPr>
        <w:t>（</w:t>
      </w:r>
      <w:r>
        <w:rPr>
          <w:rFonts w:hint="eastAsia" w:ascii="宋体" w:hAnsi="宋体" w:cs="宋体"/>
          <w:color w:val="auto"/>
          <w:sz w:val="24"/>
          <w:szCs w:val="20"/>
          <w:highlight w:val="none"/>
        </w:rPr>
        <w:t>电子签章</w:t>
      </w:r>
      <w:r>
        <w:rPr>
          <w:rFonts w:hint="eastAsia" w:ascii="宋体" w:hAnsi="宋体"/>
          <w:color w:val="auto"/>
          <w:sz w:val="24"/>
          <w:szCs w:val="20"/>
          <w:highlight w:val="none"/>
        </w:rPr>
        <w:t>）：</w:t>
      </w:r>
      <w:r>
        <w:rPr>
          <w:rFonts w:hint="eastAsia" w:ascii="宋体" w:hAnsi="宋体"/>
          <w:color w:val="auto"/>
          <w:sz w:val="24"/>
          <w:szCs w:val="20"/>
          <w:highlight w:val="none"/>
          <w:u w:val="single"/>
        </w:rPr>
        <w:t xml:space="preserve">                        </w:t>
      </w:r>
    </w:p>
    <w:p w14:paraId="0A30CBA9">
      <w:pPr>
        <w:keepNext w:val="0"/>
        <w:keepLines w:val="0"/>
        <w:pageBreakBefore w:val="0"/>
        <w:widowControl/>
        <w:kinsoku w:val="0"/>
        <w:wordWrap/>
        <w:bidi w:val="0"/>
        <w:adjustRightInd w:val="0"/>
        <w:snapToGrid w:val="0"/>
        <w:spacing w:line="360" w:lineRule="auto"/>
        <w:ind w:left="0" w:leftChars="0" w:right="0" w:rightChars="0"/>
        <w:rPr>
          <w:rFonts w:ascii="宋体" w:hAnsi="宋体"/>
          <w:color w:val="auto"/>
          <w:sz w:val="24"/>
          <w:szCs w:val="20"/>
          <w:highlight w:val="none"/>
          <w:u w:val="single"/>
        </w:rPr>
      </w:pPr>
      <w:r>
        <w:rPr>
          <w:rFonts w:hint="eastAsia" w:ascii="宋体" w:hAnsi="宋体"/>
          <w:color w:val="auto"/>
          <w:sz w:val="24"/>
          <w:szCs w:val="20"/>
          <w:highlight w:val="none"/>
        </w:rPr>
        <w:t>法定代表人（</w:t>
      </w:r>
      <w:r>
        <w:rPr>
          <w:rFonts w:hint="eastAsia" w:ascii="宋体" w:hAnsi="宋体" w:cs="宋体"/>
          <w:color w:val="auto"/>
          <w:sz w:val="24"/>
          <w:szCs w:val="20"/>
          <w:highlight w:val="none"/>
        </w:rPr>
        <w:t>电子签章</w:t>
      </w:r>
      <w:r>
        <w:rPr>
          <w:rFonts w:hint="eastAsia" w:ascii="宋体" w:hAnsi="宋体"/>
          <w:color w:val="auto"/>
          <w:sz w:val="24"/>
          <w:szCs w:val="20"/>
          <w:highlight w:val="none"/>
        </w:rPr>
        <w:t>）：</w:t>
      </w:r>
      <w:r>
        <w:rPr>
          <w:rFonts w:hint="eastAsia" w:ascii="宋体" w:hAnsi="宋体"/>
          <w:color w:val="auto"/>
          <w:sz w:val="24"/>
          <w:szCs w:val="20"/>
          <w:highlight w:val="none"/>
          <w:u w:val="single"/>
        </w:rPr>
        <w:t xml:space="preserve">                    </w:t>
      </w:r>
    </w:p>
    <w:p w14:paraId="4A0C9052">
      <w:pPr>
        <w:keepNext w:val="0"/>
        <w:keepLines w:val="0"/>
        <w:pageBreakBefore w:val="0"/>
        <w:widowControl/>
        <w:kinsoku w:val="0"/>
        <w:wordWrap/>
        <w:bidi w:val="0"/>
        <w:adjustRightInd w:val="0"/>
        <w:snapToGrid w:val="0"/>
        <w:spacing w:line="360" w:lineRule="auto"/>
        <w:ind w:left="0" w:leftChars="0" w:right="0" w:rightChars="0"/>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14:paraId="2ED174F5">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r>
        <w:rPr>
          <w:rFonts w:hint="eastAsia" w:ascii="宋体" w:hAnsi="宋体" w:cs="宋体"/>
          <w:color w:val="auto"/>
          <w:highlight w:val="none"/>
        </w:rPr>
        <w:br w:type="page"/>
      </w:r>
    </w:p>
    <w:p w14:paraId="3B62F94C">
      <w:pPr>
        <w:pStyle w:val="2"/>
        <w:keepNext w:val="0"/>
        <w:keepLines w:val="0"/>
        <w:pageBreakBefore w:val="0"/>
        <w:widowControl/>
        <w:kinsoku w:val="0"/>
        <w:wordWrap/>
        <w:bidi w:val="0"/>
        <w:adjustRightInd w:val="0"/>
        <w:snapToGrid w:val="0"/>
        <w:spacing w:before="0" w:line="360" w:lineRule="auto"/>
        <w:ind w:left="0" w:leftChars="0" w:right="0" w:rightChars="0"/>
        <w:jc w:val="center"/>
        <w:rPr>
          <w:rFonts w:ascii="宋体" w:hAnsi="宋体" w:eastAsia="宋体" w:cs="宋体"/>
          <w:b w:val="0"/>
          <w:bCs w:val="0"/>
          <w:color w:val="auto"/>
          <w:highlight w:val="none"/>
        </w:rPr>
      </w:pPr>
      <w:bookmarkStart w:id="84" w:name="_Toc70237199"/>
      <w:bookmarkStart w:id="85" w:name="_Toc21231"/>
      <w:r>
        <w:rPr>
          <w:rFonts w:hint="eastAsia" w:ascii="宋体" w:hAnsi="宋体" w:eastAsia="宋体" w:cs="宋体"/>
          <w:b w:val="0"/>
          <w:bCs w:val="0"/>
          <w:color w:val="auto"/>
          <w:highlight w:val="none"/>
        </w:rPr>
        <w:t>二、法定代表人身份证明</w:t>
      </w:r>
      <w:bookmarkEnd w:id="83"/>
      <w:bookmarkEnd w:id="84"/>
      <w:bookmarkEnd w:id="85"/>
    </w:p>
    <w:p w14:paraId="0BD23AA4">
      <w:pPr>
        <w:keepNext w:val="0"/>
        <w:keepLines w:val="0"/>
        <w:pageBreakBefore w:val="0"/>
        <w:widowControl/>
        <w:tabs>
          <w:tab w:val="left" w:pos="4785"/>
        </w:tabs>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lang w:eastAsia="zh-CN"/>
        </w:rPr>
        <w:t>供应商</w:t>
      </w:r>
      <w:r>
        <w:rPr>
          <w:rFonts w:hint="eastAsia" w:ascii="宋体" w:hAnsi="宋体"/>
          <w:color w:val="auto"/>
          <w:kern w:val="0"/>
          <w:sz w:val="24"/>
          <w:szCs w:val="20"/>
          <w:highlight w:val="none"/>
        </w:rPr>
        <w:t>名称：</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73BAE82E">
      <w:pPr>
        <w:keepNext w:val="0"/>
        <w:keepLines w:val="0"/>
        <w:pageBreakBefore w:val="0"/>
        <w:widowControl/>
        <w:tabs>
          <w:tab w:val="left" w:pos="4785"/>
        </w:tabs>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单位性质：</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61E2B66A">
      <w:pPr>
        <w:keepNext w:val="0"/>
        <w:keepLines w:val="0"/>
        <w:pageBreakBefore w:val="0"/>
        <w:widowControl/>
        <w:tabs>
          <w:tab w:val="left" w:pos="4785"/>
        </w:tabs>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地    址：</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699BFFF5">
      <w:pPr>
        <w:keepNext w:val="0"/>
        <w:keepLines w:val="0"/>
        <w:pageBreakBefore w:val="0"/>
        <w:widowControl/>
        <w:tabs>
          <w:tab w:val="left" w:pos="2460"/>
          <w:tab w:val="left" w:pos="3160"/>
          <w:tab w:val="left" w:pos="4200"/>
        </w:tabs>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成立时间：</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年</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月</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日</w:t>
      </w:r>
    </w:p>
    <w:p w14:paraId="08F190D4">
      <w:pPr>
        <w:keepNext w:val="0"/>
        <w:keepLines w:val="0"/>
        <w:pageBreakBefore w:val="0"/>
        <w:widowControl/>
        <w:tabs>
          <w:tab w:val="left" w:pos="4785"/>
        </w:tabs>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经营期限：</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1CE588C2">
      <w:pPr>
        <w:keepNext w:val="0"/>
        <w:keepLines w:val="0"/>
        <w:pageBreakBefore w:val="0"/>
        <w:widowControl/>
        <w:tabs>
          <w:tab w:val="left" w:pos="1580"/>
          <w:tab w:val="left" w:pos="3615"/>
          <w:tab w:val="left" w:pos="4840"/>
          <w:tab w:val="left" w:pos="6300"/>
        </w:tabs>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szCs w:val="20"/>
          <w:highlight w:val="none"/>
          <w:u w:val="single"/>
        </w:rPr>
      </w:pPr>
      <w:r>
        <w:rPr>
          <w:rFonts w:hint="eastAsia" w:ascii="宋体" w:hAnsi="宋体"/>
          <w:color w:val="auto"/>
          <w:kern w:val="0"/>
          <w:sz w:val="24"/>
          <w:szCs w:val="20"/>
          <w:highlight w:val="none"/>
        </w:rPr>
        <w:t>姓    名：</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性别：</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年龄：</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职务：</w:t>
      </w:r>
      <w:r>
        <w:rPr>
          <w:rFonts w:hint="eastAsia" w:ascii="宋体" w:hAnsi="宋体"/>
          <w:color w:val="auto"/>
          <w:kern w:val="0"/>
          <w:sz w:val="24"/>
          <w:szCs w:val="20"/>
          <w:highlight w:val="none"/>
          <w:u w:val="single"/>
        </w:rPr>
        <w:t xml:space="preserve">          </w:t>
      </w:r>
    </w:p>
    <w:p w14:paraId="4A7D6FF4">
      <w:pPr>
        <w:keepNext w:val="0"/>
        <w:keepLines w:val="0"/>
        <w:pageBreakBefore w:val="0"/>
        <w:widowControl/>
        <w:tabs>
          <w:tab w:val="left" w:pos="4080"/>
        </w:tabs>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系</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r>
        <w:rPr>
          <w:rFonts w:hint="eastAsia" w:ascii="宋体" w:hAnsi="宋体"/>
          <w:color w:val="auto"/>
          <w:kern w:val="0"/>
          <w:sz w:val="24"/>
          <w:szCs w:val="20"/>
          <w:highlight w:val="none"/>
        </w:rPr>
        <w:t>（</w:t>
      </w:r>
      <w:r>
        <w:rPr>
          <w:rFonts w:hint="eastAsia" w:ascii="宋体" w:hAnsi="宋体"/>
          <w:color w:val="auto"/>
          <w:kern w:val="0"/>
          <w:sz w:val="24"/>
          <w:szCs w:val="20"/>
          <w:highlight w:val="none"/>
          <w:lang w:eastAsia="zh-CN"/>
        </w:rPr>
        <w:t>供应商</w:t>
      </w:r>
      <w:r>
        <w:rPr>
          <w:rFonts w:hint="eastAsia" w:ascii="宋体" w:hAnsi="宋体"/>
          <w:color w:val="auto"/>
          <w:kern w:val="0"/>
          <w:sz w:val="24"/>
          <w:szCs w:val="20"/>
          <w:highlight w:val="none"/>
        </w:rPr>
        <w:t>名称）的法定代表人。</w:t>
      </w:r>
    </w:p>
    <w:p w14:paraId="018BE952">
      <w:pPr>
        <w:keepNext w:val="0"/>
        <w:keepLines w:val="0"/>
        <w:pageBreakBefore w:val="0"/>
        <w:widowControl/>
        <w:kinsoku w:val="0"/>
        <w:wordWrap/>
        <w:autoSpaceDE w:val="0"/>
        <w:autoSpaceDN w:val="0"/>
        <w:bidi w:val="0"/>
        <w:adjustRightInd w:val="0"/>
        <w:snapToGrid w:val="0"/>
        <w:spacing w:line="360" w:lineRule="auto"/>
        <w:ind w:left="0" w:leftChars="0" w:right="0" w:rightChars="0"/>
        <w:jc w:val="left"/>
        <w:rPr>
          <w:rFonts w:ascii="宋体" w:hAnsi="宋体"/>
          <w:color w:val="auto"/>
          <w:kern w:val="0"/>
          <w:sz w:val="24"/>
          <w:szCs w:val="20"/>
          <w:highlight w:val="none"/>
        </w:rPr>
      </w:pPr>
      <w:r>
        <w:rPr>
          <w:rFonts w:hint="eastAsia" w:ascii="宋体" w:hAnsi="宋体"/>
          <w:color w:val="auto"/>
          <w:kern w:val="0"/>
          <w:sz w:val="24"/>
          <w:szCs w:val="20"/>
          <w:highlight w:val="none"/>
        </w:rPr>
        <w:t>特此证明。</w:t>
      </w:r>
    </w:p>
    <w:p w14:paraId="35C4DECD">
      <w:pPr>
        <w:keepNext w:val="0"/>
        <w:keepLines w:val="0"/>
        <w:pageBreakBefore w:val="0"/>
        <w:widowControl/>
        <w:kinsoku w:val="0"/>
        <w:wordWrap/>
        <w:autoSpaceDE w:val="0"/>
        <w:bidi w:val="0"/>
        <w:adjustRightInd w:val="0"/>
        <w:snapToGrid w:val="0"/>
        <w:spacing w:line="360" w:lineRule="auto"/>
        <w:ind w:left="0" w:leftChars="0" w:right="0" w:rightChars="0"/>
        <w:rPr>
          <w:rFonts w:ascii="宋体" w:hAnsi="宋体" w:cs="宋体"/>
          <w:color w:val="auto"/>
          <w:highlight w:val="none"/>
        </w:rPr>
      </w:pPr>
    </w:p>
    <w:p w14:paraId="60B52DF0">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highlight w:val="none"/>
          <w:u w:val="single"/>
        </w:rPr>
      </w:pP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（电子签章）：</w:t>
      </w:r>
      <w:r>
        <w:rPr>
          <w:rFonts w:hint="eastAsia" w:ascii="宋体" w:hAnsi="宋体"/>
          <w:color w:val="auto"/>
          <w:kern w:val="0"/>
          <w:sz w:val="24"/>
          <w:highlight w:val="none"/>
          <w:u w:val="single"/>
        </w:rPr>
        <w:t xml:space="preserve">                   </w:t>
      </w:r>
      <w:bookmarkStart w:id="86" w:name="_Toc293488381"/>
      <w:bookmarkStart w:id="87" w:name="_Toc293488489"/>
      <w:bookmarkStart w:id="88" w:name="_Toc367827776"/>
      <w:bookmarkStart w:id="89" w:name="_Toc294108317"/>
    </w:p>
    <w:bookmarkEnd w:id="86"/>
    <w:bookmarkEnd w:id="87"/>
    <w:bookmarkEnd w:id="88"/>
    <w:bookmarkEnd w:id="89"/>
    <w:p w14:paraId="39012AC7">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highlight w:val="none"/>
        </w:rPr>
      </w:pPr>
      <w:r>
        <w:rPr>
          <w:rFonts w:hint="eastAsia" w:ascii="宋体" w:hAnsi="宋体"/>
          <w:color w:val="auto"/>
          <w:kern w:val="0"/>
          <w:sz w:val="24"/>
          <w:highlight w:val="none"/>
        </w:rPr>
        <w:t>日期：</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日</w:t>
      </w:r>
    </w:p>
    <w:p w14:paraId="64224BC1">
      <w:pPr>
        <w:pStyle w:val="2"/>
        <w:keepNext w:val="0"/>
        <w:keepLines w:val="0"/>
        <w:pageBreakBefore w:val="0"/>
        <w:widowControl/>
        <w:kinsoku w:val="0"/>
        <w:wordWrap/>
        <w:bidi w:val="0"/>
        <w:adjustRightInd w:val="0"/>
        <w:snapToGrid w:val="0"/>
        <w:spacing w:before="0" w:line="360" w:lineRule="auto"/>
        <w:ind w:left="0" w:leftChars="0" w:right="0" w:rightChars="0"/>
        <w:jc w:val="center"/>
        <w:outlineLvl w:val="9"/>
        <w:rPr>
          <w:rFonts w:hint="eastAsia" w:ascii="宋体" w:hAnsi="宋体" w:eastAsia="宋体" w:cs="宋体"/>
          <w:b w:val="0"/>
          <w:bCs w:val="0"/>
          <w:color w:val="auto"/>
          <w:highlight w:val="none"/>
        </w:rPr>
      </w:pPr>
    </w:p>
    <w:tbl>
      <w:tblPr>
        <w:tblStyle w:val="17"/>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961"/>
        <w:gridCol w:w="4961"/>
      </w:tblGrid>
      <w:tr w14:paraId="39659BE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266" w:hRule="atLeast"/>
          <w:jc w:val="center"/>
        </w:trPr>
        <w:tc>
          <w:tcPr>
            <w:tcW w:w="4961" w:type="dxa"/>
            <w:noWrap w:val="0"/>
            <w:vAlign w:val="center"/>
          </w:tcPr>
          <w:p w14:paraId="347ECA0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color w:val="auto"/>
                <w:sz w:val="24"/>
                <w:szCs w:val="20"/>
                <w:highlight w:val="none"/>
              </w:rPr>
            </w:pPr>
            <w:r>
              <w:rPr>
                <w:rFonts w:hint="eastAsia" w:ascii="宋体" w:hAnsi="宋体"/>
                <w:color w:val="auto"/>
                <w:spacing w:val="8"/>
                <w:sz w:val="24"/>
                <w:szCs w:val="20"/>
                <w:highlight w:val="none"/>
              </w:rPr>
              <w:t>法定代表人身份证扫描件（正面）</w:t>
            </w:r>
          </w:p>
          <w:p w14:paraId="65941F17">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ascii="宋体" w:hAnsi="宋体" w:cs="宋体"/>
                <w:color w:val="auto"/>
                <w:kern w:val="0"/>
                <w:sz w:val="24"/>
                <w:szCs w:val="20"/>
                <w:highlight w:val="none"/>
              </w:rPr>
            </w:pPr>
          </w:p>
        </w:tc>
        <w:tc>
          <w:tcPr>
            <w:tcW w:w="4961" w:type="dxa"/>
            <w:noWrap w:val="0"/>
            <w:vAlign w:val="center"/>
          </w:tcPr>
          <w:p w14:paraId="15E9F33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color w:val="auto"/>
                <w:sz w:val="24"/>
                <w:szCs w:val="20"/>
                <w:highlight w:val="none"/>
              </w:rPr>
            </w:pPr>
            <w:r>
              <w:rPr>
                <w:rFonts w:hint="eastAsia" w:ascii="宋体" w:hAnsi="宋体"/>
                <w:color w:val="auto"/>
                <w:spacing w:val="8"/>
                <w:sz w:val="24"/>
                <w:szCs w:val="20"/>
                <w:highlight w:val="none"/>
              </w:rPr>
              <w:t>法定代表人身份证扫描件（反面）</w:t>
            </w:r>
          </w:p>
          <w:p w14:paraId="454D5BD9">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ascii="宋体" w:hAnsi="宋体" w:cs="宋体"/>
                <w:color w:val="auto"/>
                <w:kern w:val="0"/>
                <w:sz w:val="24"/>
                <w:szCs w:val="20"/>
                <w:highlight w:val="none"/>
              </w:rPr>
            </w:pPr>
          </w:p>
        </w:tc>
      </w:tr>
    </w:tbl>
    <w:p w14:paraId="4945255D">
      <w:pPr>
        <w:pStyle w:val="2"/>
        <w:keepNext w:val="0"/>
        <w:keepLines w:val="0"/>
        <w:pageBreakBefore w:val="0"/>
        <w:widowControl/>
        <w:kinsoku w:val="0"/>
        <w:wordWrap/>
        <w:bidi w:val="0"/>
        <w:adjustRightInd w:val="0"/>
        <w:snapToGrid w:val="0"/>
        <w:spacing w:before="0" w:line="360" w:lineRule="auto"/>
        <w:ind w:left="0" w:leftChars="0" w:right="0" w:rightChars="0"/>
        <w:jc w:val="center"/>
        <w:rPr>
          <w:rFonts w:ascii="宋体" w:hAnsi="宋体" w:eastAsia="宋体" w:cs="宋体"/>
          <w:b w:val="0"/>
          <w:bCs w:val="0"/>
          <w:color w:val="auto"/>
          <w:highlight w:val="none"/>
        </w:rPr>
      </w:pPr>
      <w:r>
        <w:rPr>
          <w:rFonts w:hint="eastAsia" w:ascii="宋体" w:hAnsi="宋体" w:eastAsia="宋体" w:cs="宋体"/>
          <w:b w:val="0"/>
          <w:bCs w:val="0"/>
          <w:color w:val="auto"/>
          <w:highlight w:val="none"/>
        </w:rPr>
        <w:br w:type="page"/>
      </w:r>
      <w:bookmarkStart w:id="90" w:name="_Toc70237200"/>
      <w:bookmarkStart w:id="91" w:name="_Toc22779"/>
      <w:bookmarkStart w:id="92" w:name="_Toc528078069"/>
      <w:r>
        <w:rPr>
          <w:rFonts w:hint="eastAsia" w:ascii="宋体" w:hAnsi="宋体" w:eastAsia="宋体" w:cs="宋体"/>
          <w:b w:val="0"/>
          <w:bCs w:val="0"/>
          <w:color w:val="auto"/>
          <w:highlight w:val="none"/>
        </w:rPr>
        <w:t>三、授权委托书</w:t>
      </w:r>
      <w:bookmarkEnd w:id="90"/>
      <w:bookmarkEnd w:id="91"/>
      <w:bookmarkEnd w:id="92"/>
    </w:p>
    <w:p w14:paraId="39F22C6E">
      <w:pPr>
        <w:keepNext w:val="0"/>
        <w:keepLines w:val="0"/>
        <w:pageBreakBefore w:val="0"/>
        <w:widowControl/>
        <w:tabs>
          <w:tab w:val="left" w:pos="2040"/>
          <w:tab w:val="left" w:pos="4785"/>
          <w:tab w:val="left" w:pos="4815"/>
          <w:tab w:val="left" w:pos="8000"/>
        </w:tabs>
        <w:kinsoku w:val="0"/>
        <w:wordWrap/>
        <w:autoSpaceDE w:val="0"/>
        <w:autoSpaceDN w:val="0"/>
        <w:bidi w:val="0"/>
        <w:adjustRightInd w:val="0"/>
        <w:snapToGrid w:val="0"/>
        <w:spacing w:line="360" w:lineRule="auto"/>
        <w:ind w:left="0" w:leftChars="0" w:right="0" w:rightChars="0" w:firstLine="420"/>
        <w:rPr>
          <w:rFonts w:ascii="宋体" w:hAnsi="宋体"/>
          <w:color w:val="auto"/>
          <w:kern w:val="0"/>
          <w:sz w:val="24"/>
          <w:szCs w:val="20"/>
          <w:highlight w:val="none"/>
        </w:rPr>
      </w:pPr>
      <w:r>
        <w:rPr>
          <w:rFonts w:hint="eastAsia" w:ascii="宋体" w:hAnsi="宋体"/>
          <w:color w:val="auto"/>
          <w:kern w:val="0"/>
          <w:sz w:val="24"/>
          <w:szCs w:val="20"/>
          <w:highlight w:val="none"/>
        </w:rPr>
        <w:t>本人</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（姓名）系</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w:t>
      </w:r>
      <w:r>
        <w:rPr>
          <w:rFonts w:hint="eastAsia" w:ascii="宋体" w:hAnsi="宋体"/>
          <w:color w:val="auto"/>
          <w:kern w:val="0"/>
          <w:sz w:val="24"/>
          <w:szCs w:val="20"/>
          <w:highlight w:val="none"/>
          <w:lang w:eastAsia="zh-CN"/>
        </w:rPr>
        <w:t>供应商</w:t>
      </w:r>
      <w:r>
        <w:rPr>
          <w:rFonts w:hint="eastAsia" w:ascii="宋体" w:hAnsi="宋体"/>
          <w:color w:val="auto"/>
          <w:kern w:val="0"/>
          <w:sz w:val="24"/>
          <w:szCs w:val="20"/>
          <w:highlight w:val="none"/>
        </w:rPr>
        <w:t>名称）的法定代表人，现委托</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（姓名）为我方代理人。代理人根据授权，以我方名义签署、澄清、说明、补正、递交、撤回、</w:t>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修改</w:t>
      </w:r>
      <w:r>
        <w:rPr>
          <w:rFonts w:hint="eastAsia" w:ascii="宋体" w:hAnsi="宋体"/>
          <w:color w:val="auto"/>
          <w:kern w:val="0"/>
          <w:sz w:val="24"/>
          <w:szCs w:val="20"/>
          <w:highlight w:val="none"/>
          <w:u w:val="single"/>
        </w:rPr>
        <w:t xml:space="preserve">   （项目名称）  </w:t>
      </w:r>
      <w:r>
        <w:rPr>
          <w:rFonts w:hint="eastAsia" w:ascii="宋体" w:hAnsi="宋体"/>
          <w:color w:val="auto"/>
          <w:kern w:val="0"/>
          <w:sz w:val="24"/>
          <w:szCs w:val="20"/>
          <w:highlight w:val="none"/>
          <w:lang w:eastAsia="zh-CN"/>
        </w:rPr>
        <w:t>响应文件</w:t>
      </w:r>
      <w:r>
        <w:rPr>
          <w:rFonts w:hint="eastAsia" w:ascii="宋体" w:hAnsi="宋体"/>
          <w:color w:val="auto"/>
          <w:kern w:val="0"/>
          <w:sz w:val="24"/>
          <w:szCs w:val="20"/>
          <w:highlight w:val="none"/>
        </w:rPr>
        <w:t>、签订合同和处理有关事宜，其法律后果由我方承担。</w:t>
      </w:r>
    </w:p>
    <w:p w14:paraId="30607E1F">
      <w:pPr>
        <w:keepNext w:val="0"/>
        <w:keepLines w:val="0"/>
        <w:pageBreakBefore w:val="0"/>
        <w:widowControl/>
        <w:tabs>
          <w:tab w:val="left" w:pos="2940"/>
        </w:tabs>
        <w:kinsoku w:val="0"/>
        <w:wordWrap/>
        <w:autoSpaceDE w:val="0"/>
        <w:autoSpaceDN w:val="0"/>
        <w:bidi w:val="0"/>
        <w:adjustRightInd w:val="0"/>
        <w:snapToGrid w:val="0"/>
        <w:spacing w:line="360" w:lineRule="auto"/>
        <w:ind w:left="0" w:leftChars="0" w:right="0" w:rightChars="0" w:firstLine="1"/>
        <w:jc w:val="left"/>
        <w:rPr>
          <w:rFonts w:ascii="宋体" w:hAnsi="宋体"/>
          <w:color w:val="auto"/>
          <w:kern w:val="0"/>
          <w:sz w:val="24"/>
          <w:szCs w:val="20"/>
          <w:highlight w:val="none"/>
        </w:rPr>
      </w:pPr>
      <w:r>
        <w:rPr>
          <w:rFonts w:hint="eastAsia" w:ascii="宋体" w:hAnsi="宋体"/>
          <w:color w:val="auto"/>
          <w:kern w:val="0"/>
          <w:sz w:val="24"/>
          <w:szCs w:val="20"/>
          <w:highlight w:val="none"/>
        </w:rPr>
        <w:t>代理人无转委托权。</w:t>
      </w:r>
      <w:r>
        <w:rPr>
          <w:rFonts w:ascii="宋体" w:hAnsi="宋体"/>
          <w:color w:val="auto"/>
          <w:kern w:val="0"/>
          <w:sz w:val="24"/>
          <w:szCs w:val="20"/>
          <w:highlight w:val="none"/>
        </w:rPr>
        <w:t xml:space="preserve"> </w:t>
      </w:r>
    </w:p>
    <w:p w14:paraId="5349450D">
      <w:pPr>
        <w:keepNext w:val="0"/>
        <w:keepLines w:val="0"/>
        <w:pageBreakBefore w:val="0"/>
        <w:widowControl/>
        <w:tabs>
          <w:tab w:val="left" w:pos="2040"/>
          <w:tab w:val="left" w:pos="4785"/>
          <w:tab w:val="left" w:pos="4815"/>
          <w:tab w:val="left" w:pos="8000"/>
        </w:tabs>
        <w:kinsoku w:val="0"/>
        <w:wordWrap/>
        <w:autoSpaceDE w:val="0"/>
        <w:autoSpaceDN w:val="0"/>
        <w:bidi w:val="0"/>
        <w:adjustRightInd w:val="0"/>
        <w:snapToGrid w:val="0"/>
        <w:spacing w:line="360" w:lineRule="auto"/>
        <w:ind w:left="0" w:leftChars="0" w:right="0" w:rightChars="0" w:firstLine="420"/>
        <w:rPr>
          <w:rFonts w:ascii="宋体" w:hAnsi="宋体"/>
          <w:color w:val="auto"/>
          <w:kern w:val="0"/>
          <w:sz w:val="24"/>
          <w:szCs w:val="20"/>
          <w:highlight w:val="none"/>
        </w:rPr>
      </w:pPr>
      <w:r>
        <w:rPr>
          <w:rFonts w:hint="eastAsia" w:ascii="宋体" w:hAnsi="宋体"/>
          <w:color w:val="auto"/>
          <w:kern w:val="0"/>
          <w:sz w:val="24"/>
          <w:szCs w:val="20"/>
          <w:highlight w:val="none"/>
        </w:rPr>
        <w:t>附：法定代表人及委托代理人有效身份证复印件</w:t>
      </w:r>
    </w:p>
    <w:p w14:paraId="2A0F0954">
      <w:pPr>
        <w:keepNext w:val="0"/>
        <w:keepLines w:val="0"/>
        <w:pageBreakBefore w:val="0"/>
        <w:widowControl/>
        <w:tabs>
          <w:tab w:val="left" w:pos="2040"/>
          <w:tab w:val="left" w:pos="4785"/>
          <w:tab w:val="left" w:pos="4815"/>
          <w:tab w:val="left" w:pos="8000"/>
        </w:tabs>
        <w:kinsoku w:val="0"/>
        <w:wordWrap/>
        <w:autoSpaceDE w:val="0"/>
        <w:autoSpaceDN w:val="0"/>
        <w:bidi w:val="0"/>
        <w:adjustRightInd w:val="0"/>
        <w:snapToGrid w:val="0"/>
        <w:spacing w:line="360" w:lineRule="auto"/>
        <w:ind w:left="0" w:leftChars="0" w:right="0" w:rightChars="0" w:firstLine="420"/>
        <w:rPr>
          <w:rFonts w:ascii="宋体" w:hAnsi="宋体"/>
          <w:color w:val="auto"/>
          <w:kern w:val="0"/>
          <w:sz w:val="24"/>
          <w:szCs w:val="20"/>
          <w:highlight w:val="none"/>
        </w:rPr>
      </w:pPr>
    </w:p>
    <w:p w14:paraId="545D0009">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w:t>
      </w:r>
      <w:r>
        <w:rPr>
          <w:rFonts w:hint="eastAsia" w:ascii="宋体" w:hAnsi="宋体" w:cs="宋体"/>
          <w:color w:val="auto"/>
          <w:sz w:val="24"/>
          <w:szCs w:val="20"/>
          <w:highlight w:val="none"/>
        </w:rPr>
        <w:t>电子签章</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u w:val="single"/>
        </w:rPr>
        <w:t xml:space="preserve">                              </w:t>
      </w:r>
    </w:p>
    <w:p w14:paraId="56F1447B">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rPr>
        <w:t>法定代表人(</w:t>
      </w:r>
      <w:r>
        <w:rPr>
          <w:rFonts w:hint="eastAsia" w:ascii="宋体" w:hAnsi="宋体" w:cs="宋体"/>
          <w:color w:val="auto"/>
          <w:sz w:val="24"/>
          <w:szCs w:val="20"/>
          <w:highlight w:val="none"/>
        </w:rPr>
        <w:t>电子签章</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u w:val="single"/>
        </w:rPr>
        <w:t xml:space="preserve">                          </w:t>
      </w:r>
    </w:p>
    <w:p w14:paraId="7100BADA">
      <w:pPr>
        <w:pStyle w:val="2"/>
        <w:keepNext w:val="0"/>
        <w:keepLines w:val="0"/>
        <w:pageBreakBefore w:val="0"/>
        <w:widowControl/>
        <w:kinsoku w:val="0"/>
        <w:wordWrap/>
        <w:bidi w:val="0"/>
        <w:adjustRightInd w:val="0"/>
        <w:snapToGrid w:val="0"/>
        <w:spacing w:before="0" w:line="360" w:lineRule="auto"/>
        <w:ind w:left="0" w:leftChars="0" w:right="0" w:rightChars="0" w:firstLine="480" w:firstLineChars="200"/>
        <w:rPr>
          <w:rFonts w:hint="eastAsia" w:ascii="宋体" w:hAnsi="宋体" w:eastAsia="宋体" w:cs="宋体"/>
          <w:b w:val="0"/>
          <w:bCs w:val="0"/>
          <w:color w:val="auto"/>
          <w:kern w:val="0"/>
          <w:sz w:val="24"/>
          <w:szCs w:val="20"/>
          <w:highlight w:val="none"/>
          <w:lang w:val="en-US" w:eastAsia="zh-CN" w:bidi="ar-SA"/>
        </w:rPr>
      </w:pPr>
      <w:r>
        <w:rPr>
          <w:rFonts w:hint="eastAsia" w:ascii="宋体" w:hAnsi="宋体" w:eastAsia="宋体" w:cs="宋体"/>
          <w:b w:val="0"/>
          <w:bCs w:val="0"/>
          <w:color w:val="auto"/>
          <w:kern w:val="0"/>
          <w:sz w:val="24"/>
          <w:szCs w:val="20"/>
          <w:highlight w:val="none"/>
          <w:lang w:val="en-US" w:eastAsia="zh-CN" w:bidi="ar-SA"/>
        </w:rPr>
        <w:t>联系方式：</w:t>
      </w:r>
      <w:r>
        <w:rPr>
          <w:rFonts w:hint="eastAsia" w:ascii="宋体" w:hAnsi="宋体" w:cs="宋体"/>
          <w:color w:val="auto"/>
          <w:kern w:val="0"/>
          <w:sz w:val="24"/>
          <w:szCs w:val="20"/>
          <w:highlight w:val="none"/>
          <w:u w:val="single"/>
        </w:rPr>
        <w:t xml:space="preserve">                          </w:t>
      </w:r>
    </w:p>
    <w:p w14:paraId="7303733D">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日期：</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p>
    <w:p w14:paraId="395B3F07">
      <w:pPr>
        <w:keepNext w:val="0"/>
        <w:keepLines w:val="0"/>
        <w:pageBreakBefore w:val="0"/>
        <w:widowControl/>
        <w:kinsoku w:val="0"/>
        <w:wordWrap/>
        <w:autoSpaceDE w:val="0"/>
        <w:bidi w:val="0"/>
        <w:adjustRightInd w:val="0"/>
        <w:snapToGrid w:val="0"/>
        <w:spacing w:line="360" w:lineRule="auto"/>
        <w:ind w:left="0" w:leftChars="0" w:right="0" w:rightChars="0" w:firstLine="4080" w:firstLineChars="1700"/>
        <w:rPr>
          <w:rFonts w:ascii="宋体" w:hAnsi="宋体" w:cs="宋体"/>
          <w:color w:val="auto"/>
          <w:highlight w:val="none"/>
        </w:rPr>
      </w:pPr>
    </w:p>
    <w:tbl>
      <w:tblPr>
        <w:tblStyle w:val="17"/>
        <w:tblW w:w="9473"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873"/>
        <w:gridCol w:w="4600"/>
      </w:tblGrid>
      <w:tr w14:paraId="624C03E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19" w:hRule="atLeast"/>
          <w:jc w:val="center"/>
        </w:trPr>
        <w:tc>
          <w:tcPr>
            <w:tcW w:w="4873" w:type="dxa"/>
            <w:noWrap w:val="0"/>
            <w:vAlign w:val="center"/>
          </w:tcPr>
          <w:p w14:paraId="5282BCE1">
            <w:pPr>
              <w:keepNext w:val="0"/>
              <w:keepLines w:val="0"/>
              <w:pageBreakBefore w:val="0"/>
              <w:widowControl/>
              <w:kinsoku w:val="0"/>
              <w:wordWrap/>
              <w:autoSpaceDE w:val="0"/>
              <w:autoSpaceDN w:val="0"/>
              <w:bidi w:val="0"/>
              <w:adjustRightInd w:val="0"/>
              <w:snapToGrid w:val="0"/>
              <w:spacing w:line="360" w:lineRule="auto"/>
              <w:ind w:left="0" w:leftChars="0" w:right="0" w:rightChars="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法定代表人身份证</w:t>
            </w:r>
            <w:r>
              <w:rPr>
                <w:rFonts w:hint="eastAsia" w:ascii="宋体" w:hAnsi="宋体"/>
                <w:color w:val="auto"/>
                <w:spacing w:val="8"/>
                <w:sz w:val="24"/>
                <w:szCs w:val="20"/>
                <w:highlight w:val="none"/>
              </w:rPr>
              <w:t>扫描件（正面）</w:t>
            </w:r>
          </w:p>
          <w:p w14:paraId="54859F4B">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 w:val="24"/>
                <w:szCs w:val="20"/>
                <w:highlight w:val="none"/>
              </w:rPr>
            </w:pPr>
          </w:p>
        </w:tc>
        <w:tc>
          <w:tcPr>
            <w:tcW w:w="4600" w:type="dxa"/>
            <w:noWrap w:val="0"/>
            <w:vAlign w:val="center"/>
          </w:tcPr>
          <w:p w14:paraId="6E51B2F6">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法定代表人身份证</w:t>
            </w:r>
            <w:r>
              <w:rPr>
                <w:rFonts w:hint="eastAsia" w:ascii="宋体" w:hAnsi="宋体"/>
                <w:color w:val="auto"/>
                <w:spacing w:val="8"/>
                <w:sz w:val="24"/>
                <w:szCs w:val="20"/>
                <w:highlight w:val="none"/>
              </w:rPr>
              <w:t>扫描件（反面）</w:t>
            </w:r>
          </w:p>
          <w:p w14:paraId="2696C97E">
            <w:pPr>
              <w:keepNext w:val="0"/>
              <w:keepLines w:val="0"/>
              <w:pageBreakBefore w:val="0"/>
              <w:widowControl/>
              <w:kinsoku w:val="0"/>
              <w:wordWrap/>
              <w:autoSpaceDE w:val="0"/>
              <w:autoSpaceDN w:val="0"/>
              <w:bidi w:val="0"/>
              <w:adjustRightInd w:val="0"/>
              <w:snapToGrid w:val="0"/>
              <w:spacing w:line="360" w:lineRule="auto"/>
              <w:ind w:left="0" w:leftChars="0" w:right="0" w:rightChars="0"/>
              <w:jc w:val="left"/>
              <w:rPr>
                <w:rFonts w:ascii="宋体" w:hAnsi="宋体" w:cs="宋体"/>
                <w:color w:val="auto"/>
                <w:kern w:val="0"/>
                <w:sz w:val="24"/>
                <w:szCs w:val="20"/>
                <w:highlight w:val="none"/>
              </w:rPr>
            </w:pPr>
          </w:p>
        </w:tc>
      </w:tr>
    </w:tbl>
    <w:p w14:paraId="514778BC">
      <w:pPr>
        <w:keepNext w:val="0"/>
        <w:keepLines w:val="0"/>
        <w:pageBreakBefore w:val="0"/>
        <w:widowControl/>
        <w:kinsoku w:val="0"/>
        <w:wordWrap/>
        <w:bidi w:val="0"/>
        <w:adjustRightInd w:val="0"/>
        <w:snapToGrid w:val="0"/>
        <w:spacing w:line="360" w:lineRule="auto"/>
        <w:ind w:left="0" w:leftChars="0" w:right="0" w:rightChars="0"/>
        <w:rPr>
          <w:vanish/>
          <w:color w:val="auto"/>
          <w:highlight w:val="none"/>
        </w:rPr>
      </w:pPr>
    </w:p>
    <w:tbl>
      <w:tblPr>
        <w:tblStyle w:val="17"/>
        <w:tblpPr w:leftFromText="180" w:rightFromText="180" w:vertAnchor="text" w:horzAnchor="margin" w:tblpY="258"/>
        <w:tblW w:w="9368"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81"/>
        <w:gridCol w:w="4587"/>
      </w:tblGrid>
      <w:tr w14:paraId="1D5F5EA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48" w:hRule="atLeast"/>
        </w:trPr>
        <w:tc>
          <w:tcPr>
            <w:tcW w:w="4781" w:type="dxa"/>
            <w:noWrap w:val="0"/>
            <w:vAlign w:val="center"/>
          </w:tcPr>
          <w:p w14:paraId="510C9EE6">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ascii="宋体" w:hAnsi="宋体"/>
                <w:color w:val="auto"/>
                <w:spacing w:val="8"/>
                <w:sz w:val="24"/>
                <w:szCs w:val="20"/>
                <w:highlight w:val="none"/>
              </w:rPr>
            </w:pPr>
            <w:r>
              <w:rPr>
                <w:rFonts w:hint="eastAsia" w:ascii="宋体" w:hAnsi="宋体"/>
                <w:color w:val="auto"/>
                <w:spacing w:val="8"/>
                <w:sz w:val="24"/>
                <w:szCs w:val="20"/>
                <w:highlight w:val="none"/>
              </w:rPr>
              <w:t>被授权委托人身份证扫描件（正面）</w:t>
            </w:r>
          </w:p>
          <w:p w14:paraId="3D750F5A">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ascii="宋体" w:hAnsi="宋体" w:cs="宋体"/>
                <w:color w:val="auto"/>
                <w:kern w:val="0"/>
                <w:sz w:val="24"/>
                <w:szCs w:val="20"/>
                <w:highlight w:val="none"/>
              </w:rPr>
            </w:pPr>
          </w:p>
        </w:tc>
        <w:tc>
          <w:tcPr>
            <w:tcW w:w="4587" w:type="dxa"/>
            <w:noWrap w:val="0"/>
            <w:vAlign w:val="center"/>
          </w:tcPr>
          <w:p w14:paraId="44989315">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ascii="宋体" w:hAnsi="宋体"/>
                <w:color w:val="auto"/>
                <w:spacing w:val="8"/>
                <w:sz w:val="24"/>
                <w:szCs w:val="20"/>
                <w:highlight w:val="none"/>
              </w:rPr>
            </w:pPr>
            <w:r>
              <w:rPr>
                <w:rFonts w:hint="eastAsia" w:ascii="宋体" w:hAnsi="宋体"/>
                <w:color w:val="auto"/>
                <w:spacing w:val="8"/>
                <w:sz w:val="24"/>
                <w:szCs w:val="20"/>
                <w:highlight w:val="none"/>
              </w:rPr>
              <w:t>被授权委托人身份证扫描件（反面）</w:t>
            </w:r>
          </w:p>
          <w:p w14:paraId="57B3B3F4">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ascii="宋体" w:hAnsi="宋体" w:cs="宋体"/>
                <w:color w:val="auto"/>
                <w:kern w:val="0"/>
                <w:sz w:val="24"/>
                <w:szCs w:val="20"/>
                <w:highlight w:val="none"/>
              </w:rPr>
            </w:pPr>
          </w:p>
        </w:tc>
      </w:tr>
    </w:tbl>
    <w:p w14:paraId="2C017F4D">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26DE34F2">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 w:val="32"/>
          <w:szCs w:val="32"/>
          <w:highlight w:val="none"/>
        </w:rPr>
      </w:pPr>
      <w:bookmarkStart w:id="93" w:name="_Toc15296"/>
      <w:r>
        <w:rPr>
          <w:rFonts w:hint="eastAsia" w:ascii="宋体" w:hAnsi="宋体" w:cs="宋体"/>
          <w:color w:val="auto"/>
          <w:sz w:val="32"/>
          <w:szCs w:val="32"/>
          <w:highlight w:val="none"/>
        </w:rPr>
        <w:br w:type="page"/>
      </w:r>
    </w:p>
    <w:p w14:paraId="69FEB241">
      <w:pPr>
        <w:pStyle w:val="4"/>
        <w:keepNext w:val="0"/>
        <w:keepLines w:val="0"/>
        <w:pageBreakBefore w:val="0"/>
        <w:widowControl/>
        <w:numPr>
          <w:ilvl w:val="0"/>
          <w:numId w:val="0"/>
        </w:numPr>
        <w:kinsoku w:val="0"/>
        <w:wordWrap/>
        <w:bidi w:val="0"/>
        <w:adjustRightInd w:val="0"/>
        <w:snapToGrid w:val="0"/>
        <w:spacing w:before="0" w:line="360" w:lineRule="auto"/>
        <w:ind w:left="0" w:leftChars="0" w:right="0" w:rightChars="0"/>
        <w:jc w:val="center"/>
        <w:rPr>
          <w:rFonts w:hint="eastAsia" w:ascii="宋体" w:hAnsi="宋体" w:eastAsia="宋体" w:cs="宋体"/>
          <w:b w:val="0"/>
          <w:bCs w:val="0"/>
          <w:color w:val="auto"/>
          <w:kern w:val="2"/>
          <w:sz w:val="32"/>
          <w:szCs w:val="32"/>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四、投标报价明细表</w:t>
      </w:r>
    </w:p>
    <w:p w14:paraId="3AF1496F">
      <w:pPr>
        <w:keepNext w:val="0"/>
        <w:keepLines w:val="0"/>
        <w:pageBreakBefore w:val="0"/>
        <w:widowControl/>
        <w:numPr>
          <w:ilvl w:val="0"/>
          <w:numId w:val="0"/>
        </w:numPr>
        <w:kinsoku w:val="0"/>
        <w:wordWrap/>
        <w:bidi w:val="0"/>
        <w:adjustRightInd w:val="0"/>
        <w:snapToGrid w:val="0"/>
        <w:spacing w:line="360" w:lineRule="auto"/>
        <w:ind w:left="0" w:leftChars="0" w:right="0" w:rightChars="0"/>
        <w:rPr>
          <w:rFonts w:hint="eastAsia" w:ascii="宋体" w:hAnsi="宋体"/>
          <w:b/>
          <w:bCs/>
          <w:color w:val="auto"/>
          <w:kern w:val="44"/>
          <w:sz w:val="28"/>
          <w:highlight w:val="none"/>
          <w:lang w:eastAsia="zh-CN"/>
        </w:rPr>
      </w:pPr>
      <w:r>
        <w:rPr>
          <w:rFonts w:hint="eastAsia" w:ascii="宋体" w:hAnsi="宋体"/>
          <w:b/>
          <w:bCs/>
          <w:color w:val="auto"/>
          <w:kern w:val="44"/>
          <w:sz w:val="28"/>
          <w:highlight w:val="none"/>
          <w:lang w:eastAsia="zh-CN"/>
        </w:rPr>
        <w:t>分项报价</w:t>
      </w:r>
      <w:r>
        <w:rPr>
          <w:rFonts w:hint="eastAsia" w:ascii="宋体" w:hAnsi="宋体"/>
          <w:b/>
          <w:bCs/>
          <w:color w:val="auto"/>
          <w:kern w:val="44"/>
          <w:sz w:val="28"/>
          <w:highlight w:val="none"/>
          <w:lang w:val="en-US" w:eastAsia="zh-CN"/>
        </w:rPr>
        <w:t>明细</w:t>
      </w:r>
      <w:r>
        <w:rPr>
          <w:rFonts w:hint="eastAsia" w:ascii="宋体" w:hAnsi="宋体"/>
          <w:b/>
          <w:bCs/>
          <w:color w:val="auto"/>
          <w:kern w:val="44"/>
          <w:sz w:val="28"/>
          <w:highlight w:val="none"/>
          <w:lang w:eastAsia="zh-CN"/>
        </w:rPr>
        <w:t>表</w:t>
      </w:r>
    </w:p>
    <w:tbl>
      <w:tblPr>
        <w:tblStyle w:val="37"/>
        <w:tblpPr w:leftFromText="180" w:rightFromText="180" w:vertAnchor="text" w:horzAnchor="page" w:tblpX="1607" w:tblpY="109"/>
        <w:tblOverlap w:val="never"/>
        <w:tblW w:w="93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1"/>
        <w:gridCol w:w="1221"/>
        <w:gridCol w:w="981"/>
        <w:gridCol w:w="1000"/>
        <w:gridCol w:w="983"/>
        <w:gridCol w:w="833"/>
        <w:gridCol w:w="1333"/>
        <w:gridCol w:w="1168"/>
      </w:tblGrid>
      <w:tr w14:paraId="0663F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1821" w:type="dxa"/>
            <w:vAlign w:val="center"/>
          </w:tcPr>
          <w:p w14:paraId="5118A5EE">
            <w:pPr>
              <w:pStyle w:val="36"/>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货物名称</w:t>
            </w:r>
          </w:p>
        </w:tc>
        <w:tc>
          <w:tcPr>
            <w:tcW w:w="1221" w:type="dxa"/>
            <w:vAlign w:val="center"/>
          </w:tcPr>
          <w:p w14:paraId="78C6DBE8">
            <w:pPr>
              <w:pStyle w:val="36"/>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品牌</w:t>
            </w:r>
          </w:p>
        </w:tc>
        <w:tc>
          <w:tcPr>
            <w:tcW w:w="981" w:type="dxa"/>
            <w:vAlign w:val="center"/>
          </w:tcPr>
          <w:p w14:paraId="5D391C3D">
            <w:pPr>
              <w:pStyle w:val="36"/>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规格要求</w:t>
            </w:r>
          </w:p>
        </w:tc>
        <w:tc>
          <w:tcPr>
            <w:tcW w:w="1000" w:type="dxa"/>
            <w:vAlign w:val="center"/>
          </w:tcPr>
          <w:p w14:paraId="7EE2E8C4">
            <w:pPr>
              <w:pStyle w:val="36"/>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数量</w:t>
            </w:r>
          </w:p>
          <w:p w14:paraId="0A9A14E2">
            <w:pPr>
              <w:pStyle w:val="36"/>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(公斤）</w:t>
            </w:r>
          </w:p>
        </w:tc>
        <w:tc>
          <w:tcPr>
            <w:tcW w:w="983" w:type="dxa"/>
            <w:vAlign w:val="center"/>
          </w:tcPr>
          <w:p w14:paraId="776D6832">
            <w:pPr>
              <w:pStyle w:val="36"/>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单价</w:t>
            </w:r>
          </w:p>
        </w:tc>
        <w:tc>
          <w:tcPr>
            <w:tcW w:w="833" w:type="dxa"/>
            <w:tcBorders>
              <w:right w:val="single" w:color="auto" w:sz="4" w:space="0"/>
            </w:tcBorders>
            <w:vAlign w:val="center"/>
          </w:tcPr>
          <w:p w14:paraId="4356FEF0">
            <w:pPr>
              <w:pStyle w:val="36"/>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生产</w:t>
            </w:r>
          </w:p>
          <w:p w14:paraId="6E4EEA0D">
            <w:pPr>
              <w:pStyle w:val="36"/>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厂家</w:t>
            </w:r>
          </w:p>
        </w:tc>
        <w:tc>
          <w:tcPr>
            <w:tcW w:w="1333" w:type="dxa"/>
            <w:tcBorders>
              <w:left w:val="single" w:color="auto" w:sz="4" w:space="0"/>
            </w:tcBorders>
            <w:vAlign w:val="center"/>
          </w:tcPr>
          <w:p w14:paraId="012790AC">
            <w:pPr>
              <w:pStyle w:val="36"/>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企业类型（</w:t>
            </w:r>
          </w:p>
          <w:p w14:paraId="3D910A7B">
            <w:pPr>
              <w:pStyle w:val="36"/>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中/小/微企业）</w:t>
            </w:r>
          </w:p>
        </w:tc>
        <w:tc>
          <w:tcPr>
            <w:tcW w:w="1168" w:type="dxa"/>
            <w:vAlign w:val="center"/>
          </w:tcPr>
          <w:p w14:paraId="5A2A0A45">
            <w:pPr>
              <w:pStyle w:val="36"/>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合价（元）</w:t>
            </w:r>
          </w:p>
        </w:tc>
      </w:tr>
      <w:tr w14:paraId="02025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821" w:type="dxa"/>
            <w:vAlign w:val="center"/>
          </w:tcPr>
          <w:p w14:paraId="05A2327D">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40%唑醚·戊唑醇悬浮剂</w:t>
            </w:r>
          </w:p>
        </w:tc>
        <w:tc>
          <w:tcPr>
            <w:tcW w:w="1221" w:type="dxa"/>
          </w:tcPr>
          <w:p w14:paraId="47297DE9">
            <w:pPr>
              <w:pStyle w:val="36"/>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p>
        </w:tc>
        <w:tc>
          <w:tcPr>
            <w:tcW w:w="981" w:type="dxa"/>
            <w:vAlign w:val="center"/>
          </w:tcPr>
          <w:p w14:paraId="7DB80468">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p>
        </w:tc>
        <w:tc>
          <w:tcPr>
            <w:tcW w:w="1000" w:type="dxa"/>
            <w:vAlign w:val="center"/>
          </w:tcPr>
          <w:p w14:paraId="4793923D">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1500</w:t>
            </w:r>
          </w:p>
        </w:tc>
        <w:tc>
          <w:tcPr>
            <w:tcW w:w="983" w:type="dxa"/>
            <w:vAlign w:val="center"/>
          </w:tcPr>
          <w:p w14:paraId="53D7FE69">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p>
        </w:tc>
        <w:tc>
          <w:tcPr>
            <w:tcW w:w="833" w:type="dxa"/>
            <w:tcBorders>
              <w:right w:val="single" w:color="auto" w:sz="4" w:space="0"/>
            </w:tcBorders>
          </w:tcPr>
          <w:p w14:paraId="4B087565">
            <w:pPr>
              <w:pStyle w:val="36"/>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p>
        </w:tc>
        <w:tc>
          <w:tcPr>
            <w:tcW w:w="1333" w:type="dxa"/>
            <w:tcBorders>
              <w:left w:val="single" w:color="auto" w:sz="4" w:space="0"/>
            </w:tcBorders>
          </w:tcPr>
          <w:p w14:paraId="0DEC2073">
            <w:pPr>
              <w:pStyle w:val="36"/>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p>
        </w:tc>
        <w:tc>
          <w:tcPr>
            <w:tcW w:w="1168" w:type="dxa"/>
          </w:tcPr>
          <w:p w14:paraId="2C510318">
            <w:pPr>
              <w:pStyle w:val="36"/>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p>
        </w:tc>
      </w:tr>
      <w:tr w14:paraId="1531E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821" w:type="dxa"/>
            <w:vAlign w:val="center"/>
          </w:tcPr>
          <w:p w14:paraId="3939853B">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5%氯虫苯甲酰胺悬浮剂</w:t>
            </w:r>
          </w:p>
        </w:tc>
        <w:tc>
          <w:tcPr>
            <w:tcW w:w="1221" w:type="dxa"/>
          </w:tcPr>
          <w:p w14:paraId="009ED463">
            <w:pPr>
              <w:pStyle w:val="36"/>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p>
        </w:tc>
        <w:tc>
          <w:tcPr>
            <w:tcW w:w="981" w:type="dxa"/>
            <w:vAlign w:val="center"/>
          </w:tcPr>
          <w:p w14:paraId="02490995">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p>
        </w:tc>
        <w:tc>
          <w:tcPr>
            <w:tcW w:w="1000" w:type="dxa"/>
            <w:vAlign w:val="center"/>
          </w:tcPr>
          <w:p w14:paraId="00F79E22">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1500</w:t>
            </w:r>
          </w:p>
        </w:tc>
        <w:tc>
          <w:tcPr>
            <w:tcW w:w="983" w:type="dxa"/>
            <w:vAlign w:val="center"/>
          </w:tcPr>
          <w:p w14:paraId="3829814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p>
        </w:tc>
        <w:tc>
          <w:tcPr>
            <w:tcW w:w="833" w:type="dxa"/>
            <w:tcBorders>
              <w:right w:val="single" w:color="auto" w:sz="4" w:space="0"/>
            </w:tcBorders>
          </w:tcPr>
          <w:p w14:paraId="387D34F1">
            <w:pPr>
              <w:pStyle w:val="36"/>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1333" w:type="dxa"/>
            <w:tcBorders>
              <w:left w:val="single" w:color="auto" w:sz="4" w:space="0"/>
            </w:tcBorders>
          </w:tcPr>
          <w:p w14:paraId="7012DEF8">
            <w:pPr>
              <w:pStyle w:val="36"/>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1168" w:type="dxa"/>
          </w:tcPr>
          <w:p w14:paraId="2E30CB88">
            <w:pPr>
              <w:pStyle w:val="36"/>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r>
      <w:tr w14:paraId="19C6C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821" w:type="dxa"/>
            <w:vAlign w:val="center"/>
          </w:tcPr>
          <w:p w14:paraId="46B866B0">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0.01%24表芸苔素内酯可溶液剂</w:t>
            </w:r>
          </w:p>
        </w:tc>
        <w:tc>
          <w:tcPr>
            <w:tcW w:w="1221" w:type="dxa"/>
          </w:tcPr>
          <w:p w14:paraId="61A2C198">
            <w:pPr>
              <w:pStyle w:val="36"/>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p>
        </w:tc>
        <w:tc>
          <w:tcPr>
            <w:tcW w:w="981" w:type="dxa"/>
            <w:vAlign w:val="center"/>
          </w:tcPr>
          <w:p w14:paraId="036A05E7">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p>
        </w:tc>
        <w:tc>
          <w:tcPr>
            <w:tcW w:w="1000" w:type="dxa"/>
            <w:vAlign w:val="center"/>
          </w:tcPr>
          <w:p w14:paraId="74785A76">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750</w:t>
            </w:r>
          </w:p>
        </w:tc>
        <w:tc>
          <w:tcPr>
            <w:tcW w:w="983" w:type="dxa"/>
            <w:vAlign w:val="center"/>
          </w:tcPr>
          <w:p w14:paraId="6ABDCDE1">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p>
        </w:tc>
        <w:tc>
          <w:tcPr>
            <w:tcW w:w="833" w:type="dxa"/>
            <w:tcBorders>
              <w:right w:val="single" w:color="auto" w:sz="4" w:space="0"/>
            </w:tcBorders>
          </w:tcPr>
          <w:p w14:paraId="0AC4F75B">
            <w:pPr>
              <w:pStyle w:val="36"/>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1333" w:type="dxa"/>
            <w:tcBorders>
              <w:left w:val="single" w:color="auto" w:sz="4" w:space="0"/>
            </w:tcBorders>
          </w:tcPr>
          <w:p w14:paraId="20D37145">
            <w:pPr>
              <w:pStyle w:val="36"/>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1168" w:type="dxa"/>
          </w:tcPr>
          <w:p w14:paraId="0369A331">
            <w:pPr>
              <w:pStyle w:val="36"/>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r>
      <w:tr w14:paraId="5B14F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821" w:type="dxa"/>
            <w:vAlign w:val="center"/>
          </w:tcPr>
          <w:p w14:paraId="2296C9DB">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99%磷酸二氢钾</w:t>
            </w:r>
          </w:p>
        </w:tc>
        <w:tc>
          <w:tcPr>
            <w:tcW w:w="1221" w:type="dxa"/>
          </w:tcPr>
          <w:p w14:paraId="52FC413D">
            <w:pPr>
              <w:pStyle w:val="36"/>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p>
        </w:tc>
        <w:tc>
          <w:tcPr>
            <w:tcW w:w="981" w:type="dxa"/>
            <w:vAlign w:val="center"/>
          </w:tcPr>
          <w:p w14:paraId="2FD525E6">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p>
        </w:tc>
        <w:tc>
          <w:tcPr>
            <w:tcW w:w="1000" w:type="dxa"/>
            <w:vAlign w:val="center"/>
          </w:tcPr>
          <w:p w14:paraId="5F7730CD">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7500</w:t>
            </w:r>
          </w:p>
        </w:tc>
        <w:tc>
          <w:tcPr>
            <w:tcW w:w="983" w:type="dxa"/>
          </w:tcPr>
          <w:p w14:paraId="44D6E306">
            <w:pPr>
              <w:pStyle w:val="36"/>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833" w:type="dxa"/>
            <w:tcBorders>
              <w:right w:val="single" w:color="auto" w:sz="4" w:space="0"/>
            </w:tcBorders>
          </w:tcPr>
          <w:p w14:paraId="74EA3011">
            <w:pPr>
              <w:pStyle w:val="36"/>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1333" w:type="dxa"/>
            <w:tcBorders>
              <w:left w:val="single" w:color="auto" w:sz="4" w:space="0"/>
            </w:tcBorders>
          </w:tcPr>
          <w:p w14:paraId="5F4050C4">
            <w:pPr>
              <w:pStyle w:val="36"/>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1168" w:type="dxa"/>
          </w:tcPr>
          <w:p w14:paraId="7D50A561">
            <w:pPr>
              <w:pStyle w:val="36"/>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r>
      <w:tr w14:paraId="7B534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3042" w:type="dxa"/>
            <w:gridSpan w:val="2"/>
            <w:vAlign w:val="center"/>
          </w:tcPr>
          <w:p w14:paraId="4E573832">
            <w:pPr>
              <w:pStyle w:val="36"/>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总计</w:t>
            </w:r>
          </w:p>
        </w:tc>
        <w:tc>
          <w:tcPr>
            <w:tcW w:w="6298" w:type="dxa"/>
            <w:gridSpan w:val="6"/>
          </w:tcPr>
          <w:p w14:paraId="7032D554">
            <w:pPr>
              <w:pStyle w:val="36"/>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大写：</w:t>
            </w:r>
          </w:p>
          <w:p w14:paraId="1B425A9D">
            <w:pPr>
              <w:pStyle w:val="36"/>
              <w:keepNext w:val="0"/>
              <w:keepLines w:val="0"/>
              <w:pageBreakBefore w:val="0"/>
              <w:widowControl/>
              <w:kinsoku w:val="0"/>
              <w:wordWrap/>
              <w:bidi w:val="0"/>
              <w:adjustRightInd w:val="0"/>
              <w:snapToGrid w:val="0"/>
              <w:spacing w:line="360" w:lineRule="auto"/>
              <w:ind w:left="0" w:leftChars="0" w:right="0" w:right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小写：</w:t>
            </w:r>
          </w:p>
        </w:tc>
      </w:tr>
    </w:tbl>
    <w:p w14:paraId="15EDE906">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ascii="宋体" w:hAnsi="宋体"/>
          <w:color w:val="auto"/>
          <w:highlight w:val="none"/>
        </w:rPr>
      </w:pPr>
    </w:p>
    <w:p w14:paraId="2C7EDAB9">
      <w:pPr>
        <w:keepNext w:val="0"/>
        <w:keepLines w:val="0"/>
        <w:pageBreakBefore w:val="0"/>
        <w:widowControl/>
        <w:kinsoku w:val="0"/>
        <w:wordWrap/>
        <w:bidi w:val="0"/>
        <w:adjustRightInd w:val="0"/>
        <w:snapToGrid w:val="0"/>
        <w:spacing w:line="360" w:lineRule="auto"/>
        <w:ind w:left="0" w:leftChars="0" w:right="0" w:rightChars="0"/>
        <w:rPr>
          <w:rFonts w:ascii="宋体" w:hAnsi="宋体"/>
          <w:bCs/>
          <w:color w:val="auto"/>
          <w:sz w:val="24"/>
          <w:szCs w:val="24"/>
          <w:highlight w:val="none"/>
        </w:rPr>
      </w:pPr>
      <w:r>
        <w:rPr>
          <w:rFonts w:hint="eastAsia" w:ascii="宋体" w:hAnsi="宋体" w:cs="宋体"/>
          <w:color w:val="auto"/>
          <w:kern w:val="0"/>
          <w:sz w:val="24"/>
          <w:szCs w:val="20"/>
          <w:highlight w:val="none"/>
        </w:rPr>
        <w:t>说明：1.</w:t>
      </w:r>
      <w:r>
        <w:rPr>
          <w:rFonts w:hint="eastAsia" w:ascii="宋体" w:hAnsi="宋体"/>
          <w:bCs/>
          <w:color w:val="auto"/>
          <w:sz w:val="24"/>
          <w:szCs w:val="24"/>
          <w:highlight w:val="none"/>
        </w:rPr>
        <w:t xml:space="preserve"> 分项报价合计金额应与投标报价表一致。</w:t>
      </w:r>
    </w:p>
    <w:p w14:paraId="37C245E2">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kern w:val="0"/>
          <w:sz w:val="24"/>
          <w:szCs w:val="20"/>
          <w:highlight w:val="none"/>
        </w:rPr>
      </w:pPr>
      <w:r>
        <w:rPr>
          <w:rFonts w:hint="eastAsia" w:ascii="宋体" w:hAnsi="宋体" w:cs="宋体"/>
          <w:color w:val="auto"/>
          <w:kern w:val="0"/>
          <w:sz w:val="24"/>
          <w:szCs w:val="20"/>
          <w:highlight w:val="none"/>
        </w:rPr>
        <w:t xml:space="preserve">      </w:t>
      </w:r>
      <w:r>
        <w:rPr>
          <w:rFonts w:hint="eastAsia" w:ascii="宋体" w:hAnsi="宋体" w:cs="宋体"/>
          <w:color w:val="auto"/>
          <w:kern w:val="0"/>
          <w:sz w:val="24"/>
          <w:szCs w:val="20"/>
          <w:highlight w:val="none"/>
          <w:lang w:val="en-US" w:eastAsia="zh-CN"/>
        </w:rPr>
        <w:t>2</w:t>
      </w:r>
      <w:r>
        <w:rPr>
          <w:rFonts w:hint="eastAsia" w:ascii="宋体" w:hAnsi="宋体" w:cs="宋体"/>
          <w:color w:val="auto"/>
          <w:kern w:val="0"/>
          <w:sz w:val="24"/>
          <w:szCs w:val="20"/>
          <w:highlight w:val="none"/>
        </w:rPr>
        <w:t>.</w:t>
      </w:r>
      <w:r>
        <w:rPr>
          <w:rFonts w:hint="eastAsia" w:ascii="宋体" w:hAnsi="宋体" w:cs="宋体"/>
          <w:color w:val="auto"/>
          <w:sz w:val="24"/>
          <w:szCs w:val="24"/>
          <w:highlight w:val="none"/>
        </w:rPr>
        <w:t xml:space="preserve"> 投标报价中包含此项目相关的所有费用。</w:t>
      </w:r>
    </w:p>
    <w:p w14:paraId="4801735A">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kern w:val="0"/>
          <w:sz w:val="24"/>
          <w:szCs w:val="20"/>
          <w:highlight w:val="none"/>
        </w:rPr>
      </w:pPr>
      <w:r>
        <w:rPr>
          <w:rFonts w:hint="eastAsia" w:ascii="宋体" w:hAnsi="宋体" w:cs="宋体"/>
          <w:color w:val="auto"/>
          <w:kern w:val="0"/>
          <w:sz w:val="24"/>
          <w:szCs w:val="20"/>
          <w:highlight w:val="none"/>
          <w:lang w:eastAsia="zh-CN"/>
        </w:rPr>
        <w:t>供应商</w:t>
      </w:r>
      <w:r>
        <w:rPr>
          <w:rFonts w:ascii="宋体" w:hAnsi="宋体" w:cs="宋体"/>
          <w:color w:val="auto"/>
          <w:kern w:val="0"/>
          <w:sz w:val="24"/>
          <w:szCs w:val="20"/>
          <w:highlight w:val="none"/>
        </w:rPr>
        <w:t>（</w:t>
      </w:r>
      <w:r>
        <w:rPr>
          <w:rFonts w:hint="eastAsia" w:ascii="宋体" w:hAnsi="宋体" w:cs="宋体"/>
          <w:color w:val="auto"/>
          <w:kern w:val="0"/>
          <w:sz w:val="24"/>
          <w:szCs w:val="20"/>
          <w:highlight w:val="none"/>
        </w:rPr>
        <w:t>电子签章</w:t>
      </w:r>
      <w:r>
        <w:rPr>
          <w:rFonts w:ascii="宋体" w:hAnsi="宋体" w:cs="宋体"/>
          <w:color w:val="auto"/>
          <w:kern w:val="0"/>
          <w:sz w:val="24"/>
          <w:szCs w:val="20"/>
          <w:highlight w:val="none"/>
        </w:rPr>
        <w:t>）：</w:t>
      </w:r>
      <w:r>
        <w:rPr>
          <w:rFonts w:ascii="宋体" w:hAnsi="宋体" w:cs="宋体"/>
          <w:color w:val="auto"/>
          <w:kern w:val="0"/>
          <w:sz w:val="24"/>
          <w:szCs w:val="20"/>
          <w:highlight w:val="none"/>
          <w:u w:val="single"/>
        </w:rPr>
        <w:t xml:space="preserve">                      </w:t>
      </w:r>
    </w:p>
    <w:p w14:paraId="609D3CC3">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kern w:val="0"/>
          <w:sz w:val="24"/>
          <w:szCs w:val="20"/>
          <w:highlight w:val="none"/>
          <w:u w:val="single"/>
        </w:rPr>
      </w:pPr>
      <w:r>
        <w:rPr>
          <w:rFonts w:ascii="宋体" w:hAnsi="宋体" w:cs="宋体"/>
          <w:color w:val="auto"/>
          <w:kern w:val="0"/>
          <w:sz w:val="24"/>
          <w:szCs w:val="20"/>
          <w:highlight w:val="none"/>
        </w:rPr>
        <w:t>法定代表人（</w:t>
      </w:r>
      <w:r>
        <w:rPr>
          <w:rFonts w:hint="eastAsia" w:ascii="宋体" w:hAnsi="宋体" w:cs="宋体"/>
          <w:color w:val="auto"/>
          <w:kern w:val="0"/>
          <w:sz w:val="24"/>
          <w:szCs w:val="20"/>
          <w:highlight w:val="none"/>
        </w:rPr>
        <w:t>电子签章</w:t>
      </w:r>
      <w:r>
        <w:rPr>
          <w:rFonts w:ascii="宋体" w:hAnsi="宋体" w:cs="宋体"/>
          <w:color w:val="auto"/>
          <w:kern w:val="0"/>
          <w:sz w:val="24"/>
          <w:szCs w:val="20"/>
          <w:highlight w:val="none"/>
        </w:rPr>
        <w:t>）：</w:t>
      </w:r>
      <w:r>
        <w:rPr>
          <w:rFonts w:hint="eastAsia" w:ascii="宋体" w:hAnsi="宋体" w:cs="宋体"/>
          <w:color w:val="auto"/>
          <w:kern w:val="0"/>
          <w:sz w:val="24"/>
          <w:szCs w:val="20"/>
          <w:highlight w:val="none"/>
          <w:u w:val="single"/>
        </w:rPr>
        <w:t xml:space="preserve">                  </w:t>
      </w:r>
    </w:p>
    <w:p w14:paraId="31E3CCB4">
      <w:pPr>
        <w:pStyle w:val="6"/>
        <w:keepNext w:val="0"/>
        <w:keepLines w:val="0"/>
        <w:pageBreakBefore w:val="0"/>
        <w:widowControl/>
        <w:tabs>
          <w:tab w:val="left" w:pos="6021"/>
          <w:tab w:val="left" w:pos="6652"/>
          <w:tab w:val="left" w:pos="7281"/>
        </w:tabs>
        <w:kinsoku w:val="0"/>
        <w:wordWrap/>
        <w:bidi w:val="0"/>
        <w:adjustRightInd w:val="0"/>
        <w:snapToGrid w:val="0"/>
        <w:spacing w:after="0" w:line="360" w:lineRule="auto"/>
        <w:ind w:left="0" w:leftChars="0" w:right="0" w:rightChars="0"/>
        <w:jc w:val="both"/>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日期：</w:t>
      </w:r>
      <w:r>
        <w:rPr>
          <w:rFonts w:hint="eastAsia" w:ascii="宋体" w:hAnsi="宋体" w:cs="宋体"/>
          <w:color w:val="auto"/>
          <w:kern w:val="0"/>
          <w:sz w:val="24"/>
          <w:szCs w:val="20"/>
          <w:highlight w:val="none"/>
          <w:u w:val="single"/>
        </w:rPr>
        <w:t xml:space="preserve">         </w:t>
      </w:r>
      <w:r>
        <w:rPr>
          <w:rFonts w:ascii="宋体" w:hAnsi="宋体" w:cs="宋体"/>
          <w:color w:val="auto"/>
          <w:kern w:val="0"/>
          <w:sz w:val="24"/>
          <w:szCs w:val="20"/>
          <w:highlight w:val="none"/>
        </w:rPr>
        <w:t>年</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u w:val="single"/>
        </w:rPr>
        <w:t xml:space="preserve">   </w:t>
      </w:r>
      <w:r>
        <w:rPr>
          <w:rFonts w:ascii="宋体" w:hAnsi="宋体" w:cs="宋体"/>
          <w:color w:val="auto"/>
          <w:kern w:val="0"/>
          <w:sz w:val="24"/>
          <w:szCs w:val="20"/>
          <w:highlight w:val="none"/>
          <w:u w:val="single"/>
        </w:rPr>
        <w:t xml:space="preserve">  </w:t>
      </w:r>
      <w:r>
        <w:rPr>
          <w:rFonts w:ascii="宋体" w:hAnsi="宋体" w:cs="宋体"/>
          <w:color w:val="auto"/>
          <w:kern w:val="0"/>
          <w:sz w:val="24"/>
          <w:szCs w:val="20"/>
          <w:highlight w:val="none"/>
        </w:rPr>
        <w:t>月</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u w:val="single"/>
        </w:rPr>
        <w:t xml:space="preserve">    </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p>
    <w:p w14:paraId="48EAC3BD">
      <w:pPr>
        <w:pStyle w:val="6"/>
        <w:keepNext w:val="0"/>
        <w:keepLines w:val="0"/>
        <w:pageBreakBefore w:val="0"/>
        <w:widowControl/>
        <w:tabs>
          <w:tab w:val="left" w:pos="6021"/>
          <w:tab w:val="left" w:pos="6652"/>
          <w:tab w:val="left" w:pos="7281"/>
        </w:tabs>
        <w:kinsoku w:val="0"/>
        <w:wordWrap/>
        <w:bidi w:val="0"/>
        <w:adjustRightInd w:val="0"/>
        <w:snapToGrid w:val="0"/>
        <w:spacing w:after="0" w:line="360" w:lineRule="auto"/>
        <w:ind w:left="0" w:leftChars="0" w:right="0" w:rightChars="0"/>
        <w:jc w:val="both"/>
        <w:rPr>
          <w:rFonts w:hint="eastAsia" w:ascii="宋体" w:hAnsi="宋体" w:cs="宋体"/>
          <w:color w:val="auto"/>
          <w:kern w:val="0"/>
          <w:sz w:val="24"/>
          <w:szCs w:val="20"/>
          <w:highlight w:val="none"/>
        </w:rPr>
      </w:pPr>
      <w:bookmarkStart w:id="94" w:name="_Toc31642"/>
      <w:r>
        <w:rPr>
          <w:rFonts w:hint="eastAsia" w:ascii="宋体" w:hAnsi="宋体"/>
          <w:b/>
          <w:bCs/>
          <w:color w:val="auto"/>
          <w:sz w:val="30"/>
          <w:szCs w:val="30"/>
          <w:highlight w:val="none"/>
          <w:lang w:val="en-US" w:eastAsia="zh-CN"/>
        </w:rPr>
        <w:br w:type="page"/>
      </w:r>
    </w:p>
    <w:p w14:paraId="2D3BE796">
      <w:pPr>
        <w:keepNext w:val="0"/>
        <w:keepLines w:val="0"/>
        <w:pageBreakBefore w:val="0"/>
        <w:widowControl/>
        <w:numPr>
          <w:ilvl w:val="0"/>
          <w:numId w:val="0"/>
        </w:numPr>
        <w:kinsoku w:val="0"/>
        <w:wordWrap/>
        <w:bidi w:val="0"/>
        <w:adjustRightInd w:val="0"/>
        <w:snapToGrid w:val="0"/>
        <w:spacing w:line="360" w:lineRule="auto"/>
        <w:ind w:left="0" w:leftChars="0" w:right="0" w:rightChars="0" w:firstLine="0" w:firstLineChars="0"/>
        <w:jc w:val="center"/>
        <w:outlineLvl w:val="1"/>
        <w:rPr>
          <w:rFonts w:hint="eastAsia" w:ascii="宋体" w:hAnsi="宋体" w:eastAsia="宋体" w:cs="宋体"/>
          <w:b w:val="0"/>
          <w:bCs w:val="0"/>
          <w:color w:val="auto"/>
          <w:kern w:val="2"/>
          <w:sz w:val="32"/>
          <w:szCs w:val="32"/>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五、技术偏离表</w:t>
      </w:r>
      <w:bookmarkEnd w:id="94"/>
    </w:p>
    <w:tbl>
      <w:tblPr>
        <w:tblStyle w:val="17"/>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056"/>
        <w:gridCol w:w="1905"/>
        <w:gridCol w:w="1905"/>
        <w:gridCol w:w="1526"/>
      </w:tblGrid>
      <w:tr w14:paraId="530E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05" w:type="dxa"/>
            <w:tcBorders>
              <w:tl2br w:val="nil"/>
              <w:tr2bl w:val="nil"/>
            </w:tcBorders>
            <w:noWrap w:val="0"/>
            <w:vAlign w:val="center"/>
          </w:tcPr>
          <w:p w14:paraId="53AF9547">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3056" w:type="dxa"/>
            <w:tcBorders>
              <w:tl2br w:val="nil"/>
              <w:tr2bl w:val="nil"/>
            </w:tcBorders>
            <w:noWrap w:val="0"/>
            <w:vAlign w:val="center"/>
          </w:tcPr>
          <w:p w14:paraId="4AB123A8">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 w:val="24"/>
                <w:szCs w:val="24"/>
                <w:highlight w:val="none"/>
              </w:rPr>
            </w:pPr>
            <w:r>
              <w:rPr>
                <w:rFonts w:hint="eastAsia" w:ascii="宋体" w:hAnsi="宋体" w:cs="宋体"/>
                <w:bCs/>
                <w:color w:val="auto"/>
                <w:sz w:val="24"/>
                <w:szCs w:val="24"/>
                <w:highlight w:val="none"/>
              </w:rPr>
              <w:t>投标产品</w:t>
            </w:r>
          </w:p>
        </w:tc>
        <w:tc>
          <w:tcPr>
            <w:tcW w:w="1905" w:type="dxa"/>
            <w:tcBorders>
              <w:tl2br w:val="nil"/>
              <w:tr2bl w:val="nil"/>
            </w:tcBorders>
            <w:noWrap w:val="0"/>
            <w:vAlign w:val="center"/>
          </w:tcPr>
          <w:p w14:paraId="27B8BD0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磋商文件</w:t>
            </w:r>
            <w:r>
              <w:rPr>
                <w:rFonts w:hint="eastAsia" w:ascii="宋体" w:hAnsi="宋体" w:cs="宋体"/>
                <w:bCs/>
                <w:color w:val="auto"/>
                <w:sz w:val="24"/>
                <w:szCs w:val="24"/>
                <w:highlight w:val="none"/>
              </w:rPr>
              <w:t>要求</w:t>
            </w:r>
          </w:p>
        </w:tc>
        <w:tc>
          <w:tcPr>
            <w:tcW w:w="1905" w:type="dxa"/>
            <w:tcBorders>
              <w:tl2br w:val="nil"/>
              <w:tr2bl w:val="nil"/>
            </w:tcBorders>
            <w:noWrap w:val="0"/>
            <w:vAlign w:val="center"/>
          </w:tcPr>
          <w:p w14:paraId="2D9E471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响应文件</w:t>
            </w:r>
            <w:r>
              <w:rPr>
                <w:rFonts w:hint="eastAsia" w:ascii="宋体" w:hAnsi="宋体" w:cs="宋体"/>
                <w:bCs/>
                <w:color w:val="auto"/>
                <w:sz w:val="24"/>
                <w:szCs w:val="24"/>
                <w:highlight w:val="none"/>
              </w:rPr>
              <w:t>响应</w:t>
            </w:r>
          </w:p>
        </w:tc>
        <w:tc>
          <w:tcPr>
            <w:tcW w:w="1526" w:type="dxa"/>
            <w:tcBorders>
              <w:tl2br w:val="nil"/>
              <w:tr2bl w:val="nil"/>
            </w:tcBorders>
            <w:noWrap w:val="0"/>
            <w:vAlign w:val="center"/>
          </w:tcPr>
          <w:p w14:paraId="5FCE50F7">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 w:val="24"/>
                <w:szCs w:val="24"/>
                <w:highlight w:val="none"/>
              </w:rPr>
            </w:pPr>
            <w:r>
              <w:rPr>
                <w:rFonts w:hint="eastAsia" w:ascii="宋体" w:hAnsi="宋体" w:cs="宋体"/>
                <w:bCs/>
                <w:color w:val="auto"/>
                <w:sz w:val="24"/>
                <w:szCs w:val="24"/>
                <w:highlight w:val="none"/>
              </w:rPr>
              <w:t>偏离说明</w:t>
            </w:r>
          </w:p>
        </w:tc>
      </w:tr>
      <w:tr w14:paraId="6F7E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05" w:type="dxa"/>
            <w:tcBorders>
              <w:tl2br w:val="nil"/>
              <w:tr2bl w:val="nil"/>
            </w:tcBorders>
            <w:noWrap w:val="0"/>
            <w:vAlign w:val="center"/>
          </w:tcPr>
          <w:p w14:paraId="79BF4D6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w:t>
            </w:r>
          </w:p>
        </w:tc>
        <w:tc>
          <w:tcPr>
            <w:tcW w:w="3056" w:type="dxa"/>
            <w:tcBorders>
              <w:tl2br w:val="nil"/>
              <w:tr2bl w:val="nil"/>
            </w:tcBorders>
            <w:noWrap w:val="0"/>
            <w:vAlign w:val="center"/>
          </w:tcPr>
          <w:p w14:paraId="31F74A04">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40%唑醚·戊唑醇悬浮剂</w:t>
            </w:r>
          </w:p>
        </w:tc>
        <w:tc>
          <w:tcPr>
            <w:tcW w:w="1905" w:type="dxa"/>
            <w:tcBorders>
              <w:tl2br w:val="nil"/>
              <w:tr2bl w:val="nil"/>
            </w:tcBorders>
            <w:noWrap w:val="0"/>
            <w:vAlign w:val="center"/>
          </w:tcPr>
          <w:p w14:paraId="1BEAC1DA">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bCs/>
                <w:color w:val="auto"/>
                <w:kern w:val="2"/>
                <w:sz w:val="24"/>
                <w:szCs w:val="24"/>
                <w:highlight w:val="none"/>
                <w:lang w:val="en-US" w:eastAsia="zh-CN" w:bidi="ar-SA"/>
              </w:rPr>
            </w:pPr>
          </w:p>
        </w:tc>
        <w:tc>
          <w:tcPr>
            <w:tcW w:w="1905" w:type="dxa"/>
            <w:tcBorders>
              <w:tl2br w:val="nil"/>
              <w:tr2bl w:val="nil"/>
            </w:tcBorders>
            <w:noWrap w:val="0"/>
            <w:vAlign w:val="center"/>
          </w:tcPr>
          <w:p w14:paraId="74BE4C96">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c>
          <w:tcPr>
            <w:tcW w:w="1526" w:type="dxa"/>
            <w:tcBorders>
              <w:tl2br w:val="nil"/>
              <w:tr2bl w:val="nil"/>
            </w:tcBorders>
            <w:noWrap w:val="0"/>
            <w:vAlign w:val="center"/>
          </w:tcPr>
          <w:p w14:paraId="04EDA89B">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r>
      <w:tr w14:paraId="24FA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05" w:type="dxa"/>
            <w:tcBorders>
              <w:tl2br w:val="nil"/>
              <w:tr2bl w:val="nil"/>
            </w:tcBorders>
            <w:noWrap w:val="0"/>
            <w:vAlign w:val="center"/>
          </w:tcPr>
          <w:p w14:paraId="7469E1F9">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w:t>
            </w:r>
          </w:p>
        </w:tc>
        <w:tc>
          <w:tcPr>
            <w:tcW w:w="3056" w:type="dxa"/>
            <w:tcBorders>
              <w:tl2br w:val="nil"/>
              <w:tr2bl w:val="nil"/>
            </w:tcBorders>
            <w:noWrap w:val="0"/>
            <w:vAlign w:val="center"/>
          </w:tcPr>
          <w:p w14:paraId="7BFC7D44">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5%氯虫苯甲酰胺</w:t>
            </w:r>
            <w:r>
              <w:rPr>
                <w:rFonts w:hint="default" w:ascii="宋体" w:hAnsi="宋体" w:eastAsia="宋体" w:cs="宋体"/>
                <w:bCs/>
                <w:color w:val="auto"/>
                <w:kern w:val="2"/>
                <w:sz w:val="24"/>
                <w:szCs w:val="24"/>
                <w:highlight w:val="none"/>
                <w:lang w:val="en-US" w:eastAsia="zh-CN" w:bidi="ar-SA"/>
              </w:rPr>
              <w:t>悬浮</w:t>
            </w:r>
            <w:r>
              <w:rPr>
                <w:rFonts w:hint="eastAsia" w:ascii="宋体" w:hAnsi="宋体" w:eastAsia="宋体" w:cs="宋体"/>
                <w:bCs/>
                <w:color w:val="auto"/>
                <w:kern w:val="2"/>
                <w:sz w:val="24"/>
                <w:szCs w:val="24"/>
                <w:highlight w:val="none"/>
                <w:lang w:val="en-US" w:eastAsia="zh-CN" w:bidi="ar-SA"/>
              </w:rPr>
              <w:t>剂</w:t>
            </w:r>
          </w:p>
        </w:tc>
        <w:tc>
          <w:tcPr>
            <w:tcW w:w="1905" w:type="dxa"/>
            <w:tcBorders>
              <w:tl2br w:val="nil"/>
              <w:tr2bl w:val="nil"/>
            </w:tcBorders>
            <w:noWrap w:val="0"/>
            <w:vAlign w:val="center"/>
          </w:tcPr>
          <w:p w14:paraId="2A295F40">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bCs/>
                <w:color w:val="auto"/>
                <w:kern w:val="2"/>
                <w:sz w:val="24"/>
                <w:szCs w:val="24"/>
                <w:highlight w:val="none"/>
                <w:lang w:val="en-US" w:eastAsia="zh-CN" w:bidi="ar-SA"/>
              </w:rPr>
            </w:pPr>
          </w:p>
        </w:tc>
        <w:tc>
          <w:tcPr>
            <w:tcW w:w="1905" w:type="dxa"/>
            <w:tcBorders>
              <w:tl2br w:val="nil"/>
              <w:tr2bl w:val="nil"/>
            </w:tcBorders>
            <w:noWrap w:val="0"/>
            <w:vAlign w:val="center"/>
          </w:tcPr>
          <w:p w14:paraId="388C8BFB">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c>
          <w:tcPr>
            <w:tcW w:w="1526" w:type="dxa"/>
            <w:tcBorders>
              <w:tl2br w:val="nil"/>
              <w:tr2bl w:val="nil"/>
            </w:tcBorders>
            <w:noWrap w:val="0"/>
            <w:vAlign w:val="center"/>
          </w:tcPr>
          <w:p w14:paraId="208A1162">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r>
      <w:tr w14:paraId="45E9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905" w:type="dxa"/>
            <w:tcBorders>
              <w:tl2br w:val="nil"/>
              <w:tr2bl w:val="nil"/>
            </w:tcBorders>
            <w:noWrap w:val="0"/>
            <w:vAlign w:val="center"/>
          </w:tcPr>
          <w:p w14:paraId="5A2C758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3</w:t>
            </w:r>
          </w:p>
        </w:tc>
        <w:tc>
          <w:tcPr>
            <w:tcW w:w="3056" w:type="dxa"/>
            <w:tcBorders>
              <w:tl2br w:val="nil"/>
              <w:tr2bl w:val="nil"/>
            </w:tcBorders>
            <w:noWrap w:val="0"/>
            <w:vAlign w:val="center"/>
          </w:tcPr>
          <w:p w14:paraId="2AB42869">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0.01%24表芸苔素内酯可溶液剂</w:t>
            </w:r>
          </w:p>
        </w:tc>
        <w:tc>
          <w:tcPr>
            <w:tcW w:w="1905" w:type="dxa"/>
            <w:tcBorders>
              <w:tl2br w:val="nil"/>
              <w:tr2bl w:val="nil"/>
            </w:tcBorders>
            <w:noWrap w:val="0"/>
            <w:vAlign w:val="center"/>
          </w:tcPr>
          <w:p w14:paraId="6609A629">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bCs/>
                <w:color w:val="auto"/>
                <w:kern w:val="2"/>
                <w:sz w:val="24"/>
                <w:szCs w:val="24"/>
                <w:highlight w:val="none"/>
                <w:lang w:val="en-US" w:eastAsia="zh-CN" w:bidi="ar-SA"/>
              </w:rPr>
            </w:pPr>
          </w:p>
        </w:tc>
        <w:tc>
          <w:tcPr>
            <w:tcW w:w="1905" w:type="dxa"/>
            <w:tcBorders>
              <w:tl2br w:val="nil"/>
              <w:tr2bl w:val="nil"/>
            </w:tcBorders>
            <w:noWrap w:val="0"/>
            <w:vAlign w:val="center"/>
          </w:tcPr>
          <w:p w14:paraId="252209C9">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c>
          <w:tcPr>
            <w:tcW w:w="1526" w:type="dxa"/>
            <w:tcBorders>
              <w:tl2br w:val="nil"/>
              <w:tr2bl w:val="nil"/>
            </w:tcBorders>
            <w:noWrap w:val="0"/>
            <w:vAlign w:val="center"/>
          </w:tcPr>
          <w:p w14:paraId="67FA47B4">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r>
      <w:tr w14:paraId="1857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5" w:type="dxa"/>
            <w:tcBorders>
              <w:tl2br w:val="nil"/>
              <w:tr2bl w:val="nil"/>
            </w:tcBorders>
            <w:noWrap w:val="0"/>
            <w:vAlign w:val="center"/>
          </w:tcPr>
          <w:p w14:paraId="01167A37">
            <w:pPr>
              <w:keepNext w:val="0"/>
              <w:keepLines w:val="0"/>
              <w:pageBreakBefore w:val="0"/>
              <w:widowControl/>
              <w:kinsoku w:val="0"/>
              <w:wordWrap/>
              <w:bidi w:val="0"/>
              <w:adjustRightInd w:val="0"/>
              <w:snapToGrid w:val="0"/>
              <w:spacing w:line="360" w:lineRule="auto"/>
              <w:ind w:left="0" w:leftChars="0" w:right="0" w:rightChars="0"/>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4</w:t>
            </w:r>
          </w:p>
        </w:tc>
        <w:tc>
          <w:tcPr>
            <w:tcW w:w="3056" w:type="dxa"/>
            <w:tcBorders>
              <w:tl2br w:val="nil"/>
              <w:tr2bl w:val="nil"/>
            </w:tcBorders>
            <w:noWrap w:val="0"/>
            <w:vAlign w:val="center"/>
          </w:tcPr>
          <w:p w14:paraId="4DCEE38D">
            <w:pPr>
              <w:pStyle w:val="3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99%磷酸二氢钾</w:t>
            </w:r>
          </w:p>
        </w:tc>
        <w:tc>
          <w:tcPr>
            <w:tcW w:w="1905" w:type="dxa"/>
            <w:tcBorders>
              <w:tl2br w:val="nil"/>
              <w:tr2bl w:val="nil"/>
            </w:tcBorders>
            <w:noWrap w:val="0"/>
            <w:vAlign w:val="center"/>
          </w:tcPr>
          <w:p w14:paraId="5B483067">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bCs/>
                <w:color w:val="auto"/>
                <w:kern w:val="2"/>
                <w:sz w:val="24"/>
                <w:szCs w:val="24"/>
                <w:highlight w:val="none"/>
                <w:lang w:val="en-US" w:eastAsia="zh-CN" w:bidi="ar-SA"/>
              </w:rPr>
            </w:pPr>
          </w:p>
        </w:tc>
        <w:tc>
          <w:tcPr>
            <w:tcW w:w="1905" w:type="dxa"/>
            <w:tcBorders>
              <w:tl2br w:val="nil"/>
              <w:tr2bl w:val="nil"/>
            </w:tcBorders>
            <w:noWrap w:val="0"/>
            <w:vAlign w:val="center"/>
          </w:tcPr>
          <w:p w14:paraId="68D2583A">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c>
          <w:tcPr>
            <w:tcW w:w="1526" w:type="dxa"/>
            <w:tcBorders>
              <w:tl2br w:val="nil"/>
              <w:tr2bl w:val="nil"/>
            </w:tcBorders>
            <w:noWrap w:val="0"/>
            <w:vAlign w:val="center"/>
          </w:tcPr>
          <w:p w14:paraId="72B1BB1C">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r>
    </w:tbl>
    <w:p w14:paraId="46F335A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cs="宋体"/>
          <w:snapToGrid w:val="0"/>
          <w:color w:val="auto"/>
          <w:kern w:val="0"/>
          <w:sz w:val="24"/>
          <w:highlight w:val="none"/>
        </w:rPr>
      </w:pPr>
    </w:p>
    <w:p w14:paraId="7A5AD79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cs="宋体"/>
          <w:snapToGrid w:val="0"/>
          <w:color w:val="auto"/>
          <w:kern w:val="0"/>
          <w:sz w:val="24"/>
          <w:highlight w:val="none"/>
        </w:rPr>
      </w:pPr>
    </w:p>
    <w:p w14:paraId="0A81876A">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注：</w:t>
      </w:r>
      <w:r>
        <w:rPr>
          <w:rFonts w:hint="eastAsia" w:ascii="宋体" w:hAnsi="宋体" w:cs="宋体"/>
          <w:snapToGrid w:val="0"/>
          <w:color w:val="auto"/>
          <w:kern w:val="0"/>
          <w:sz w:val="24"/>
          <w:highlight w:val="none"/>
          <w:lang w:eastAsia="zh-CN"/>
        </w:rPr>
        <w:t>供应商</w:t>
      </w:r>
      <w:r>
        <w:rPr>
          <w:rFonts w:hint="eastAsia" w:ascii="宋体" w:hAnsi="宋体" w:cs="宋体"/>
          <w:snapToGrid w:val="0"/>
          <w:color w:val="auto"/>
          <w:kern w:val="0"/>
          <w:sz w:val="24"/>
          <w:highlight w:val="none"/>
        </w:rPr>
        <w:t>保证：除偏离表列出的偏差外，</w:t>
      </w:r>
      <w:r>
        <w:rPr>
          <w:rFonts w:hint="eastAsia" w:ascii="宋体" w:hAnsi="宋体" w:cs="宋体"/>
          <w:snapToGrid w:val="0"/>
          <w:color w:val="auto"/>
          <w:kern w:val="0"/>
          <w:sz w:val="24"/>
          <w:highlight w:val="none"/>
          <w:lang w:eastAsia="zh-CN"/>
        </w:rPr>
        <w:t>供应商</w:t>
      </w:r>
      <w:r>
        <w:rPr>
          <w:rFonts w:hint="eastAsia" w:ascii="宋体" w:hAnsi="宋体" w:cs="宋体"/>
          <w:snapToGrid w:val="0"/>
          <w:color w:val="auto"/>
          <w:kern w:val="0"/>
          <w:sz w:val="24"/>
          <w:highlight w:val="none"/>
        </w:rPr>
        <w:t>达到</w:t>
      </w:r>
      <w:r>
        <w:rPr>
          <w:rFonts w:hint="eastAsia" w:ascii="宋体" w:hAnsi="宋体" w:cs="宋体"/>
          <w:snapToGrid w:val="0"/>
          <w:color w:val="auto"/>
          <w:kern w:val="0"/>
          <w:sz w:val="24"/>
          <w:highlight w:val="none"/>
          <w:lang w:eastAsia="zh-CN"/>
        </w:rPr>
        <w:t>磋商文件</w:t>
      </w:r>
      <w:r>
        <w:rPr>
          <w:rFonts w:hint="eastAsia" w:ascii="宋体" w:hAnsi="宋体" w:cs="宋体"/>
          <w:snapToGrid w:val="0"/>
          <w:color w:val="auto"/>
          <w:kern w:val="0"/>
          <w:sz w:val="24"/>
          <w:highlight w:val="none"/>
        </w:rPr>
        <w:t>的全部要求。</w:t>
      </w:r>
    </w:p>
    <w:p w14:paraId="0800B1EC">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1C1F1834">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06BB3F50">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752056D8">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44E08FEA">
      <w:pPr>
        <w:keepNext w:val="0"/>
        <w:keepLines w:val="0"/>
        <w:pageBreakBefore w:val="0"/>
        <w:widowControl/>
        <w:kinsoku w:val="0"/>
        <w:wordWrap/>
        <w:bidi w:val="0"/>
        <w:adjustRightInd w:val="0"/>
        <w:snapToGrid w:val="0"/>
        <w:spacing w:line="360" w:lineRule="auto"/>
        <w:ind w:left="0" w:leftChars="0" w:right="0" w:rightChars="0"/>
        <w:jc w:val="center"/>
        <w:outlineLvl w:val="0"/>
        <w:rPr>
          <w:rFonts w:ascii="宋体" w:hAnsi="宋体" w:cs="宋体"/>
          <w:color w:val="auto"/>
          <w:sz w:val="32"/>
          <w:szCs w:val="32"/>
          <w:highlight w:val="none"/>
        </w:rPr>
      </w:pPr>
      <w:bookmarkStart w:id="95" w:name="_Toc3829"/>
      <w:bookmarkStart w:id="96" w:name="_Toc30175"/>
      <w:r>
        <w:rPr>
          <w:rFonts w:hint="eastAsia" w:ascii="宋体" w:hAnsi="宋体" w:cs="宋体"/>
          <w:color w:val="auto"/>
          <w:sz w:val="32"/>
          <w:szCs w:val="32"/>
          <w:highlight w:val="none"/>
          <w:lang w:val="en-US" w:eastAsia="zh-CN"/>
        </w:rPr>
        <w:t>六</w:t>
      </w:r>
      <w:r>
        <w:rPr>
          <w:rFonts w:hint="eastAsia" w:ascii="宋体" w:hAnsi="宋体" w:cs="宋体"/>
          <w:color w:val="auto"/>
          <w:sz w:val="32"/>
          <w:szCs w:val="32"/>
          <w:highlight w:val="none"/>
        </w:rPr>
        <w:t>、投标承诺函</w:t>
      </w:r>
      <w:bookmarkEnd w:id="93"/>
      <w:bookmarkEnd w:id="95"/>
      <w:bookmarkEnd w:id="96"/>
    </w:p>
    <w:p w14:paraId="367DF072">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r>
        <w:rPr>
          <w:rFonts w:hint="eastAsia" w:ascii="宋体" w:hAnsi="宋体" w:cs="宋体"/>
          <w:color w:val="auto"/>
          <w:highlight w:val="none"/>
        </w:rPr>
        <w:t>致 （采购人）：</w:t>
      </w:r>
    </w:p>
    <w:p w14:paraId="372A399D">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我公司作为本次采购项目的</w:t>
      </w:r>
      <w:r>
        <w:rPr>
          <w:rFonts w:hint="eastAsia" w:ascii="宋体" w:hAnsi="宋体" w:cs="宋体"/>
          <w:color w:val="auto"/>
          <w:szCs w:val="24"/>
          <w:highlight w:val="none"/>
        </w:rPr>
        <w:t>供应商</w:t>
      </w:r>
      <w:r>
        <w:rPr>
          <w:rFonts w:hint="eastAsia" w:ascii="宋体" w:hAnsi="宋体" w:cs="宋体"/>
          <w:color w:val="auto"/>
          <w:highlight w:val="none"/>
        </w:rPr>
        <w:t>，根据竞争性磋商文件要求，现郑重承诺如下：</w:t>
      </w:r>
    </w:p>
    <w:p w14:paraId="48810C0E">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一、具备《中华人民共和国政府采购法》第二十二条第一款和本项目规定的条件：</w:t>
      </w:r>
    </w:p>
    <w:p w14:paraId="1405393C">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（一）具有独立承担民事责任的能力；</w:t>
      </w:r>
    </w:p>
    <w:p w14:paraId="385D83E1">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（二）具有良好的商业信誉和健全的财务会计制度；</w:t>
      </w:r>
    </w:p>
    <w:p w14:paraId="0AA4C917">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（三）具有履行合同所必需的设备和专业技术能力；</w:t>
      </w:r>
    </w:p>
    <w:p w14:paraId="339168C1">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（四）有依法缴纳税收和社会保障资金的良好记录；</w:t>
      </w:r>
    </w:p>
    <w:p w14:paraId="112C0CD5">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（五）参加政府采购活动前三年内，在经营活动中没有重大违法记录；</w:t>
      </w:r>
    </w:p>
    <w:p w14:paraId="2B997A2F">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（六）法律、行政法规规定的其他条件；</w:t>
      </w:r>
    </w:p>
    <w:p w14:paraId="761227DC">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（七）根据采购项目提出的特殊条件。</w:t>
      </w:r>
    </w:p>
    <w:p w14:paraId="4DD73E0E">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二、完全接受和满足本项目竞争性磋商文件中规定的实质性要求，如对竞争性磋商文件有异议，已经在投标截止时间届满前依法进行维权救济，不存在对竞争性磋商文件有异议的同时又参加投标以求侥幸中标或者为实现其他非法目的的行为。</w:t>
      </w:r>
    </w:p>
    <w:p w14:paraId="69E87EFA">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三、参加本次招标采购活动，不存在与单位负责人为同一人或者存在直接控股、管理关系的其他供应商参与同一合同项下的政府采购活动的行为。</w:t>
      </w:r>
    </w:p>
    <w:p w14:paraId="19852B0C">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四、参加本次招标采购活动，不存在为采购项目提供整体设计、规范编制或者项目管理、监理、检测等服务的行为。</w:t>
      </w:r>
    </w:p>
    <w:p w14:paraId="1BF0465A">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五、参加本次招标采购活动，不存在和其他供应商在同一合同项下的采购项目中，同时委托同一个自然人、同一家庭的人员、同一单位的人员作为代理人的行为。</w:t>
      </w:r>
    </w:p>
    <w:p w14:paraId="1F638F47">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六、供应商参加本次政府采购活动要求在近三年内供应商和其法定代表人没有行贿犯罪行为。</w:t>
      </w:r>
    </w:p>
    <w:p w14:paraId="10BF4F9A">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七、参加本次招标采购活动，不存在联合体投标。</w:t>
      </w:r>
    </w:p>
    <w:p w14:paraId="77C76F49">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八、</w:t>
      </w:r>
      <w:r>
        <w:rPr>
          <w:rFonts w:hint="eastAsia" w:ascii="宋体" w:hAnsi="宋体" w:cs="宋体"/>
          <w:color w:val="auto"/>
          <w:highlight w:val="none"/>
          <w:lang w:eastAsia="zh-CN"/>
        </w:rPr>
        <w:t>响应文件</w:t>
      </w:r>
      <w:r>
        <w:rPr>
          <w:rFonts w:hint="eastAsia" w:ascii="宋体" w:hAnsi="宋体" w:cs="宋体"/>
          <w:color w:val="auto"/>
          <w:highlight w:val="none"/>
        </w:rPr>
        <w:t>中提供的能够给予我公司带来优惠、好处的任何材料资料和技术、服务、商务等响应承诺情况都是镇实的、有效的、合法的。</w:t>
      </w:r>
    </w:p>
    <w:p w14:paraId="4152D2A3">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九、如本项目评标过程中需要提供样品，则我公司提供的样品即为中标后将要提供的中标产品，我公司对提供样品的性能和质量负责，因样品存在缺陷或者不符合竞争性磋商文件导致未能中标的，我公司愿意承担相应不利后果。（如提供样品）</w:t>
      </w:r>
    </w:p>
    <w:p w14:paraId="391D2A9C">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十、存在以下行为之一的愿意接受相关部门的处理：</w:t>
      </w:r>
    </w:p>
    <w:p w14:paraId="6FEE2A8A">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（一）投标有效期内撤销</w:t>
      </w:r>
      <w:r>
        <w:rPr>
          <w:rFonts w:hint="eastAsia" w:ascii="宋体" w:hAnsi="宋体" w:cs="宋体"/>
          <w:color w:val="auto"/>
          <w:highlight w:val="none"/>
          <w:lang w:eastAsia="zh-CN"/>
        </w:rPr>
        <w:t>响应文件</w:t>
      </w:r>
      <w:r>
        <w:rPr>
          <w:rFonts w:hint="eastAsia" w:ascii="宋体" w:hAnsi="宋体" w:cs="宋体"/>
          <w:color w:val="auto"/>
          <w:highlight w:val="none"/>
        </w:rPr>
        <w:t>的；</w:t>
      </w:r>
    </w:p>
    <w:p w14:paraId="6366755B">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（二）在采购人确定中标人以前放弃中标候选资格的；</w:t>
      </w:r>
    </w:p>
    <w:p w14:paraId="52F8F79E">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（三）由于中标人的原因未能按照竞争性磋商文件的规定与采购人签订合同；</w:t>
      </w:r>
    </w:p>
    <w:p w14:paraId="60F5A32D">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（四）由于中标人的原因未能按照竞争性磋商文件的规定交纳履约保证金；</w:t>
      </w:r>
    </w:p>
    <w:p w14:paraId="72DB2AC3">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（五）在</w:t>
      </w:r>
      <w:r>
        <w:rPr>
          <w:rFonts w:hint="eastAsia" w:ascii="宋体" w:hAnsi="宋体" w:cs="宋体"/>
          <w:color w:val="auto"/>
          <w:highlight w:val="none"/>
          <w:lang w:eastAsia="zh-CN"/>
        </w:rPr>
        <w:t>响应文件</w:t>
      </w:r>
      <w:r>
        <w:rPr>
          <w:rFonts w:hint="eastAsia" w:ascii="宋体" w:hAnsi="宋体" w:cs="宋体"/>
          <w:color w:val="auto"/>
          <w:highlight w:val="none"/>
        </w:rPr>
        <w:t>中提供虚假材料谋取中标；</w:t>
      </w:r>
    </w:p>
    <w:p w14:paraId="12196AA5">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（六）与采购人、其他供应商或者采购代理机构恶意串通的；</w:t>
      </w:r>
    </w:p>
    <w:p w14:paraId="211B024B">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（七）投标有效期内，供应商在政府采购活动中有违法、违规、违纪行为。</w:t>
      </w:r>
    </w:p>
    <w:p w14:paraId="4BE5EA24">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由此产生的一切法律后果和责任由我公司承担。我公司声明放弃对此提出任何异议和追索的权利。</w:t>
      </w:r>
    </w:p>
    <w:p w14:paraId="58EEEFC8">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本公司对上述承诺的内容事项镇实性负责。如经查实上述承诺的内容事项存在虚假，我公司愿意接受以提供虚假材料谋取中标追究法律责任。</w:t>
      </w:r>
    </w:p>
    <w:p w14:paraId="385B9653">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00D16338">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64D5BF80">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2FE4DB91">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3AE964A7">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 w:val="32"/>
          <w:szCs w:val="40"/>
          <w:highlight w:val="none"/>
        </w:rPr>
      </w:pPr>
    </w:p>
    <w:p w14:paraId="510E8292">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 w:val="32"/>
          <w:szCs w:val="40"/>
          <w:highlight w:val="none"/>
        </w:rPr>
      </w:pPr>
    </w:p>
    <w:p w14:paraId="56DE7317">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 w:val="32"/>
          <w:szCs w:val="40"/>
          <w:highlight w:val="none"/>
        </w:rPr>
      </w:pPr>
    </w:p>
    <w:p w14:paraId="21ABAE45">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b/>
          <w:color w:val="auto"/>
          <w:sz w:val="32"/>
          <w:szCs w:val="32"/>
          <w:highlight w:val="none"/>
        </w:rPr>
      </w:pPr>
      <w:bookmarkStart w:id="97" w:name="_Toc31350"/>
      <w:r>
        <w:rPr>
          <w:rFonts w:hint="eastAsia" w:ascii="宋体" w:hAnsi="宋体" w:cs="宋体"/>
          <w:b/>
          <w:color w:val="auto"/>
          <w:sz w:val="32"/>
          <w:szCs w:val="32"/>
          <w:highlight w:val="none"/>
        </w:rPr>
        <w:br w:type="page"/>
      </w:r>
    </w:p>
    <w:bookmarkEnd w:id="97"/>
    <w:p w14:paraId="238A8DB4">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供应商资格审查证明文件</w:t>
      </w:r>
    </w:p>
    <w:p w14:paraId="3D8D32DF">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（一）供应商基本情况一览表</w:t>
      </w:r>
    </w:p>
    <w:p w14:paraId="4D40F7CC">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rPr>
          <w:rFonts w:hint="eastAsia" w:ascii="宋体" w:hAnsi="宋体" w:eastAsia="宋体" w:cs="宋体"/>
          <w:b/>
          <w:color w:val="auto"/>
          <w:sz w:val="24"/>
          <w:highlight w:val="none"/>
        </w:rPr>
      </w:pPr>
    </w:p>
    <w:tbl>
      <w:tblPr>
        <w:tblStyle w:val="17"/>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034"/>
        <w:gridCol w:w="2485"/>
        <w:gridCol w:w="1243"/>
        <w:gridCol w:w="2488"/>
      </w:tblGrid>
      <w:tr w14:paraId="3B28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49" w:type="dxa"/>
            <w:noWrap w:val="0"/>
            <w:vAlign w:val="center"/>
          </w:tcPr>
          <w:p w14:paraId="6487252D">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250" w:type="dxa"/>
            <w:gridSpan w:val="4"/>
            <w:noWrap w:val="0"/>
            <w:vAlign w:val="center"/>
          </w:tcPr>
          <w:p w14:paraId="0ACB01DC">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p>
        </w:tc>
      </w:tr>
      <w:tr w14:paraId="3D37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noWrap w:val="0"/>
            <w:vAlign w:val="center"/>
          </w:tcPr>
          <w:p w14:paraId="34E651FB">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注册地址</w:t>
            </w:r>
          </w:p>
        </w:tc>
        <w:tc>
          <w:tcPr>
            <w:tcW w:w="3519" w:type="dxa"/>
            <w:gridSpan w:val="2"/>
            <w:noWrap w:val="0"/>
            <w:vAlign w:val="center"/>
          </w:tcPr>
          <w:p w14:paraId="0DF9B304">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p>
        </w:tc>
        <w:tc>
          <w:tcPr>
            <w:tcW w:w="1243" w:type="dxa"/>
            <w:noWrap w:val="0"/>
            <w:vAlign w:val="center"/>
          </w:tcPr>
          <w:p w14:paraId="6DB27BC1">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邮政编码</w:t>
            </w:r>
          </w:p>
        </w:tc>
        <w:tc>
          <w:tcPr>
            <w:tcW w:w="2488" w:type="dxa"/>
            <w:noWrap w:val="0"/>
            <w:vAlign w:val="center"/>
          </w:tcPr>
          <w:p w14:paraId="699DC069">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p>
        </w:tc>
      </w:tr>
      <w:tr w14:paraId="4980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449" w:type="dxa"/>
            <w:noWrap w:val="0"/>
            <w:vAlign w:val="center"/>
          </w:tcPr>
          <w:p w14:paraId="24D73352">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联系方式</w:t>
            </w:r>
          </w:p>
        </w:tc>
        <w:tc>
          <w:tcPr>
            <w:tcW w:w="1034" w:type="dxa"/>
            <w:noWrap w:val="0"/>
            <w:vAlign w:val="center"/>
          </w:tcPr>
          <w:p w14:paraId="7149A683">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联系人</w:t>
            </w:r>
          </w:p>
        </w:tc>
        <w:tc>
          <w:tcPr>
            <w:tcW w:w="2485" w:type="dxa"/>
            <w:noWrap w:val="0"/>
            <w:vAlign w:val="center"/>
          </w:tcPr>
          <w:p w14:paraId="7ED77990">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p>
        </w:tc>
        <w:tc>
          <w:tcPr>
            <w:tcW w:w="1243" w:type="dxa"/>
            <w:noWrap w:val="0"/>
            <w:vAlign w:val="center"/>
          </w:tcPr>
          <w:p w14:paraId="4473363F">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电 话</w:t>
            </w:r>
          </w:p>
        </w:tc>
        <w:tc>
          <w:tcPr>
            <w:tcW w:w="2488" w:type="dxa"/>
            <w:noWrap w:val="0"/>
            <w:vAlign w:val="center"/>
          </w:tcPr>
          <w:p w14:paraId="74BE9A94">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p>
        </w:tc>
      </w:tr>
      <w:tr w14:paraId="6629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noWrap w:val="0"/>
            <w:vAlign w:val="center"/>
          </w:tcPr>
          <w:p w14:paraId="69275596">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法定代表人</w:t>
            </w:r>
          </w:p>
        </w:tc>
        <w:tc>
          <w:tcPr>
            <w:tcW w:w="1034" w:type="dxa"/>
            <w:noWrap w:val="0"/>
            <w:vAlign w:val="center"/>
          </w:tcPr>
          <w:p w14:paraId="1C4F3B78">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姓名</w:t>
            </w:r>
          </w:p>
        </w:tc>
        <w:tc>
          <w:tcPr>
            <w:tcW w:w="2485" w:type="dxa"/>
            <w:noWrap w:val="0"/>
            <w:vAlign w:val="center"/>
          </w:tcPr>
          <w:p w14:paraId="2768619F">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p>
        </w:tc>
        <w:tc>
          <w:tcPr>
            <w:tcW w:w="1243" w:type="dxa"/>
            <w:noWrap w:val="0"/>
            <w:vAlign w:val="center"/>
          </w:tcPr>
          <w:p w14:paraId="3BAAF4C0">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电话</w:t>
            </w:r>
          </w:p>
        </w:tc>
        <w:tc>
          <w:tcPr>
            <w:tcW w:w="2488" w:type="dxa"/>
            <w:noWrap w:val="0"/>
            <w:vAlign w:val="center"/>
          </w:tcPr>
          <w:p w14:paraId="5E5EBFB4">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p>
        </w:tc>
      </w:tr>
      <w:tr w14:paraId="0024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noWrap w:val="0"/>
            <w:vAlign w:val="center"/>
          </w:tcPr>
          <w:p w14:paraId="79B61EE0">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成立时间</w:t>
            </w:r>
          </w:p>
        </w:tc>
        <w:tc>
          <w:tcPr>
            <w:tcW w:w="7250" w:type="dxa"/>
            <w:gridSpan w:val="4"/>
            <w:noWrap w:val="0"/>
            <w:vAlign w:val="center"/>
          </w:tcPr>
          <w:p w14:paraId="73F7D760">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p>
        </w:tc>
      </w:tr>
      <w:tr w14:paraId="570C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1449" w:type="dxa"/>
            <w:noWrap w:val="0"/>
            <w:vAlign w:val="center"/>
          </w:tcPr>
          <w:p w14:paraId="7CBEC156">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Cs w:val="21"/>
                <w:highlight w:val="none"/>
                <w:lang w:val="en-US" w:eastAsia="zh-CN"/>
              </w:rPr>
              <w:t>统一社会信用代码</w:t>
            </w:r>
          </w:p>
        </w:tc>
        <w:tc>
          <w:tcPr>
            <w:tcW w:w="7250" w:type="dxa"/>
            <w:gridSpan w:val="4"/>
            <w:noWrap w:val="0"/>
            <w:vAlign w:val="center"/>
          </w:tcPr>
          <w:p w14:paraId="283F9834">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p>
        </w:tc>
      </w:tr>
      <w:tr w14:paraId="2FC8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449" w:type="dxa"/>
            <w:noWrap w:val="0"/>
            <w:vAlign w:val="center"/>
          </w:tcPr>
          <w:p w14:paraId="2D280CA8">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val="en-US" w:eastAsia="zh-CN"/>
              </w:rPr>
              <w:t>注册</w:t>
            </w:r>
            <w:r>
              <w:rPr>
                <w:rFonts w:hint="eastAsia" w:ascii="宋体" w:hAnsi="宋体" w:eastAsia="宋体" w:cs="宋体"/>
                <w:color w:val="auto"/>
                <w:kern w:val="0"/>
                <w:szCs w:val="21"/>
                <w:highlight w:val="none"/>
              </w:rPr>
              <w:t>资金</w:t>
            </w:r>
          </w:p>
        </w:tc>
        <w:tc>
          <w:tcPr>
            <w:tcW w:w="7250" w:type="dxa"/>
            <w:gridSpan w:val="4"/>
            <w:noWrap w:val="0"/>
            <w:vAlign w:val="center"/>
          </w:tcPr>
          <w:p w14:paraId="490E4ED9">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p>
        </w:tc>
      </w:tr>
      <w:tr w14:paraId="73C2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449" w:type="dxa"/>
            <w:noWrap w:val="0"/>
            <w:vAlign w:val="center"/>
          </w:tcPr>
          <w:p w14:paraId="78D6F49E">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开户银行</w:t>
            </w:r>
          </w:p>
        </w:tc>
        <w:tc>
          <w:tcPr>
            <w:tcW w:w="7250" w:type="dxa"/>
            <w:gridSpan w:val="4"/>
            <w:noWrap w:val="0"/>
            <w:vAlign w:val="center"/>
          </w:tcPr>
          <w:p w14:paraId="3B84DB98">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p>
        </w:tc>
      </w:tr>
      <w:tr w14:paraId="727C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449" w:type="dxa"/>
            <w:noWrap w:val="0"/>
            <w:vAlign w:val="center"/>
          </w:tcPr>
          <w:p w14:paraId="75B456BC">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账号</w:t>
            </w:r>
          </w:p>
        </w:tc>
        <w:tc>
          <w:tcPr>
            <w:tcW w:w="7250" w:type="dxa"/>
            <w:gridSpan w:val="4"/>
            <w:noWrap w:val="0"/>
            <w:vAlign w:val="center"/>
          </w:tcPr>
          <w:p w14:paraId="7D580E57">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p>
        </w:tc>
      </w:tr>
      <w:tr w14:paraId="2315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1449" w:type="dxa"/>
            <w:noWrap w:val="0"/>
            <w:vAlign w:val="center"/>
          </w:tcPr>
          <w:p w14:paraId="58695CFE">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val="en-US" w:eastAsia="zh-CN"/>
              </w:rPr>
              <w:t>经营</w:t>
            </w:r>
            <w:r>
              <w:rPr>
                <w:rFonts w:hint="eastAsia" w:ascii="宋体" w:hAnsi="宋体" w:eastAsia="宋体" w:cs="宋体"/>
                <w:color w:val="auto"/>
                <w:kern w:val="0"/>
                <w:szCs w:val="21"/>
                <w:highlight w:val="none"/>
              </w:rPr>
              <w:t>范围</w:t>
            </w:r>
          </w:p>
        </w:tc>
        <w:tc>
          <w:tcPr>
            <w:tcW w:w="7250" w:type="dxa"/>
            <w:gridSpan w:val="4"/>
            <w:noWrap w:val="0"/>
            <w:vAlign w:val="center"/>
          </w:tcPr>
          <w:p w14:paraId="6F96C8BC">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p>
        </w:tc>
      </w:tr>
      <w:tr w14:paraId="491C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449" w:type="dxa"/>
            <w:noWrap w:val="0"/>
            <w:vAlign w:val="center"/>
          </w:tcPr>
          <w:p w14:paraId="0685A4B8">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p>
        </w:tc>
        <w:tc>
          <w:tcPr>
            <w:tcW w:w="7250" w:type="dxa"/>
            <w:gridSpan w:val="4"/>
            <w:noWrap w:val="0"/>
            <w:vAlign w:val="center"/>
          </w:tcPr>
          <w:p w14:paraId="7397E75B">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kern w:val="0"/>
                <w:sz w:val="24"/>
                <w:highlight w:val="none"/>
              </w:rPr>
            </w:pPr>
          </w:p>
        </w:tc>
      </w:tr>
    </w:tbl>
    <w:p w14:paraId="099FF485">
      <w:pPr>
        <w:pStyle w:val="38"/>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40"/>
        <w:rPr>
          <w:rFonts w:hint="eastAsia" w:ascii="宋体" w:hAnsi="宋体" w:eastAsia="宋体" w:cs="宋体"/>
          <w:color w:val="auto"/>
          <w:sz w:val="24"/>
          <w:highlight w:val="none"/>
          <w:u w:val="single"/>
        </w:rPr>
      </w:pPr>
    </w:p>
    <w:p w14:paraId="0ECBE0AF">
      <w:pPr>
        <w:pStyle w:val="38"/>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40"/>
        <w:rPr>
          <w:rFonts w:hint="eastAsia" w:ascii="宋体" w:hAnsi="宋体" w:eastAsia="宋体" w:cs="宋体"/>
          <w:color w:val="auto"/>
          <w:sz w:val="24"/>
          <w:highlight w:val="none"/>
          <w:u w:val="single"/>
        </w:rPr>
      </w:pPr>
    </w:p>
    <w:p w14:paraId="5C66D7E0">
      <w:pPr>
        <w:pStyle w:val="38"/>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40"/>
        <w:rPr>
          <w:rFonts w:hint="eastAsia" w:ascii="宋体" w:hAnsi="宋体" w:eastAsia="宋体" w:cs="宋体"/>
          <w:color w:val="auto"/>
          <w:sz w:val="24"/>
          <w:highlight w:val="none"/>
          <w:u w:val="single"/>
          <w:lang w:eastAsia="zh-CN"/>
        </w:rPr>
      </w:pPr>
    </w:p>
    <w:p w14:paraId="2425CE86">
      <w:pPr>
        <w:pStyle w:val="38"/>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40"/>
        <w:rPr>
          <w:rFonts w:hint="eastAsia" w:ascii="宋体" w:hAnsi="宋体" w:eastAsia="宋体" w:cs="宋体"/>
          <w:color w:val="auto"/>
          <w:sz w:val="24"/>
          <w:highlight w:val="none"/>
          <w:u w:val="single"/>
          <w:lang w:eastAsia="zh-CN"/>
        </w:rPr>
      </w:pPr>
    </w:p>
    <w:p w14:paraId="065AA214">
      <w:pPr>
        <w:pStyle w:val="38"/>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40"/>
        <w:rPr>
          <w:rFonts w:hint="eastAsia" w:ascii="宋体" w:hAnsi="宋体" w:eastAsia="宋体" w:cs="宋体"/>
          <w:color w:val="auto"/>
          <w:sz w:val="24"/>
          <w:highlight w:val="none"/>
          <w:u w:val="single"/>
          <w:lang w:eastAsia="zh-CN"/>
        </w:rPr>
      </w:pPr>
    </w:p>
    <w:p w14:paraId="6CD082D7">
      <w:pPr>
        <w:pStyle w:val="38"/>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40"/>
        <w:rPr>
          <w:rFonts w:hint="eastAsia" w:ascii="宋体" w:hAnsi="宋体" w:eastAsia="宋体" w:cs="宋体"/>
          <w:color w:val="auto"/>
          <w:sz w:val="24"/>
          <w:highlight w:val="none"/>
          <w:u w:val="single"/>
        </w:rPr>
      </w:pPr>
    </w:p>
    <w:p w14:paraId="31BF5655">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（二）供应商资格审查资料</w:t>
      </w:r>
    </w:p>
    <w:p w14:paraId="78C37D6A">
      <w:pPr>
        <w:keepNext w:val="0"/>
        <w:keepLines w:val="0"/>
        <w:pageBreakBefore w:val="0"/>
        <w:widowControl/>
        <w:shd w:val="clear" w:color="auto" w:fill="FFFFFF"/>
        <w:kinsoku w:val="0"/>
        <w:wordWrap/>
        <w:bidi w:val="0"/>
        <w:adjustRightInd w:val="0"/>
        <w:snapToGrid w:val="0"/>
        <w:spacing w:beforeAutospacing="0" w:afterAutospacing="0" w:line="360" w:lineRule="auto"/>
        <w:ind w:left="0" w:leftChars="0" w:right="0" w:rightChars="0" w:firstLine="64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4"/>
          <w:highlight w:val="none"/>
          <w:shd w:val="clear" w:color="auto" w:fill="FFFFFF"/>
        </w:rPr>
        <w:t>供应商资格要求</w:t>
      </w:r>
    </w:p>
    <w:p w14:paraId="76258079">
      <w:pPr>
        <w:pStyle w:val="2"/>
        <w:keepNext w:val="0"/>
        <w:keepLines w:val="0"/>
        <w:pageBreakBefore w:val="0"/>
        <w:widowControl/>
        <w:numPr>
          <w:ilvl w:val="1"/>
          <w:numId w:val="0"/>
        </w:numPr>
        <w:kinsoku w:val="0"/>
        <w:wordWrap/>
        <w:bidi w:val="0"/>
        <w:adjustRightInd w:val="0"/>
        <w:snapToGrid w:val="0"/>
        <w:spacing w:before="0" w:beforeAutospacing="0" w:afterAutospacing="0" w:line="360" w:lineRule="auto"/>
        <w:ind w:left="0" w:leftChars="0" w:right="0" w:rightChars="0"/>
        <w:jc w:val="center"/>
        <w:rPr>
          <w:rFonts w:hint="eastAsia" w:ascii="宋体" w:hAnsi="宋体" w:eastAsia="宋体" w:cs="宋体"/>
          <w:color w:val="auto"/>
          <w:sz w:val="28"/>
          <w:szCs w:val="28"/>
          <w:highlight w:val="none"/>
        </w:rPr>
      </w:pPr>
    </w:p>
    <w:p w14:paraId="64B1E6E6">
      <w:pPr>
        <w:pStyle w:val="2"/>
        <w:keepNext w:val="0"/>
        <w:keepLines w:val="0"/>
        <w:pageBreakBefore w:val="0"/>
        <w:widowControl/>
        <w:numPr>
          <w:ilvl w:val="1"/>
          <w:numId w:val="0"/>
        </w:numPr>
        <w:kinsoku w:val="0"/>
        <w:wordWrap/>
        <w:bidi w:val="0"/>
        <w:adjustRightInd w:val="0"/>
        <w:snapToGrid w:val="0"/>
        <w:spacing w:before="0" w:beforeAutospacing="0" w:afterAutospacing="0" w:line="360" w:lineRule="auto"/>
        <w:ind w:left="0" w:leftChars="0" w:right="0" w:rightChars="0"/>
        <w:jc w:val="center"/>
        <w:rPr>
          <w:rFonts w:hint="eastAsia" w:ascii="宋体" w:hAnsi="宋体" w:eastAsia="宋体" w:cs="宋体"/>
          <w:color w:val="auto"/>
          <w:sz w:val="28"/>
          <w:szCs w:val="28"/>
          <w:highlight w:val="none"/>
        </w:rPr>
      </w:pPr>
    </w:p>
    <w:p w14:paraId="1E6439CA">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7B561F3A">
      <w:pPr>
        <w:keepNext w:val="0"/>
        <w:keepLines w:val="0"/>
        <w:pageBreakBefore w:val="0"/>
        <w:widowControl/>
        <w:kinsoku w:val="0"/>
        <w:wordWrap/>
        <w:bidi w:val="0"/>
        <w:adjustRightInd w:val="0"/>
        <w:snapToGrid w:val="0"/>
        <w:spacing w:beforeAutospacing="0" w:afterAutospacing="0" w:line="360" w:lineRule="auto"/>
        <w:ind w:left="0" w:leftChars="0" w:right="0" w:rightChars="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w:t>
      </w:r>
    </w:p>
    <w:p w14:paraId="2A5822C1">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满足《中华人民共和国政府采购法》第二十二条规定的承诺书</w:t>
      </w:r>
    </w:p>
    <w:p w14:paraId="3D5F7C2D">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b/>
          <w:color w:val="auto"/>
          <w:sz w:val="28"/>
          <w:szCs w:val="28"/>
          <w:highlight w:val="none"/>
          <w:u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（采购人名称）</w:t>
      </w:r>
      <w:r>
        <w:rPr>
          <w:rFonts w:hint="eastAsia" w:ascii="宋体" w:hAnsi="宋体" w:eastAsia="宋体" w:cs="宋体"/>
          <w:b/>
          <w:color w:val="auto"/>
          <w:sz w:val="28"/>
          <w:szCs w:val="28"/>
          <w:highlight w:val="none"/>
          <w:u w:val="none"/>
        </w:rPr>
        <w:t xml:space="preserve"> </w:t>
      </w:r>
    </w:p>
    <w:p w14:paraId="14CB3601">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61B7E55C">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一、我单位全称为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，注册地点为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，统一社会信用代码为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法定代表人（主要负责人）为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联系方式为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93D14B4">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二、我单位具有独立承担民事责任的能力(如分公司参加投标的，其民事责任由总公司承担)。</w:t>
      </w:r>
    </w:p>
    <w:p w14:paraId="1C90D0C1">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三、我单位具有良好的商业信誉和健全的财务会计制度。 </w:t>
      </w:r>
    </w:p>
    <w:p w14:paraId="5CC3ADEC">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四、我单位具有履行合同所必需的设备和专业技术能力。 </w:t>
      </w:r>
    </w:p>
    <w:p w14:paraId="6B1DFCD4">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五、我单位有依法缴纳税收和社会保障资金的良好记录。</w:t>
      </w:r>
    </w:p>
    <w:p w14:paraId="1730DBE3">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02A7D791">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七、我单位具备法律、行政法规规定的其他条件。</w:t>
      </w:r>
    </w:p>
    <w:p w14:paraId="68D0D030">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28B47A35">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1C76AC0E">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507577B2">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5F95EB7C">
      <w:pPr>
        <w:keepNext w:val="0"/>
        <w:keepLines w:val="0"/>
        <w:pageBreakBefore w:val="0"/>
        <w:widowControl/>
        <w:numPr>
          <w:ilvl w:val="0"/>
          <w:numId w:val="0"/>
        </w:numPr>
        <w:shd w:val="clear" w:color="auto" w:fill="FFFFFF"/>
        <w:kinsoku w:val="0"/>
        <w:wordWrap/>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color w:val="auto"/>
          <w:kern w:val="0"/>
          <w:sz w:val="28"/>
          <w:szCs w:val="28"/>
          <w:highlight w:val="none"/>
        </w:rPr>
      </w:pPr>
    </w:p>
    <w:p w14:paraId="417AD489">
      <w:pPr>
        <w:keepNext w:val="0"/>
        <w:keepLines w:val="0"/>
        <w:pageBreakBefore w:val="0"/>
        <w:widowControl/>
        <w:numPr>
          <w:ilvl w:val="0"/>
          <w:numId w:val="0"/>
        </w:numPr>
        <w:shd w:val="clear" w:color="auto" w:fill="FFFFFF"/>
        <w:kinsoku w:val="0"/>
        <w:wordWrap/>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color w:val="auto"/>
          <w:kern w:val="0"/>
          <w:sz w:val="28"/>
          <w:szCs w:val="28"/>
          <w:highlight w:val="none"/>
        </w:rPr>
      </w:pPr>
    </w:p>
    <w:p w14:paraId="07BC6670">
      <w:pPr>
        <w:keepNext w:val="0"/>
        <w:keepLines w:val="0"/>
        <w:pageBreakBefore w:val="0"/>
        <w:widowControl/>
        <w:numPr>
          <w:ilvl w:val="0"/>
          <w:numId w:val="0"/>
        </w:numPr>
        <w:shd w:val="clear" w:color="auto" w:fill="FFFFFF"/>
        <w:kinsoku w:val="0"/>
        <w:wordWrap/>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color w:val="auto"/>
          <w:kern w:val="0"/>
          <w:sz w:val="28"/>
          <w:szCs w:val="28"/>
          <w:highlight w:val="none"/>
        </w:rPr>
      </w:pPr>
    </w:p>
    <w:p w14:paraId="2AAAE4D5">
      <w:pPr>
        <w:keepNext w:val="0"/>
        <w:keepLines w:val="0"/>
        <w:pageBreakBefore w:val="0"/>
        <w:widowControl/>
        <w:numPr>
          <w:ilvl w:val="0"/>
          <w:numId w:val="0"/>
        </w:numPr>
        <w:shd w:val="clear" w:color="auto" w:fill="FFFFFF"/>
        <w:kinsoku w:val="0"/>
        <w:wordWrap/>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color w:val="auto"/>
          <w:kern w:val="0"/>
          <w:sz w:val="28"/>
          <w:szCs w:val="28"/>
          <w:highlight w:val="none"/>
        </w:rPr>
      </w:pPr>
    </w:p>
    <w:p w14:paraId="3521BDCA">
      <w:pPr>
        <w:keepNext w:val="0"/>
        <w:keepLines w:val="0"/>
        <w:pageBreakBefore w:val="0"/>
        <w:widowControl/>
        <w:numPr>
          <w:ilvl w:val="0"/>
          <w:numId w:val="0"/>
        </w:numPr>
        <w:shd w:val="clear" w:color="auto" w:fill="FFFFFF"/>
        <w:kinsoku w:val="0"/>
        <w:wordWrap/>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color w:val="auto"/>
          <w:kern w:val="0"/>
          <w:sz w:val="28"/>
          <w:szCs w:val="28"/>
          <w:highlight w:val="none"/>
        </w:rPr>
      </w:pPr>
    </w:p>
    <w:p w14:paraId="388497F4">
      <w:pPr>
        <w:keepNext w:val="0"/>
        <w:keepLines w:val="0"/>
        <w:pageBreakBefore w:val="0"/>
        <w:widowControl/>
        <w:numPr>
          <w:ilvl w:val="0"/>
          <w:numId w:val="0"/>
        </w:numPr>
        <w:shd w:val="clear" w:color="auto" w:fill="FFFFFF"/>
        <w:kinsoku w:val="0"/>
        <w:wordWrap/>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 xml:space="preserve">附件2： </w:t>
      </w:r>
    </w:p>
    <w:p w14:paraId="67CC848A">
      <w:pPr>
        <w:keepNext w:val="0"/>
        <w:keepLines w:val="0"/>
        <w:pageBreakBefore w:val="0"/>
        <w:widowControl/>
        <w:shd w:val="clear" w:color="auto" w:fill="FFFFFF"/>
        <w:kinsoku w:val="0"/>
        <w:wordWrap/>
        <w:bidi w:val="0"/>
        <w:adjustRightInd w:val="0"/>
        <w:snapToGrid w:val="0"/>
        <w:spacing w:beforeAutospacing="0" w:afterAutospacing="0" w:line="360" w:lineRule="auto"/>
        <w:ind w:left="0" w:leftChars="0" w:right="0" w:rightChars="0"/>
        <w:jc w:val="center"/>
        <w:textAlignment w:val="baseline"/>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非联合体投标承诺书</w:t>
      </w:r>
    </w:p>
    <w:p w14:paraId="041C2EA7">
      <w:pPr>
        <w:keepNext w:val="0"/>
        <w:keepLines w:val="0"/>
        <w:pageBreakBefore w:val="0"/>
        <w:widowControl/>
        <w:shd w:val="clear" w:color="auto" w:fill="FFFFFF"/>
        <w:kinsoku w:val="0"/>
        <w:wordWrap/>
        <w:bidi w:val="0"/>
        <w:adjustRightInd w:val="0"/>
        <w:snapToGrid w:val="0"/>
        <w:spacing w:beforeAutospacing="0" w:afterAutospacing="0" w:line="360" w:lineRule="auto"/>
        <w:ind w:left="0" w:leftChars="0" w:right="0" w:rightChars="0"/>
        <w:jc w:val="center"/>
        <w:textAlignment w:val="baseline"/>
        <w:rPr>
          <w:rFonts w:hint="eastAsia" w:ascii="宋体" w:hAnsi="宋体" w:eastAsia="宋体" w:cs="宋体"/>
          <w:b/>
          <w:color w:val="auto"/>
          <w:kern w:val="0"/>
          <w:sz w:val="24"/>
          <w:highlight w:val="none"/>
          <w:lang w:val="zh-CN" w:eastAsia="zh-CN"/>
        </w:rPr>
      </w:pPr>
    </w:p>
    <w:p w14:paraId="12A937B8">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致（采购单位）：</w:t>
      </w:r>
    </w:p>
    <w:p w14:paraId="3F6EC57C">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我单位参与本次采购活动中，非联合体投标，特此承诺。 </w:t>
      </w:r>
    </w:p>
    <w:p w14:paraId="21A212ED">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若承诺不实，同意取消投标资格，接受相关处理。</w:t>
      </w:r>
    </w:p>
    <w:p w14:paraId="6F116F87">
      <w:pPr>
        <w:keepNext w:val="0"/>
        <w:keepLines w:val="0"/>
        <w:pageBreakBefore w:val="0"/>
        <w:widowControl/>
        <w:kinsoku w:val="0"/>
        <w:wordWrap/>
        <w:bidi w:val="0"/>
        <w:adjustRightInd w:val="0"/>
        <w:snapToGrid w:val="0"/>
        <w:spacing w:beforeAutospacing="0" w:afterAutospacing="0" w:line="360" w:lineRule="auto"/>
        <w:ind w:left="0" w:leftChars="0" w:right="0" w:rightChars="0"/>
        <w:jc w:val="right"/>
        <w:rPr>
          <w:rFonts w:hint="eastAsia" w:ascii="宋体" w:hAnsi="宋体" w:eastAsia="宋体" w:cs="宋体"/>
          <w:color w:val="auto"/>
          <w:sz w:val="24"/>
          <w:szCs w:val="24"/>
          <w:highlight w:val="none"/>
        </w:rPr>
      </w:pPr>
    </w:p>
    <w:p w14:paraId="38A49592">
      <w:pPr>
        <w:keepNext w:val="0"/>
        <w:keepLines w:val="0"/>
        <w:pageBreakBefore w:val="0"/>
        <w:widowControl/>
        <w:kinsoku w:val="0"/>
        <w:wordWrap/>
        <w:bidi w:val="0"/>
        <w:adjustRightInd w:val="0"/>
        <w:snapToGrid w:val="0"/>
        <w:spacing w:beforeAutospacing="0" w:afterAutospacing="0" w:line="360" w:lineRule="auto"/>
        <w:ind w:left="0" w:leftChars="0" w:right="0" w:rightChars="0"/>
        <w:jc w:val="right"/>
        <w:rPr>
          <w:rFonts w:hint="eastAsia" w:ascii="宋体" w:hAnsi="宋体" w:eastAsia="宋体" w:cs="宋体"/>
          <w:color w:val="auto"/>
          <w:sz w:val="24"/>
          <w:szCs w:val="24"/>
          <w:highlight w:val="none"/>
        </w:rPr>
      </w:pPr>
    </w:p>
    <w:p w14:paraId="7065A4A9">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3853625A">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42569A78">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031EECFB">
      <w:pPr>
        <w:pStyle w:val="5"/>
        <w:keepNext w:val="0"/>
        <w:keepLines w:val="0"/>
        <w:pageBreakBefore w:val="0"/>
        <w:widowControl/>
        <w:kinsoku w:val="0"/>
        <w:wordWrap/>
        <w:bidi w:val="0"/>
        <w:adjustRightInd w:val="0"/>
        <w:snapToGrid w:val="0"/>
        <w:spacing w:beforeAutospacing="0" w:after="0" w:afterAutospacing="0" w:line="360" w:lineRule="auto"/>
        <w:ind w:left="0" w:leftChars="0" w:right="0" w:rightChars="0"/>
        <w:jc w:val="right"/>
        <w:rPr>
          <w:rFonts w:hint="eastAsia" w:ascii="宋体" w:hAnsi="宋体" w:eastAsia="宋体" w:cs="宋体"/>
          <w:color w:val="auto"/>
          <w:kern w:val="0"/>
          <w:szCs w:val="24"/>
          <w:highlight w:val="none"/>
          <w:lang w:val="en-US" w:eastAsia="zh-CN"/>
        </w:rPr>
      </w:pPr>
    </w:p>
    <w:p w14:paraId="01D1157E">
      <w:pPr>
        <w:pStyle w:val="2"/>
        <w:keepNext w:val="0"/>
        <w:keepLines w:val="0"/>
        <w:pageBreakBefore w:val="0"/>
        <w:widowControl/>
        <w:kinsoku w:val="0"/>
        <w:wordWrap/>
        <w:bidi w:val="0"/>
        <w:adjustRightInd w:val="0"/>
        <w:snapToGrid w:val="0"/>
        <w:spacing w:before="0" w:beforeAutospacing="0" w:afterAutospacing="0" w:line="360" w:lineRule="auto"/>
        <w:ind w:left="0" w:leftChars="0" w:right="0" w:rightChars="0"/>
        <w:rPr>
          <w:rFonts w:hint="eastAsia" w:ascii="宋体" w:hAnsi="宋体" w:eastAsia="宋体" w:cs="宋体"/>
          <w:color w:val="auto"/>
          <w:highlight w:val="none"/>
        </w:rPr>
      </w:pPr>
    </w:p>
    <w:p w14:paraId="4ECC65D7">
      <w:pPr>
        <w:keepNext w:val="0"/>
        <w:keepLines w:val="0"/>
        <w:pageBreakBefore w:val="0"/>
        <w:widowControl/>
        <w:shd w:val="clear" w:color="auto" w:fill="FFFFFF"/>
        <w:kinsoku w:val="0"/>
        <w:wordWrap/>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color w:val="auto"/>
          <w:kern w:val="0"/>
          <w:sz w:val="28"/>
          <w:szCs w:val="28"/>
          <w:highlight w:val="none"/>
        </w:rPr>
      </w:pPr>
      <w:r>
        <w:rPr>
          <w:rFonts w:hint="eastAsia" w:ascii="宋体" w:hAnsi="宋体" w:eastAsia="宋体" w:cs="宋体"/>
          <w:color w:val="auto"/>
          <w:kern w:val="0"/>
          <w:szCs w:val="21"/>
          <w:highlight w:val="none"/>
        </w:rPr>
        <w:br w:type="page"/>
      </w:r>
      <w:r>
        <w:rPr>
          <w:rFonts w:hint="eastAsia" w:ascii="宋体" w:hAnsi="宋体" w:eastAsia="宋体" w:cs="宋体"/>
          <w:b/>
          <w:color w:val="auto"/>
          <w:kern w:val="0"/>
          <w:sz w:val="28"/>
          <w:szCs w:val="28"/>
          <w:highlight w:val="none"/>
        </w:rPr>
        <w:t>附件</w:t>
      </w:r>
      <w:r>
        <w:rPr>
          <w:rFonts w:hint="eastAsia" w:ascii="宋体" w:hAnsi="宋体" w:eastAsia="宋体" w:cs="宋体"/>
          <w:b/>
          <w:color w:val="auto"/>
          <w:kern w:val="0"/>
          <w:sz w:val="28"/>
          <w:szCs w:val="28"/>
          <w:highlight w:val="none"/>
          <w:lang w:val="en-US" w:eastAsia="zh-CN"/>
        </w:rPr>
        <w:t>3</w:t>
      </w:r>
      <w:r>
        <w:rPr>
          <w:rFonts w:hint="eastAsia" w:ascii="宋体" w:hAnsi="宋体" w:eastAsia="宋体" w:cs="宋体"/>
          <w:b/>
          <w:color w:val="auto"/>
          <w:kern w:val="0"/>
          <w:sz w:val="28"/>
          <w:szCs w:val="28"/>
          <w:highlight w:val="none"/>
        </w:rPr>
        <w:t xml:space="preserve">： </w:t>
      </w:r>
    </w:p>
    <w:p w14:paraId="248A885B">
      <w:pPr>
        <w:keepNext w:val="0"/>
        <w:keepLines w:val="0"/>
        <w:pageBreakBefore w:val="0"/>
        <w:widowControl/>
        <w:shd w:val="clear" w:color="auto" w:fill="FFFFFF"/>
        <w:kinsoku w:val="0"/>
        <w:wordWrap/>
        <w:bidi w:val="0"/>
        <w:adjustRightInd w:val="0"/>
        <w:snapToGrid w:val="0"/>
        <w:spacing w:beforeAutospacing="0" w:afterAutospacing="0" w:line="360" w:lineRule="auto"/>
        <w:ind w:left="0" w:leftChars="0" w:right="0" w:rightChars="0" w:firstLine="482" w:firstLineChars="200"/>
        <w:jc w:val="center"/>
        <w:textAlignment w:val="baseline"/>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无商业贿赂</w:t>
      </w:r>
      <w:r>
        <w:rPr>
          <w:rFonts w:hint="eastAsia" w:ascii="宋体" w:hAnsi="宋体" w:eastAsia="宋体" w:cs="宋体"/>
          <w:b/>
          <w:color w:val="auto"/>
          <w:kern w:val="0"/>
          <w:sz w:val="24"/>
          <w:highlight w:val="none"/>
          <w:lang w:val="en-US" w:eastAsia="zh-CN"/>
        </w:rPr>
        <w:t>及</w:t>
      </w:r>
      <w:r>
        <w:rPr>
          <w:rFonts w:hint="eastAsia" w:ascii="宋体" w:hAnsi="宋体" w:eastAsia="宋体" w:cs="宋体"/>
          <w:b/>
          <w:color w:val="auto"/>
          <w:kern w:val="0"/>
          <w:sz w:val="24"/>
          <w:highlight w:val="none"/>
          <w:lang w:val="zh-CN"/>
        </w:rPr>
        <w:t>无不正当竞争行为的承诺书</w:t>
      </w:r>
    </w:p>
    <w:p w14:paraId="7E4F280B">
      <w:pPr>
        <w:keepNext w:val="0"/>
        <w:keepLines w:val="0"/>
        <w:pageBreakBefore w:val="0"/>
        <w:widowControl/>
        <w:kinsoku w:val="0"/>
        <w:wordWrap/>
        <w:bidi w:val="0"/>
        <w:adjustRightInd w:val="0"/>
        <w:snapToGrid w:val="0"/>
        <w:spacing w:beforeAutospacing="0" w:afterAutospacing="0" w:line="360" w:lineRule="auto"/>
        <w:ind w:left="0" w:leftChars="0" w:right="0" w:rightChars="0"/>
        <w:jc w:val="left"/>
        <w:rPr>
          <w:rFonts w:hint="eastAsia" w:ascii="宋体" w:hAnsi="宋体" w:eastAsia="宋体" w:cs="宋体"/>
          <w:color w:val="auto"/>
          <w:sz w:val="24"/>
          <w:szCs w:val="24"/>
          <w:highlight w:val="none"/>
        </w:rPr>
      </w:pPr>
    </w:p>
    <w:p w14:paraId="729064B1">
      <w:pPr>
        <w:keepNext w:val="0"/>
        <w:keepLines w:val="0"/>
        <w:pageBreakBefore w:val="0"/>
        <w:widowControl/>
        <w:kinsoku w:val="0"/>
        <w:wordWrap/>
        <w:bidi w:val="0"/>
        <w:adjustRightInd w:val="0"/>
        <w:snapToGrid w:val="0"/>
        <w:spacing w:beforeAutospacing="0" w:afterAutospacing="0"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w:t>
      </w:r>
    </w:p>
    <w:p w14:paraId="7BC1C864">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6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及法人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自成立以来，在参与政府采购活动中，从无商业贿赂及不正当竞争行为。</w:t>
      </w:r>
    </w:p>
    <w:p w14:paraId="2A5BDDC4">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6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二、公平竞争参加本次采购活动。</w:t>
      </w:r>
    </w:p>
    <w:p w14:paraId="08F003E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6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14:paraId="70B71F97">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6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四、坚持投标独立性，保证不以任何手段了解或意图了解其他投标参与人情况及其报价信息。除公开渠道获取相关信息外，保证不以其它方式刺探或意图刺探贵司评标、议标信息及其进展。</w:t>
      </w:r>
    </w:p>
    <w:p w14:paraId="05164E30">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6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五、若出现上述行为，与投标的工作人员愿意接受按照国家法律法规等有关规定给子的处罚。</w:t>
      </w:r>
    </w:p>
    <w:p w14:paraId="79718AC1">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6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507BC67E">
      <w:pPr>
        <w:pStyle w:val="15"/>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00"/>
        <w:rPr>
          <w:rFonts w:hint="eastAsia" w:ascii="宋体" w:hAnsi="宋体" w:eastAsia="宋体" w:cs="宋体"/>
          <w:color w:val="auto"/>
          <w:highlight w:val="none"/>
        </w:rPr>
      </w:pPr>
    </w:p>
    <w:p w14:paraId="5F71E0BD">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46C74C9B">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14F8C3D7">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7AA31EF2">
      <w:pPr>
        <w:pStyle w:val="5"/>
        <w:keepNext w:val="0"/>
        <w:keepLines w:val="0"/>
        <w:pageBreakBefore w:val="0"/>
        <w:widowControl/>
        <w:kinsoku w:val="0"/>
        <w:wordWrap/>
        <w:bidi w:val="0"/>
        <w:adjustRightInd w:val="0"/>
        <w:snapToGrid w:val="0"/>
        <w:spacing w:beforeAutospacing="0" w:after="0" w:afterAutospacing="0" w:line="360" w:lineRule="auto"/>
        <w:ind w:left="0" w:leftChars="0" w:right="0" w:rightChars="0"/>
        <w:jc w:val="right"/>
        <w:rPr>
          <w:rFonts w:hint="eastAsia" w:ascii="宋体" w:hAnsi="宋体" w:eastAsia="宋体" w:cs="宋体"/>
          <w:color w:val="auto"/>
          <w:kern w:val="0"/>
          <w:szCs w:val="24"/>
          <w:highlight w:val="none"/>
          <w:lang w:val="en-US" w:eastAsia="zh-CN"/>
        </w:rPr>
      </w:pPr>
    </w:p>
    <w:p w14:paraId="32A4F154">
      <w:pPr>
        <w:keepNext w:val="0"/>
        <w:keepLines w:val="0"/>
        <w:pageBreakBefore w:val="0"/>
        <w:widowControl/>
        <w:kinsoku w:val="0"/>
        <w:wordWrap/>
        <w:bidi w:val="0"/>
        <w:adjustRightInd w:val="0"/>
        <w:snapToGrid w:val="0"/>
        <w:spacing w:beforeAutospacing="0" w:afterAutospacing="0" w:line="360" w:lineRule="auto"/>
        <w:ind w:left="0" w:leftChars="0" w:right="0" w:rightChars="0"/>
        <w:jc w:val="both"/>
        <w:rPr>
          <w:rFonts w:hint="eastAsia" w:ascii="宋体" w:hAnsi="宋体" w:eastAsia="宋体" w:cs="宋体"/>
          <w:b/>
          <w:color w:val="auto"/>
          <w:kern w:val="0"/>
          <w:sz w:val="28"/>
          <w:szCs w:val="28"/>
          <w:highlight w:val="none"/>
        </w:rPr>
      </w:pPr>
    </w:p>
    <w:p w14:paraId="1E64A3A4">
      <w:pPr>
        <w:pStyle w:val="38"/>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81"/>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kern w:val="0"/>
          <w:sz w:val="28"/>
          <w:szCs w:val="28"/>
          <w:highlight w:val="none"/>
          <w:lang w:val="en-US" w:eastAsia="zh-CN" w:bidi="ar-SA"/>
        </w:rPr>
        <w:t>六、2022年1月1日以来企业已完成的类似项目业绩表</w:t>
      </w:r>
    </w:p>
    <w:p w14:paraId="2ED416E8">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rPr>
          <w:rFonts w:hint="eastAsia" w:ascii="宋体" w:hAnsi="宋体" w:eastAsia="宋体" w:cs="宋体"/>
          <w:b/>
          <w:bCs/>
          <w:color w:val="auto"/>
          <w:sz w:val="24"/>
          <w:highlight w:val="none"/>
        </w:rPr>
      </w:pPr>
    </w:p>
    <w:tbl>
      <w:tblPr>
        <w:tblStyle w:val="17"/>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6545"/>
      </w:tblGrid>
      <w:tr w14:paraId="11A6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574" w:type="dxa"/>
            <w:noWrap w:val="0"/>
            <w:vAlign w:val="center"/>
          </w:tcPr>
          <w:p w14:paraId="6F0F70D6">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545" w:type="dxa"/>
            <w:noWrap w:val="0"/>
            <w:vAlign w:val="top"/>
          </w:tcPr>
          <w:p w14:paraId="7B65E591">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color w:val="auto"/>
                <w:sz w:val="24"/>
                <w:highlight w:val="none"/>
              </w:rPr>
            </w:pPr>
          </w:p>
        </w:tc>
      </w:tr>
      <w:tr w14:paraId="1E94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574" w:type="dxa"/>
            <w:noWrap w:val="0"/>
            <w:vAlign w:val="center"/>
          </w:tcPr>
          <w:p w14:paraId="7EFB7ECD">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项目所在地</w:t>
            </w:r>
          </w:p>
        </w:tc>
        <w:tc>
          <w:tcPr>
            <w:tcW w:w="6545" w:type="dxa"/>
            <w:noWrap w:val="0"/>
            <w:vAlign w:val="top"/>
          </w:tcPr>
          <w:p w14:paraId="0D809834">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color w:val="auto"/>
                <w:sz w:val="24"/>
                <w:highlight w:val="none"/>
              </w:rPr>
            </w:pPr>
          </w:p>
        </w:tc>
      </w:tr>
      <w:tr w14:paraId="5993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574" w:type="dxa"/>
            <w:noWrap w:val="0"/>
            <w:vAlign w:val="center"/>
          </w:tcPr>
          <w:p w14:paraId="49B639C2">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委托人名称</w:t>
            </w:r>
          </w:p>
        </w:tc>
        <w:tc>
          <w:tcPr>
            <w:tcW w:w="6545" w:type="dxa"/>
            <w:noWrap w:val="0"/>
            <w:vAlign w:val="top"/>
          </w:tcPr>
          <w:p w14:paraId="0B2954E9">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color w:val="auto"/>
                <w:sz w:val="24"/>
                <w:highlight w:val="none"/>
              </w:rPr>
            </w:pPr>
          </w:p>
        </w:tc>
      </w:tr>
      <w:tr w14:paraId="1636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574" w:type="dxa"/>
            <w:noWrap w:val="0"/>
            <w:vAlign w:val="center"/>
          </w:tcPr>
          <w:p w14:paraId="0BDA8C15">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委托人地址</w:t>
            </w:r>
          </w:p>
        </w:tc>
        <w:tc>
          <w:tcPr>
            <w:tcW w:w="6545" w:type="dxa"/>
            <w:noWrap w:val="0"/>
            <w:vAlign w:val="top"/>
          </w:tcPr>
          <w:p w14:paraId="6E4F9240">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color w:val="auto"/>
                <w:sz w:val="24"/>
                <w:highlight w:val="none"/>
              </w:rPr>
            </w:pPr>
          </w:p>
        </w:tc>
      </w:tr>
      <w:tr w14:paraId="2FB5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574" w:type="dxa"/>
            <w:noWrap w:val="0"/>
            <w:vAlign w:val="center"/>
          </w:tcPr>
          <w:p w14:paraId="60D217DD">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委托人电话</w:t>
            </w:r>
          </w:p>
        </w:tc>
        <w:tc>
          <w:tcPr>
            <w:tcW w:w="6545" w:type="dxa"/>
            <w:noWrap w:val="0"/>
            <w:vAlign w:val="top"/>
          </w:tcPr>
          <w:p w14:paraId="145C69AF">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color w:val="auto"/>
                <w:sz w:val="24"/>
                <w:highlight w:val="none"/>
              </w:rPr>
            </w:pPr>
          </w:p>
        </w:tc>
      </w:tr>
      <w:tr w14:paraId="63E5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74" w:type="dxa"/>
            <w:noWrap w:val="0"/>
            <w:vAlign w:val="center"/>
          </w:tcPr>
          <w:p w14:paraId="57D220CB">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承担的工作</w:t>
            </w:r>
          </w:p>
        </w:tc>
        <w:tc>
          <w:tcPr>
            <w:tcW w:w="6545" w:type="dxa"/>
            <w:noWrap w:val="0"/>
            <w:vAlign w:val="top"/>
          </w:tcPr>
          <w:p w14:paraId="47AC2EE9">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color w:val="auto"/>
                <w:sz w:val="24"/>
                <w:highlight w:val="none"/>
              </w:rPr>
            </w:pPr>
          </w:p>
        </w:tc>
      </w:tr>
      <w:tr w14:paraId="6063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574" w:type="dxa"/>
            <w:noWrap w:val="0"/>
            <w:vAlign w:val="center"/>
          </w:tcPr>
          <w:p w14:paraId="447806DD">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6545" w:type="dxa"/>
            <w:noWrap w:val="0"/>
            <w:vAlign w:val="top"/>
          </w:tcPr>
          <w:p w14:paraId="030BF78C">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color w:val="auto"/>
                <w:sz w:val="24"/>
                <w:highlight w:val="none"/>
              </w:rPr>
            </w:pPr>
          </w:p>
        </w:tc>
      </w:tr>
      <w:tr w14:paraId="7D09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trPr>
        <w:tc>
          <w:tcPr>
            <w:tcW w:w="2574" w:type="dxa"/>
            <w:noWrap w:val="0"/>
            <w:vAlign w:val="center"/>
          </w:tcPr>
          <w:p w14:paraId="576F7F26">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项目描述</w:t>
            </w:r>
          </w:p>
        </w:tc>
        <w:tc>
          <w:tcPr>
            <w:tcW w:w="6545" w:type="dxa"/>
            <w:noWrap w:val="0"/>
            <w:vAlign w:val="top"/>
          </w:tcPr>
          <w:p w14:paraId="42CE521C">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color w:val="auto"/>
                <w:sz w:val="24"/>
                <w:highlight w:val="none"/>
              </w:rPr>
            </w:pPr>
          </w:p>
          <w:p w14:paraId="3C20D6C3">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color w:val="auto"/>
                <w:sz w:val="24"/>
                <w:highlight w:val="none"/>
              </w:rPr>
            </w:pPr>
          </w:p>
          <w:p w14:paraId="04E52DD6">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color w:val="auto"/>
                <w:sz w:val="24"/>
                <w:highlight w:val="none"/>
              </w:rPr>
            </w:pPr>
          </w:p>
          <w:p w14:paraId="0C079DC3">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color w:val="auto"/>
                <w:sz w:val="24"/>
                <w:highlight w:val="none"/>
              </w:rPr>
            </w:pPr>
          </w:p>
          <w:p w14:paraId="5478863F">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color w:val="auto"/>
                <w:sz w:val="24"/>
                <w:highlight w:val="none"/>
              </w:rPr>
            </w:pPr>
          </w:p>
          <w:p w14:paraId="02B31E21">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color w:val="auto"/>
                <w:sz w:val="24"/>
                <w:highlight w:val="none"/>
              </w:rPr>
            </w:pPr>
          </w:p>
          <w:p w14:paraId="2CA87B8F">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color w:val="auto"/>
                <w:sz w:val="24"/>
                <w:highlight w:val="none"/>
              </w:rPr>
            </w:pPr>
          </w:p>
        </w:tc>
      </w:tr>
      <w:tr w14:paraId="2E5D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74" w:type="dxa"/>
            <w:noWrap w:val="0"/>
            <w:vAlign w:val="center"/>
          </w:tcPr>
          <w:p w14:paraId="7EF2B27D">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6545" w:type="dxa"/>
            <w:noWrap w:val="0"/>
            <w:vAlign w:val="top"/>
          </w:tcPr>
          <w:p w14:paraId="17787880">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color w:val="auto"/>
                <w:sz w:val="24"/>
                <w:highlight w:val="none"/>
              </w:rPr>
            </w:pPr>
          </w:p>
        </w:tc>
      </w:tr>
    </w:tbl>
    <w:p w14:paraId="0A62CCE1">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auto"/>
          <w:sz w:val="24"/>
          <w:highlight w:val="none"/>
          <w:lang w:val="zh-CN"/>
        </w:rPr>
      </w:pPr>
    </w:p>
    <w:p w14:paraId="3C36CAA7">
      <w:pPr>
        <w:keepNext w:val="0"/>
        <w:keepLines w:val="0"/>
        <w:pageBreakBefore w:val="0"/>
        <w:widowControl/>
        <w:kinsoku w:val="0"/>
        <w:wordWrap/>
        <w:bidi w:val="0"/>
        <w:adjustRightInd w:val="0"/>
        <w:snapToGrid w:val="0"/>
        <w:spacing w:beforeAutospacing="0" w:afterAutospacing="0" w:line="360" w:lineRule="auto"/>
        <w:ind w:left="480" w:leftChars="0" w:right="0" w:rightChars="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注：合同</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相关证明材料</w:t>
      </w:r>
      <w:r>
        <w:rPr>
          <w:rFonts w:hint="eastAsia" w:ascii="宋体" w:hAnsi="宋体" w:eastAsia="宋体" w:cs="宋体"/>
          <w:color w:val="auto"/>
          <w:sz w:val="24"/>
          <w:highlight w:val="none"/>
          <w:lang w:eastAsia="zh-CN"/>
        </w:rPr>
        <w:t>扫描件</w:t>
      </w:r>
      <w:r>
        <w:rPr>
          <w:rFonts w:hint="eastAsia" w:ascii="宋体" w:hAnsi="宋体" w:eastAsia="宋体" w:cs="宋体"/>
          <w:color w:val="auto"/>
          <w:sz w:val="24"/>
          <w:highlight w:val="none"/>
        </w:rPr>
        <w:t>附后</w:t>
      </w:r>
    </w:p>
    <w:p w14:paraId="46AC6C24">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auto"/>
          <w:sz w:val="24"/>
          <w:highlight w:val="none"/>
        </w:rPr>
      </w:pPr>
    </w:p>
    <w:p w14:paraId="6B4A9931">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auto"/>
          <w:sz w:val="24"/>
          <w:highlight w:val="none"/>
        </w:rPr>
      </w:pPr>
    </w:p>
    <w:p w14:paraId="72129D5F">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auto"/>
          <w:highlight w:val="none"/>
        </w:rPr>
      </w:pPr>
    </w:p>
    <w:p w14:paraId="033E9741">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auto"/>
          <w:highlight w:val="none"/>
        </w:rPr>
      </w:pPr>
    </w:p>
    <w:p w14:paraId="4B46CD96">
      <w:pPr>
        <w:pStyle w:val="2"/>
        <w:keepNext w:val="0"/>
        <w:keepLines w:val="0"/>
        <w:pageBreakBefore w:val="0"/>
        <w:widowControl/>
        <w:numPr>
          <w:ilvl w:val="0"/>
          <w:numId w:val="0"/>
        </w:numPr>
        <w:kinsoku w:val="0"/>
        <w:wordWrap/>
        <w:bidi w:val="0"/>
        <w:adjustRightInd w:val="0"/>
        <w:snapToGrid w:val="0"/>
        <w:spacing w:before="0" w:beforeAutospacing="0" w:afterAutospacing="0" w:line="360" w:lineRule="auto"/>
        <w:ind w:left="0" w:leftChars="0" w:right="0" w:rightChars="0"/>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七、技术部分</w:t>
      </w:r>
    </w:p>
    <w:p w14:paraId="49B0AAB7">
      <w:pPr>
        <w:keepNext w:val="0"/>
        <w:keepLines w:val="0"/>
        <w:pageBreakBefore w:val="0"/>
        <w:widowControl/>
        <w:kinsoku w:val="0"/>
        <w:wordWrap/>
        <w:overflowPunct/>
        <w:bidi w:val="0"/>
        <w:adjustRightInd w:val="0"/>
        <w:snapToGrid w:val="0"/>
        <w:spacing w:beforeAutospacing="0" w:afterAutospacing="0" w:line="360" w:lineRule="auto"/>
        <w:ind w:left="0" w:leftChars="0" w:right="0" w:rightChars="0"/>
        <w:jc w:val="center"/>
        <w:textAlignment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根据</w:t>
      </w:r>
      <w:r>
        <w:rPr>
          <w:rFonts w:hint="eastAsia" w:ascii="宋体" w:hAnsi="宋体" w:cs="宋体"/>
          <w:b/>
          <w:bCs/>
          <w:color w:val="auto"/>
          <w:sz w:val="24"/>
          <w:highlight w:val="none"/>
          <w:lang w:val="en-US" w:eastAsia="zh-CN"/>
        </w:rPr>
        <w:t>磋商文件</w:t>
      </w:r>
      <w:r>
        <w:rPr>
          <w:rFonts w:hint="eastAsia" w:ascii="宋体" w:hAnsi="宋体" w:eastAsia="宋体" w:cs="宋体"/>
          <w:b/>
          <w:bCs/>
          <w:color w:val="auto"/>
          <w:sz w:val="24"/>
          <w:highlight w:val="none"/>
        </w:rPr>
        <w:t>评标办法及评分标准</w:t>
      </w:r>
      <w:r>
        <w:rPr>
          <w:rFonts w:hint="eastAsia" w:ascii="宋体" w:hAnsi="宋体" w:eastAsia="宋体" w:cs="宋体"/>
          <w:b/>
          <w:bCs/>
          <w:color w:val="auto"/>
          <w:sz w:val="24"/>
          <w:highlight w:val="none"/>
          <w:lang w:val="en-US" w:eastAsia="zh-CN"/>
        </w:rPr>
        <w:t>自行编制，格式自拟</w:t>
      </w:r>
    </w:p>
    <w:p w14:paraId="7247BB59">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65AF04B3">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1DAFB5F1">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3F680015">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44DA221D">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7439648B">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firstLine="0"/>
        <w:rPr>
          <w:rFonts w:hint="eastAsia" w:ascii="宋体" w:hAnsi="宋体" w:eastAsia="宋体" w:cs="宋体"/>
          <w:b/>
          <w:bCs/>
          <w:color w:val="auto"/>
          <w:sz w:val="24"/>
          <w:highlight w:val="none"/>
          <w:lang w:val="en-US" w:eastAsia="zh-CN"/>
        </w:rPr>
      </w:pPr>
    </w:p>
    <w:p w14:paraId="315F73E4">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2BBD8E35">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65F5F4BF">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3DDCFF4C">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6C98130C">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7A9ABD5E">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625E2C6D">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6ECE4EC7">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0BC812E9">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036D4E44">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0E87FB33">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2A72B5EE">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1E636A7F">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11ED8F9F">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7C0DAD53">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0B24DF61">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14F37BB9">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140E3C12">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56A195DB">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2535BA33">
      <w:pPr>
        <w:pStyle w:val="3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3BBA80CA">
      <w:pPr>
        <w:pStyle w:val="2"/>
        <w:keepNext w:val="0"/>
        <w:keepLines w:val="0"/>
        <w:pageBreakBefore w:val="0"/>
        <w:widowControl/>
        <w:numPr>
          <w:ilvl w:val="0"/>
          <w:numId w:val="0"/>
        </w:numPr>
        <w:kinsoku w:val="0"/>
        <w:wordWrap/>
        <w:bidi w:val="0"/>
        <w:adjustRightInd w:val="0"/>
        <w:snapToGrid w:val="0"/>
        <w:spacing w:before="0" w:beforeAutospacing="0" w:afterAutospacing="0" w:line="360" w:lineRule="auto"/>
        <w:ind w:left="0" w:leftChars="0" w:right="0" w:rightChars="0"/>
        <w:jc w:val="center"/>
        <w:rPr>
          <w:rFonts w:hint="eastAsia" w:ascii="宋体" w:hAnsi="宋体" w:eastAsia="宋体" w:cs="宋体"/>
          <w:b/>
          <w:color w:val="auto"/>
          <w:kern w:val="0"/>
          <w:sz w:val="28"/>
          <w:szCs w:val="28"/>
          <w:highlight w:val="none"/>
          <w:lang w:val="en-US" w:eastAsia="zh-CN" w:bidi="ar-SA"/>
        </w:rPr>
      </w:pPr>
    </w:p>
    <w:p w14:paraId="5F303625">
      <w:pPr>
        <w:pStyle w:val="2"/>
        <w:keepNext w:val="0"/>
        <w:keepLines w:val="0"/>
        <w:pageBreakBefore w:val="0"/>
        <w:widowControl/>
        <w:numPr>
          <w:ilvl w:val="0"/>
          <w:numId w:val="0"/>
        </w:numPr>
        <w:kinsoku w:val="0"/>
        <w:wordWrap/>
        <w:bidi w:val="0"/>
        <w:adjustRightInd w:val="0"/>
        <w:snapToGrid w:val="0"/>
        <w:spacing w:before="0" w:beforeAutospacing="0" w:afterAutospacing="0" w:line="360" w:lineRule="auto"/>
        <w:ind w:left="0" w:leftChars="0" w:right="0" w:rightChars="0"/>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八、商务部分</w:t>
      </w:r>
    </w:p>
    <w:p w14:paraId="0BCD4FD8">
      <w:pPr>
        <w:pStyle w:val="2"/>
        <w:keepNext w:val="0"/>
        <w:keepLines w:val="0"/>
        <w:pageBreakBefore w:val="0"/>
        <w:widowControl/>
        <w:numPr>
          <w:ilvl w:val="0"/>
          <w:numId w:val="0"/>
        </w:numPr>
        <w:kinsoku w:val="0"/>
        <w:wordWrap/>
        <w:bidi w:val="0"/>
        <w:adjustRightInd w:val="0"/>
        <w:snapToGrid w:val="0"/>
        <w:spacing w:before="0" w:beforeAutospacing="0" w:afterAutospacing="0" w:line="360" w:lineRule="auto"/>
        <w:ind w:left="0" w:leftChars="0" w:right="0" w:rightChars="0"/>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根据磋商文件评标办法及评分标准自行编制，格式自拟</w:t>
      </w:r>
    </w:p>
    <w:p w14:paraId="4D42FB14">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32C7450B">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55785EF7">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71A0CDBE">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6E765507">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3DC16181">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0BBF06BF">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31FA742D">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7A6103EC">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20C9C946">
      <w:pPr>
        <w:keepNext w:val="0"/>
        <w:keepLines w:val="0"/>
        <w:pageBreakBefore w:val="0"/>
        <w:widowControl/>
        <w:kinsoku w:val="0"/>
        <w:wordWrap/>
        <w:bidi w:val="0"/>
        <w:adjustRightInd w:val="0"/>
        <w:snapToGrid w:val="0"/>
        <w:spacing w:line="360" w:lineRule="auto"/>
        <w:ind w:left="226" w:leftChars="0" w:right="0" w:rightChars="0" w:hanging="226" w:hangingChars="94"/>
        <w:rPr>
          <w:rFonts w:ascii="宋体" w:cs="宋体"/>
          <w:b/>
          <w:color w:val="auto"/>
          <w:highlight w:val="none"/>
        </w:rPr>
      </w:pPr>
    </w:p>
    <w:p w14:paraId="59778828">
      <w:pPr>
        <w:pStyle w:val="11"/>
        <w:keepNext w:val="0"/>
        <w:keepLines w:val="0"/>
        <w:pageBreakBefore w:val="0"/>
        <w:widowControl/>
        <w:kinsoku w:val="0"/>
        <w:wordWrap/>
        <w:bidi w:val="0"/>
        <w:adjustRightInd w:val="0"/>
        <w:snapToGrid w:val="0"/>
        <w:spacing w:after="0" w:line="360" w:lineRule="auto"/>
        <w:ind w:left="0" w:leftChars="0" w:right="0" w:rightChars="0"/>
        <w:rPr>
          <w:color w:val="auto"/>
          <w:highlight w:val="none"/>
        </w:rPr>
      </w:pPr>
    </w:p>
    <w:p w14:paraId="516C8B63">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b/>
          <w:color w:val="auto"/>
          <w:sz w:val="32"/>
          <w:szCs w:val="32"/>
          <w:highlight w:val="none"/>
        </w:rPr>
      </w:pPr>
      <w:bookmarkStart w:id="98" w:name="_Toc13305"/>
      <w:r>
        <w:rPr>
          <w:rFonts w:ascii="宋体" w:hAnsi="宋体" w:cs="宋体"/>
          <w:b/>
          <w:color w:val="auto"/>
          <w:sz w:val="32"/>
          <w:szCs w:val="32"/>
          <w:highlight w:val="none"/>
        </w:rPr>
        <w:br w:type="page"/>
      </w:r>
    </w:p>
    <w:bookmarkEnd w:id="98"/>
    <w:p w14:paraId="6AA10DA7">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lang w:val="en-US" w:eastAsia="zh-CN"/>
        </w:rPr>
        <w:t>九</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中小企业声明函</w:t>
      </w:r>
    </w:p>
    <w:p w14:paraId="794BE98E">
      <w:pPr>
        <w:keepNext w:val="0"/>
        <w:keepLines w:val="0"/>
        <w:pageBreakBefore w:val="0"/>
        <w:widowControl/>
        <w:kinsoku w:val="0"/>
        <w:wordWrap/>
        <w:bidi w:val="0"/>
        <w:adjustRightInd w:val="0"/>
        <w:snapToGrid w:val="0"/>
        <w:spacing w:beforeAutospacing="0" w:afterAutospacing="0" w:line="360" w:lineRule="auto"/>
        <w:ind w:left="0" w:leftChars="0" w:right="0" w:rightChars="0"/>
        <w:outlineLvl w:val="0"/>
        <w:rPr>
          <w:rFonts w:hint="eastAsia" w:ascii="宋体" w:hAnsi="宋体" w:eastAsia="宋体" w:cs="宋体"/>
          <w:color w:val="auto"/>
          <w:sz w:val="24"/>
          <w:highlight w:val="none"/>
        </w:rPr>
      </w:pPr>
    </w:p>
    <w:p w14:paraId="196D95A2">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kern w:val="10"/>
          <w:sz w:val="28"/>
          <w:szCs w:val="28"/>
          <w:highlight w:val="none"/>
        </w:rPr>
      </w:pPr>
      <w:bookmarkStart w:id="99" w:name="_Toc141079823"/>
      <w:bookmarkStart w:id="100" w:name="_Toc122004269"/>
      <w:r>
        <w:rPr>
          <w:rFonts w:hint="eastAsia" w:ascii="宋体" w:hAnsi="宋体" w:eastAsia="宋体" w:cs="宋体"/>
          <w:b/>
          <w:bCs/>
          <w:color w:val="auto"/>
          <w:kern w:val="10"/>
          <w:sz w:val="28"/>
          <w:szCs w:val="28"/>
          <w:highlight w:val="none"/>
        </w:rPr>
        <w:t>（一）中小企业声明函</w:t>
      </w:r>
      <w:bookmarkEnd w:id="99"/>
      <w:bookmarkEnd w:id="100"/>
    </w:p>
    <w:p w14:paraId="13A60576">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本公司郑重声明，根据《政府采购促进中小企业发展管理办法》（财库﹝2020﹞46 号）的规定，本公司参加（单位名称）的（项目名称）采购活动，提供的货物全部由符合政策要求的中小企业制造。相关企业的具体情况如下：</w:t>
      </w:r>
    </w:p>
    <w:p w14:paraId="777DAA7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u w:val="single"/>
        </w:rPr>
        <w:t xml:space="preserve">  （标的名称）     </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u w:val="single"/>
          <w:lang w:val="en-US" w:eastAsia="zh-CN"/>
        </w:rPr>
        <w:t>农、林、牧、渔业</w:t>
      </w:r>
      <w:r>
        <w:rPr>
          <w:rFonts w:hint="eastAsia" w:ascii="宋体" w:hAnsi="宋体" w:eastAsia="宋体" w:cs="宋体"/>
          <w:color w:val="auto"/>
          <w:spacing w:val="6"/>
          <w:sz w:val="24"/>
          <w:highlight w:val="none"/>
          <w:u w:val="single"/>
        </w:rPr>
        <w:t xml:space="preserve">（采购文件中明确的所属行业）       </w:t>
      </w:r>
      <w:r>
        <w:rPr>
          <w:rFonts w:hint="eastAsia" w:ascii="宋体" w:hAnsi="宋体" w:eastAsia="宋体" w:cs="宋体"/>
          <w:color w:val="auto"/>
          <w:spacing w:val="6"/>
          <w:sz w:val="24"/>
          <w:highlight w:val="none"/>
        </w:rPr>
        <w:t xml:space="preserve"> 行业；制造商为</w:t>
      </w:r>
      <w:r>
        <w:rPr>
          <w:rFonts w:hint="eastAsia" w:ascii="宋体" w:hAnsi="宋体" w:eastAsia="宋体" w:cs="宋体"/>
          <w:color w:val="auto"/>
          <w:spacing w:val="6"/>
          <w:sz w:val="24"/>
          <w:highlight w:val="none"/>
          <w:u w:val="single"/>
        </w:rPr>
        <w:t xml:space="preserve"> （企业名称） </w:t>
      </w:r>
      <w:r>
        <w:rPr>
          <w:rFonts w:hint="eastAsia" w:ascii="宋体" w:hAnsi="宋体" w:eastAsia="宋体" w:cs="宋体"/>
          <w:color w:val="auto"/>
          <w:spacing w:val="6"/>
          <w:sz w:val="24"/>
          <w:highlight w:val="none"/>
        </w:rPr>
        <w:t>，从业人员</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 xml:space="preserve"> 万元，属于</w:t>
      </w:r>
      <w:r>
        <w:rPr>
          <w:rFonts w:hint="eastAsia" w:ascii="宋体" w:hAnsi="宋体" w:eastAsia="宋体" w:cs="宋体"/>
          <w:color w:val="auto"/>
          <w:spacing w:val="6"/>
          <w:sz w:val="24"/>
          <w:highlight w:val="none"/>
          <w:u w:val="single"/>
          <w:lang w:val="en-US" w:eastAsia="zh-CN"/>
        </w:rPr>
        <w:t xml:space="preserve">       </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14:paraId="5E5BD76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14:paraId="7DC3654B">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本公司对上述声明的真实性负责。如有虚假，将承担相应的法律责任。</w:t>
      </w:r>
    </w:p>
    <w:p w14:paraId="3339DBEA">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注：（属于中小微企业的填写</w:t>
      </w:r>
      <w:r>
        <w:rPr>
          <w:rFonts w:hint="eastAsia" w:ascii="宋体" w:hAnsi="宋体" w:eastAsia="宋体" w:cs="宋体"/>
          <w:b/>
          <w:bCs/>
          <w:color w:val="auto"/>
          <w:szCs w:val="24"/>
          <w:highlight w:val="none"/>
          <w:lang w:val="en-US" w:eastAsia="zh-CN"/>
        </w:rPr>
        <w:t>并提供证明材料</w:t>
      </w:r>
      <w:r>
        <w:rPr>
          <w:rFonts w:hint="eastAsia" w:ascii="宋体" w:hAnsi="宋体" w:eastAsia="宋体" w:cs="宋体"/>
          <w:b/>
          <w:bCs/>
          <w:color w:val="auto"/>
          <w:szCs w:val="24"/>
          <w:highlight w:val="none"/>
        </w:rPr>
        <w:t>，不属于的无需填写此项内容</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不删除本项，标明不属于中小企业</w:t>
      </w:r>
      <w:r>
        <w:rPr>
          <w:rFonts w:hint="eastAsia" w:ascii="宋体" w:hAnsi="宋体" w:eastAsia="宋体" w:cs="宋体"/>
          <w:b/>
          <w:bCs/>
          <w:color w:val="auto"/>
          <w:szCs w:val="24"/>
          <w:highlight w:val="none"/>
        </w:rPr>
        <w:t>）</w:t>
      </w:r>
    </w:p>
    <w:p w14:paraId="30C1E232">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Cs w:val="24"/>
          <w:highlight w:val="none"/>
        </w:rPr>
        <w:t>从业人员、 营业收入、 资产总额填报上一年度数据， 无上一年度数据的新成立企业可不填报。</w:t>
      </w:r>
    </w:p>
    <w:p w14:paraId="687E5A62">
      <w:pPr>
        <w:keepNext w:val="0"/>
        <w:keepLines w:val="0"/>
        <w:pageBreakBefore w:val="0"/>
        <w:widowControl/>
        <w:kinsoku w:val="0"/>
        <w:wordWrap/>
        <w:bidi w:val="0"/>
        <w:adjustRightInd w:val="0"/>
        <w:snapToGrid w:val="0"/>
        <w:spacing w:beforeAutospacing="0" w:afterAutospacing="0" w:line="360" w:lineRule="auto"/>
        <w:ind w:left="0" w:leftChars="0" w:right="0" w:rightChars="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电子签章</w:t>
      </w:r>
      <w:r>
        <w:rPr>
          <w:rFonts w:hint="eastAsia" w:ascii="宋体" w:hAnsi="宋体" w:eastAsia="宋体" w:cs="宋体"/>
          <w:color w:val="auto"/>
          <w:sz w:val="24"/>
          <w:highlight w:val="none"/>
        </w:rPr>
        <w:t>）</w:t>
      </w:r>
    </w:p>
    <w:p w14:paraId="62590973">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电子签章</w:t>
      </w:r>
      <w:r>
        <w:rPr>
          <w:rFonts w:hint="eastAsia" w:ascii="宋体" w:hAnsi="宋体" w:eastAsia="宋体" w:cs="宋体"/>
          <w:color w:val="auto"/>
          <w:sz w:val="24"/>
          <w:highlight w:val="none"/>
        </w:rPr>
        <w:t>）</w:t>
      </w:r>
    </w:p>
    <w:p w14:paraId="3A646104">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auto"/>
          <w:kern w:val="10"/>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pacing w:val="6"/>
          <w:sz w:val="24"/>
          <w:highlight w:val="none"/>
          <w:shd w:val="clear" w:color="auto" w:fill="FFFFFF"/>
        </w:rPr>
        <w:t>日</w:t>
      </w:r>
      <w:r>
        <w:rPr>
          <w:rFonts w:hint="eastAsia" w:ascii="宋体" w:hAnsi="宋体" w:eastAsia="宋体" w:cs="宋体"/>
          <w:color w:val="auto"/>
          <w:spacing w:val="6"/>
          <w:sz w:val="24"/>
          <w:highlight w:val="none"/>
          <w:shd w:val="clear" w:color="auto" w:fill="FFFFFF"/>
          <w:lang w:val="en-US" w:eastAsia="zh-CN"/>
        </w:rPr>
        <w:t xml:space="preserve"> </w:t>
      </w:r>
      <w:r>
        <w:rPr>
          <w:rFonts w:hint="eastAsia" w:ascii="宋体" w:hAnsi="宋体" w:eastAsia="宋体" w:cs="宋体"/>
          <w:color w:val="auto"/>
          <w:spacing w:val="6"/>
          <w:sz w:val="24"/>
          <w:highlight w:val="none"/>
          <w:shd w:val="clear" w:color="auto" w:fill="FFFFFF"/>
        </w:rPr>
        <w:t xml:space="preserve">  期</w:t>
      </w:r>
      <w:r>
        <w:rPr>
          <w:rFonts w:hint="eastAsia" w:ascii="宋体" w:hAnsi="宋体" w:eastAsia="宋体" w:cs="宋体"/>
          <w:color w:val="auto"/>
          <w:spacing w:val="6"/>
          <w:sz w:val="24"/>
          <w:highlight w:val="none"/>
          <w:shd w:val="clear" w:color="auto" w:fill="FFFFFF"/>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5FA0F9C">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auto"/>
          <w:kern w:val="10"/>
          <w:sz w:val="22"/>
          <w:szCs w:val="22"/>
          <w:highlight w:val="none"/>
          <w:shd w:val="clear" w:color="auto" w:fill="FFFFFF"/>
        </w:rPr>
      </w:pPr>
      <w:r>
        <w:rPr>
          <w:rFonts w:hint="eastAsia" w:ascii="宋体" w:hAnsi="宋体" w:eastAsia="宋体" w:cs="宋体"/>
          <w:color w:val="auto"/>
          <w:kern w:val="10"/>
          <w:sz w:val="22"/>
          <w:szCs w:val="22"/>
          <w:highlight w:val="none"/>
          <w:shd w:val="clear" w:color="auto" w:fill="FFFFFF"/>
        </w:rPr>
        <w:t>注：①从业人员、营业收入、资产总额填报上一年度数据，无上一年度数据的新成立企业可不填报。</w:t>
      </w:r>
    </w:p>
    <w:p w14:paraId="5FC1DB71">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color w:val="auto"/>
          <w:kern w:val="10"/>
          <w:sz w:val="22"/>
          <w:szCs w:val="22"/>
          <w:highlight w:val="none"/>
          <w:shd w:val="clear" w:color="auto" w:fill="FFFFFF"/>
        </w:rPr>
      </w:pPr>
      <w:r>
        <w:rPr>
          <w:rFonts w:hint="eastAsia" w:ascii="宋体" w:hAnsi="宋体" w:eastAsia="宋体" w:cs="宋体"/>
          <w:color w:val="auto"/>
          <w:kern w:val="10"/>
          <w:sz w:val="22"/>
          <w:szCs w:val="22"/>
          <w:highlight w:val="none"/>
          <w:shd w:val="clear" w:color="auto" w:fill="FFFFFF"/>
        </w:rPr>
        <w:t>②供应商提供的货物既有中小企业制造货物，也有大型企业制造货物的，不享受《政府采购促进中小企业发展管理办法》规定的中小企业扶持政策。</w:t>
      </w:r>
    </w:p>
    <w:p w14:paraId="0974E2FA">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color w:val="auto"/>
          <w:kern w:val="10"/>
          <w:sz w:val="22"/>
          <w:szCs w:val="22"/>
          <w:highlight w:val="none"/>
          <w:shd w:val="clear" w:color="auto" w:fill="FFFFFF"/>
        </w:rPr>
      </w:pPr>
      <w:r>
        <w:rPr>
          <w:rFonts w:hint="eastAsia" w:ascii="宋体" w:hAnsi="宋体" w:eastAsia="宋体" w:cs="宋体"/>
          <w:color w:val="auto"/>
          <w:kern w:val="10"/>
          <w:sz w:val="22"/>
          <w:szCs w:val="22"/>
          <w:highlight w:val="none"/>
          <w:shd w:val="clear" w:color="auto" w:fill="FFFFFF"/>
        </w:rPr>
        <w:t xml:space="preserve">③以联合体形式参加政府采购活动，联合体各方均为中小企业的，联合体视同中小企业。其中，联合体各方均为小微企业的，联合体视同小微企业。 </w:t>
      </w:r>
    </w:p>
    <w:p w14:paraId="605D6D7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color w:val="auto"/>
          <w:kern w:val="10"/>
          <w:sz w:val="22"/>
          <w:szCs w:val="22"/>
          <w:highlight w:val="none"/>
          <w:shd w:val="clear" w:color="auto" w:fill="FFFFFF"/>
        </w:rPr>
      </w:pPr>
      <w:r>
        <w:rPr>
          <w:rFonts w:hint="eastAsia" w:ascii="宋体" w:hAnsi="宋体" w:eastAsia="宋体" w:cs="宋体"/>
          <w:color w:val="auto"/>
          <w:kern w:val="10"/>
          <w:sz w:val="22"/>
          <w:szCs w:val="22"/>
          <w:highlight w:val="none"/>
          <w:shd w:val="clear" w:color="auto" w:fill="FFFFFF"/>
        </w:rPr>
        <w:t>④在政府采购活动中，供应商提供的所有货物由小微企业制造，即货物由小微企业生产且使用该小微企业商号或者注册商标的，才能享受《政府采购促进中小企业发展管理办法》规定的价格扣减。</w:t>
      </w:r>
    </w:p>
    <w:p w14:paraId="10679F6A">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color w:val="auto"/>
          <w:kern w:val="10"/>
          <w:sz w:val="22"/>
          <w:szCs w:val="22"/>
          <w:highlight w:val="none"/>
          <w:shd w:val="clear" w:color="auto" w:fill="FFFFFF"/>
        </w:rPr>
      </w:pPr>
      <w:r>
        <w:rPr>
          <w:rFonts w:hint="eastAsia" w:ascii="宋体" w:hAnsi="宋体" w:eastAsia="宋体" w:cs="宋体"/>
          <w:color w:val="auto"/>
          <w:kern w:val="10"/>
          <w:sz w:val="22"/>
          <w:szCs w:val="22"/>
          <w:highlight w:val="none"/>
          <w:shd w:val="clear" w:color="auto" w:fill="FFFFFF"/>
        </w:rPr>
        <w:t>⑤中小企业声明函格式应严格按照</w:t>
      </w:r>
      <w:r>
        <w:rPr>
          <w:rFonts w:hint="eastAsia" w:ascii="宋体" w:hAnsi="宋体" w:cs="宋体"/>
          <w:color w:val="auto"/>
          <w:kern w:val="10"/>
          <w:sz w:val="22"/>
          <w:szCs w:val="22"/>
          <w:highlight w:val="none"/>
          <w:shd w:val="clear" w:color="auto" w:fill="FFFFFF"/>
          <w:lang w:val="en-US" w:eastAsia="zh-CN"/>
        </w:rPr>
        <w:t>磋商文件</w:t>
      </w:r>
      <w:r>
        <w:rPr>
          <w:rFonts w:hint="eastAsia" w:ascii="宋体" w:hAnsi="宋体" w:eastAsia="宋体" w:cs="宋体"/>
          <w:color w:val="auto"/>
          <w:kern w:val="10"/>
          <w:sz w:val="22"/>
          <w:szCs w:val="22"/>
          <w:highlight w:val="none"/>
          <w:shd w:val="clear" w:color="auto" w:fill="FFFFFF"/>
        </w:rPr>
        <w:t>提供的格式填写。非单一产品采购的，设备制造商不止一家时，中小企业声明函中须列出所有的设备及制造商，罗列不全的中小企业声明函不予认可。</w:t>
      </w:r>
    </w:p>
    <w:p w14:paraId="23F328CE">
      <w:pPr>
        <w:pStyle w:val="6"/>
        <w:keepNext w:val="0"/>
        <w:keepLines w:val="0"/>
        <w:pageBreakBefore w:val="0"/>
        <w:widowControl/>
        <w:tabs>
          <w:tab w:val="left" w:pos="219"/>
        </w:tabs>
        <w:kinsoku w:val="0"/>
        <w:wordWrap/>
        <w:bidi w:val="0"/>
        <w:adjustRightInd w:val="0"/>
        <w:snapToGrid w:val="0"/>
        <w:spacing w:beforeAutospacing="0" w:after="0" w:afterAutospacing="0" w:line="360" w:lineRule="auto"/>
        <w:ind w:left="0" w:leftChars="0" w:right="0" w:rightChars="0"/>
        <w:rPr>
          <w:rFonts w:hint="eastAsia" w:ascii="宋体" w:hAnsi="宋体" w:eastAsia="宋体" w:cs="宋体"/>
          <w:color w:val="auto"/>
          <w:spacing w:val="-14"/>
          <w:sz w:val="31"/>
          <w:szCs w:val="31"/>
          <w:highlight w:val="none"/>
        </w:rPr>
      </w:pPr>
      <w:r>
        <w:rPr>
          <w:rFonts w:hint="eastAsia" w:ascii="宋体" w:hAnsi="宋体" w:eastAsia="宋体" w:cs="宋体"/>
          <w:color w:val="auto"/>
          <w:kern w:val="10"/>
          <w:sz w:val="22"/>
          <w:szCs w:val="22"/>
          <w:highlight w:val="none"/>
          <w:shd w:val="clear" w:color="auto" w:fill="FFFFFF"/>
        </w:rPr>
        <w:t>⑥在货物采购项目中，货物应当由中小企业制造，不对其中涉及的服务的承接商作出要求。</w:t>
      </w:r>
    </w:p>
    <w:p w14:paraId="4FBE7797">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kern w:val="10"/>
          <w:sz w:val="28"/>
          <w:szCs w:val="28"/>
          <w:highlight w:val="none"/>
          <w:shd w:val="clear" w:color="auto" w:fill="FFFFFF"/>
        </w:rPr>
      </w:pPr>
      <w:bookmarkStart w:id="101" w:name="_Toc141079824"/>
      <w:bookmarkStart w:id="102" w:name="_Toc122004270"/>
      <w:bookmarkStart w:id="103" w:name="_Toc121749381"/>
    </w:p>
    <w:p w14:paraId="7864FCC1">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kern w:val="10"/>
          <w:sz w:val="28"/>
          <w:szCs w:val="28"/>
          <w:highlight w:val="none"/>
          <w:shd w:val="clear" w:color="auto" w:fill="FFFFFF"/>
        </w:rPr>
      </w:pPr>
      <w:r>
        <w:rPr>
          <w:rFonts w:hint="eastAsia" w:ascii="宋体" w:hAnsi="宋体" w:eastAsia="宋体" w:cs="宋体"/>
          <w:b/>
          <w:bCs/>
          <w:color w:val="auto"/>
          <w:kern w:val="10"/>
          <w:sz w:val="28"/>
          <w:szCs w:val="28"/>
          <w:highlight w:val="none"/>
          <w:shd w:val="clear" w:color="auto" w:fill="FFFFFF"/>
        </w:rPr>
        <w:t>（二）监狱企业证明材料</w:t>
      </w:r>
      <w:bookmarkEnd w:id="101"/>
      <w:bookmarkEnd w:id="102"/>
      <w:bookmarkEnd w:id="103"/>
    </w:p>
    <w:p w14:paraId="0233D9DE">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color w:val="auto"/>
          <w:spacing w:val="6"/>
          <w:sz w:val="24"/>
          <w:highlight w:val="none"/>
          <w:shd w:val="clear" w:color="auto" w:fill="FFFFFF"/>
        </w:rPr>
      </w:pPr>
    </w:p>
    <w:p w14:paraId="60D6DF8E">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jc w:val="left"/>
        <w:outlineLvl w:val="1"/>
        <w:rPr>
          <w:rFonts w:hint="eastAsia" w:ascii="宋体" w:hAnsi="宋体" w:eastAsia="宋体" w:cs="宋体"/>
          <w:color w:val="auto"/>
          <w:spacing w:val="6"/>
          <w:sz w:val="24"/>
          <w:highlight w:val="none"/>
          <w:shd w:val="clear" w:color="auto" w:fill="FFFFFF"/>
        </w:rPr>
      </w:pPr>
      <w:bookmarkStart w:id="104" w:name="_Toc121749382"/>
      <w:bookmarkStart w:id="105" w:name="_Toc141079825"/>
      <w:bookmarkStart w:id="106" w:name="_Toc122004271"/>
      <w:r>
        <w:rPr>
          <w:rFonts w:hint="eastAsia" w:ascii="宋体" w:hAnsi="宋体" w:eastAsia="宋体" w:cs="宋体"/>
          <w:color w:val="auto"/>
          <w:spacing w:val="6"/>
          <w:sz w:val="24"/>
          <w:highlight w:val="none"/>
          <w:shd w:val="clear" w:color="auto" w:fill="FFFFFF"/>
        </w:rPr>
        <w:t>监狱企业参加政府采购活动时，应当提供由省级以上监狱管理局、戒毒管理局（含新疆生产建设兵团）出具的属于监狱企业的证明文件。</w:t>
      </w:r>
      <w:bookmarkEnd w:id="104"/>
      <w:bookmarkEnd w:id="105"/>
      <w:bookmarkEnd w:id="106"/>
    </w:p>
    <w:p w14:paraId="4AFB312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62" w:firstLineChars="200"/>
        <w:jc w:val="left"/>
        <w:outlineLvl w:val="1"/>
        <w:rPr>
          <w:rFonts w:hint="eastAsia" w:ascii="宋体" w:hAnsi="宋体" w:eastAsia="宋体" w:cs="宋体"/>
          <w:b/>
          <w:bCs/>
          <w:color w:val="auto"/>
          <w:kern w:val="10"/>
          <w:sz w:val="28"/>
          <w:szCs w:val="28"/>
          <w:highlight w:val="none"/>
          <w:shd w:val="clear" w:color="auto" w:fill="FFFFFF"/>
          <w:lang w:val="en-GB"/>
        </w:rPr>
      </w:pPr>
    </w:p>
    <w:p w14:paraId="1C1C19C5">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（提醒：如果投标人</w:t>
      </w:r>
      <w:r>
        <w:rPr>
          <w:rFonts w:hint="eastAsia" w:ascii="宋体" w:hAnsi="宋体" w:eastAsia="宋体" w:cs="宋体"/>
          <w:b/>
          <w:color w:val="auto"/>
          <w:spacing w:val="10"/>
          <w:kern w:val="0"/>
          <w:sz w:val="24"/>
          <w:highlight w:val="none"/>
        </w:rPr>
        <w:t>不是</w:t>
      </w:r>
      <w:r>
        <w:rPr>
          <w:rFonts w:hint="eastAsia" w:ascii="宋体" w:hAnsi="宋体" w:eastAsia="宋体" w:cs="宋体"/>
          <w:b/>
          <w:bCs/>
          <w:color w:val="auto"/>
          <w:sz w:val="24"/>
          <w:highlight w:val="none"/>
          <w:lang w:val="en-GB"/>
        </w:rPr>
        <w:t>监狱企业</w:t>
      </w:r>
      <w:r>
        <w:rPr>
          <w:rFonts w:hint="eastAsia" w:ascii="宋体" w:hAnsi="宋体" w:eastAsia="宋体" w:cs="宋体"/>
          <w:b/>
          <w:color w:val="auto"/>
          <w:sz w:val="24"/>
          <w:highlight w:val="none"/>
        </w:rPr>
        <w:t>，则不需要提供</w:t>
      </w:r>
      <w:r>
        <w:rPr>
          <w:rFonts w:hint="eastAsia" w:ascii="宋体" w:hAnsi="宋体" w:eastAsia="宋体" w:cs="宋体"/>
          <w:b/>
          <w:color w:val="auto"/>
          <w:sz w:val="24"/>
          <w:highlight w:val="none"/>
          <w:lang w:val="en-GB"/>
        </w:rPr>
        <w:t>证明材料</w:t>
      </w:r>
      <w:r>
        <w:rPr>
          <w:rFonts w:hint="eastAsia" w:ascii="宋体" w:hAnsi="宋体" w:eastAsia="宋体" w:cs="宋体"/>
          <w:b/>
          <w:color w:val="auto"/>
          <w:sz w:val="24"/>
          <w:highlight w:val="none"/>
          <w:lang w:val="en-GB" w:eastAsia="zh-CN"/>
        </w:rPr>
        <w:t>，</w:t>
      </w:r>
      <w:r>
        <w:rPr>
          <w:rFonts w:hint="eastAsia" w:ascii="宋体" w:hAnsi="宋体" w:eastAsia="宋体" w:cs="宋体"/>
          <w:b/>
          <w:color w:val="auto"/>
          <w:sz w:val="24"/>
          <w:highlight w:val="none"/>
          <w:lang w:val="en-US" w:eastAsia="zh-CN"/>
        </w:rPr>
        <w:t>不删除本项，标明不属于监狱企业</w:t>
      </w:r>
      <w:r>
        <w:rPr>
          <w:rFonts w:hint="eastAsia" w:ascii="宋体" w:hAnsi="宋体" w:eastAsia="宋体" w:cs="宋体"/>
          <w:b/>
          <w:color w:val="auto"/>
          <w:sz w:val="24"/>
          <w:highlight w:val="none"/>
        </w:rPr>
        <w:t>）</w:t>
      </w:r>
    </w:p>
    <w:p w14:paraId="42E40F44">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kern w:val="10"/>
          <w:sz w:val="28"/>
          <w:szCs w:val="28"/>
          <w:highlight w:val="none"/>
          <w:shd w:val="clear" w:color="auto" w:fill="FFFFFF"/>
        </w:rPr>
      </w:pPr>
    </w:p>
    <w:p w14:paraId="42369E61">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kern w:val="10"/>
          <w:sz w:val="28"/>
          <w:szCs w:val="28"/>
          <w:highlight w:val="none"/>
          <w:shd w:val="clear" w:color="auto" w:fill="FFFFFF"/>
        </w:rPr>
      </w:pPr>
    </w:p>
    <w:p w14:paraId="17EFD4F6">
      <w:pPr>
        <w:keepNext w:val="0"/>
        <w:keepLines w:val="0"/>
        <w:pageBreakBefore w:val="0"/>
        <w:widowControl/>
        <w:kinsoku w:val="0"/>
        <w:wordWrap/>
        <w:bidi w:val="0"/>
        <w:adjustRightInd w:val="0"/>
        <w:snapToGrid w:val="0"/>
        <w:spacing w:beforeAutospacing="0" w:afterAutospacing="0" w:line="360" w:lineRule="auto"/>
        <w:ind w:left="0" w:leftChars="0" w:right="0" w:rightChars="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电子签章</w:t>
      </w:r>
      <w:r>
        <w:rPr>
          <w:rFonts w:hint="eastAsia" w:ascii="宋体" w:hAnsi="宋体" w:eastAsia="宋体" w:cs="宋体"/>
          <w:color w:val="auto"/>
          <w:sz w:val="24"/>
          <w:highlight w:val="none"/>
        </w:rPr>
        <w:t>）</w:t>
      </w:r>
    </w:p>
    <w:p w14:paraId="21D43593">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auto"/>
          <w:kern w:val="10"/>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pacing w:val="6"/>
          <w:sz w:val="24"/>
          <w:highlight w:val="none"/>
          <w:shd w:val="clear" w:color="auto" w:fill="FFFFFF"/>
        </w:rPr>
        <w:t>日</w:t>
      </w:r>
      <w:r>
        <w:rPr>
          <w:rFonts w:hint="eastAsia" w:ascii="宋体" w:hAnsi="宋体" w:eastAsia="宋体" w:cs="宋体"/>
          <w:color w:val="auto"/>
          <w:spacing w:val="6"/>
          <w:sz w:val="24"/>
          <w:highlight w:val="none"/>
          <w:shd w:val="clear" w:color="auto" w:fill="FFFFFF"/>
          <w:lang w:val="en-US" w:eastAsia="zh-CN"/>
        </w:rPr>
        <w:t xml:space="preserve"> </w:t>
      </w:r>
      <w:r>
        <w:rPr>
          <w:rFonts w:hint="eastAsia" w:ascii="宋体" w:hAnsi="宋体" w:eastAsia="宋体" w:cs="宋体"/>
          <w:color w:val="auto"/>
          <w:spacing w:val="6"/>
          <w:sz w:val="24"/>
          <w:highlight w:val="none"/>
          <w:shd w:val="clear" w:color="auto" w:fill="FFFFFF"/>
        </w:rPr>
        <w:t xml:space="preserve">  期</w:t>
      </w:r>
      <w:r>
        <w:rPr>
          <w:rFonts w:hint="eastAsia" w:ascii="宋体" w:hAnsi="宋体" w:eastAsia="宋体" w:cs="宋体"/>
          <w:color w:val="auto"/>
          <w:spacing w:val="6"/>
          <w:sz w:val="24"/>
          <w:highlight w:val="none"/>
          <w:shd w:val="clear" w:color="auto" w:fill="FFFFFF"/>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FDB8DE7">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kern w:val="10"/>
          <w:sz w:val="28"/>
          <w:szCs w:val="28"/>
          <w:highlight w:val="none"/>
          <w:shd w:val="clear" w:color="auto" w:fill="FFFFFF"/>
        </w:rPr>
      </w:pPr>
    </w:p>
    <w:p w14:paraId="7D761200">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kern w:val="10"/>
          <w:sz w:val="28"/>
          <w:szCs w:val="28"/>
          <w:highlight w:val="none"/>
          <w:shd w:val="clear" w:color="auto" w:fill="FFFFFF"/>
        </w:rPr>
      </w:pPr>
    </w:p>
    <w:p w14:paraId="758DFDA9">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kern w:val="10"/>
          <w:sz w:val="28"/>
          <w:szCs w:val="28"/>
          <w:highlight w:val="none"/>
          <w:shd w:val="clear" w:color="auto" w:fill="FFFFFF"/>
        </w:rPr>
      </w:pPr>
    </w:p>
    <w:p w14:paraId="1AADBC3D">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kern w:val="10"/>
          <w:sz w:val="28"/>
          <w:szCs w:val="28"/>
          <w:highlight w:val="none"/>
          <w:shd w:val="clear" w:color="auto" w:fill="FFFFFF"/>
        </w:rPr>
      </w:pPr>
    </w:p>
    <w:p w14:paraId="5DF8FB99">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kern w:val="10"/>
          <w:sz w:val="28"/>
          <w:szCs w:val="28"/>
          <w:highlight w:val="none"/>
          <w:shd w:val="clear" w:color="auto" w:fill="FFFFFF"/>
        </w:rPr>
      </w:pPr>
      <w:bookmarkStart w:id="107" w:name="_Toc121749383"/>
      <w:bookmarkStart w:id="108" w:name="_Toc141079826"/>
      <w:bookmarkStart w:id="109" w:name="_Toc122004272"/>
    </w:p>
    <w:p w14:paraId="1F1B359A">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kern w:val="10"/>
          <w:sz w:val="28"/>
          <w:szCs w:val="28"/>
          <w:highlight w:val="none"/>
          <w:shd w:val="clear" w:color="auto" w:fill="FFFFFF"/>
        </w:rPr>
      </w:pPr>
    </w:p>
    <w:p w14:paraId="036BFBA7">
      <w:pPr>
        <w:keepNext w:val="0"/>
        <w:keepLines w:val="0"/>
        <w:pageBreakBefore w:val="0"/>
        <w:widowControl/>
        <w:kinsoku w:val="0"/>
        <w:wordWrap/>
        <w:bidi w:val="0"/>
        <w:adjustRightInd w:val="0"/>
        <w:snapToGrid w:val="0"/>
        <w:spacing w:beforeAutospacing="0" w:afterAutospacing="0" w:line="360" w:lineRule="auto"/>
        <w:ind w:left="0" w:leftChars="0" w:right="0" w:rightChars="0"/>
        <w:jc w:val="both"/>
        <w:outlineLvl w:val="1"/>
        <w:rPr>
          <w:rFonts w:hint="eastAsia" w:ascii="宋体" w:hAnsi="宋体" w:eastAsia="宋体" w:cs="宋体"/>
          <w:b/>
          <w:bCs/>
          <w:color w:val="auto"/>
          <w:kern w:val="10"/>
          <w:sz w:val="28"/>
          <w:szCs w:val="28"/>
          <w:highlight w:val="none"/>
          <w:shd w:val="clear" w:color="auto" w:fill="FFFFFF"/>
        </w:rPr>
      </w:pPr>
    </w:p>
    <w:p w14:paraId="753EA0EF">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kern w:val="10"/>
          <w:sz w:val="28"/>
          <w:szCs w:val="28"/>
          <w:highlight w:val="none"/>
          <w:shd w:val="clear" w:color="auto" w:fill="FFFFFF"/>
        </w:rPr>
      </w:pPr>
    </w:p>
    <w:p w14:paraId="5346C6EE">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kern w:val="10"/>
          <w:sz w:val="28"/>
          <w:szCs w:val="28"/>
          <w:highlight w:val="none"/>
          <w:shd w:val="clear" w:color="auto" w:fill="FFFFFF"/>
        </w:rPr>
      </w:pPr>
    </w:p>
    <w:p w14:paraId="15E67B54">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kern w:val="10"/>
          <w:sz w:val="28"/>
          <w:szCs w:val="28"/>
          <w:highlight w:val="none"/>
          <w:shd w:val="clear" w:color="auto" w:fill="FFFFFF"/>
        </w:rPr>
      </w:pPr>
    </w:p>
    <w:p w14:paraId="7FCC73DB">
      <w:pPr>
        <w:pStyle w:val="2"/>
        <w:keepNext w:val="0"/>
        <w:keepLines w:val="0"/>
        <w:pageBreakBefore w:val="0"/>
        <w:widowControl/>
        <w:kinsoku w:val="0"/>
        <w:wordWrap/>
        <w:bidi w:val="0"/>
        <w:adjustRightInd w:val="0"/>
        <w:snapToGrid w:val="0"/>
        <w:spacing w:before="0" w:line="360" w:lineRule="auto"/>
        <w:ind w:left="0" w:leftChars="0" w:right="0" w:rightChars="0"/>
        <w:rPr>
          <w:rFonts w:hint="eastAsia"/>
          <w:color w:val="auto"/>
          <w:highlight w:val="none"/>
        </w:rPr>
      </w:pPr>
    </w:p>
    <w:p w14:paraId="5C455039">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kern w:val="10"/>
          <w:sz w:val="28"/>
          <w:szCs w:val="28"/>
          <w:highlight w:val="none"/>
          <w:shd w:val="clear" w:color="auto" w:fill="FFFFFF"/>
        </w:rPr>
      </w:pPr>
      <w:r>
        <w:rPr>
          <w:rFonts w:hint="eastAsia" w:ascii="宋体" w:hAnsi="宋体" w:eastAsia="宋体" w:cs="宋体"/>
          <w:b/>
          <w:bCs/>
          <w:color w:val="auto"/>
          <w:kern w:val="10"/>
          <w:sz w:val="28"/>
          <w:szCs w:val="28"/>
          <w:highlight w:val="none"/>
          <w:shd w:val="clear" w:color="auto" w:fill="FFFFFF"/>
        </w:rPr>
        <w:t>（三）残疾人福利性单位声明函</w:t>
      </w:r>
      <w:bookmarkEnd w:id="107"/>
      <w:bookmarkEnd w:id="108"/>
      <w:bookmarkEnd w:id="109"/>
    </w:p>
    <w:p w14:paraId="7E8F139B">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color w:val="auto"/>
          <w:spacing w:val="6"/>
          <w:sz w:val="24"/>
          <w:highlight w:val="none"/>
          <w:shd w:val="clear" w:color="auto" w:fill="FFFFFF"/>
        </w:rPr>
      </w:pPr>
      <w:r>
        <w:rPr>
          <w:rFonts w:hint="eastAsia" w:ascii="宋体" w:hAnsi="宋体" w:eastAsia="宋体" w:cs="宋体"/>
          <w:color w:val="auto"/>
          <w:spacing w:val="6"/>
          <w:sz w:val="24"/>
          <w:highlight w:val="none"/>
          <w:shd w:val="clear" w:color="auto" w:fill="FFFFFF"/>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pacing w:val="6"/>
          <w:sz w:val="24"/>
          <w:highlight w:val="none"/>
          <w:u w:val="single"/>
          <w:shd w:val="clear" w:color="auto" w:fill="FFFFFF"/>
        </w:rPr>
        <w:t xml:space="preserve">       </w:t>
      </w:r>
      <w:r>
        <w:rPr>
          <w:rFonts w:hint="eastAsia" w:ascii="宋体" w:hAnsi="宋体" w:eastAsia="宋体" w:cs="宋体"/>
          <w:color w:val="auto"/>
          <w:spacing w:val="6"/>
          <w:sz w:val="24"/>
          <w:highlight w:val="none"/>
          <w:shd w:val="clear" w:color="auto" w:fill="FFFFFF"/>
        </w:rPr>
        <w:t>单位的</w:t>
      </w:r>
      <w:r>
        <w:rPr>
          <w:rFonts w:hint="eastAsia" w:ascii="宋体" w:hAnsi="宋体" w:eastAsia="宋体" w:cs="宋体"/>
          <w:color w:val="auto"/>
          <w:spacing w:val="6"/>
          <w:sz w:val="24"/>
          <w:highlight w:val="none"/>
          <w:u w:val="single"/>
          <w:shd w:val="clear" w:color="auto" w:fill="FFFFFF"/>
        </w:rPr>
        <w:t xml:space="preserve">      </w:t>
      </w:r>
      <w:r>
        <w:rPr>
          <w:rFonts w:hint="eastAsia" w:ascii="宋体" w:hAnsi="宋体" w:eastAsia="宋体" w:cs="宋体"/>
          <w:color w:val="auto"/>
          <w:spacing w:val="6"/>
          <w:sz w:val="24"/>
          <w:highlight w:val="none"/>
          <w:shd w:val="clear" w:color="auto" w:fill="FFFFFF"/>
        </w:rPr>
        <w:t>项目采购活动提供本单位制造的货物（由本单位承担工程/提供服务），或者提供其他残疾人福利性单位制造的货物（不包括使用非残疾人福利性单位注册商标的货物）。</w:t>
      </w:r>
    </w:p>
    <w:p w14:paraId="0237D6B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color w:val="auto"/>
          <w:spacing w:val="6"/>
          <w:sz w:val="24"/>
          <w:highlight w:val="none"/>
          <w:shd w:val="clear" w:color="auto" w:fill="FFFFFF"/>
        </w:rPr>
      </w:pPr>
      <w:r>
        <w:rPr>
          <w:rFonts w:hint="eastAsia" w:ascii="宋体" w:hAnsi="宋体" w:eastAsia="宋体" w:cs="宋体"/>
          <w:color w:val="auto"/>
          <w:spacing w:val="6"/>
          <w:sz w:val="24"/>
          <w:highlight w:val="none"/>
          <w:shd w:val="clear" w:color="auto" w:fill="FFFFFF"/>
        </w:rPr>
        <w:t>本单位对上述声明的真实性负责。如有虚假，将依法承担相应责任。</w:t>
      </w:r>
    </w:p>
    <w:p w14:paraId="52B4DD6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color w:val="auto"/>
          <w:spacing w:val="6"/>
          <w:sz w:val="24"/>
          <w:highlight w:val="none"/>
          <w:shd w:val="clear" w:color="auto" w:fill="FFFFFF"/>
        </w:rPr>
      </w:pPr>
    </w:p>
    <w:p w14:paraId="12564938">
      <w:pPr>
        <w:keepNext w:val="0"/>
        <w:keepLines w:val="0"/>
        <w:pageBreakBefore w:val="0"/>
        <w:widowControl/>
        <w:kinsoku w:val="0"/>
        <w:wordWrap/>
        <w:bidi w:val="0"/>
        <w:adjustRightInd w:val="0"/>
        <w:snapToGrid w:val="0"/>
        <w:spacing w:beforeAutospacing="0" w:afterAutospacing="0" w:line="360" w:lineRule="auto"/>
        <w:ind w:left="0" w:leftChars="0" w:right="0" w:rightChars="0"/>
        <w:jc w:val="right"/>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shd w:val="clear" w:color="auto" w:fill="FFFFFF"/>
        </w:rPr>
        <w:t xml:space="preserve">        </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电子签章</w:t>
      </w:r>
      <w:r>
        <w:rPr>
          <w:rFonts w:hint="eastAsia" w:ascii="宋体" w:hAnsi="宋体" w:eastAsia="宋体" w:cs="宋体"/>
          <w:color w:val="auto"/>
          <w:sz w:val="24"/>
          <w:highlight w:val="none"/>
        </w:rPr>
        <w:t>）</w:t>
      </w:r>
    </w:p>
    <w:p w14:paraId="3F8FC505">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auto"/>
          <w:kern w:val="10"/>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pacing w:val="6"/>
          <w:sz w:val="24"/>
          <w:highlight w:val="none"/>
          <w:shd w:val="clear" w:color="auto" w:fill="FFFFFF"/>
        </w:rPr>
        <w:t>日</w:t>
      </w:r>
      <w:r>
        <w:rPr>
          <w:rFonts w:hint="eastAsia" w:ascii="宋体" w:hAnsi="宋体" w:eastAsia="宋体" w:cs="宋体"/>
          <w:color w:val="auto"/>
          <w:spacing w:val="6"/>
          <w:sz w:val="24"/>
          <w:highlight w:val="none"/>
          <w:shd w:val="clear" w:color="auto" w:fill="FFFFFF"/>
          <w:lang w:val="en-US" w:eastAsia="zh-CN"/>
        </w:rPr>
        <w:t xml:space="preserve"> </w:t>
      </w:r>
      <w:r>
        <w:rPr>
          <w:rFonts w:hint="eastAsia" w:ascii="宋体" w:hAnsi="宋体" w:eastAsia="宋体" w:cs="宋体"/>
          <w:color w:val="auto"/>
          <w:spacing w:val="6"/>
          <w:sz w:val="24"/>
          <w:highlight w:val="none"/>
          <w:shd w:val="clear" w:color="auto" w:fill="FFFFFF"/>
        </w:rPr>
        <w:t xml:space="preserve">  期</w:t>
      </w:r>
      <w:r>
        <w:rPr>
          <w:rFonts w:hint="eastAsia" w:ascii="宋体" w:hAnsi="宋体" w:eastAsia="宋体" w:cs="宋体"/>
          <w:color w:val="auto"/>
          <w:spacing w:val="6"/>
          <w:sz w:val="24"/>
          <w:highlight w:val="none"/>
          <w:shd w:val="clear" w:color="auto" w:fill="FFFFFF"/>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34EB2EC">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color w:val="auto"/>
          <w:sz w:val="24"/>
          <w:highlight w:val="none"/>
        </w:rPr>
      </w:pPr>
      <w:r>
        <w:rPr>
          <w:rFonts w:hint="eastAsia" w:ascii="宋体" w:hAnsi="宋体" w:eastAsia="宋体" w:cs="宋体"/>
          <w:b/>
          <w:color w:val="auto"/>
          <w:spacing w:val="6"/>
          <w:sz w:val="24"/>
          <w:highlight w:val="none"/>
          <w:shd w:val="clear" w:color="auto" w:fill="FFFFFF"/>
        </w:rPr>
        <w:t>（提醒：如果投标人不是残疾人福利性单位，则不需要提供</w:t>
      </w:r>
      <w:r>
        <w:rPr>
          <w:rFonts w:hint="eastAsia" w:ascii="宋体" w:hAnsi="宋体" w:eastAsia="宋体" w:cs="宋体"/>
          <w:b/>
          <w:color w:val="auto"/>
          <w:spacing w:val="6"/>
          <w:sz w:val="24"/>
          <w:highlight w:val="none"/>
          <w:shd w:val="clear" w:color="auto" w:fill="FFFFFF"/>
          <w:lang w:val="en-US" w:eastAsia="zh-CN"/>
        </w:rPr>
        <w:t>证明材料，</w:t>
      </w:r>
      <w:r>
        <w:rPr>
          <w:rFonts w:hint="eastAsia" w:ascii="宋体" w:hAnsi="宋体" w:eastAsia="宋体" w:cs="宋体"/>
          <w:b/>
          <w:color w:val="auto"/>
          <w:sz w:val="24"/>
          <w:highlight w:val="none"/>
          <w:lang w:val="en-US" w:eastAsia="zh-CN"/>
        </w:rPr>
        <w:t>不删除本项，标明不属于残疾人福利性单位</w:t>
      </w:r>
      <w:r>
        <w:rPr>
          <w:rFonts w:hint="eastAsia" w:ascii="宋体" w:hAnsi="宋体" w:eastAsia="宋体" w:cs="宋体"/>
          <w:b/>
          <w:color w:val="auto"/>
          <w:sz w:val="24"/>
          <w:highlight w:val="none"/>
        </w:rPr>
        <w:t>）</w:t>
      </w:r>
    </w:p>
    <w:p w14:paraId="6757DB36">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color w:val="auto"/>
          <w:spacing w:val="6"/>
          <w:sz w:val="24"/>
          <w:highlight w:val="none"/>
          <w:shd w:val="clear" w:color="auto" w:fill="FFFFFF"/>
        </w:rPr>
      </w:pPr>
      <w:r>
        <w:rPr>
          <w:rFonts w:hint="eastAsia" w:ascii="宋体" w:hAnsi="宋体" w:eastAsia="宋体" w:cs="宋体"/>
          <w:color w:val="auto"/>
          <w:spacing w:val="6"/>
          <w:sz w:val="24"/>
          <w:highlight w:val="none"/>
          <w:shd w:val="clear" w:color="auto" w:fill="FFFFFF"/>
        </w:rPr>
        <w:t>《财政部民政部中国残疾人联合会关于促进残疾人就业政府采购政策的通知》（财库（2017〔141〕号）的规定：</w:t>
      </w:r>
    </w:p>
    <w:p w14:paraId="1A49F55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color w:val="auto"/>
          <w:spacing w:val="6"/>
          <w:sz w:val="24"/>
          <w:highlight w:val="none"/>
          <w:shd w:val="clear" w:color="auto" w:fill="FFFFFF"/>
        </w:rPr>
      </w:pPr>
      <w:r>
        <w:rPr>
          <w:rFonts w:hint="eastAsia" w:ascii="宋体" w:hAnsi="宋体" w:eastAsia="宋体" w:cs="宋体"/>
          <w:color w:val="auto"/>
          <w:spacing w:val="6"/>
          <w:sz w:val="24"/>
          <w:highlight w:val="none"/>
          <w:shd w:val="clear" w:color="auto" w:fill="FFFFFF"/>
        </w:rPr>
        <w:t>1. 享受政府采购支持政策的残疾人福利性单位应当同时满足以下条件：</w:t>
      </w:r>
    </w:p>
    <w:p w14:paraId="52003467">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color w:val="auto"/>
          <w:spacing w:val="6"/>
          <w:sz w:val="24"/>
          <w:highlight w:val="none"/>
          <w:shd w:val="clear" w:color="auto" w:fill="FFFFFF"/>
        </w:rPr>
      </w:pPr>
      <w:r>
        <w:rPr>
          <w:rFonts w:hint="eastAsia" w:ascii="宋体" w:hAnsi="宋体" w:eastAsia="宋体" w:cs="宋体"/>
          <w:color w:val="auto"/>
          <w:spacing w:val="6"/>
          <w:sz w:val="24"/>
          <w:highlight w:val="none"/>
          <w:shd w:val="clear" w:color="auto" w:fill="FFFFFF"/>
        </w:rPr>
        <w:t>（1）安置的残疾人占本单位在职职工人数的比例不低于25%（含25%），并且安置的残疾人人数不少于10人（含10人）；</w:t>
      </w:r>
    </w:p>
    <w:p w14:paraId="579EADC1">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color w:val="auto"/>
          <w:spacing w:val="6"/>
          <w:sz w:val="24"/>
          <w:highlight w:val="none"/>
          <w:shd w:val="clear" w:color="auto" w:fill="FFFFFF"/>
        </w:rPr>
      </w:pPr>
      <w:r>
        <w:rPr>
          <w:rFonts w:hint="eastAsia" w:ascii="宋体" w:hAnsi="宋体" w:eastAsia="宋体" w:cs="宋体"/>
          <w:color w:val="auto"/>
          <w:spacing w:val="6"/>
          <w:sz w:val="24"/>
          <w:highlight w:val="none"/>
          <w:shd w:val="clear" w:color="auto" w:fill="FFFFFF"/>
        </w:rPr>
        <w:t>（2）依法与安置的每位残疾人签订了一年以上（含一年）的劳动合同或服务协议；</w:t>
      </w:r>
    </w:p>
    <w:p w14:paraId="0A83E034">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color w:val="auto"/>
          <w:spacing w:val="6"/>
          <w:sz w:val="24"/>
          <w:highlight w:val="none"/>
          <w:shd w:val="clear" w:color="auto" w:fill="FFFFFF"/>
        </w:rPr>
      </w:pPr>
      <w:r>
        <w:rPr>
          <w:rFonts w:hint="eastAsia" w:ascii="宋体" w:hAnsi="宋体" w:eastAsia="宋体" w:cs="宋体"/>
          <w:color w:val="auto"/>
          <w:spacing w:val="6"/>
          <w:sz w:val="24"/>
          <w:highlight w:val="none"/>
          <w:shd w:val="clear" w:color="auto" w:fill="FFFFFF"/>
        </w:rPr>
        <w:t>（3）为安置的每位残疾人按月足额缴纳了基本养老保险、基本医疗保险、失业保险、工伤保险和生育保险等社会保险费；</w:t>
      </w:r>
    </w:p>
    <w:p w14:paraId="7C0A0EC9">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color w:val="auto"/>
          <w:spacing w:val="6"/>
          <w:sz w:val="24"/>
          <w:highlight w:val="none"/>
          <w:shd w:val="clear" w:color="auto" w:fill="FFFFFF"/>
        </w:rPr>
      </w:pPr>
      <w:r>
        <w:rPr>
          <w:rFonts w:hint="eastAsia" w:ascii="宋体" w:hAnsi="宋体" w:eastAsia="宋体" w:cs="宋体"/>
          <w:color w:val="auto"/>
          <w:spacing w:val="6"/>
          <w:sz w:val="24"/>
          <w:highlight w:val="none"/>
          <w:shd w:val="clear" w:color="auto" w:fill="FFFFFF"/>
        </w:rPr>
        <w:t>（4）通过银行等金融机构向安置的每位残疾人，按月支付了不低于单位所在区县适用的经省级人民政府批准的月最低工资标准的工资；</w:t>
      </w:r>
    </w:p>
    <w:p w14:paraId="37A73291">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color w:val="auto"/>
          <w:spacing w:val="6"/>
          <w:sz w:val="24"/>
          <w:highlight w:val="none"/>
          <w:shd w:val="clear" w:color="auto" w:fill="FFFFFF"/>
        </w:rPr>
      </w:pPr>
      <w:r>
        <w:rPr>
          <w:rFonts w:hint="eastAsia" w:ascii="宋体" w:hAnsi="宋体" w:eastAsia="宋体" w:cs="宋体"/>
          <w:color w:val="auto"/>
          <w:spacing w:val="6"/>
          <w:sz w:val="24"/>
          <w:highlight w:val="none"/>
          <w:shd w:val="clear" w:color="auto" w:fill="FFFFFF"/>
        </w:rPr>
        <w:t>（5）提供本单位制造的货物、承担的工程或者服务（以下简称产品），或者提供其他残疾人福利性单位制造的货物（不包括使用非残疾人福利性单位注册商标的货物）。</w:t>
      </w:r>
    </w:p>
    <w:p w14:paraId="3D4AF44A">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color w:val="auto"/>
          <w:highlight w:val="none"/>
          <w:lang w:eastAsia="zh-CN"/>
        </w:rPr>
      </w:pPr>
      <w:r>
        <w:rPr>
          <w:rFonts w:hint="eastAsia" w:ascii="宋体" w:hAnsi="宋体" w:eastAsia="宋体" w:cs="宋体"/>
          <w:color w:val="auto"/>
          <w:spacing w:val="6"/>
          <w:sz w:val="24"/>
          <w:highlight w:val="none"/>
          <w:shd w:val="clear" w:color="auto" w:fill="FFFFFF"/>
        </w:rPr>
        <w:t>2. 中标人为残疾人福利性单位的，采购人或者其委托的采购代理机构应当随中标、成交结果同时公告其《残疾人福利性单位声明函》，接受社会监督。</w:t>
      </w:r>
    </w:p>
    <w:p w14:paraId="5B6E9CC0">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sz w:val="28"/>
          <w:szCs w:val="28"/>
          <w:highlight w:val="none"/>
          <w:lang w:val="en-US" w:eastAsia="zh-CN"/>
        </w:rPr>
      </w:pPr>
      <w:bookmarkStart w:id="110" w:name="_Toc26270"/>
    </w:p>
    <w:p w14:paraId="20B7413B">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十、供应商可提交的其他资料</w:t>
      </w:r>
      <w:bookmarkEnd w:id="110"/>
    </w:p>
    <w:p w14:paraId="6D117659">
      <w:pPr>
        <w:keepNext w:val="0"/>
        <w:keepLines w:val="0"/>
        <w:pageBreakBefore w:val="0"/>
        <w:widowControl/>
        <w:numPr>
          <w:ilvl w:val="0"/>
          <w:numId w:val="0"/>
        </w:numPr>
        <w:kinsoku w:val="0"/>
        <w:wordWrap/>
        <w:bidi w:val="0"/>
        <w:adjustRightInd w:val="0"/>
        <w:snapToGrid w:val="0"/>
        <w:spacing w:beforeAutospacing="0" w:afterAutospacing="0" w:line="360" w:lineRule="auto"/>
        <w:ind w:left="0" w:leftChars="0" w:right="0" w:rightChars="0"/>
        <w:jc w:val="both"/>
        <w:outlineLvl w:val="1"/>
        <w:rPr>
          <w:rFonts w:hint="eastAsia" w:ascii="宋体" w:hAnsi="宋体" w:eastAsia="宋体" w:cs="宋体"/>
          <w:b/>
          <w:bCs/>
          <w:color w:val="auto"/>
          <w:sz w:val="28"/>
          <w:szCs w:val="28"/>
          <w:highlight w:val="none"/>
          <w:lang w:val="en-US" w:eastAsia="zh-CN"/>
        </w:rPr>
      </w:pPr>
    </w:p>
    <w:p w14:paraId="54274DF6">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auto"/>
          <w:highlight w:val="none"/>
        </w:rPr>
      </w:pPr>
    </w:p>
    <w:p w14:paraId="24727492">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auto"/>
          <w:highlight w:val="none"/>
        </w:rPr>
      </w:pPr>
    </w:p>
    <w:p w14:paraId="5A358286">
      <w:pPr>
        <w:pStyle w:val="16"/>
        <w:keepNext w:val="0"/>
        <w:keepLines w:val="0"/>
        <w:pageBreakBefore w:val="0"/>
        <w:widowControl/>
        <w:kinsoku w:val="0"/>
        <w:wordWrap/>
        <w:bidi w:val="0"/>
        <w:adjustRightInd w:val="0"/>
        <w:snapToGrid w:val="0"/>
        <w:spacing w:after="0" w:line="360" w:lineRule="auto"/>
        <w:ind w:left="0" w:leftChars="0" w:right="0" w:rightChars="0"/>
        <w:rPr>
          <w:color w:val="auto"/>
          <w:highlight w:val="none"/>
        </w:rPr>
      </w:pPr>
    </w:p>
    <w:p w14:paraId="1D247910">
      <w:pPr>
        <w:rPr>
          <w:color w:val="auto"/>
          <w:highlight w:val="none"/>
        </w:rPr>
      </w:pPr>
    </w:p>
    <w:sectPr>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3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9B647">
    <w:pPr>
      <w:spacing w:line="188" w:lineRule="auto"/>
      <w:rPr>
        <w:rFonts w:ascii="Calibri" w:hAnsi="Calibri" w:eastAsia="Calibri" w:cs="Calibri"/>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EABC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3D4913">
                          <w:pPr>
                            <w:pStyle w:val="12"/>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93D4913">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7E16F"/>
    <w:multiLevelType w:val="singleLevel"/>
    <w:tmpl w:val="BA47E16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N1FeDfcgXQknx1xc/Jzkmh7Jzsg=" w:salt="8uy7cFZelsEDIriVPOEyH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26EFC"/>
    <w:rsid w:val="03B76DF5"/>
    <w:rsid w:val="03E07A24"/>
    <w:rsid w:val="07933A1D"/>
    <w:rsid w:val="087B5ADC"/>
    <w:rsid w:val="08CB596A"/>
    <w:rsid w:val="09BD5F9C"/>
    <w:rsid w:val="09DB3168"/>
    <w:rsid w:val="0C852F04"/>
    <w:rsid w:val="0F2C7F1A"/>
    <w:rsid w:val="144819CF"/>
    <w:rsid w:val="148A7C64"/>
    <w:rsid w:val="159468C1"/>
    <w:rsid w:val="16BE28AD"/>
    <w:rsid w:val="185F4F64"/>
    <w:rsid w:val="1C0F59A0"/>
    <w:rsid w:val="1C2E59AA"/>
    <w:rsid w:val="1C604132"/>
    <w:rsid w:val="1F0C54A8"/>
    <w:rsid w:val="23FE7D27"/>
    <w:rsid w:val="264D464E"/>
    <w:rsid w:val="27565784"/>
    <w:rsid w:val="29995DFC"/>
    <w:rsid w:val="2C3C2B53"/>
    <w:rsid w:val="303625F7"/>
    <w:rsid w:val="31A11CF2"/>
    <w:rsid w:val="35A149B6"/>
    <w:rsid w:val="388C1EFE"/>
    <w:rsid w:val="3F161F71"/>
    <w:rsid w:val="3F9410E8"/>
    <w:rsid w:val="40163EA4"/>
    <w:rsid w:val="408B3189"/>
    <w:rsid w:val="425A270B"/>
    <w:rsid w:val="431665F8"/>
    <w:rsid w:val="45E422A8"/>
    <w:rsid w:val="487431B6"/>
    <w:rsid w:val="4D695962"/>
    <w:rsid w:val="4EC53257"/>
    <w:rsid w:val="510056CE"/>
    <w:rsid w:val="537F1211"/>
    <w:rsid w:val="53AC21B4"/>
    <w:rsid w:val="53B37FDD"/>
    <w:rsid w:val="53C953AC"/>
    <w:rsid w:val="54FC70BB"/>
    <w:rsid w:val="5A3966BC"/>
    <w:rsid w:val="5A817DB7"/>
    <w:rsid w:val="604A5CBF"/>
    <w:rsid w:val="60D36888"/>
    <w:rsid w:val="62037CDB"/>
    <w:rsid w:val="6768047C"/>
    <w:rsid w:val="6ADC67EC"/>
    <w:rsid w:val="6D1A3CAC"/>
    <w:rsid w:val="6D3B2000"/>
    <w:rsid w:val="6DAA39D0"/>
    <w:rsid w:val="6DB779BA"/>
    <w:rsid w:val="77DC4DFE"/>
    <w:rsid w:val="78D21D5D"/>
    <w:rsid w:val="7B6A2721"/>
    <w:rsid w:val="7B951701"/>
    <w:rsid w:val="7BD55DED"/>
    <w:rsid w:val="7C52743D"/>
    <w:rsid w:val="7C922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4"/>
      <w:lang w:val="en-US" w:eastAsia="zh-CN" w:bidi="ar-SA"/>
    </w:rPr>
  </w:style>
  <w:style w:type="paragraph" w:styleId="2">
    <w:name w:val="heading 2"/>
    <w:basedOn w:val="1"/>
    <w:next w:val="1"/>
    <w:qFormat/>
    <w:uiPriority w:val="99"/>
    <w:pPr>
      <w:keepNext/>
      <w:keepLines/>
      <w:spacing w:before="200"/>
      <w:outlineLvl w:val="1"/>
    </w:pPr>
    <w:rPr>
      <w:rFonts w:ascii="Arial" w:hAnsi="Arial" w:eastAsia="黑体"/>
      <w:b/>
      <w:bCs/>
      <w:sz w:val="32"/>
      <w:szCs w:val="32"/>
    </w:rPr>
  </w:style>
  <w:style w:type="paragraph" w:styleId="3">
    <w:name w:val="heading 4"/>
    <w:basedOn w:val="1"/>
    <w:next w:val="1"/>
    <w:unhideWhenUsed/>
    <w:qFormat/>
    <w:uiPriority w:val="0"/>
    <w:pPr>
      <w:keepNext/>
      <w:keepLines/>
      <w:spacing w:before="280" w:after="290" w:line="372" w:lineRule="auto"/>
      <w:jc w:val="center"/>
      <w:outlineLvl w:val="3"/>
    </w:pPr>
    <w:rPr>
      <w:rFonts w:ascii="Arial" w:hAnsi="Arial" w:eastAsia="仿宋" w:cs="Times New Roman"/>
      <w:b/>
      <w:sz w:val="28"/>
      <w:szCs w:val="21"/>
    </w:rPr>
  </w:style>
  <w:style w:type="paragraph" w:styleId="4">
    <w:name w:val="heading 8"/>
    <w:basedOn w:val="1"/>
    <w:next w:val="1"/>
    <w:qFormat/>
    <w:uiPriority w:val="1"/>
    <w:pPr>
      <w:spacing w:before="42"/>
      <w:ind w:left="447"/>
      <w:jc w:val="center"/>
      <w:outlineLvl w:val="7"/>
    </w:pPr>
    <w:rPr>
      <w:szCs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3"/>
    <w:basedOn w:val="1"/>
    <w:qFormat/>
    <w:uiPriority w:val="0"/>
    <w:pPr>
      <w:spacing w:after="120"/>
    </w:pPr>
    <w:rPr>
      <w:rFonts w:ascii="Times New Roman" w:hAnsi="Times New Roman" w:eastAsia="宋体" w:cs="Times New Roman"/>
      <w:sz w:val="16"/>
      <w:szCs w:val="16"/>
    </w:rPr>
  </w:style>
  <w:style w:type="paragraph" w:styleId="6">
    <w:name w:val="Body Text"/>
    <w:basedOn w:val="1"/>
    <w:next w:val="7"/>
    <w:qFormat/>
    <w:uiPriority w:val="0"/>
    <w:pPr>
      <w:adjustRightInd w:val="0"/>
      <w:spacing w:after="60" w:line="360" w:lineRule="atLeast"/>
      <w:ind w:left="72" w:leftChars="30" w:right="30" w:rightChars="30"/>
      <w:jc w:val="center"/>
      <w:textAlignment w:val="baseline"/>
    </w:pPr>
    <w:rPr>
      <w:rFonts w:asciiTheme="minorHAnsi" w:hAnsiTheme="minorHAnsi" w:eastAsiaTheme="minorEastAsia" w:cstheme="minorBidi"/>
      <w:sz w:val="21"/>
      <w:szCs w:val="22"/>
    </w:rPr>
  </w:style>
  <w:style w:type="paragraph" w:styleId="7">
    <w:name w:val="Body Text 2"/>
    <w:basedOn w:val="1"/>
    <w:next w:val="6"/>
    <w:qFormat/>
    <w:uiPriority w:val="0"/>
    <w:pPr>
      <w:widowControl/>
      <w:spacing w:before="100" w:beforeAutospacing="1" w:after="100" w:afterAutospacing="1"/>
    </w:pPr>
    <w:rPr>
      <w:kern w:val="0"/>
    </w:rPr>
  </w:style>
  <w:style w:type="paragraph" w:styleId="8">
    <w:name w:val="Body Text Indent"/>
    <w:basedOn w:val="1"/>
    <w:next w:val="9"/>
    <w:unhideWhenUsed/>
    <w:qFormat/>
    <w:uiPriority w:val="99"/>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Plain Text"/>
    <w:basedOn w:val="1"/>
    <w:unhideWhenUsed/>
    <w:qFormat/>
    <w:uiPriority w:val="0"/>
    <w:rPr>
      <w:rFonts w:ascii="宋体" w:hAnsi="Courier New" w:eastAsia="仿宋"/>
      <w:sz w:val="20"/>
    </w:rPr>
  </w:style>
  <w:style w:type="paragraph" w:styleId="11">
    <w:name w:val="Body Text Indent 2"/>
    <w:basedOn w:val="1"/>
    <w:unhideWhenUsed/>
    <w:qFormat/>
    <w:uiPriority w:val="0"/>
    <w:pPr>
      <w:spacing w:after="120" w:line="480" w:lineRule="auto"/>
      <w:ind w:left="420" w:leftChars="200"/>
    </w:pPr>
  </w:style>
  <w:style w:type="paragraph" w:styleId="12">
    <w:name w:val="footer"/>
    <w:basedOn w:val="1"/>
    <w:unhideWhenUsed/>
    <w:qFormat/>
    <w:uiPriority w:val="99"/>
    <w:pPr>
      <w:tabs>
        <w:tab w:val="center" w:pos="4153"/>
        <w:tab w:val="right" w:pos="8306"/>
      </w:tabs>
      <w:snapToGrid w:val="0"/>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rPr>
      <w:szCs w:val="24"/>
    </w:rPr>
  </w:style>
  <w:style w:type="paragraph" w:styleId="15">
    <w:name w:val="Body Text First Indent"/>
    <w:basedOn w:val="6"/>
    <w:next w:val="16"/>
    <w:qFormat/>
    <w:uiPriority w:val="0"/>
    <w:pPr>
      <w:adjustRightInd/>
      <w:spacing w:after="120" w:line="240" w:lineRule="auto"/>
      <w:ind w:left="0" w:leftChars="0" w:right="0" w:rightChars="0" w:firstLine="420" w:firstLineChars="100"/>
      <w:jc w:val="both"/>
      <w:textAlignment w:val="auto"/>
    </w:pPr>
  </w:style>
  <w:style w:type="paragraph" w:styleId="16">
    <w:name w:val="Body Text First Indent 2"/>
    <w:basedOn w:val="8"/>
    <w:next w:val="1"/>
    <w:unhideWhenUsed/>
    <w:qFormat/>
    <w:uiPriority w:val="99"/>
    <w:pPr>
      <w:ind w:firstLine="420" w:firstLineChars="200"/>
    </w:pPr>
    <w:rPr>
      <w:rFonts w:asciiTheme="minorHAnsi" w:hAnsiTheme="minorHAnsi" w:eastAsiaTheme="minorEastAsia" w:cstheme="minorBidi"/>
      <w:szCs w:val="22"/>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bdr w:val="single" w:color="D6D6D6" w:sz="6" w:space="0"/>
      <w:shd w:val="clear" w:fill="FFFFFF"/>
    </w:rPr>
  </w:style>
  <w:style w:type="character" w:styleId="23">
    <w:name w:val="HTML Definition"/>
    <w:basedOn w:val="19"/>
    <w:qFormat/>
    <w:uiPriority w:val="0"/>
  </w:style>
  <w:style w:type="character" w:styleId="24">
    <w:name w:val="HTML Typewriter"/>
    <w:basedOn w:val="19"/>
    <w:qFormat/>
    <w:uiPriority w:val="0"/>
    <w:rPr>
      <w:rFonts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hint="default"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hint="default"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styleId="32">
    <w:name w:val="List Paragraph"/>
    <w:basedOn w:val="1"/>
    <w:qFormat/>
    <w:uiPriority w:val="34"/>
    <w:pPr>
      <w:spacing w:line="240" w:lineRule="auto"/>
      <w:ind w:firstLine="420" w:firstLineChars="200"/>
      <w:jc w:val="both"/>
    </w:pPr>
    <w:rPr>
      <w:sz w:val="21"/>
    </w:rPr>
  </w:style>
  <w:style w:type="paragraph" w:customStyle="1" w:styleId="33">
    <w:name w:val="列出段落1"/>
    <w:next w:val="1"/>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34">
    <w:name w:val="Default"/>
    <w:basedOn w:val="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36">
    <w:name w:val="Table Paragraph"/>
    <w:basedOn w:val="1"/>
    <w:qFormat/>
    <w:uiPriority w:val="1"/>
  </w:style>
  <w:style w:type="table" w:customStyle="1" w:styleId="37">
    <w:name w:val="Table Normal"/>
    <w:semiHidden/>
    <w:unhideWhenUsed/>
    <w:qFormat/>
    <w:uiPriority w:val="2"/>
    <w:tblPr>
      <w:tblCellMar>
        <w:top w:w="0" w:type="dxa"/>
        <w:left w:w="0" w:type="dxa"/>
        <w:bottom w:w="0" w:type="dxa"/>
        <w:right w:w="0" w:type="dxa"/>
      </w:tblCellMar>
    </w:tblPr>
  </w:style>
  <w:style w:type="paragraph" w:customStyle="1" w:styleId="38">
    <w:name w:val="BodyText1I"/>
    <w:basedOn w:val="39"/>
    <w:qFormat/>
    <w:uiPriority w:val="99"/>
    <w:pPr>
      <w:ind w:firstLine="420" w:firstLineChars="100"/>
    </w:pPr>
  </w:style>
  <w:style w:type="paragraph" w:customStyle="1" w:styleId="39">
    <w:name w:val="BodyText"/>
    <w:basedOn w:val="1"/>
    <w:qFormat/>
    <w:uiPriority w:val="99"/>
    <w:pPr>
      <w:spacing w:after="120"/>
    </w:pPr>
  </w:style>
  <w:style w:type="character" w:customStyle="1" w:styleId="40">
    <w:name w:val="hover1"/>
    <w:basedOn w:val="19"/>
    <w:qFormat/>
    <w:uiPriority w:val="0"/>
    <w:rPr>
      <w:color w:val="2590EB"/>
    </w:rPr>
  </w:style>
  <w:style w:type="character" w:customStyle="1" w:styleId="41">
    <w:name w:val="hover2"/>
    <w:basedOn w:val="19"/>
    <w:qFormat/>
    <w:uiPriority w:val="0"/>
    <w:rPr>
      <w:color w:val="2590EB"/>
    </w:rPr>
  </w:style>
  <w:style w:type="character" w:customStyle="1" w:styleId="42">
    <w:name w:val="hover3"/>
    <w:basedOn w:val="19"/>
    <w:qFormat/>
    <w:uiPriority w:val="0"/>
  </w:style>
  <w:style w:type="character" w:customStyle="1" w:styleId="43">
    <w:name w:val="mini-outputtext1"/>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31233</Words>
  <Characters>33752</Characters>
  <Lines>0</Lines>
  <Paragraphs>0</Paragraphs>
  <TotalTime>6</TotalTime>
  <ScaleCrop>false</ScaleCrop>
  <LinksUpToDate>false</LinksUpToDate>
  <CharactersWithSpaces>36050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2025-08-26T09:04:00Z</dcterms:created>
  <dc:creator>Administrator</dc:creator>
  <cp:lastModifiedBy>-</cp:lastModifiedBy>
  <dcterms:modified xsi:type="dcterms:W3CDTF">2025-08-27T09:03:52Z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eyJoZGlkIjoiZDBjZTFmNjY0ZWYzMjI0ZThjZDQ4ZmIxYjViNDYxM2MiLCJ1c2VySWQiOiIyOTQ1NTMzNDQifQ==</vt:lpwstr>
  </property>
  <property fmtid="{D5CDD505-2E9C-101B-9397-08002B2CF9AE}" pid="4" name="ICV">
    <vt:lpwstr>B51188EF1C674D7796C89289210168BD_13</vt:lpwstr>
  </property>
</Properties>
</file>