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23967">
      <w:pPr>
        <w:spacing w:line="920" w:lineRule="exact"/>
        <w:jc w:val="center"/>
        <w:rPr>
          <w:rFonts w:hint="eastAsia" w:ascii="宋体" w:hAnsi="宋体" w:cs="宋体"/>
          <w:b/>
          <w:bCs/>
          <w:color w:val="auto"/>
          <w:sz w:val="48"/>
          <w:szCs w:val="44"/>
          <w:highlight w:val="none"/>
          <w:lang w:eastAsia="zh-CN"/>
        </w:rPr>
      </w:pPr>
      <w:r>
        <w:rPr>
          <w:rFonts w:hint="eastAsia" w:ascii="宋体" w:hAnsi="宋体" w:cs="宋体"/>
          <w:b/>
          <w:bCs/>
          <w:color w:val="auto"/>
          <w:sz w:val="48"/>
          <w:szCs w:val="44"/>
          <w:highlight w:val="none"/>
          <w:lang w:eastAsia="zh-CN"/>
        </w:rPr>
        <w:t>三门峡</w:t>
      </w:r>
      <w:r>
        <w:rPr>
          <w:rFonts w:hint="eastAsia" w:ascii="宋体" w:hAnsi="宋体" w:cs="宋体"/>
          <w:b/>
          <w:bCs/>
          <w:color w:val="auto"/>
          <w:sz w:val="48"/>
          <w:szCs w:val="44"/>
          <w:highlight w:val="none"/>
          <w:lang w:val="en-US" w:eastAsia="zh-CN"/>
        </w:rPr>
        <w:t>市城乡一体化</w:t>
      </w:r>
      <w:r>
        <w:rPr>
          <w:rFonts w:hint="eastAsia" w:ascii="宋体" w:hAnsi="宋体" w:cs="宋体"/>
          <w:b/>
          <w:bCs/>
          <w:color w:val="auto"/>
          <w:sz w:val="48"/>
          <w:szCs w:val="44"/>
          <w:highlight w:val="none"/>
          <w:lang w:eastAsia="zh-CN"/>
        </w:rPr>
        <w:t>示范区成品油流通大数据平台</w:t>
      </w:r>
      <w:r>
        <w:rPr>
          <w:rFonts w:hint="eastAsia" w:ascii="宋体" w:hAnsi="宋体" w:cs="宋体"/>
          <w:b/>
          <w:bCs/>
          <w:color w:val="auto"/>
          <w:sz w:val="48"/>
          <w:szCs w:val="44"/>
          <w:highlight w:val="none"/>
          <w:lang w:val="en-US" w:eastAsia="zh-CN"/>
        </w:rPr>
        <w:t>建设服务</w:t>
      </w:r>
      <w:r>
        <w:rPr>
          <w:rFonts w:hint="eastAsia" w:ascii="宋体" w:hAnsi="宋体" w:cs="宋体"/>
          <w:b/>
          <w:bCs/>
          <w:color w:val="auto"/>
          <w:sz w:val="48"/>
          <w:szCs w:val="44"/>
          <w:highlight w:val="none"/>
          <w:lang w:eastAsia="zh-CN"/>
        </w:rPr>
        <w:t>项目</w:t>
      </w:r>
    </w:p>
    <w:p w14:paraId="4265CEB0">
      <w:pPr>
        <w:spacing w:line="920" w:lineRule="exact"/>
        <w:jc w:val="center"/>
        <w:rPr>
          <w:rFonts w:hint="eastAsia" w:ascii="宋体" w:hAnsi="宋体" w:cs="宋体"/>
          <w:b/>
          <w:bCs/>
          <w:color w:val="auto"/>
          <w:sz w:val="40"/>
          <w:szCs w:val="36"/>
          <w:highlight w:val="none"/>
          <w:lang w:eastAsia="zh-CN"/>
        </w:rPr>
      </w:pPr>
    </w:p>
    <w:p w14:paraId="0C245EC8">
      <w:pPr>
        <w:spacing w:line="920" w:lineRule="exact"/>
        <w:ind w:firstLine="2168" w:firstLineChars="300"/>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 标 文 件</w:t>
      </w:r>
    </w:p>
    <w:p w14:paraId="75700994">
      <w:pPr>
        <w:rPr>
          <w:rFonts w:hint="eastAsia" w:ascii="宋体" w:hAnsi="宋体" w:eastAsia="宋体" w:cs="宋体"/>
          <w:color w:val="auto"/>
          <w:highlight w:val="none"/>
        </w:rPr>
      </w:pPr>
    </w:p>
    <w:p w14:paraId="641624DE">
      <w:pPr>
        <w:jc w:val="center"/>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rPr>
        <w:t>招标编号：</w:t>
      </w:r>
      <w:r>
        <w:rPr>
          <w:rFonts w:hint="eastAsia" w:ascii="宋体" w:hAnsi="宋体" w:eastAsia="宋体" w:cs="宋体"/>
          <w:b/>
          <w:bCs/>
          <w:color w:val="auto"/>
          <w:sz w:val="28"/>
          <w:szCs w:val="24"/>
          <w:highlight w:val="none"/>
          <w:lang w:val="en-US" w:eastAsia="zh-CN"/>
        </w:rPr>
        <w:t xml:space="preserve">示范公开采购-2026-3 </w:t>
      </w:r>
    </w:p>
    <w:p w14:paraId="36F7E522">
      <w:pPr>
        <w:jc w:val="center"/>
        <w:rPr>
          <w:rFonts w:hint="eastAsia" w:ascii="宋体" w:hAnsi="宋体" w:eastAsia="宋体" w:cs="宋体"/>
          <w:b/>
          <w:bCs/>
          <w:color w:val="auto"/>
          <w:kern w:val="2"/>
          <w:sz w:val="28"/>
          <w:szCs w:val="24"/>
          <w:highlight w:val="none"/>
          <w:lang w:val="en-US" w:eastAsia="zh-CN" w:bidi="ar-SA"/>
        </w:rPr>
      </w:pPr>
      <w:r>
        <w:rPr>
          <w:rFonts w:hint="eastAsia" w:ascii="宋体" w:hAnsi="宋体" w:cs="宋体"/>
          <w:b/>
          <w:bCs/>
          <w:color w:val="auto"/>
          <w:sz w:val="28"/>
          <w:szCs w:val="24"/>
          <w:highlight w:val="none"/>
          <w:lang w:val="en-US" w:eastAsia="zh-CN"/>
        </w:rPr>
        <w:t xml:space="preserve">         </w:t>
      </w:r>
      <w:r>
        <w:rPr>
          <w:rFonts w:hint="eastAsia" w:ascii="宋体" w:hAnsi="宋体" w:eastAsia="宋体" w:cs="宋体"/>
          <w:b/>
          <w:bCs/>
          <w:color w:val="auto"/>
          <w:sz w:val="28"/>
          <w:szCs w:val="24"/>
          <w:highlight w:val="none"/>
          <w:lang w:val="en-US" w:eastAsia="zh-CN"/>
        </w:rPr>
        <w:t xml:space="preserve">SGZ[2026]038-ZC020   </w:t>
      </w:r>
    </w:p>
    <w:p w14:paraId="264753DD">
      <w:pPr>
        <w:tabs>
          <w:tab w:val="left" w:pos="-1155"/>
          <w:tab w:val="left" w:pos="-1050"/>
        </w:tabs>
        <w:ind w:right="-334" w:rightChars="-159"/>
        <w:rPr>
          <w:rFonts w:hint="eastAsia" w:ascii="宋体" w:hAnsi="宋体" w:eastAsia="宋体" w:cs="宋体"/>
          <w:b/>
          <w:color w:val="auto"/>
          <w:spacing w:val="-6"/>
          <w:highlight w:val="none"/>
        </w:rPr>
      </w:pPr>
    </w:p>
    <w:p w14:paraId="26C29E6B">
      <w:pPr>
        <w:tabs>
          <w:tab w:val="left" w:pos="-1155"/>
          <w:tab w:val="left" w:pos="-1050"/>
        </w:tabs>
        <w:ind w:right="-334" w:rightChars="-159"/>
        <w:jc w:val="both"/>
        <w:rPr>
          <w:rFonts w:hint="default" w:ascii="宋体" w:hAnsi="宋体" w:eastAsia="宋体" w:cs="宋体"/>
          <w:b/>
          <w:color w:val="auto"/>
          <w:spacing w:val="-6"/>
          <w:highlight w:val="none"/>
          <w:lang w:val="en-US" w:eastAsia="zh-CN"/>
        </w:rPr>
      </w:pPr>
      <w:r>
        <w:rPr>
          <w:rFonts w:hint="eastAsia" w:ascii="宋体" w:hAnsi="宋体" w:cs="宋体"/>
          <w:b/>
          <w:color w:val="auto"/>
          <w:spacing w:val="-6"/>
          <w:highlight w:val="none"/>
          <w:lang w:val="en-US" w:eastAsia="zh-CN"/>
        </w:rPr>
        <w:t xml:space="preserve">       </w:t>
      </w:r>
    </w:p>
    <w:p w14:paraId="4CDAB6A2">
      <w:pPr>
        <w:tabs>
          <w:tab w:val="left" w:pos="-1155"/>
          <w:tab w:val="left" w:pos="-1050"/>
        </w:tabs>
        <w:ind w:left="178" w:leftChars="85" w:right="-334" w:rightChars="-159" w:firstLine="1276" w:firstLineChars="642"/>
        <w:rPr>
          <w:rFonts w:hint="eastAsia" w:ascii="宋体" w:hAnsi="宋体" w:eastAsia="宋体" w:cs="宋体"/>
          <w:b/>
          <w:color w:val="auto"/>
          <w:spacing w:val="-6"/>
          <w:highlight w:val="none"/>
        </w:rPr>
      </w:pPr>
    </w:p>
    <w:p w14:paraId="25321214">
      <w:pPr>
        <w:tabs>
          <w:tab w:val="left" w:pos="-1155"/>
          <w:tab w:val="left" w:pos="-1050"/>
        </w:tabs>
        <w:ind w:left="178" w:leftChars="85" w:right="-334" w:rightChars="-159" w:firstLine="1276" w:firstLineChars="642"/>
        <w:rPr>
          <w:rFonts w:hint="eastAsia" w:ascii="宋体" w:hAnsi="宋体" w:eastAsia="宋体" w:cs="宋体"/>
          <w:b/>
          <w:color w:val="auto"/>
          <w:spacing w:val="-6"/>
          <w:highlight w:val="none"/>
        </w:rPr>
      </w:pPr>
    </w:p>
    <w:p w14:paraId="798D053A">
      <w:pPr>
        <w:tabs>
          <w:tab w:val="left" w:pos="-1155"/>
          <w:tab w:val="left" w:pos="-1050"/>
        </w:tabs>
        <w:spacing w:line="360" w:lineRule="auto"/>
        <w:ind w:firstLine="994" w:firstLineChars="500"/>
        <w:jc w:val="both"/>
        <w:rPr>
          <w:rFonts w:hint="eastAsia" w:ascii="宋体" w:hAnsi="宋体" w:eastAsia="宋体" w:cs="宋体"/>
          <w:b/>
          <w:color w:val="auto"/>
          <w:spacing w:val="-6"/>
          <w:sz w:val="28"/>
          <w:szCs w:val="28"/>
          <w:highlight w:val="none"/>
        </w:rPr>
      </w:pPr>
      <w:r>
        <w:rPr>
          <w:rFonts w:hint="eastAsia" w:ascii="宋体" w:hAnsi="宋体" w:cs="宋体"/>
          <w:b/>
          <w:color w:val="auto"/>
          <w:spacing w:val="-6"/>
          <w:highlight w:val="none"/>
          <w:lang w:val="en-US" w:eastAsia="zh-CN"/>
        </w:rPr>
        <w:t xml:space="preserve">         </w:t>
      </w:r>
      <w:r>
        <w:rPr>
          <w:rFonts w:hint="eastAsia" w:ascii="宋体" w:hAnsi="宋体" w:eastAsia="宋体" w:cs="宋体"/>
          <w:b/>
          <w:color w:val="auto"/>
          <w:spacing w:val="-6"/>
          <w:highlight w:val="none"/>
        </w:rPr>
        <w:drawing>
          <wp:inline distT="0" distB="0" distL="0" distR="0">
            <wp:extent cx="2381250" cy="2538730"/>
            <wp:effectExtent l="19050" t="0" r="0" b="0"/>
            <wp:docPr id="3" name="图片 1" descr="公司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 (2)"/>
                    <pic:cNvPicPr>
                      <a:picLocks noChangeAspect="1" noChangeArrowheads="1"/>
                    </pic:cNvPicPr>
                  </pic:nvPicPr>
                  <pic:blipFill>
                    <a:blip r:embed="rId7" cstate="print"/>
                    <a:srcRect/>
                    <a:stretch>
                      <a:fillRect/>
                    </a:stretch>
                  </pic:blipFill>
                  <pic:spPr>
                    <a:xfrm>
                      <a:off x="0" y="0"/>
                      <a:ext cx="2381250" cy="2538883"/>
                    </a:xfrm>
                    <a:prstGeom prst="rect">
                      <a:avLst/>
                    </a:prstGeom>
                    <a:noFill/>
                    <a:ln w="9525">
                      <a:noFill/>
                      <a:miter lim="800000"/>
                      <a:headEnd/>
                      <a:tailEnd/>
                    </a:ln>
                    <a:effectLst/>
                  </pic:spPr>
                </pic:pic>
              </a:graphicData>
            </a:graphic>
          </wp:inline>
        </w:drawing>
      </w:r>
    </w:p>
    <w:p w14:paraId="04F163D6">
      <w:pPr>
        <w:tabs>
          <w:tab w:val="left" w:pos="-1155"/>
          <w:tab w:val="left" w:pos="-1050"/>
        </w:tabs>
        <w:spacing w:line="360" w:lineRule="auto"/>
        <w:rPr>
          <w:rFonts w:hint="eastAsia" w:ascii="宋体" w:hAnsi="宋体" w:eastAsia="宋体" w:cs="宋体"/>
          <w:b/>
          <w:color w:val="auto"/>
          <w:spacing w:val="-6"/>
          <w:sz w:val="32"/>
          <w:szCs w:val="28"/>
          <w:highlight w:val="none"/>
        </w:rPr>
      </w:pPr>
    </w:p>
    <w:p w14:paraId="1D0007D2">
      <w:pPr>
        <w:tabs>
          <w:tab w:val="left" w:pos="-1155"/>
          <w:tab w:val="left" w:pos="-1050"/>
        </w:tabs>
        <w:spacing w:line="360" w:lineRule="auto"/>
        <w:ind w:firstLine="1546" w:firstLineChars="500"/>
        <w:outlineLvl w:val="9"/>
        <w:rPr>
          <w:rFonts w:hint="eastAsia" w:ascii="宋体" w:hAnsi="宋体" w:cs="宋体"/>
          <w:b/>
          <w:color w:val="auto"/>
          <w:spacing w:val="-6"/>
          <w:sz w:val="32"/>
          <w:szCs w:val="28"/>
          <w:highlight w:val="none"/>
          <w:lang w:eastAsia="zh-CN"/>
        </w:rPr>
      </w:pPr>
      <w:bookmarkStart w:id="0" w:name="_Toc6738"/>
      <w:bookmarkStart w:id="1" w:name="_Toc12044"/>
      <w:bookmarkStart w:id="2" w:name="_Toc10589"/>
    </w:p>
    <w:p w14:paraId="10752219">
      <w:pPr>
        <w:tabs>
          <w:tab w:val="left" w:pos="-1155"/>
          <w:tab w:val="left" w:pos="-1050"/>
        </w:tabs>
        <w:spacing w:line="360" w:lineRule="auto"/>
        <w:ind w:firstLine="1546" w:firstLineChars="500"/>
        <w:outlineLvl w:val="0"/>
        <w:rPr>
          <w:rFonts w:hint="eastAsia" w:ascii="宋体" w:hAnsi="宋体" w:eastAsia="宋体" w:cs="宋体"/>
          <w:b/>
          <w:color w:val="auto"/>
          <w:spacing w:val="-6"/>
          <w:sz w:val="32"/>
          <w:szCs w:val="28"/>
          <w:highlight w:val="none"/>
        </w:rPr>
      </w:pPr>
      <w:bookmarkStart w:id="3" w:name="_Toc15682"/>
      <w:r>
        <w:rPr>
          <w:rFonts w:hint="eastAsia" w:ascii="宋体" w:hAnsi="宋体" w:cs="宋体"/>
          <w:b/>
          <w:color w:val="auto"/>
          <w:spacing w:val="-6"/>
          <w:sz w:val="32"/>
          <w:szCs w:val="28"/>
          <w:highlight w:val="none"/>
          <w:lang w:eastAsia="zh-CN"/>
        </w:rPr>
        <w:t>采购人</w:t>
      </w:r>
      <w:r>
        <w:rPr>
          <w:rFonts w:hint="eastAsia" w:ascii="宋体" w:hAnsi="宋体" w:eastAsia="宋体" w:cs="宋体"/>
          <w:b/>
          <w:color w:val="auto"/>
          <w:spacing w:val="-6"/>
          <w:sz w:val="32"/>
          <w:szCs w:val="28"/>
          <w:highlight w:val="none"/>
        </w:rPr>
        <w:t>：</w:t>
      </w:r>
      <w:bookmarkEnd w:id="0"/>
      <w:bookmarkEnd w:id="1"/>
      <w:bookmarkEnd w:id="2"/>
      <w:bookmarkEnd w:id="3"/>
      <w:bookmarkStart w:id="4" w:name="_Toc10680"/>
      <w:bookmarkStart w:id="5" w:name="_Toc2389"/>
      <w:bookmarkStart w:id="6" w:name="_Toc26415"/>
      <w:bookmarkStart w:id="7" w:name="_Toc21572"/>
      <w:r>
        <w:rPr>
          <w:rFonts w:hint="eastAsia" w:ascii="宋体" w:hAnsi="宋体" w:eastAsia="宋体" w:cs="宋体"/>
          <w:b/>
          <w:color w:val="auto"/>
          <w:spacing w:val="-6"/>
          <w:sz w:val="32"/>
          <w:szCs w:val="28"/>
          <w:highlight w:val="none"/>
          <w:lang w:val="en-US" w:eastAsia="zh-CN"/>
        </w:rPr>
        <w:t>三门峡高恒投资发展有限公司</w:t>
      </w:r>
    </w:p>
    <w:p w14:paraId="3FBCB6FB">
      <w:pPr>
        <w:tabs>
          <w:tab w:val="left" w:pos="-1155"/>
          <w:tab w:val="left" w:pos="-1050"/>
        </w:tabs>
        <w:spacing w:line="360" w:lineRule="auto"/>
        <w:ind w:firstLine="1546" w:firstLineChars="500"/>
        <w:outlineLvl w:val="0"/>
        <w:rPr>
          <w:rFonts w:hint="eastAsia" w:ascii="宋体" w:hAnsi="宋体" w:eastAsia="宋体" w:cs="宋体"/>
          <w:b/>
          <w:color w:val="auto"/>
          <w:spacing w:val="-6"/>
          <w:sz w:val="32"/>
          <w:szCs w:val="28"/>
          <w:highlight w:val="none"/>
        </w:rPr>
      </w:pPr>
      <w:r>
        <w:rPr>
          <w:rFonts w:hint="eastAsia" w:ascii="宋体" w:hAnsi="宋体" w:cs="宋体"/>
          <w:b/>
          <w:color w:val="auto"/>
          <w:spacing w:val="-6"/>
          <w:sz w:val="32"/>
          <w:szCs w:val="28"/>
          <w:highlight w:val="none"/>
          <w:lang w:eastAsia="zh-CN"/>
        </w:rPr>
        <w:t>采购代理机构</w:t>
      </w:r>
      <w:r>
        <w:rPr>
          <w:rFonts w:hint="eastAsia" w:ascii="宋体" w:hAnsi="宋体" w:eastAsia="宋体" w:cs="宋体"/>
          <w:b/>
          <w:color w:val="auto"/>
          <w:spacing w:val="-6"/>
          <w:sz w:val="32"/>
          <w:szCs w:val="28"/>
          <w:highlight w:val="none"/>
        </w:rPr>
        <w:t>：河南恒泽顺工程管理有限公司</w:t>
      </w:r>
      <w:bookmarkEnd w:id="4"/>
      <w:bookmarkEnd w:id="5"/>
      <w:bookmarkEnd w:id="6"/>
      <w:bookmarkEnd w:id="7"/>
    </w:p>
    <w:p w14:paraId="1E834C68">
      <w:pPr>
        <w:tabs>
          <w:tab w:val="left" w:pos="-1155"/>
          <w:tab w:val="left" w:pos="-1050"/>
        </w:tabs>
        <w:spacing w:line="360" w:lineRule="auto"/>
        <w:ind w:firstLine="1546" w:firstLineChars="500"/>
        <w:rPr>
          <w:rFonts w:hint="eastAsia" w:ascii="宋体" w:hAnsi="宋体" w:eastAsia="宋体" w:cs="宋体"/>
          <w:b/>
          <w:bCs/>
          <w:color w:val="auto"/>
          <w:sz w:val="32"/>
          <w:szCs w:val="32"/>
          <w:highlight w:val="none"/>
        </w:rPr>
        <w:sectPr>
          <w:footerReference r:id="rId3" w:type="default"/>
          <w:pgSz w:w="11906" w:h="16838"/>
          <w:pgMar w:top="1440" w:right="1800" w:bottom="1440" w:left="1800" w:header="851" w:footer="992" w:gutter="0"/>
          <w:pgNumType w:fmt="decimal" w:chapStyle="2" w:chapSep="period"/>
          <w:cols w:space="720" w:num="1"/>
          <w:docGrid w:type="lines" w:linePitch="312" w:charSpace="0"/>
        </w:sectPr>
      </w:pPr>
      <w:r>
        <w:rPr>
          <w:rFonts w:hint="eastAsia" w:ascii="宋体" w:hAnsi="宋体" w:eastAsia="宋体" w:cs="宋体"/>
          <w:b/>
          <w:color w:val="auto"/>
          <w:spacing w:val="-6"/>
          <w:sz w:val="32"/>
          <w:szCs w:val="28"/>
          <w:highlight w:val="none"/>
        </w:rPr>
        <w:t>日  期：二○二</w:t>
      </w:r>
      <w:r>
        <w:rPr>
          <w:rFonts w:hint="eastAsia" w:ascii="宋体" w:hAnsi="宋体" w:cs="宋体"/>
          <w:b/>
          <w:color w:val="auto"/>
          <w:spacing w:val="-6"/>
          <w:sz w:val="32"/>
          <w:szCs w:val="28"/>
          <w:highlight w:val="none"/>
          <w:lang w:val="en-US" w:eastAsia="zh-CN"/>
        </w:rPr>
        <w:t>六</w:t>
      </w:r>
      <w:r>
        <w:rPr>
          <w:rFonts w:hint="eastAsia" w:ascii="宋体" w:hAnsi="宋体" w:eastAsia="宋体" w:cs="宋体"/>
          <w:b/>
          <w:color w:val="auto"/>
          <w:spacing w:val="-6"/>
          <w:sz w:val="32"/>
          <w:szCs w:val="28"/>
          <w:highlight w:val="none"/>
        </w:rPr>
        <w:t>年</w:t>
      </w:r>
      <w:r>
        <w:rPr>
          <w:rFonts w:hint="eastAsia" w:ascii="宋体" w:hAnsi="宋体" w:cs="宋体"/>
          <w:b/>
          <w:color w:val="auto"/>
          <w:spacing w:val="-6"/>
          <w:sz w:val="32"/>
          <w:szCs w:val="28"/>
          <w:highlight w:val="none"/>
          <w:lang w:val="en-US" w:eastAsia="zh-CN"/>
        </w:rPr>
        <w:t>一</w:t>
      </w:r>
      <w:r>
        <w:rPr>
          <w:rFonts w:hint="eastAsia" w:ascii="宋体" w:hAnsi="宋体" w:eastAsia="宋体" w:cs="宋体"/>
          <w:b/>
          <w:color w:val="auto"/>
          <w:spacing w:val="-6"/>
          <w:sz w:val="32"/>
          <w:szCs w:val="28"/>
          <w:highlight w:val="none"/>
        </w:rPr>
        <w:t>月</w:t>
      </w:r>
    </w:p>
    <w:p w14:paraId="76B716AE">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w:t>
      </w:r>
      <w:r>
        <w:rPr>
          <w:rFonts w:hint="eastAsia" w:ascii="宋体" w:hAnsi="宋体" w:eastAsia="宋体"/>
          <w:sz w:val="32"/>
          <w:szCs w:val="40"/>
          <w:highlight w:val="none"/>
          <w:lang w:val="en-US" w:eastAsia="zh-CN"/>
        </w:rPr>
        <w:t xml:space="preserve"> </w:t>
      </w:r>
      <w:r>
        <w:rPr>
          <w:rFonts w:ascii="宋体" w:hAnsi="宋体" w:eastAsia="宋体"/>
          <w:sz w:val="32"/>
          <w:szCs w:val="40"/>
          <w:highlight w:val="none"/>
        </w:rPr>
        <w:t>录</w:t>
      </w:r>
    </w:p>
    <w:p w14:paraId="567EF2D1">
      <w:pPr>
        <w:pStyle w:val="159"/>
        <w:tabs>
          <w:tab w:val="right" w:leader="dot" w:pos="8306"/>
        </w:tabs>
        <w:rPr>
          <w:b w:val="0"/>
          <w:bCs w:val="0"/>
          <w:sz w:val="28"/>
          <w:szCs w:val="28"/>
          <w:highlight w:val="none"/>
        </w:rPr>
      </w:pPr>
      <w:r>
        <w:rPr>
          <w:rFonts w:hint="eastAsia" w:ascii="宋体" w:hAnsi="宋体" w:eastAsia="宋体" w:cs="宋体"/>
          <w:b w:val="0"/>
          <w:bCs w:val="0"/>
          <w:color w:val="auto"/>
          <w:sz w:val="48"/>
          <w:szCs w:val="48"/>
          <w:highlight w:val="none"/>
        </w:rPr>
        <w:fldChar w:fldCharType="begin"/>
      </w:r>
      <w:r>
        <w:rPr>
          <w:rFonts w:hint="eastAsia" w:ascii="宋体" w:hAnsi="宋体" w:eastAsia="宋体" w:cs="宋体"/>
          <w:b w:val="0"/>
          <w:bCs w:val="0"/>
          <w:color w:val="auto"/>
          <w:sz w:val="48"/>
          <w:szCs w:val="48"/>
          <w:highlight w:val="none"/>
        </w:rPr>
        <w:instrText xml:space="preserve">TOC \o "1-1" \h \u </w:instrText>
      </w:r>
      <w:r>
        <w:rPr>
          <w:rFonts w:hint="eastAsia" w:ascii="宋体" w:hAnsi="宋体" w:eastAsia="宋体" w:cs="宋体"/>
          <w:b w:val="0"/>
          <w:bCs w:val="0"/>
          <w:color w:val="auto"/>
          <w:sz w:val="48"/>
          <w:szCs w:val="48"/>
          <w:highlight w:val="none"/>
        </w:rPr>
        <w:fldChar w:fldCharType="separate"/>
      </w:r>
    </w:p>
    <w:p w14:paraId="5489866D">
      <w:pPr>
        <w:pStyle w:val="159"/>
        <w:tabs>
          <w:tab w:val="right" w:leader="dot" w:pos="8306"/>
        </w:tabs>
        <w:rPr>
          <w:b w:val="0"/>
          <w:bCs w:val="0"/>
          <w:sz w:val="28"/>
          <w:szCs w:val="28"/>
          <w:highlight w:val="none"/>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_Toc29645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28"/>
          <w:highlight w:val="none"/>
        </w:rPr>
        <w:t>第一章 招标公告</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_Toc29645 \h </w:instrText>
      </w:r>
      <w:r>
        <w:rPr>
          <w:b w:val="0"/>
          <w:bCs w:val="0"/>
          <w:sz w:val="28"/>
          <w:szCs w:val="28"/>
          <w:highlight w:val="none"/>
        </w:rPr>
        <w:fldChar w:fldCharType="separate"/>
      </w:r>
      <w:r>
        <w:rPr>
          <w:b w:val="0"/>
          <w:bCs w:val="0"/>
          <w:sz w:val="28"/>
          <w:szCs w:val="28"/>
          <w:highlight w:val="none"/>
        </w:rPr>
        <w:t>3</w:t>
      </w:r>
      <w:r>
        <w:rPr>
          <w:b w:val="0"/>
          <w:bCs w:val="0"/>
          <w:sz w:val="28"/>
          <w:szCs w:val="28"/>
          <w:highlight w:val="none"/>
        </w:rPr>
        <w:fldChar w:fldCharType="end"/>
      </w:r>
      <w:r>
        <w:rPr>
          <w:rFonts w:hint="eastAsia" w:ascii="宋体" w:hAnsi="宋体" w:eastAsia="宋体" w:cs="宋体"/>
          <w:b w:val="0"/>
          <w:bCs w:val="0"/>
          <w:color w:val="auto"/>
          <w:sz w:val="28"/>
          <w:szCs w:val="48"/>
          <w:highlight w:val="none"/>
        </w:rPr>
        <w:fldChar w:fldCharType="end"/>
      </w:r>
    </w:p>
    <w:p w14:paraId="3799F070">
      <w:pPr>
        <w:pStyle w:val="159"/>
        <w:tabs>
          <w:tab w:val="right" w:leader="dot" w:pos="8306"/>
        </w:tabs>
        <w:rPr>
          <w:rFonts w:hint="eastAsia" w:ascii="宋体" w:hAnsi="宋体" w:eastAsia="宋体" w:cs="宋体"/>
          <w:b w:val="0"/>
          <w:bCs w:val="0"/>
          <w:color w:val="auto"/>
          <w:sz w:val="28"/>
          <w:szCs w:val="48"/>
          <w:highlight w:val="none"/>
        </w:rPr>
      </w:pPr>
    </w:p>
    <w:p w14:paraId="52D9AC07">
      <w:pPr>
        <w:pStyle w:val="159"/>
        <w:tabs>
          <w:tab w:val="right" w:leader="dot" w:pos="8306"/>
        </w:tabs>
        <w:rPr>
          <w:b w:val="0"/>
          <w:bCs w:val="0"/>
          <w:sz w:val="28"/>
          <w:szCs w:val="28"/>
          <w:highlight w:val="none"/>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_Toc16292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28"/>
          <w:highlight w:val="none"/>
          <w:lang w:val="en-US" w:eastAsia="zh-CN"/>
        </w:rPr>
        <w:t xml:space="preserve">第二章 </w:t>
      </w:r>
      <w:r>
        <w:rPr>
          <w:rFonts w:hint="eastAsia" w:ascii="宋体" w:hAnsi="宋体" w:cs="宋体"/>
          <w:b w:val="0"/>
          <w:bCs w:val="0"/>
          <w:sz w:val="28"/>
          <w:szCs w:val="28"/>
          <w:highlight w:val="none"/>
          <w:lang w:val="en-US" w:eastAsia="zh-CN"/>
        </w:rPr>
        <w:t>供应商</w:t>
      </w:r>
      <w:r>
        <w:rPr>
          <w:rFonts w:hint="eastAsia" w:ascii="宋体" w:hAnsi="宋体" w:eastAsia="宋体" w:cs="宋体"/>
          <w:b w:val="0"/>
          <w:bCs w:val="0"/>
          <w:sz w:val="28"/>
          <w:szCs w:val="28"/>
          <w:highlight w:val="none"/>
          <w:lang w:val="en-US" w:eastAsia="zh-CN"/>
        </w:rPr>
        <w:t>须知</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_Toc16292 \h </w:instrText>
      </w:r>
      <w:r>
        <w:rPr>
          <w:b w:val="0"/>
          <w:bCs w:val="0"/>
          <w:sz w:val="28"/>
          <w:szCs w:val="28"/>
          <w:highlight w:val="none"/>
        </w:rPr>
        <w:fldChar w:fldCharType="separate"/>
      </w:r>
      <w:r>
        <w:rPr>
          <w:b w:val="0"/>
          <w:bCs w:val="0"/>
          <w:sz w:val="28"/>
          <w:szCs w:val="28"/>
          <w:highlight w:val="none"/>
        </w:rPr>
        <w:t>8</w:t>
      </w:r>
      <w:r>
        <w:rPr>
          <w:b w:val="0"/>
          <w:bCs w:val="0"/>
          <w:sz w:val="28"/>
          <w:szCs w:val="28"/>
          <w:highlight w:val="none"/>
        </w:rPr>
        <w:fldChar w:fldCharType="end"/>
      </w:r>
      <w:r>
        <w:rPr>
          <w:rFonts w:hint="eastAsia" w:ascii="宋体" w:hAnsi="宋体" w:eastAsia="宋体" w:cs="宋体"/>
          <w:b w:val="0"/>
          <w:bCs w:val="0"/>
          <w:color w:val="auto"/>
          <w:sz w:val="28"/>
          <w:szCs w:val="48"/>
          <w:highlight w:val="none"/>
        </w:rPr>
        <w:fldChar w:fldCharType="end"/>
      </w:r>
    </w:p>
    <w:p w14:paraId="07682FF5">
      <w:pPr>
        <w:pStyle w:val="159"/>
        <w:tabs>
          <w:tab w:val="right" w:leader="dot" w:pos="8306"/>
        </w:tabs>
        <w:rPr>
          <w:rFonts w:hint="eastAsia" w:ascii="宋体" w:hAnsi="宋体" w:eastAsia="宋体" w:cs="宋体"/>
          <w:b w:val="0"/>
          <w:bCs w:val="0"/>
          <w:color w:val="auto"/>
          <w:sz w:val="28"/>
          <w:szCs w:val="48"/>
          <w:highlight w:val="none"/>
        </w:rPr>
      </w:pPr>
    </w:p>
    <w:p w14:paraId="4BDEEA88">
      <w:pPr>
        <w:pStyle w:val="159"/>
        <w:tabs>
          <w:tab w:val="right" w:leader="dot" w:pos="8306"/>
        </w:tabs>
        <w:rPr>
          <w:b w:val="0"/>
          <w:bCs w:val="0"/>
          <w:sz w:val="28"/>
          <w:szCs w:val="28"/>
          <w:highlight w:val="none"/>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_Toc24058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48"/>
          <w:highlight w:val="none"/>
        </w:rPr>
        <w:t>第三章 评标办法 （综合评分法）</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_Toc24058 \h </w:instrText>
      </w:r>
      <w:r>
        <w:rPr>
          <w:b w:val="0"/>
          <w:bCs w:val="0"/>
          <w:sz w:val="28"/>
          <w:szCs w:val="28"/>
          <w:highlight w:val="none"/>
        </w:rPr>
        <w:fldChar w:fldCharType="separate"/>
      </w:r>
      <w:r>
        <w:rPr>
          <w:b w:val="0"/>
          <w:bCs w:val="0"/>
          <w:sz w:val="28"/>
          <w:szCs w:val="28"/>
          <w:highlight w:val="none"/>
        </w:rPr>
        <w:t>25</w:t>
      </w:r>
      <w:r>
        <w:rPr>
          <w:b w:val="0"/>
          <w:bCs w:val="0"/>
          <w:sz w:val="28"/>
          <w:szCs w:val="28"/>
          <w:highlight w:val="none"/>
        </w:rPr>
        <w:fldChar w:fldCharType="end"/>
      </w:r>
      <w:r>
        <w:rPr>
          <w:rFonts w:hint="eastAsia" w:ascii="宋体" w:hAnsi="宋体" w:eastAsia="宋体" w:cs="宋体"/>
          <w:b w:val="0"/>
          <w:bCs w:val="0"/>
          <w:color w:val="auto"/>
          <w:sz w:val="28"/>
          <w:szCs w:val="48"/>
          <w:highlight w:val="none"/>
        </w:rPr>
        <w:fldChar w:fldCharType="end"/>
      </w:r>
    </w:p>
    <w:p w14:paraId="2EA6D8BD">
      <w:pPr>
        <w:pStyle w:val="159"/>
        <w:tabs>
          <w:tab w:val="right" w:leader="dot" w:pos="8306"/>
        </w:tabs>
        <w:rPr>
          <w:rFonts w:hint="eastAsia" w:ascii="宋体" w:hAnsi="宋体" w:eastAsia="宋体" w:cs="宋体"/>
          <w:b w:val="0"/>
          <w:bCs w:val="0"/>
          <w:color w:val="auto"/>
          <w:sz w:val="28"/>
          <w:szCs w:val="48"/>
          <w:highlight w:val="none"/>
        </w:rPr>
      </w:pPr>
    </w:p>
    <w:p w14:paraId="2E0C2CCA">
      <w:pPr>
        <w:pStyle w:val="159"/>
        <w:tabs>
          <w:tab w:val="right" w:leader="dot" w:pos="8306"/>
        </w:tabs>
        <w:rPr>
          <w:b w:val="0"/>
          <w:bCs w:val="0"/>
          <w:sz w:val="28"/>
          <w:szCs w:val="28"/>
          <w:highlight w:val="none"/>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_Toc6383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48"/>
          <w:highlight w:val="none"/>
        </w:rPr>
        <w:t>第四章 合同条款及格式</w:t>
      </w:r>
      <w:r>
        <w:rPr>
          <w:b w:val="0"/>
          <w:bCs w:val="0"/>
          <w:sz w:val="28"/>
          <w:szCs w:val="28"/>
          <w:highlight w:val="none"/>
        </w:rPr>
        <w:tab/>
      </w:r>
      <w:r>
        <w:rPr>
          <w:b w:val="0"/>
          <w:bCs w:val="0"/>
          <w:sz w:val="28"/>
          <w:szCs w:val="28"/>
          <w:highlight w:val="none"/>
        </w:rPr>
        <w:fldChar w:fldCharType="begin"/>
      </w:r>
      <w:r>
        <w:rPr>
          <w:b w:val="0"/>
          <w:bCs w:val="0"/>
          <w:sz w:val="28"/>
          <w:szCs w:val="28"/>
          <w:highlight w:val="none"/>
        </w:rPr>
        <w:instrText xml:space="preserve"> PAGEREF _Toc6383 \h </w:instrText>
      </w:r>
      <w:r>
        <w:rPr>
          <w:b w:val="0"/>
          <w:bCs w:val="0"/>
          <w:sz w:val="28"/>
          <w:szCs w:val="28"/>
          <w:highlight w:val="none"/>
        </w:rPr>
        <w:fldChar w:fldCharType="separate"/>
      </w:r>
      <w:r>
        <w:rPr>
          <w:b w:val="0"/>
          <w:bCs w:val="0"/>
          <w:sz w:val="28"/>
          <w:szCs w:val="28"/>
          <w:highlight w:val="none"/>
        </w:rPr>
        <w:t>35</w:t>
      </w:r>
      <w:r>
        <w:rPr>
          <w:b w:val="0"/>
          <w:bCs w:val="0"/>
          <w:sz w:val="28"/>
          <w:szCs w:val="28"/>
          <w:highlight w:val="none"/>
        </w:rPr>
        <w:fldChar w:fldCharType="end"/>
      </w:r>
      <w:r>
        <w:rPr>
          <w:rFonts w:hint="eastAsia" w:ascii="宋体" w:hAnsi="宋体" w:eastAsia="宋体" w:cs="宋体"/>
          <w:b w:val="0"/>
          <w:bCs w:val="0"/>
          <w:color w:val="auto"/>
          <w:sz w:val="28"/>
          <w:szCs w:val="48"/>
          <w:highlight w:val="none"/>
        </w:rPr>
        <w:fldChar w:fldCharType="end"/>
      </w:r>
    </w:p>
    <w:p w14:paraId="5B4D742E">
      <w:pPr>
        <w:pStyle w:val="159"/>
        <w:tabs>
          <w:tab w:val="right" w:leader="dot" w:pos="8306"/>
        </w:tabs>
        <w:rPr>
          <w:rFonts w:hint="eastAsia" w:ascii="宋体" w:hAnsi="宋体" w:eastAsia="宋体" w:cs="宋体"/>
          <w:b w:val="0"/>
          <w:bCs w:val="0"/>
          <w:color w:val="auto"/>
          <w:sz w:val="28"/>
          <w:szCs w:val="48"/>
          <w:highlight w:val="none"/>
        </w:rPr>
      </w:pPr>
    </w:p>
    <w:p w14:paraId="66A3D853">
      <w:pPr>
        <w:pStyle w:val="159"/>
        <w:tabs>
          <w:tab w:val="right" w:leader="dot" w:pos="8306"/>
        </w:tabs>
        <w:rPr>
          <w:rFonts w:hint="eastAsia" w:eastAsia="宋体"/>
          <w:b w:val="0"/>
          <w:bCs w:val="0"/>
          <w:sz w:val="28"/>
          <w:szCs w:val="28"/>
          <w:highlight w:val="none"/>
          <w:lang w:val="en-US" w:eastAsia="zh-CN"/>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_Toc9455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48"/>
          <w:highlight w:val="none"/>
        </w:rPr>
        <w:t xml:space="preserve">第五章 </w:t>
      </w:r>
      <w:r>
        <w:rPr>
          <w:rFonts w:hint="eastAsia" w:ascii="宋体" w:hAnsi="宋体" w:cs="宋体"/>
          <w:b w:val="0"/>
          <w:bCs w:val="0"/>
          <w:sz w:val="28"/>
          <w:szCs w:val="48"/>
          <w:highlight w:val="none"/>
          <w:lang w:eastAsia="zh-CN"/>
        </w:rPr>
        <w:t>服务内容及要求</w:t>
      </w:r>
      <w:r>
        <w:rPr>
          <w:b w:val="0"/>
          <w:bCs w:val="0"/>
          <w:sz w:val="28"/>
          <w:szCs w:val="28"/>
          <w:highlight w:val="none"/>
        </w:rPr>
        <w:tab/>
      </w:r>
      <w:r>
        <w:rPr>
          <w:rFonts w:hint="eastAsia"/>
          <w:b w:val="0"/>
          <w:bCs w:val="0"/>
          <w:sz w:val="28"/>
          <w:szCs w:val="28"/>
          <w:highlight w:val="none"/>
          <w:lang w:val="en-US" w:eastAsia="zh-CN"/>
        </w:rPr>
        <w:t>3</w:t>
      </w:r>
      <w:r>
        <w:rPr>
          <w:rFonts w:hint="eastAsia" w:ascii="宋体" w:hAnsi="宋体" w:eastAsia="宋体" w:cs="宋体"/>
          <w:b w:val="0"/>
          <w:bCs w:val="0"/>
          <w:color w:val="auto"/>
          <w:sz w:val="28"/>
          <w:szCs w:val="48"/>
          <w:highlight w:val="none"/>
        </w:rPr>
        <w:fldChar w:fldCharType="end"/>
      </w:r>
      <w:r>
        <w:rPr>
          <w:rFonts w:hint="eastAsia" w:ascii="宋体" w:hAnsi="宋体" w:cs="宋体"/>
          <w:b w:val="0"/>
          <w:bCs w:val="0"/>
          <w:color w:val="auto"/>
          <w:sz w:val="28"/>
          <w:szCs w:val="48"/>
          <w:highlight w:val="none"/>
          <w:lang w:val="en-US" w:eastAsia="zh-CN"/>
        </w:rPr>
        <w:t>9</w:t>
      </w:r>
    </w:p>
    <w:p w14:paraId="5CD68818">
      <w:pPr>
        <w:pStyle w:val="159"/>
        <w:tabs>
          <w:tab w:val="right" w:leader="dot" w:pos="8306"/>
        </w:tabs>
        <w:rPr>
          <w:rFonts w:hint="eastAsia" w:ascii="宋体" w:hAnsi="宋体" w:eastAsia="宋体" w:cs="宋体"/>
          <w:b w:val="0"/>
          <w:bCs w:val="0"/>
          <w:color w:val="auto"/>
          <w:sz w:val="28"/>
          <w:szCs w:val="48"/>
          <w:highlight w:val="none"/>
        </w:rPr>
      </w:pPr>
    </w:p>
    <w:p w14:paraId="003E1F95">
      <w:pPr>
        <w:pStyle w:val="159"/>
        <w:tabs>
          <w:tab w:val="right" w:leader="dot" w:pos="8306"/>
        </w:tabs>
        <w:rPr>
          <w:rFonts w:hint="eastAsia" w:eastAsia="宋体"/>
          <w:b w:val="0"/>
          <w:bCs w:val="0"/>
          <w:sz w:val="28"/>
          <w:szCs w:val="28"/>
          <w:highlight w:val="none"/>
          <w:lang w:val="en-US" w:eastAsia="zh-CN"/>
        </w:rPr>
      </w:pPr>
      <w:r>
        <w:rPr>
          <w:rFonts w:hint="eastAsia" w:ascii="宋体" w:hAnsi="宋体" w:eastAsia="宋体" w:cs="宋体"/>
          <w:b w:val="0"/>
          <w:bCs w:val="0"/>
          <w:color w:val="auto"/>
          <w:sz w:val="28"/>
          <w:szCs w:val="48"/>
          <w:highlight w:val="none"/>
        </w:rPr>
        <w:fldChar w:fldCharType="begin"/>
      </w:r>
      <w:r>
        <w:rPr>
          <w:rFonts w:hint="eastAsia" w:ascii="宋体" w:hAnsi="宋体" w:eastAsia="宋体" w:cs="宋体"/>
          <w:b w:val="0"/>
          <w:bCs w:val="0"/>
          <w:sz w:val="28"/>
          <w:szCs w:val="48"/>
          <w:highlight w:val="none"/>
        </w:rPr>
        <w:instrText xml:space="preserve"> HYPERLINK \l _Toc16658 </w:instrText>
      </w:r>
      <w:r>
        <w:rPr>
          <w:rFonts w:hint="eastAsia" w:ascii="宋体" w:hAnsi="宋体" w:eastAsia="宋体" w:cs="宋体"/>
          <w:b w:val="0"/>
          <w:bCs w:val="0"/>
          <w:sz w:val="28"/>
          <w:szCs w:val="48"/>
          <w:highlight w:val="none"/>
        </w:rPr>
        <w:fldChar w:fldCharType="separate"/>
      </w:r>
      <w:r>
        <w:rPr>
          <w:rFonts w:hint="eastAsia" w:ascii="宋体" w:hAnsi="宋体" w:eastAsia="宋体" w:cs="宋体"/>
          <w:b w:val="0"/>
          <w:bCs w:val="0"/>
          <w:sz w:val="28"/>
          <w:szCs w:val="48"/>
          <w:highlight w:val="none"/>
        </w:rPr>
        <w:t>第六章 投标文件格式</w:t>
      </w:r>
      <w:r>
        <w:rPr>
          <w:b w:val="0"/>
          <w:bCs w:val="0"/>
          <w:sz w:val="28"/>
          <w:szCs w:val="28"/>
          <w:highlight w:val="none"/>
        </w:rPr>
        <w:tab/>
      </w:r>
      <w:r>
        <w:rPr>
          <w:rFonts w:hint="eastAsia"/>
          <w:b w:val="0"/>
          <w:bCs w:val="0"/>
          <w:sz w:val="28"/>
          <w:szCs w:val="28"/>
          <w:highlight w:val="none"/>
          <w:lang w:val="en-US" w:eastAsia="zh-CN"/>
        </w:rPr>
        <w:t>43</w:t>
      </w:r>
      <w:r>
        <w:rPr>
          <w:rFonts w:hint="eastAsia" w:ascii="宋体" w:hAnsi="宋体" w:eastAsia="宋体" w:cs="宋体"/>
          <w:b w:val="0"/>
          <w:bCs w:val="0"/>
          <w:color w:val="auto"/>
          <w:sz w:val="28"/>
          <w:szCs w:val="48"/>
          <w:highlight w:val="none"/>
        </w:rPr>
        <w:fldChar w:fldCharType="end"/>
      </w:r>
    </w:p>
    <w:p w14:paraId="280183CA">
      <w:pPr>
        <w:pStyle w:val="159"/>
        <w:tabs>
          <w:tab w:val="right" w:leader="dot" w:pos="8306"/>
        </w:tabs>
        <w:rPr>
          <w:b w:val="0"/>
          <w:bCs w:val="0"/>
          <w:sz w:val="28"/>
          <w:szCs w:val="28"/>
          <w:highlight w:val="none"/>
        </w:rPr>
      </w:pPr>
    </w:p>
    <w:p w14:paraId="3D9E1D60">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2"/>
          <w:szCs w:val="32"/>
          <w:highlight w:val="none"/>
        </w:rPr>
      </w:pPr>
      <w:r>
        <w:rPr>
          <w:rFonts w:hint="eastAsia" w:ascii="宋体" w:hAnsi="宋体" w:eastAsia="宋体" w:cs="宋体"/>
          <w:b w:val="0"/>
          <w:bCs w:val="0"/>
          <w:color w:val="auto"/>
          <w:sz w:val="32"/>
          <w:szCs w:val="48"/>
          <w:highlight w:val="none"/>
        </w:rPr>
        <w:fldChar w:fldCharType="end"/>
      </w:r>
    </w:p>
    <w:p w14:paraId="3F63CD1F">
      <w:pPr>
        <w:pStyle w:val="3"/>
        <w:tabs>
          <w:tab w:val="left" w:pos="425"/>
        </w:tabs>
        <w:spacing w:before="0" w:after="0"/>
        <w:outlineLvl w:val="9"/>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start="2" w:chapStyle="2" w:chapSep="period"/>
          <w:cols w:space="720" w:num="1"/>
          <w:docGrid w:type="lines" w:linePitch="312" w:charSpace="0"/>
        </w:sectPr>
      </w:pPr>
      <w:bookmarkStart w:id="8" w:name="_Toc14001"/>
      <w:bookmarkStart w:id="9" w:name="_Toc505093129"/>
      <w:bookmarkStart w:id="10" w:name="_Toc709"/>
    </w:p>
    <w:p w14:paraId="3FE8A9B4">
      <w:pPr>
        <w:pStyle w:val="3"/>
        <w:tabs>
          <w:tab w:val="left" w:pos="425"/>
        </w:tabs>
        <w:spacing w:before="0" w:after="0"/>
        <w:jc w:val="center"/>
        <w:outlineLvl w:val="0"/>
        <w:rPr>
          <w:rFonts w:hint="eastAsia" w:ascii="宋体" w:hAnsi="宋体" w:eastAsia="宋体" w:cs="宋体"/>
          <w:b/>
          <w:bCs/>
          <w:color w:val="auto"/>
          <w:sz w:val="24"/>
          <w:szCs w:val="24"/>
          <w:highlight w:val="none"/>
        </w:rPr>
      </w:pPr>
      <w:bookmarkStart w:id="11" w:name="_Toc29645"/>
      <w:bookmarkStart w:id="12" w:name="_Toc4376"/>
      <w:bookmarkStart w:id="13" w:name="_Toc11827"/>
      <w:bookmarkStart w:id="14" w:name="_Toc1996"/>
      <w:r>
        <w:rPr>
          <w:rFonts w:hint="eastAsia" w:ascii="宋体" w:hAnsi="宋体" w:eastAsia="宋体" w:cs="宋体"/>
          <w:b/>
          <w:bCs/>
          <w:color w:val="auto"/>
          <w:highlight w:val="none"/>
        </w:rPr>
        <w:t>第一章 招标公告</w:t>
      </w:r>
      <w:bookmarkEnd w:id="11"/>
      <w:bookmarkEnd w:id="12"/>
      <w:bookmarkEnd w:id="13"/>
      <w:bookmarkEnd w:id="14"/>
    </w:p>
    <w:bookmarkEnd w:id="8"/>
    <w:bookmarkEnd w:id="9"/>
    <w:bookmarkEnd w:id="10"/>
    <w:p w14:paraId="46B10529">
      <w:pPr>
        <w:spacing w:line="360" w:lineRule="auto"/>
        <w:ind w:firstLine="480" w:firstLineChars="200"/>
        <w:outlineLvl w:val="0"/>
        <w:rPr>
          <w:rFonts w:hint="eastAsia" w:ascii="宋体" w:hAnsi="宋体" w:eastAsia="宋体" w:cs="宋体"/>
          <w:b/>
          <w:bCs/>
          <w:color w:val="auto"/>
          <w:sz w:val="24"/>
          <w:highlight w:val="none"/>
        </w:rPr>
      </w:pPr>
      <w:bookmarkStart w:id="15" w:name="_Toc2741"/>
      <w:bookmarkStart w:id="16" w:name="_Toc7671"/>
      <w:bookmarkStart w:id="17" w:name="_Toc1413"/>
      <w:bookmarkStart w:id="18" w:name="_Toc6510"/>
      <w:bookmarkStart w:id="19" w:name="_Toc15114"/>
      <w:bookmarkStart w:id="20" w:name="_Toc20973"/>
      <w:bookmarkStart w:id="21" w:name="_Toc15412"/>
      <w:bookmarkStart w:id="22" w:name="_Toc30618"/>
      <w:bookmarkStart w:id="23" w:name="_Toc10896"/>
      <w:bookmarkStart w:id="24" w:name="_Toc505093130"/>
      <w:r>
        <w:rPr>
          <w:rFonts w:hint="eastAsia" w:ascii="宋体" w:hAnsi="宋体" w:cs="宋体"/>
          <w:color w:val="auto"/>
          <w:sz w:val="24"/>
          <w:highlight w:val="none"/>
          <w:lang w:eastAsia="zh-CN"/>
        </w:rPr>
        <w:t>三门峡市城乡一体化示范区成品油流通大数据平台建设服务项目</w:t>
      </w:r>
      <w:r>
        <w:rPr>
          <w:rFonts w:hint="eastAsia" w:ascii="宋体" w:hAnsi="宋体" w:eastAsia="宋体" w:cs="宋体"/>
          <w:color w:val="auto"/>
          <w:sz w:val="24"/>
          <w:highlight w:val="none"/>
        </w:rPr>
        <w:t>，资金来源为</w:t>
      </w:r>
      <w:r>
        <w:rPr>
          <w:rFonts w:hint="eastAsia" w:ascii="宋体" w:hAnsi="宋体" w:cs="宋体"/>
          <w:color w:val="auto"/>
          <w:sz w:val="24"/>
          <w:highlight w:val="none"/>
          <w:lang w:eastAsia="zh-CN"/>
        </w:rPr>
        <w:t>财政资金</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为</w:t>
      </w:r>
      <w:r>
        <w:rPr>
          <w:rFonts w:hint="eastAsia" w:ascii="宋体" w:hAnsi="宋体" w:cs="宋体"/>
          <w:color w:val="auto"/>
          <w:sz w:val="24"/>
          <w:highlight w:val="none"/>
          <w:lang w:val="en-US" w:eastAsia="zh-CN"/>
        </w:rPr>
        <w:t>三门峡高恒投资发展有限公司</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为河南恒泽顺工程管理有限公司。项目已具备招标条件，现对该项目进行公开招标，欢迎符合相关条件的单位参加投标。</w:t>
      </w:r>
      <w:bookmarkEnd w:id="15"/>
      <w:bookmarkEnd w:id="16"/>
      <w:bookmarkEnd w:id="17"/>
      <w:bookmarkEnd w:id="18"/>
      <w:bookmarkEnd w:id="19"/>
      <w:bookmarkEnd w:id="20"/>
      <w:bookmarkEnd w:id="21"/>
      <w:bookmarkEnd w:id="22"/>
      <w:bookmarkEnd w:id="23"/>
    </w:p>
    <w:p w14:paraId="64E6BB53">
      <w:pPr>
        <w:spacing w:line="360" w:lineRule="auto"/>
        <w:ind w:firstLine="482" w:firstLineChars="200"/>
        <w:outlineLvl w:val="1"/>
        <w:rPr>
          <w:rFonts w:hint="eastAsia" w:asciiTheme="majorEastAsia" w:hAnsiTheme="majorEastAsia" w:eastAsiaTheme="majorEastAsia" w:cstheme="majorEastAsia"/>
          <w:b/>
          <w:color w:val="auto"/>
          <w:sz w:val="24"/>
          <w:highlight w:val="none"/>
          <w:lang w:val="en-US" w:eastAsia="zh-CN"/>
        </w:rPr>
      </w:pPr>
      <w:bookmarkStart w:id="25" w:name="_Toc27949"/>
      <w:bookmarkStart w:id="26" w:name="_Toc5839"/>
      <w:bookmarkStart w:id="27" w:name="_Toc8828"/>
      <w:bookmarkStart w:id="28" w:name="_Toc4508"/>
      <w:bookmarkStart w:id="29" w:name="_Toc22725"/>
      <w:bookmarkStart w:id="30" w:name="_Toc8012"/>
      <w:r>
        <w:rPr>
          <w:rFonts w:hint="eastAsia" w:asciiTheme="majorEastAsia" w:hAnsiTheme="majorEastAsia" w:eastAsiaTheme="majorEastAsia" w:cstheme="majorEastAsia"/>
          <w:b/>
          <w:color w:val="auto"/>
          <w:sz w:val="24"/>
          <w:highlight w:val="none"/>
          <w:lang w:val="en-US" w:eastAsia="zh-CN"/>
        </w:rPr>
        <w:t>一</w:t>
      </w:r>
      <w:r>
        <w:rPr>
          <w:rFonts w:hint="eastAsia" w:asciiTheme="majorEastAsia" w:hAnsiTheme="majorEastAsia" w:eastAsiaTheme="majorEastAsia" w:cstheme="majorEastAsia"/>
          <w:b/>
          <w:color w:val="auto"/>
          <w:sz w:val="24"/>
          <w:highlight w:val="none"/>
        </w:rPr>
        <w:t>、项目</w:t>
      </w:r>
      <w:bookmarkEnd w:id="24"/>
      <w:bookmarkEnd w:id="25"/>
      <w:bookmarkEnd w:id="26"/>
      <w:bookmarkEnd w:id="27"/>
      <w:bookmarkEnd w:id="28"/>
      <w:bookmarkEnd w:id="29"/>
      <w:bookmarkEnd w:id="30"/>
      <w:r>
        <w:rPr>
          <w:rFonts w:hint="eastAsia" w:asciiTheme="majorEastAsia" w:hAnsiTheme="majorEastAsia" w:eastAsiaTheme="majorEastAsia" w:cstheme="majorEastAsia"/>
          <w:b/>
          <w:color w:val="auto"/>
          <w:sz w:val="24"/>
          <w:highlight w:val="none"/>
          <w:lang w:val="en-US" w:eastAsia="zh-CN"/>
        </w:rPr>
        <w:t>基本情况</w:t>
      </w:r>
    </w:p>
    <w:p w14:paraId="70FA69E8">
      <w:pPr>
        <w:spacing w:line="360" w:lineRule="auto"/>
        <w:ind w:firstLine="480" w:firstLineChars="200"/>
        <w:outlineLvl w:val="0"/>
        <w:rPr>
          <w:rFonts w:hint="eastAsia" w:asciiTheme="minorEastAsia" w:hAnsiTheme="minorEastAsia" w:eastAsiaTheme="minorEastAsia" w:cstheme="minorEastAsia"/>
          <w:bCs/>
          <w:color w:val="auto"/>
          <w:sz w:val="24"/>
          <w:highlight w:val="none"/>
          <w:lang w:val="en-US" w:eastAsia="zh-CN"/>
        </w:rPr>
      </w:pPr>
      <w:bookmarkStart w:id="31" w:name="_Toc3519"/>
      <w:bookmarkStart w:id="32" w:name="_Toc27625"/>
      <w:bookmarkStart w:id="33" w:name="_Toc18796"/>
      <w:bookmarkStart w:id="34" w:name="_Toc13612"/>
      <w:bookmarkStart w:id="35" w:name="_Toc31659"/>
      <w:bookmarkStart w:id="36" w:name="_Toc505093131"/>
      <w:bookmarkStart w:id="37" w:name="_Toc23542"/>
      <w:bookmarkStart w:id="38" w:name="_Toc9600"/>
      <w:bookmarkStart w:id="39" w:name="_Toc12265"/>
      <w:bookmarkStart w:id="40" w:name="_Toc29613"/>
      <w:r>
        <w:rPr>
          <w:rFonts w:hint="eastAsia" w:asciiTheme="minorEastAsia" w:hAnsiTheme="minorEastAsia" w:eastAsiaTheme="minorEastAsia" w:cstheme="minorEastAsia"/>
          <w:bCs/>
          <w:color w:val="auto"/>
          <w:sz w:val="24"/>
          <w:highlight w:val="none"/>
          <w:lang w:val="en-US" w:eastAsia="zh-CN"/>
        </w:rPr>
        <w:t>1</w:t>
      </w:r>
      <w:bookmarkEnd w:id="31"/>
      <w:bookmarkEnd w:id="32"/>
      <w:bookmarkEnd w:id="33"/>
      <w:bookmarkEnd w:id="34"/>
      <w:bookmarkEnd w:id="35"/>
      <w:bookmarkEnd w:id="36"/>
      <w:bookmarkEnd w:id="37"/>
      <w:bookmarkEnd w:id="38"/>
      <w:bookmarkEnd w:id="39"/>
      <w:bookmarkEnd w:id="40"/>
      <w:bookmarkStart w:id="41" w:name="_Toc16566"/>
      <w:bookmarkStart w:id="42" w:name="_Toc28196"/>
      <w:bookmarkStart w:id="43" w:name="_Toc6856"/>
      <w:bookmarkStart w:id="44" w:name="_Toc1859"/>
      <w:bookmarkStart w:id="45" w:name="_Toc32218"/>
      <w:r>
        <w:rPr>
          <w:rFonts w:hint="eastAsia" w:asciiTheme="minorEastAsia" w:hAnsiTheme="minorEastAsia" w:eastAsiaTheme="minorEastAsia" w:cstheme="minorEastAsia"/>
          <w:bCs/>
          <w:color w:val="auto"/>
          <w:sz w:val="24"/>
          <w:highlight w:val="none"/>
          <w:lang w:val="en-US" w:eastAsia="zh-CN"/>
        </w:rPr>
        <w:t>、项目编号：</w:t>
      </w:r>
      <w:r>
        <w:rPr>
          <w:rFonts w:hint="eastAsia" w:asciiTheme="minorEastAsia" w:hAnsiTheme="minorEastAsia" w:eastAsiaTheme="minorEastAsia" w:cstheme="minorEastAsia"/>
          <w:bCs/>
          <w:color w:val="auto"/>
          <w:sz w:val="24"/>
          <w:highlight w:val="none"/>
          <w:lang w:val="en-US" w:eastAsia="zh-CN"/>
        </w:rPr>
        <w:t xml:space="preserve">示范公开采购-2026-3 SGZ[2026]038-ZC020  </w:t>
      </w:r>
      <w:r>
        <w:rPr>
          <w:rFonts w:hint="eastAsia" w:asciiTheme="minorEastAsia" w:hAnsiTheme="minorEastAsia" w:eastAsiaTheme="minorEastAsia" w:cstheme="minorEastAsia"/>
          <w:bCs/>
          <w:color w:val="auto"/>
          <w:sz w:val="24"/>
          <w:highlight w:val="none"/>
          <w:lang w:val="en-US" w:eastAsia="zh-CN"/>
        </w:rPr>
        <w:t xml:space="preserve">      </w:t>
      </w:r>
    </w:p>
    <w:p w14:paraId="3F770D44">
      <w:pPr>
        <w:spacing w:line="360" w:lineRule="auto"/>
        <w:ind w:firstLine="480" w:firstLineChars="200"/>
        <w:outlineLvl w:val="0"/>
        <w:rPr>
          <w:rFonts w:hint="eastAsia" w:asciiTheme="minorEastAsia" w:hAnsiTheme="minorEastAsia" w:eastAsiaTheme="minorEastAsia" w:cstheme="minorEastAsia"/>
          <w:bCs/>
          <w:color w:val="auto"/>
          <w:sz w:val="24"/>
          <w:highlight w:val="none"/>
          <w:lang w:val="en-US" w:eastAsia="zh-CN"/>
        </w:rPr>
      </w:pPr>
      <w:bookmarkStart w:id="46" w:name="_Toc13830"/>
      <w:bookmarkStart w:id="47" w:name="_Toc26366"/>
      <w:bookmarkStart w:id="48" w:name="_Toc6223"/>
      <w:bookmarkStart w:id="49" w:name="_Toc32598"/>
      <w:r>
        <w:rPr>
          <w:rFonts w:hint="eastAsia" w:asciiTheme="minorEastAsia" w:hAnsiTheme="minorEastAsia" w:eastAsiaTheme="minorEastAsia" w:cstheme="minorEastAsia"/>
          <w:bCs/>
          <w:color w:val="auto"/>
          <w:sz w:val="24"/>
          <w:highlight w:val="none"/>
          <w:lang w:val="en-US" w:eastAsia="zh-CN"/>
        </w:rPr>
        <w:t>2</w:t>
      </w:r>
      <w:bookmarkEnd w:id="41"/>
      <w:bookmarkEnd w:id="42"/>
      <w:bookmarkEnd w:id="43"/>
      <w:bookmarkEnd w:id="44"/>
      <w:bookmarkEnd w:id="45"/>
      <w:bookmarkEnd w:id="46"/>
      <w:bookmarkEnd w:id="47"/>
      <w:bookmarkEnd w:id="48"/>
      <w:bookmarkEnd w:id="49"/>
      <w:bookmarkStart w:id="50" w:name="_Toc19586"/>
      <w:bookmarkStart w:id="51" w:name="_Toc6910"/>
      <w:bookmarkStart w:id="52" w:name="_Toc15853"/>
      <w:bookmarkStart w:id="53" w:name="_Toc505093133"/>
      <w:bookmarkStart w:id="54" w:name="_Toc21592"/>
      <w:bookmarkStart w:id="55" w:name="_Toc6226"/>
      <w:bookmarkStart w:id="56" w:name="_Toc9323"/>
      <w:bookmarkStart w:id="57" w:name="_Toc28778"/>
      <w:bookmarkStart w:id="58" w:name="_Toc29347"/>
      <w:r>
        <w:rPr>
          <w:rFonts w:hint="eastAsia" w:asciiTheme="minorEastAsia" w:hAnsiTheme="minorEastAsia" w:eastAsiaTheme="minorEastAsia" w:cstheme="minorEastAsia"/>
          <w:bCs/>
          <w:color w:val="auto"/>
          <w:sz w:val="24"/>
          <w:highlight w:val="none"/>
          <w:lang w:val="en-US" w:eastAsia="zh-CN"/>
        </w:rPr>
        <w:t>、项目名称：三门峡市城乡一体化示范区成品油流通大数据平台建设服务项目</w:t>
      </w:r>
    </w:p>
    <w:p w14:paraId="4B19D325">
      <w:pPr>
        <w:spacing w:line="360" w:lineRule="auto"/>
        <w:ind w:firstLine="480" w:firstLineChars="200"/>
        <w:outlineLvl w:val="0"/>
        <w:rPr>
          <w:rFonts w:hint="eastAsia" w:asciiTheme="minorEastAsia" w:hAnsiTheme="minorEastAsia" w:eastAsiaTheme="minorEastAsia" w:cstheme="minorEastAsia"/>
          <w:bCs/>
          <w:color w:val="auto"/>
          <w:sz w:val="24"/>
          <w:highlight w:val="none"/>
          <w:lang w:val="en-US" w:eastAsia="zh-CN"/>
        </w:rPr>
      </w:pPr>
      <w:bookmarkStart w:id="59" w:name="_Toc24661"/>
      <w:r>
        <w:rPr>
          <w:rFonts w:hint="eastAsia" w:asciiTheme="minorEastAsia" w:hAnsiTheme="minorEastAsia" w:eastAsiaTheme="minorEastAsia" w:cstheme="minorEastAsia"/>
          <w:bCs/>
          <w:color w:val="auto"/>
          <w:sz w:val="24"/>
          <w:highlight w:val="none"/>
          <w:lang w:val="en-US" w:eastAsia="zh-CN"/>
        </w:rPr>
        <w:t>3、采购方式：</w:t>
      </w:r>
      <w:bookmarkEnd w:id="50"/>
      <w:bookmarkEnd w:id="51"/>
      <w:bookmarkEnd w:id="52"/>
      <w:bookmarkEnd w:id="53"/>
      <w:bookmarkEnd w:id="54"/>
      <w:bookmarkEnd w:id="55"/>
      <w:bookmarkStart w:id="60" w:name="_Toc505093139"/>
      <w:r>
        <w:rPr>
          <w:rFonts w:hint="eastAsia" w:asciiTheme="minorEastAsia" w:hAnsiTheme="minorEastAsia" w:eastAsiaTheme="minorEastAsia" w:cstheme="minorEastAsia"/>
          <w:bCs/>
          <w:color w:val="auto"/>
          <w:sz w:val="24"/>
          <w:highlight w:val="none"/>
          <w:lang w:val="en-US" w:eastAsia="zh-CN"/>
        </w:rPr>
        <w:t>公开招标</w:t>
      </w:r>
      <w:bookmarkEnd w:id="56"/>
      <w:bookmarkEnd w:id="57"/>
      <w:bookmarkEnd w:id="58"/>
      <w:bookmarkEnd w:id="59"/>
    </w:p>
    <w:p w14:paraId="0614D3B9">
      <w:pPr>
        <w:spacing w:line="360" w:lineRule="auto"/>
        <w:ind w:firstLine="480" w:firstLineChars="200"/>
        <w:outlineLvl w:val="0"/>
        <w:rPr>
          <w:rFonts w:hint="eastAsia" w:asciiTheme="minorEastAsia" w:hAnsiTheme="minorEastAsia" w:eastAsiaTheme="minorEastAsia" w:cstheme="minorEastAsia"/>
          <w:bCs/>
          <w:color w:val="auto"/>
          <w:sz w:val="24"/>
          <w:highlight w:val="green"/>
          <w:lang w:val="en-US" w:eastAsia="zh-CN"/>
        </w:rPr>
      </w:pPr>
      <w:bookmarkStart w:id="61" w:name="_Toc16462"/>
      <w:bookmarkStart w:id="62" w:name="_Toc25985"/>
      <w:bookmarkStart w:id="63" w:name="_Toc28421"/>
      <w:bookmarkStart w:id="64" w:name="_Toc22782"/>
      <w:r>
        <w:rPr>
          <w:rFonts w:hint="eastAsia" w:asciiTheme="minorEastAsia" w:hAnsiTheme="minorEastAsia" w:eastAsiaTheme="minorEastAsia" w:cstheme="minorEastAsia"/>
          <w:bCs/>
          <w:color w:val="auto"/>
          <w:sz w:val="24"/>
          <w:highlight w:val="none"/>
          <w:lang w:val="en-US" w:eastAsia="zh-CN"/>
        </w:rPr>
        <w:t>4、预算金额</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lang w:val="en-US" w:eastAsia="zh-CN"/>
        </w:rPr>
        <w:t>3953500.00元</w:t>
      </w:r>
      <w:bookmarkEnd w:id="61"/>
      <w:bookmarkEnd w:id="62"/>
      <w:bookmarkEnd w:id="63"/>
      <w:bookmarkEnd w:id="64"/>
    </w:p>
    <w:p w14:paraId="6FA40D71">
      <w:pPr>
        <w:spacing w:line="360" w:lineRule="auto"/>
        <w:ind w:firstLine="480" w:firstLineChars="200"/>
        <w:outlineLvl w:val="0"/>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 xml:space="preserve">   最高限价：3953500.00元</w:t>
      </w:r>
    </w:p>
    <w:tbl>
      <w:tblPr>
        <w:tblStyle w:val="4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376"/>
        <w:gridCol w:w="2910"/>
        <w:gridCol w:w="1699"/>
        <w:gridCol w:w="1871"/>
      </w:tblGrid>
      <w:tr w14:paraId="220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37" w:type="dxa"/>
            <w:noWrap w:val="0"/>
            <w:vAlign w:val="center"/>
          </w:tcPr>
          <w:p w14:paraId="13BD1067">
            <w:pPr>
              <w:spacing w:line="360" w:lineRule="auto"/>
              <w:jc w:val="center"/>
              <w:rPr>
                <w:rFonts w:ascii="宋体" w:hAnsi="宋体" w:cs="宋体"/>
                <w:sz w:val="24"/>
                <w:szCs w:val="21"/>
                <w:lang w:val="en-US" w:eastAsia="zh-CN"/>
              </w:rPr>
            </w:pPr>
            <w:r>
              <w:rPr>
                <w:rFonts w:hint="eastAsia" w:ascii="宋体" w:hAnsi="宋体" w:eastAsia="宋体" w:cs="宋体"/>
                <w:kern w:val="0"/>
                <w:sz w:val="24"/>
                <w:szCs w:val="24"/>
              </w:rPr>
              <w:t>序号</w:t>
            </w:r>
          </w:p>
        </w:tc>
        <w:tc>
          <w:tcPr>
            <w:tcW w:w="2014" w:type="dxa"/>
            <w:noWrap w:val="0"/>
            <w:vAlign w:val="center"/>
          </w:tcPr>
          <w:p w14:paraId="0F06B6AE">
            <w:pPr>
              <w:spacing w:line="360" w:lineRule="auto"/>
              <w:jc w:val="center"/>
              <w:rPr>
                <w:rFonts w:ascii="宋体" w:hAnsi="宋体" w:cs="宋体"/>
                <w:sz w:val="24"/>
                <w:szCs w:val="21"/>
                <w:lang w:val="en-US" w:eastAsia="zh-CN"/>
              </w:rPr>
            </w:pPr>
            <w:r>
              <w:rPr>
                <w:rFonts w:hint="eastAsia" w:ascii="宋体" w:hAnsi="宋体" w:eastAsia="宋体" w:cs="宋体"/>
                <w:kern w:val="0"/>
                <w:sz w:val="24"/>
                <w:szCs w:val="24"/>
              </w:rPr>
              <w:t>包号</w:t>
            </w:r>
          </w:p>
        </w:tc>
        <w:tc>
          <w:tcPr>
            <w:tcW w:w="3161" w:type="dxa"/>
            <w:noWrap w:val="0"/>
            <w:vAlign w:val="center"/>
          </w:tcPr>
          <w:p w14:paraId="4061A8B6">
            <w:pPr>
              <w:spacing w:line="360" w:lineRule="auto"/>
              <w:jc w:val="center"/>
              <w:rPr>
                <w:rFonts w:ascii="宋体" w:hAnsi="宋体" w:cs="宋体"/>
                <w:sz w:val="24"/>
                <w:szCs w:val="21"/>
                <w:lang w:val="en-US" w:eastAsia="zh-CN"/>
              </w:rPr>
            </w:pPr>
            <w:r>
              <w:rPr>
                <w:rFonts w:hint="eastAsia" w:ascii="宋体" w:hAnsi="宋体" w:eastAsia="宋体" w:cs="宋体"/>
                <w:kern w:val="0"/>
                <w:sz w:val="24"/>
                <w:szCs w:val="24"/>
              </w:rPr>
              <w:t>包名称</w:t>
            </w:r>
          </w:p>
        </w:tc>
        <w:tc>
          <w:tcPr>
            <w:tcW w:w="1728" w:type="dxa"/>
            <w:noWrap w:val="0"/>
            <w:vAlign w:val="center"/>
          </w:tcPr>
          <w:p w14:paraId="61FD4021">
            <w:pPr>
              <w:spacing w:line="360" w:lineRule="auto"/>
              <w:jc w:val="center"/>
              <w:rPr>
                <w:rFonts w:ascii="宋体" w:hAnsi="宋体" w:cs="宋体"/>
                <w:sz w:val="24"/>
                <w:szCs w:val="21"/>
                <w:lang w:val="en-US" w:eastAsia="zh-CN"/>
              </w:rPr>
            </w:pPr>
            <w:r>
              <w:rPr>
                <w:rFonts w:hint="eastAsia" w:ascii="宋体" w:hAnsi="宋体" w:eastAsia="宋体" w:cs="宋体"/>
                <w:kern w:val="0"/>
                <w:sz w:val="24"/>
                <w:szCs w:val="24"/>
              </w:rPr>
              <w:t>包预算（元）</w:t>
            </w:r>
          </w:p>
        </w:tc>
        <w:tc>
          <w:tcPr>
            <w:tcW w:w="1918" w:type="dxa"/>
            <w:noWrap w:val="0"/>
            <w:vAlign w:val="center"/>
          </w:tcPr>
          <w:p w14:paraId="5BC2672C">
            <w:pPr>
              <w:spacing w:line="360" w:lineRule="auto"/>
              <w:jc w:val="center"/>
              <w:rPr>
                <w:rFonts w:ascii="宋体" w:hAnsi="宋体" w:cs="宋体"/>
                <w:sz w:val="24"/>
                <w:szCs w:val="21"/>
                <w:lang w:val="en-US" w:eastAsia="zh-CN"/>
              </w:rPr>
            </w:pPr>
            <w:r>
              <w:rPr>
                <w:rFonts w:hint="eastAsia" w:ascii="宋体" w:hAnsi="宋体" w:eastAsia="宋体" w:cs="宋体"/>
                <w:kern w:val="0"/>
                <w:sz w:val="24"/>
                <w:szCs w:val="24"/>
              </w:rPr>
              <w:t>包最高限价（元）</w:t>
            </w:r>
          </w:p>
        </w:tc>
      </w:tr>
      <w:tr w14:paraId="7FE9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37" w:type="dxa"/>
            <w:noWrap w:val="0"/>
            <w:vAlign w:val="center"/>
          </w:tcPr>
          <w:p w14:paraId="41FC6A9F">
            <w:pPr>
              <w:widowControl/>
              <w:shd w:val="clear" w:color="auto" w:fill="auto"/>
              <w:spacing w:line="360" w:lineRule="auto"/>
              <w:jc w:val="center"/>
              <w:rPr>
                <w:rFonts w:hint="eastAsia" w:ascii="宋体" w:hAnsi="宋体" w:cs="宋体"/>
                <w:szCs w:val="21"/>
                <w:lang w:val="en-US" w:eastAsia="zh-CN"/>
              </w:rPr>
            </w:pPr>
            <w:r>
              <w:rPr>
                <w:rFonts w:hint="eastAsia" w:ascii="宋体" w:hAnsi="宋体" w:eastAsia="宋体" w:cs="宋体"/>
                <w:kern w:val="0"/>
                <w:sz w:val="24"/>
                <w:szCs w:val="24"/>
              </w:rPr>
              <w:t>1</w:t>
            </w:r>
          </w:p>
        </w:tc>
        <w:tc>
          <w:tcPr>
            <w:tcW w:w="2014" w:type="dxa"/>
            <w:noWrap w:val="0"/>
            <w:vAlign w:val="center"/>
          </w:tcPr>
          <w:p w14:paraId="19C65A79">
            <w:pPr>
              <w:widowControl/>
              <w:shd w:val="clear" w:color="auto" w:fill="auto"/>
              <w:spacing w:line="360" w:lineRule="auto"/>
              <w:jc w:val="center"/>
              <w:rPr>
                <w:rFonts w:hint="eastAsia" w:ascii="宋体" w:hAnsi="宋体" w:cs="宋体"/>
                <w:szCs w:val="21"/>
                <w:lang w:val="en-US" w:eastAsia="zh-CN"/>
              </w:rPr>
            </w:pPr>
            <w:r>
              <w:rPr>
                <w:rFonts w:hint="eastAsia" w:asciiTheme="minorEastAsia" w:hAnsiTheme="minorEastAsia" w:eastAsiaTheme="minorEastAsia" w:cstheme="minorEastAsia"/>
                <w:bCs/>
                <w:color w:val="auto"/>
                <w:sz w:val="24"/>
                <w:highlight w:val="none"/>
                <w:lang w:val="en-US" w:eastAsia="zh-CN"/>
              </w:rPr>
              <w:t>示范公开采购-2026-3 SGZ[2026]038-ZC020</w:t>
            </w:r>
          </w:p>
        </w:tc>
        <w:tc>
          <w:tcPr>
            <w:tcW w:w="3161" w:type="dxa"/>
            <w:noWrap w:val="0"/>
            <w:vAlign w:val="center"/>
          </w:tcPr>
          <w:p w14:paraId="55904DD9">
            <w:pPr>
              <w:spacing w:line="360" w:lineRule="auto"/>
              <w:jc w:val="center"/>
              <w:rPr>
                <w:rFonts w:ascii="宋体" w:hAnsi="宋体" w:cs="宋体"/>
                <w:szCs w:val="21"/>
                <w:lang w:val="en-US" w:eastAsia="zh-CN"/>
              </w:rPr>
            </w:pPr>
            <w:r>
              <w:rPr>
                <w:rFonts w:hint="eastAsia" w:ascii="宋体" w:hAnsi="宋体" w:cs="宋体"/>
                <w:color w:val="auto"/>
                <w:sz w:val="24"/>
                <w:highlight w:val="none"/>
                <w:lang w:eastAsia="zh-CN"/>
              </w:rPr>
              <w:t>三门峡市城乡一体化示范区成品油流通大数据平台建设服务项目</w:t>
            </w:r>
          </w:p>
        </w:tc>
        <w:tc>
          <w:tcPr>
            <w:tcW w:w="1728" w:type="dxa"/>
            <w:noWrap w:val="0"/>
            <w:vAlign w:val="center"/>
          </w:tcPr>
          <w:p w14:paraId="5759F141">
            <w:pPr>
              <w:spacing w:line="360" w:lineRule="auto"/>
              <w:jc w:val="center"/>
              <w:rPr>
                <w:rFonts w:hint="default" w:ascii="宋体" w:hAnsi="宋体" w:cs="宋体"/>
                <w:sz w:val="24"/>
                <w:lang w:val="en-US" w:eastAsia="zh-CN"/>
              </w:rPr>
            </w:pPr>
            <w:r>
              <w:rPr>
                <w:rFonts w:hint="eastAsia" w:ascii="宋体" w:hAnsi="宋体" w:cs="宋体"/>
                <w:sz w:val="24"/>
                <w:lang w:val="en-US" w:eastAsia="zh-CN"/>
              </w:rPr>
              <w:t>3953500.00</w:t>
            </w:r>
          </w:p>
        </w:tc>
        <w:tc>
          <w:tcPr>
            <w:tcW w:w="1918" w:type="dxa"/>
            <w:noWrap w:val="0"/>
            <w:vAlign w:val="center"/>
          </w:tcPr>
          <w:p w14:paraId="3E227859">
            <w:pPr>
              <w:spacing w:line="360" w:lineRule="auto"/>
              <w:jc w:val="center"/>
              <w:rPr>
                <w:rFonts w:hint="default" w:ascii="宋体" w:hAnsi="宋体" w:cs="宋体"/>
                <w:sz w:val="24"/>
                <w:lang w:val="en-US" w:eastAsia="zh-CN"/>
              </w:rPr>
            </w:pPr>
            <w:r>
              <w:rPr>
                <w:rFonts w:hint="eastAsia" w:ascii="宋体" w:hAnsi="宋体" w:cs="宋体"/>
                <w:sz w:val="24"/>
                <w:lang w:val="en-US" w:eastAsia="zh-CN"/>
              </w:rPr>
              <w:t>3953500.00</w:t>
            </w:r>
          </w:p>
        </w:tc>
      </w:tr>
    </w:tbl>
    <w:p w14:paraId="44C1F8A0">
      <w:pPr>
        <w:numPr>
          <w:ilvl w:val="0"/>
          <w:numId w:val="1"/>
        </w:numPr>
        <w:spacing w:line="490" w:lineRule="exact"/>
        <w:ind w:left="479" w:leftChars="228" w:firstLine="0" w:firstLineChars="0"/>
        <w:rPr>
          <w:rFonts w:hint="eastAsia" w:ascii="宋体" w:hAnsi="宋体"/>
          <w:sz w:val="24"/>
        </w:rPr>
      </w:pPr>
      <w:r>
        <w:rPr>
          <w:rFonts w:hint="eastAsia" w:ascii="宋体" w:hAnsi="宋体"/>
          <w:sz w:val="24"/>
          <w:lang w:val="en-US" w:eastAsia="zh-CN"/>
        </w:rPr>
        <w:t>采购需求：</w:t>
      </w:r>
      <w:r>
        <w:rPr>
          <w:rFonts w:hint="eastAsia" w:ascii="宋体" w:hAnsi="宋体"/>
          <w:sz w:val="24"/>
        </w:rPr>
        <w:t>（包括但不限于标的的名称、数量、简要技术需求或服务要求等）：</w:t>
      </w:r>
    </w:p>
    <w:p w14:paraId="741679B4">
      <w:pPr>
        <w:numPr>
          <w:ilvl w:val="0"/>
          <w:numId w:val="0"/>
        </w:numPr>
        <w:spacing w:line="490" w:lineRule="exact"/>
        <w:ind w:leftChars="228"/>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color w:val="auto"/>
          <w:sz w:val="24"/>
          <w:highlight w:val="none"/>
          <w:lang w:val="en-US" w:eastAsia="zh-CN"/>
        </w:rPr>
        <w:t>5.1采购内容：本项目</w:t>
      </w:r>
      <w:r>
        <w:rPr>
          <w:rFonts w:hint="eastAsia" w:asciiTheme="minorEastAsia" w:hAnsiTheme="minorEastAsia" w:eastAsiaTheme="minorEastAsia" w:cstheme="minorEastAsia"/>
          <w:color w:val="auto"/>
          <w:sz w:val="24"/>
          <w:highlight w:val="none"/>
          <w:lang w:val="en-US" w:eastAsia="zh-CN"/>
        </w:rPr>
        <w:t>针对三门峡市城乡一体化示范区辖区内的13家加油站，</w:t>
      </w:r>
      <w:r>
        <w:rPr>
          <w:rFonts w:hint="eastAsia" w:ascii="宋体" w:hAnsi="宋体"/>
          <w:sz w:val="24"/>
          <w:highlight w:val="none"/>
        </w:rPr>
        <w:t>提供成品油监管平台服务，以数字化监管替代传统监管模式，强化科技治税赋能效能，精准破解成品油行业隐瞒销售、偷税漏税等监管难题，有效遏制各类违法违规行为，实现监管数据可查、流程可追、风险可控。同时，以数据驱动优化监管策略，筑牢行业监管与税收征管协同共治根基，营造公平竞争、规范有序的市场环境，</w:t>
      </w:r>
      <w:r>
        <w:rPr>
          <w:rFonts w:hint="eastAsia" w:ascii="宋体" w:hAnsi="宋体"/>
          <w:sz w:val="24"/>
          <w:highlight w:val="none"/>
          <w:lang w:val="en-US" w:eastAsia="zh-CN"/>
        </w:rPr>
        <w:t>确保税收征管准确透明，为</w:t>
      </w:r>
      <w:r>
        <w:rPr>
          <w:rFonts w:hint="eastAsia" w:ascii="宋体" w:hAnsi="宋体"/>
          <w:sz w:val="24"/>
          <w:highlight w:val="none"/>
        </w:rPr>
        <w:t>示范区成品油流通行业高质量发展提供坚实的数字化服务支撑与保障。（</w:t>
      </w:r>
      <w:r>
        <w:rPr>
          <w:rFonts w:ascii="宋体" w:hAnsi="宋体"/>
          <w:sz w:val="24"/>
          <w:highlight w:val="none"/>
        </w:rPr>
        <w:t>具体内容见招标文件中“第</w:t>
      </w:r>
      <w:r>
        <w:rPr>
          <w:rFonts w:hint="eastAsia" w:ascii="宋体" w:hAnsi="宋体"/>
          <w:sz w:val="24"/>
          <w:highlight w:val="none"/>
        </w:rPr>
        <w:t>五</w:t>
      </w:r>
      <w:r>
        <w:rPr>
          <w:rFonts w:ascii="宋体" w:hAnsi="宋体"/>
          <w:sz w:val="24"/>
          <w:highlight w:val="none"/>
        </w:rPr>
        <w:t>章</w:t>
      </w:r>
      <w:r>
        <w:rPr>
          <w:rFonts w:hint="eastAsia" w:ascii="宋体" w:hAnsi="宋体"/>
          <w:sz w:val="24"/>
          <w:highlight w:val="none"/>
        </w:rPr>
        <w:t>服务内容及要求</w:t>
      </w:r>
      <w:r>
        <w:rPr>
          <w:rFonts w:ascii="宋体" w:hAnsi="宋体"/>
          <w:sz w:val="24"/>
          <w:highlight w:val="none"/>
        </w:rPr>
        <w:t xml:space="preserve"> ”</w:t>
      </w:r>
      <w:r>
        <w:rPr>
          <w:rFonts w:hint="eastAsia" w:ascii="宋体" w:hAnsi="宋体"/>
          <w:sz w:val="24"/>
          <w:highlight w:val="none"/>
        </w:rPr>
        <w:t>）。</w:t>
      </w:r>
      <w:r>
        <w:rPr>
          <w:rFonts w:hint="eastAsia" w:asciiTheme="minorEastAsia" w:hAnsiTheme="minorEastAsia" w:eastAsiaTheme="minorEastAsia" w:cstheme="minorEastAsia"/>
          <w:color w:val="auto"/>
          <w:sz w:val="24"/>
          <w:highlight w:val="none"/>
          <w:lang w:val="en-US" w:eastAsia="zh-CN"/>
        </w:rPr>
        <w:t xml:space="preserve"> </w:t>
      </w:r>
    </w:p>
    <w:p w14:paraId="264C3A93">
      <w:pPr>
        <w:spacing w:line="49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5.2服务</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lang w:val="en-US" w:eastAsia="zh-CN"/>
        </w:rPr>
        <w:t>采购人指定地点</w:t>
      </w:r>
      <w:r>
        <w:rPr>
          <w:rFonts w:hint="eastAsia" w:asciiTheme="minorEastAsia" w:hAnsiTheme="minorEastAsia" w:eastAsiaTheme="minorEastAsia" w:cstheme="minorEastAsia"/>
          <w:color w:val="auto"/>
          <w:sz w:val="24"/>
          <w:highlight w:val="none"/>
        </w:rPr>
        <w:t>；</w:t>
      </w:r>
    </w:p>
    <w:p w14:paraId="187EA997">
      <w:pPr>
        <w:spacing w:line="49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5.3服务期限：合同签订后30日历天内完成安装、调试、并确保数据正常传输至平台，验收合格后免费提供三年技术支持；</w:t>
      </w:r>
    </w:p>
    <w:p w14:paraId="0CF07EDB">
      <w:pPr>
        <w:spacing w:line="49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5.4质量要求：符合国家及行业标准，满足采购人需求</w:t>
      </w:r>
    </w:p>
    <w:p w14:paraId="1E18428B">
      <w:pPr>
        <w:spacing w:line="490" w:lineRule="exact"/>
        <w:ind w:firstLine="480" w:firstLineChars="200"/>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5.5</w:t>
      </w:r>
      <w:r>
        <w:rPr>
          <w:rFonts w:hint="eastAsia" w:ascii="宋体" w:hAnsi="宋体" w:eastAsia="宋体" w:cs="宋体"/>
          <w:color w:val="auto"/>
          <w:sz w:val="24"/>
          <w:highlight w:val="none"/>
        </w:rPr>
        <w:t>资金来源及比例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财政资金，100%；</w:t>
      </w:r>
    </w:p>
    <w:p w14:paraId="1AAC4036">
      <w:pPr>
        <w:numPr>
          <w:ilvl w:val="0"/>
          <w:numId w:val="1"/>
        </w:numPr>
        <w:spacing w:line="360" w:lineRule="auto"/>
        <w:ind w:left="479" w:leftChars="228" w:firstLine="0" w:firstLineChars="0"/>
        <w:rPr>
          <w:rFonts w:hint="eastAsia" w:ascii="宋体" w:hAnsi="宋体"/>
          <w:sz w:val="24"/>
        </w:rPr>
      </w:pPr>
      <w:bookmarkStart w:id="65" w:name="_Toc5025"/>
      <w:bookmarkStart w:id="66" w:name="_Toc24289"/>
      <w:bookmarkStart w:id="67" w:name="_Toc21781"/>
      <w:bookmarkStart w:id="68" w:name="_Toc8611"/>
      <w:bookmarkStart w:id="69" w:name="_Toc17150"/>
      <w:bookmarkStart w:id="70" w:name="_Toc13864"/>
      <w:r>
        <w:rPr>
          <w:rFonts w:hint="eastAsia" w:ascii="宋体" w:hAnsi="宋体"/>
          <w:sz w:val="24"/>
        </w:rPr>
        <w:t>本项目是否接受联合体投标：否</w:t>
      </w:r>
    </w:p>
    <w:p w14:paraId="3EFB5BDF">
      <w:pPr>
        <w:numPr>
          <w:ilvl w:val="0"/>
          <w:numId w:val="1"/>
        </w:numPr>
        <w:spacing w:line="360" w:lineRule="auto"/>
        <w:ind w:left="479" w:leftChars="228" w:firstLine="0" w:firstLineChars="0"/>
        <w:rPr>
          <w:rFonts w:hint="eastAsia" w:ascii="宋体" w:hAnsi="宋体"/>
          <w:sz w:val="24"/>
        </w:rPr>
      </w:pPr>
      <w:r>
        <w:rPr>
          <w:rFonts w:hint="eastAsia" w:ascii="宋体" w:hAnsi="宋体" w:eastAsia="宋体" w:cs="宋体"/>
          <w:color w:val="auto"/>
          <w:sz w:val="24"/>
          <w:highlight w:val="none"/>
          <w:lang w:val="en-US" w:eastAsia="zh-CN"/>
        </w:rPr>
        <w:t>标段划分：本项目不划分标段；</w:t>
      </w:r>
    </w:p>
    <w:p w14:paraId="4B6D0994">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、是否专门面向中小企业：否</w:t>
      </w:r>
    </w:p>
    <w:p w14:paraId="7DFB1E7C">
      <w:pPr>
        <w:spacing w:line="360" w:lineRule="auto"/>
        <w:ind w:firstLine="482" w:firstLineChars="200"/>
        <w:outlineLvl w:val="1"/>
        <w:rPr>
          <w:rFonts w:hint="eastAsia"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val="en-US" w:eastAsia="zh-CN"/>
        </w:rPr>
        <w:t>二</w:t>
      </w:r>
      <w:r>
        <w:rPr>
          <w:rFonts w:hint="eastAsia" w:asciiTheme="majorEastAsia" w:hAnsiTheme="majorEastAsia" w:eastAsiaTheme="majorEastAsia" w:cstheme="majorEastAsia"/>
          <w:b/>
          <w:bCs/>
          <w:color w:val="auto"/>
          <w:sz w:val="24"/>
          <w:highlight w:val="none"/>
        </w:rPr>
        <w:t>、</w:t>
      </w:r>
      <w:r>
        <w:rPr>
          <w:rFonts w:hint="eastAsia" w:asciiTheme="majorEastAsia" w:hAnsiTheme="majorEastAsia" w:eastAsiaTheme="majorEastAsia" w:cstheme="majorEastAsia"/>
          <w:b/>
          <w:bCs/>
          <w:color w:val="auto"/>
          <w:sz w:val="24"/>
          <w:highlight w:val="none"/>
          <w:lang w:val="en-US" w:eastAsia="zh-CN"/>
        </w:rPr>
        <w:t>申请</w:t>
      </w:r>
      <w:r>
        <w:rPr>
          <w:rFonts w:hint="eastAsia" w:asciiTheme="majorEastAsia" w:hAnsiTheme="majorEastAsia" w:eastAsiaTheme="majorEastAsia" w:cstheme="majorEastAsia"/>
          <w:b/>
          <w:bCs/>
          <w:color w:val="auto"/>
          <w:sz w:val="24"/>
          <w:highlight w:val="none"/>
        </w:rPr>
        <w:t>人</w:t>
      </w:r>
      <w:r>
        <w:rPr>
          <w:rFonts w:hint="eastAsia" w:asciiTheme="majorEastAsia" w:hAnsiTheme="majorEastAsia" w:eastAsiaTheme="majorEastAsia" w:cstheme="majorEastAsia"/>
          <w:b/>
          <w:bCs/>
          <w:color w:val="auto"/>
          <w:sz w:val="24"/>
          <w:highlight w:val="none"/>
          <w:lang w:val="en-US" w:eastAsia="zh-CN"/>
        </w:rPr>
        <w:t>的</w:t>
      </w:r>
      <w:r>
        <w:rPr>
          <w:rFonts w:hint="eastAsia" w:asciiTheme="majorEastAsia" w:hAnsiTheme="majorEastAsia" w:eastAsiaTheme="majorEastAsia" w:cstheme="majorEastAsia"/>
          <w:b/>
          <w:bCs/>
          <w:color w:val="auto"/>
          <w:sz w:val="24"/>
          <w:highlight w:val="none"/>
        </w:rPr>
        <w:t>资格要求</w:t>
      </w:r>
      <w:bookmarkEnd w:id="60"/>
      <w:bookmarkEnd w:id="65"/>
      <w:bookmarkEnd w:id="66"/>
      <w:bookmarkEnd w:id="67"/>
      <w:bookmarkEnd w:id="68"/>
      <w:bookmarkEnd w:id="69"/>
      <w:bookmarkEnd w:id="70"/>
      <w:r>
        <w:rPr>
          <w:rFonts w:hint="eastAsia" w:asciiTheme="majorEastAsia" w:hAnsiTheme="majorEastAsia" w:eastAsiaTheme="majorEastAsia" w:cstheme="majorEastAsia"/>
          <w:b/>
          <w:bCs/>
          <w:color w:val="auto"/>
          <w:sz w:val="24"/>
          <w:highlight w:val="none"/>
          <w:lang w:eastAsia="zh-CN"/>
        </w:rPr>
        <w:t>：</w:t>
      </w:r>
    </w:p>
    <w:p w14:paraId="2187445D">
      <w:pPr>
        <w:spacing w:line="360" w:lineRule="auto"/>
        <w:ind w:firstLine="482" w:firstLineChars="201"/>
        <w:rPr>
          <w:rFonts w:ascii="宋体" w:hAnsi="宋体"/>
          <w:color w:val="auto"/>
          <w:sz w:val="24"/>
        </w:rPr>
      </w:pPr>
      <w:bookmarkStart w:id="71" w:name="_Toc9244"/>
      <w:bookmarkStart w:id="72" w:name="_Toc27016"/>
      <w:bookmarkStart w:id="73" w:name="_Toc25845"/>
      <w:bookmarkStart w:id="74" w:name="_Toc6002"/>
      <w:bookmarkStart w:id="75" w:name="_Toc12279"/>
      <w:bookmarkStart w:id="76" w:name="_Toc10588"/>
      <w:bookmarkStart w:id="77" w:name="_Toc17533"/>
      <w:bookmarkStart w:id="78" w:name="_Toc7827"/>
      <w:r>
        <w:rPr>
          <w:rFonts w:hint="eastAsia" w:ascii="宋体" w:hAnsi="宋体"/>
          <w:color w:val="auto"/>
          <w:sz w:val="24"/>
        </w:rPr>
        <w:t xml:space="preserve">1. </w:t>
      </w:r>
      <w:r>
        <w:rPr>
          <w:rFonts w:hint="eastAsia" w:ascii="宋体" w:hAnsi="宋体" w:eastAsia="宋体" w:cs="宋体"/>
          <w:color w:val="auto"/>
          <w:sz w:val="24"/>
          <w:highlight w:val="none"/>
          <w:lang w:val="en-US" w:eastAsia="zh-CN"/>
        </w:rPr>
        <w:t>满足《中华人民共和国政府采购法》第二十二条规定，</w:t>
      </w:r>
      <w:r>
        <w:rPr>
          <w:rFonts w:hint="eastAsia" w:ascii="宋体" w:hAnsi="宋体" w:cs="宋体"/>
          <w:color w:val="auto"/>
          <w:sz w:val="24"/>
          <w:highlight w:val="none"/>
          <w:lang w:val="en-US" w:eastAsia="zh-CN"/>
        </w:rPr>
        <w:t>供应商须</w:t>
      </w:r>
      <w:r>
        <w:rPr>
          <w:rFonts w:hint="eastAsia" w:ascii="宋体" w:hAnsi="宋体" w:eastAsia="宋体" w:cs="宋体"/>
          <w:color w:val="auto"/>
          <w:sz w:val="24"/>
          <w:highlight w:val="none"/>
          <w:lang w:val="en-US" w:eastAsia="zh-CN"/>
        </w:rPr>
        <w:t>提供承诺书</w:t>
      </w:r>
      <w:r>
        <w:rPr>
          <w:rFonts w:hint="eastAsia" w:ascii="宋体" w:hAnsi="宋体" w:cs="宋体"/>
          <w:color w:val="auto"/>
          <w:sz w:val="24"/>
          <w:highlight w:val="none"/>
          <w:lang w:val="en-US" w:eastAsia="zh-CN"/>
        </w:rPr>
        <w:t>；</w:t>
      </w:r>
      <w:r>
        <w:rPr>
          <w:rFonts w:hint="eastAsia" w:asciiTheme="minorEastAsia" w:hAnsiTheme="minorEastAsia" w:eastAsiaTheme="minorEastAsia" w:cstheme="minorEastAsia"/>
          <w:b w:val="0"/>
          <w:bCs w:val="0"/>
          <w:color w:val="auto"/>
          <w:sz w:val="24"/>
          <w:highlight w:val="none"/>
          <w:lang w:val="en-US" w:eastAsia="zh-CN"/>
        </w:rPr>
        <w:t>（格式详见第六章投标文件格式附件1）</w:t>
      </w:r>
      <w:r>
        <w:rPr>
          <w:rFonts w:hint="eastAsia" w:ascii="宋体" w:hAnsi="宋体"/>
          <w:color w:val="auto"/>
          <w:sz w:val="24"/>
        </w:rPr>
        <w:t>；</w:t>
      </w:r>
    </w:p>
    <w:p w14:paraId="3F32BE75">
      <w:pPr>
        <w:spacing w:line="360" w:lineRule="auto"/>
        <w:ind w:firstLine="482" w:firstLineChars="201"/>
        <w:rPr>
          <w:rFonts w:ascii="宋体" w:hAnsi="宋体"/>
          <w:color w:val="auto"/>
          <w:sz w:val="24"/>
        </w:rPr>
      </w:pPr>
      <w:r>
        <w:rPr>
          <w:rFonts w:ascii="宋体" w:hAnsi="宋体"/>
          <w:color w:val="auto"/>
          <w:sz w:val="24"/>
        </w:rPr>
        <w:t>2</w:t>
      </w:r>
      <w:r>
        <w:rPr>
          <w:rFonts w:hint="eastAsia" w:ascii="宋体" w:hAnsi="宋体"/>
          <w:color w:val="auto"/>
          <w:sz w:val="24"/>
        </w:rPr>
        <w:t>. 落实政府采购政策需满足的资格要求：本项目支持小微（监狱、残疾人福利性单位）企业扶持等相关政府采购政策；</w:t>
      </w:r>
      <w:r>
        <w:rPr>
          <w:rFonts w:hint="eastAsia" w:asciiTheme="minorEastAsia" w:hAnsiTheme="minorEastAsia" w:eastAsiaTheme="minorEastAsia" w:cstheme="minorEastAsia"/>
          <w:b w:val="0"/>
          <w:bCs w:val="0"/>
          <w:color w:val="auto"/>
          <w:sz w:val="24"/>
          <w:szCs w:val="28"/>
          <w:highlight w:val="none"/>
          <w:lang w:val="en-US" w:eastAsia="zh-CN"/>
        </w:rPr>
        <w:t>（格式详见第六章投标文件格式附件4）</w:t>
      </w:r>
    </w:p>
    <w:p w14:paraId="3BF63036">
      <w:pPr>
        <w:spacing w:line="360" w:lineRule="auto"/>
        <w:ind w:firstLine="482" w:firstLineChars="201"/>
        <w:rPr>
          <w:rFonts w:hint="eastAsia" w:ascii="宋体" w:hAnsi="宋体"/>
          <w:color w:val="auto"/>
          <w:sz w:val="24"/>
        </w:rPr>
      </w:pPr>
      <w:r>
        <w:rPr>
          <w:rFonts w:hint="eastAsia" w:ascii="宋体" w:hAnsi="宋体"/>
          <w:color w:val="auto"/>
          <w:sz w:val="24"/>
        </w:rPr>
        <w:t>3. 本项目的特定资格要求：注册于中华人民共和国境内的</w:t>
      </w:r>
      <w:r>
        <w:rPr>
          <w:rFonts w:hint="eastAsia" w:ascii="宋体" w:hAnsi="宋体"/>
          <w:color w:val="auto"/>
          <w:sz w:val="24"/>
          <w:lang w:eastAsia="zh-CN"/>
        </w:rPr>
        <w:t>供应商</w:t>
      </w:r>
      <w:r>
        <w:rPr>
          <w:rFonts w:hint="eastAsia" w:ascii="宋体" w:hAnsi="宋体"/>
          <w:color w:val="auto"/>
          <w:sz w:val="24"/>
        </w:rPr>
        <w:t>且符合以下要求：</w:t>
      </w:r>
    </w:p>
    <w:p w14:paraId="6C56A99C">
      <w:pPr>
        <w:spacing w:line="360" w:lineRule="auto"/>
        <w:ind w:firstLine="480" w:firstLineChars="200"/>
        <w:jc w:val="left"/>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rPr>
        <w:t xml:space="preserve">3.1 </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lang w:val="en-US" w:eastAsia="zh-CN"/>
        </w:rPr>
        <w:t>须</w:t>
      </w:r>
      <w:r>
        <w:rPr>
          <w:rFonts w:hint="eastAsia" w:ascii="宋体" w:hAnsi="宋体" w:cs="宋体"/>
          <w:color w:val="auto"/>
          <w:kern w:val="0"/>
          <w:sz w:val="24"/>
          <w:szCs w:val="24"/>
          <w:lang w:eastAsia="zh-CN"/>
        </w:rPr>
        <w:t>具有有效的营业执照，或事业单位法人证书。（投标文件中须附营业执照或事业单位法人证书</w:t>
      </w:r>
      <w:r>
        <w:rPr>
          <w:rFonts w:hint="eastAsia" w:ascii="宋体" w:hAnsi="宋体" w:cs="宋体"/>
          <w:color w:val="auto"/>
          <w:kern w:val="0"/>
          <w:sz w:val="24"/>
          <w:szCs w:val="24"/>
          <w:lang w:val="en-US" w:eastAsia="zh-CN"/>
        </w:rPr>
        <w:t>原件</w:t>
      </w:r>
      <w:r>
        <w:rPr>
          <w:rFonts w:hint="eastAsia" w:ascii="宋体" w:hAnsi="宋体" w:cs="宋体"/>
          <w:color w:val="auto"/>
          <w:kern w:val="0"/>
          <w:sz w:val="24"/>
          <w:szCs w:val="24"/>
          <w:lang w:eastAsia="zh-CN"/>
        </w:rPr>
        <w:t>扫描件，否则其投标不被接受）。</w:t>
      </w:r>
    </w:p>
    <w:p w14:paraId="10FF51E0">
      <w:pPr>
        <w:spacing w:line="360" w:lineRule="auto"/>
        <w:ind w:left="-420" w:leftChars="-200" w:firstLine="480" w:firstLineChars="200"/>
        <w:rPr>
          <w:rFonts w:hint="eastAsia" w:ascii="宋体" w:hAnsi="宋体"/>
          <w:color w:val="auto"/>
          <w:sz w:val="24"/>
        </w:rPr>
      </w:pPr>
      <w:r>
        <w:rPr>
          <w:rFonts w:hint="eastAsia" w:ascii="宋体" w:hAnsi="宋体"/>
          <w:color w:val="auto"/>
          <w:sz w:val="24"/>
        </w:rPr>
        <w:t xml:space="preserve">    3.</w:t>
      </w:r>
      <w:r>
        <w:rPr>
          <w:rFonts w:hint="eastAsia" w:ascii="宋体" w:hAnsi="宋体"/>
          <w:color w:val="auto"/>
          <w:sz w:val="24"/>
          <w:lang w:val="en-US" w:eastAsia="zh-CN"/>
        </w:rPr>
        <w:t>2</w:t>
      </w:r>
      <w:r>
        <w:rPr>
          <w:rFonts w:hint="eastAsia" w:asciiTheme="minorEastAsia" w:hAnsiTheme="minorEastAsia" w:eastAsiaTheme="minorEastAsia" w:cstheme="minorEastAsia"/>
          <w:b w:val="0"/>
          <w:bCs w:val="0"/>
          <w:color w:val="auto"/>
          <w:sz w:val="24"/>
          <w:highlight w:val="none"/>
          <w:lang w:val="en-US" w:eastAsia="zh-CN"/>
        </w:rPr>
        <w:t>供应商须出具本单位无商业贿赂及无不正当竞争行为的承诺书</w:t>
      </w:r>
      <w:r>
        <w:rPr>
          <w:rFonts w:hint="eastAsia" w:asciiTheme="minorEastAsia" w:hAnsiTheme="minorEastAsia" w:eastAsiaTheme="minorEastAsia" w:cstheme="minorEastAsia"/>
          <w:b w:val="0"/>
          <w:bCs w:val="0"/>
          <w:color w:val="auto"/>
          <w:sz w:val="24"/>
          <w:szCs w:val="28"/>
          <w:highlight w:val="none"/>
          <w:lang w:val="en-US" w:eastAsia="zh-CN"/>
        </w:rPr>
        <w:t>（格式详见第六章投标文件格式附件2）；</w:t>
      </w:r>
    </w:p>
    <w:p w14:paraId="21C67AF4">
      <w:pPr>
        <w:spacing w:line="360" w:lineRule="auto"/>
        <w:ind w:left="-420" w:leftChars="-200" w:firstLine="960" w:firstLineChars="4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eastAsia="宋体" w:cs="宋体"/>
          <w:color w:val="auto"/>
          <w:kern w:val="0"/>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lang w:val="en-US" w:eastAsia="zh-CN"/>
        </w:rPr>
        <w:t>，拒绝参与本项目采购活动；查询渠道：①中国执行信息公开网（https://zxgk.court.gov.cn/shixin）查询内容：失信被执行人；②“信用中国”网站（https://www.creditchina.gov.cn/zhuanxiangchaxun/），查询内容：重大税收违法失信主体；③中国政府采购网（www.ccgp.gov.cn）查询内容：政府采购严重违法失信行为记录名单。</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lang w:val="en-US" w:eastAsia="zh-CN"/>
        </w:rPr>
        <w:t>须提供中国执行信息公开网查询页、信用中国查询页、中国政府采购网查询页的查询结果截图</w:t>
      </w:r>
      <w:r>
        <w:rPr>
          <w:rFonts w:hint="eastAsia" w:ascii="宋体" w:hAnsi="宋体" w:eastAsia="宋体" w:cs="宋体"/>
          <w:color w:val="auto"/>
          <w:kern w:val="0"/>
          <w:sz w:val="24"/>
          <w:szCs w:val="24"/>
        </w:rPr>
        <w:t>，查询日期为本</w:t>
      </w:r>
      <w:r>
        <w:rPr>
          <w:rFonts w:hint="eastAsia" w:ascii="宋体" w:hAnsi="宋体" w:eastAsia="宋体" w:cs="宋体"/>
          <w:color w:val="auto"/>
          <w:kern w:val="0"/>
          <w:sz w:val="24"/>
          <w:szCs w:val="24"/>
          <w:lang w:eastAsia="zh-CN"/>
        </w:rPr>
        <w:t>公告</w:t>
      </w:r>
      <w:r>
        <w:rPr>
          <w:rFonts w:hint="eastAsia" w:ascii="宋体" w:hAnsi="宋体" w:eastAsia="宋体" w:cs="宋体"/>
          <w:color w:val="auto"/>
          <w:kern w:val="0"/>
          <w:sz w:val="24"/>
          <w:szCs w:val="24"/>
        </w:rPr>
        <w:t>发布之日起，网站截图应含有日期</w:t>
      </w:r>
      <w:r>
        <w:rPr>
          <w:rFonts w:hint="eastAsia" w:ascii="宋体" w:hAnsi="宋体" w:eastAsia="宋体" w:cs="宋体"/>
          <w:color w:val="auto"/>
          <w:kern w:val="0"/>
          <w:sz w:val="24"/>
          <w:szCs w:val="24"/>
          <w:lang w:val="en-US" w:eastAsia="zh-CN"/>
        </w:rPr>
        <w:t>且显示查询结果</w:t>
      </w:r>
      <w:r>
        <w:rPr>
          <w:rFonts w:hint="eastAsia" w:ascii="宋体" w:hAnsi="宋体" w:cs="宋体"/>
          <w:color w:val="auto"/>
          <w:kern w:val="0"/>
          <w:sz w:val="24"/>
          <w:szCs w:val="24"/>
          <w:lang w:val="en-US" w:eastAsia="zh-CN"/>
        </w:rPr>
        <w:t>。</w:t>
      </w:r>
      <w:r>
        <w:rPr>
          <w:rFonts w:hint="eastAsia" w:ascii="宋体" w:hAnsi="宋体"/>
          <w:color w:val="auto"/>
          <w:sz w:val="24"/>
        </w:rPr>
        <w:t>；</w:t>
      </w:r>
    </w:p>
    <w:p w14:paraId="761A6CC3">
      <w:pPr>
        <w:spacing w:line="360" w:lineRule="auto"/>
        <w:ind w:left="-420" w:leftChars="-200" w:firstLine="960" w:firstLineChars="400"/>
        <w:rPr>
          <w:rFonts w:hint="eastAsia" w:ascii="宋体" w:hAnsi="宋体" w:cs="宋体"/>
          <w:color w:val="auto"/>
          <w:sz w:val="24"/>
          <w:highlight w:val="green"/>
          <w:lang w:val="en-US" w:eastAsia="zh-CN" w:bidi="ar"/>
        </w:rPr>
      </w:pPr>
      <w:r>
        <w:rPr>
          <w:rFonts w:hint="eastAsia" w:ascii="宋体" w:hAnsi="宋体" w:eastAsia="宋体" w:cs="Times New Roman"/>
          <w:color w:val="auto"/>
          <w:sz w:val="24"/>
        </w:rPr>
        <w:t>3.</w:t>
      </w:r>
      <w:r>
        <w:rPr>
          <w:rFonts w:hint="eastAsia" w:ascii="宋体" w:hAnsi="宋体" w:cs="Times New Roman"/>
          <w:color w:val="auto"/>
          <w:sz w:val="24"/>
          <w:lang w:val="en-US" w:eastAsia="zh-CN"/>
        </w:rPr>
        <w:t>4</w:t>
      </w:r>
      <w:r>
        <w:rPr>
          <w:rFonts w:hint="eastAsia" w:ascii="宋体" w:hAnsi="宋体" w:cs="宋体"/>
          <w:color w:val="auto"/>
          <w:sz w:val="24"/>
          <w:highlight w:val="none"/>
          <w:lang w:val="en-US" w:eastAsia="zh-CN" w:bidi="ar"/>
        </w:rPr>
        <w:t>单位负责人为同一人或者存在直接控股、管理关系的不同供应商，不得参加同一合同项下的采购活动；（提供“国家企业信用信息公示系统”中查询打印的相关信息或单位自行出具的承诺书，查询信息需包含公司基本信息、股东信息及股权变更信息等相关信息，查询起始日期为本项目公告发布之后，查询截止时间为开标时间同一时间）</w:t>
      </w:r>
    </w:p>
    <w:p w14:paraId="5EFEFC6F">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3.5本次采购不接受联合体投标，供应商需提供非联合体承诺书（格式详见第六章投标文件格式附件3）；</w:t>
      </w:r>
    </w:p>
    <w:p w14:paraId="47201BB8">
      <w:pPr>
        <w:spacing w:line="490" w:lineRule="exact"/>
        <w:ind w:firstLine="482" w:firstLineChars="200"/>
        <w:rPr>
          <w:rFonts w:hint="eastAsia" w:asciiTheme="majorEastAsia" w:hAnsiTheme="majorEastAsia" w:eastAsiaTheme="majorEastAsia" w:cstheme="majorEastAsia"/>
          <w:b/>
          <w:bCs/>
          <w:color w:val="auto"/>
          <w:sz w:val="24"/>
          <w:highlight w:val="none"/>
          <w:lang w:val="en-US" w:eastAsia="zh-CN"/>
        </w:rPr>
      </w:pPr>
      <w:r>
        <w:rPr>
          <w:rFonts w:hint="eastAsia" w:asciiTheme="majorEastAsia" w:hAnsiTheme="majorEastAsia" w:eastAsiaTheme="majorEastAsia" w:cstheme="majorEastAsia"/>
          <w:b/>
          <w:bCs/>
          <w:color w:val="auto"/>
          <w:sz w:val="24"/>
          <w:highlight w:val="none"/>
          <w:lang w:val="en-US" w:eastAsia="zh-CN"/>
        </w:rPr>
        <w:t>三、投标报名及招标文件的获取方式</w:t>
      </w:r>
      <w:bookmarkEnd w:id="71"/>
      <w:bookmarkEnd w:id="72"/>
      <w:bookmarkEnd w:id="73"/>
      <w:bookmarkEnd w:id="74"/>
      <w:bookmarkEnd w:id="75"/>
      <w:bookmarkEnd w:id="76"/>
      <w:bookmarkEnd w:id="77"/>
      <w:bookmarkEnd w:id="78"/>
    </w:p>
    <w:p w14:paraId="5FAB85EB">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招标文件获取方式：本项目没有报名环节，供应商凭CA数字证书通过三门峡市公共资源交易中心网（网址：http://gzjy.smx.gov.cn/），点击交易平台选择“交易主体登录”，在所参与项目右侧点击参与投标，即可直接下载本项目招标文件（招标文件包含采购内容、技术参数要求等投标所需一切内容）。</w:t>
      </w:r>
    </w:p>
    <w:p w14:paraId="7E50A307">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具体操作请查看以下链接：</w:t>
      </w:r>
    </w:p>
    <w:p w14:paraId="27645E72">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三门峡市公共资源交易平台操作手册：</w:t>
      </w:r>
    </w:p>
    <w:p w14:paraId="334385F4">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http://gzjy.smx.gov.cn/fwzn/004003/20200325/2b5a3a5a-f987-405c-993f-88f43e1d1ac3.html</w:t>
      </w:r>
    </w:p>
    <w:p w14:paraId="45343BF9">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办理CA证书：</w:t>
      </w:r>
    </w:p>
    <w:p w14:paraId="2950AE93">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http://gzjy.smx.gov.cn/bzzx/008001/20231102/4defc9b5-408e-47f2-9e9f-1f376a06ee1f.html</w:t>
      </w:r>
    </w:p>
    <w:p w14:paraId="1BF839C9">
      <w:pPr>
        <w:spacing w:line="490" w:lineRule="exact"/>
        <w:ind w:firstLine="480" w:firstLineChars="200"/>
        <w:rPr>
          <w:rFonts w:hint="eastAsia" w:asciiTheme="minorEastAsia" w:hAnsiTheme="minorEastAsia" w:eastAsiaTheme="minorEastAsia" w:cstheme="minorEastAsia"/>
          <w:b w:val="0"/>
          <w:bCs w:val="0"/>
          <w:color w:val="0000FF"/>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2、招标文件下载时间</w:t>
      </w:r>
      <w:r>
        <w:rPr>
          <w:rFonts w:hint="eastAsia" w:asciiTheme="minorEastAsia" w:hAnsiTheme="minorEastAsia" w:eastAsiaTheme="minorEastAsia" w:cstheme="minorEastAsia"/>
          <w:b w:val="0"/>
          <w:bCs w:val="0"/>
          <w:color w:val="0000FF"/>
          <w:sz w:val="24"/>
          <w:highlight w:val="none"/>
          <w:lang w:val="en-US" w:eastAsia="zh-CN"/>
        </w:rPr>
        <w:t>：2026年02月06日至2026年03月02日08时20分。</w:t>
      </w:r>
    </w:p>
    <w:p w14:paraId="1CA7AA71">
      <w:pPr>
        <w:spacing w:line="49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3、本项目为采用全电子化招标，不再收取招标文件费。</w:t>
      </w:r>
    </w:p>
    <w:p w14:paraId="3531FEA6">
      <w:pPr>
        <w:keepNext w:val="0"/>
        <w:keepLines w:val="0"/>
        <w:pageBreakBefore w:val="0"/>
        <w:widowControl w:val="0"/>
        <w:kinsoku/>
        <w:wordWrap w:val="0"/>
        <w:overflowPunct/>
        <w:topLinePunct w:val="0"/>
        <w:autoSpaceDE/>
        <w:autoSpaceDN/>
        <w:bidi w:val="0"/>
        <w:adjustRightInd/>
        <w:snapToGrid/>
        <w:spacing w:line="49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3A35F3A3">
      <w:pPr>
        <w:pStyle w:val="157"/>
        <w:spacing w:before="0" w:beforeAutospacing="0" w:after="0" w:afterAutospacing="0" w:line="490" w:lineRule="exact"/>
        <w:ind w:firstLine="482" w:firstLineChars="200"/>
        <w:outlineLvl w:val="1"/>
        <w:rPr>
          <w:rFonts w:hint="eastAsia" w:ascii="宋体" w:hAnsi="宋体" w:eastAsia="宋体" w:cs="宋体"/>
          <w:b/>
          <w:bCs/>
          <w:color w:val="auto"/>
          <w:highlight w:val="none"/>
        </w:rPr>
      </w:pPr>
      <w:bookmarkStart w:id="79" w:name="_Toc4657"/>
      <w:r>
        <w:rPr>
          <w:rFonts w:hint="eastAsia" w:cs="宋体"/>
          <w:b/>
          <w:bCs/>
          <w:color w:val="auto"/>
          <w:highlight w:val="none"/>
          <w:lang w:val="en-US" w:eastAsia="zh-CN"/>
        </w:rPr>
        <w:t>四</w:t>
      </w:r>
      <w:r>
        <w:rPr>
          <w:rFonts w:hint="eastAsia" w:ascii="宋体" w:hAnsi="宋体" w:eastAsia="宋体" w:cs="宋体"/>
          <w:b/>
          <w:bCs/>
          <w:color w:val="auto"/>
          <w:highlight w:val="none"/>
        </w:rPr>
        <w:t>、投标保证金</w:t>
      </w:r>
      <w:bookmarkEnd w:id="79"/>
    </w:p>
    <w:p w14:paraId="0F11B95C">
      <w:pPr>
        <w:pStyle w:val="157"/>
        <w:spacing w:before="0" w:beforeAutospacing="0" w:after="0" w:afterAutospacing="0" w:line="490" w:lineRule="exact"/>
        <w:ind w:firstLine="480" w:firstLineChars="200"/>
        <w:outlineLvl w:val="1"/>
        <w:rPr>
          <w:rFonts w:hint="eastAsia" w:ascii="宋体" w:hAnsi="宋体" w:cs="Times New Roman"/>
          <w:color w:val="auto"/>
          <w:szCs w:val="20"/>
          <w:highlight w:val="none"/>
          <w:lang w:eastAsia="zh-CN"/>
        </w:rPr>
      </w:pPr>
      <w:bookmarkStart w:id="80" w:name="_Toc19140"/>
      <w:r>
        <w:rPr>
          <w:rFonts w:hint="eastAsia" w:cs="Times New Roman"/>
          <w:color w:val="auto"/>
          <w:szCs w:val="20"/>
          <w:highlight w:val="none"/>
          <w:lang w:val="en-US" w:eastAsia="zh-CN"/>
        </w:rPr>
        <w:t>参照</w:t>
      </w:r>
      <w:r>
        <w:rPr>
          <w:rFonts w:hint="eastAsia" w:ascii="宋体" w:hAnsi="宋体" w:cs="Times New Roman"/>
          <w:color w:val="auto"/>
          <w:szCs w:val="20"/>
          <w:highlight w:val="none"/>
          <w:lang w:eastAsia="zh-CN"/>
        </w:rPr>
        <w:t>《河南省财政厅关于优化政府采购营商环境有关问题的通知》（豫财购[2019]4号文）的要求</w:t>
      </w:r>
      <w:r>
        <w:rPr>
          <w:rFonts w:hint="eastAsia" w:cs="Times New Roman"/>
          <w:color w:val="auto"/>
          <w:szCs w:val="20"/>
          <w:highlight w:val="none"/>
          <w:lang w:eastAsia="zh-CN"/>
        </w:rPr>
        <w:t>，</w:t>
      </w:r>
      <w:r>
        <w:rPr>
          <w:rFonts w:hint="eastAsia" w:ascii="宋体" w:hAnsi="宋体" w:cs="Times New Roman"/>
          <w:color w:val="auto"/>
          <w:szCs w:val="20"/>
          <w:highlight w:val="none"/>
          <w:lang w:eastAsia="zh-CN"/>
        </w:rPr>
        <w:t>本项目不再收取投标保证金。</w:t>
      </w:r>
    </w:p>
    <w:p w14:paraId="223350B4">
      <w:pPr>
        <w:pStyle w:val="157"/>
        <w:spacing w:before="0" w:beforeAutospacing="0" w:after="0" w:afterAutospacing="0" w:line="490" w:lineRule="exact"/>
        <w:ind w:firstLine="482" w:firstLineChars="200"/>
        <w:outlineLvl w:val="1"/>
        <w:rPr>
          <w:rFonts w:hint="eastAsia" w:ascii="宋体" w:hAnsi="宋体" w:eastAsia="宋体" w:cs="宋体"/>
          <w:b/>
          <w:bCs/>
          <w:color w:val="auto"/>
          <w:highlight w:val="none"/>
        </w:rPr>
      </w:pPr>
      <w:r>
        <w:rPr>
          <w:rFonts w:hint="eastAsia" w:cs="宋体"/>
          <w:b/>
          <w:bCs/>
          <w:color w:val="auto"/>
          <w:highlight w:val="none"/>
          <w:lang w:val="en-US" w:eastAsia="zh-CN"/>
        </w:rPr>
        <w:t>五</w:t>
      </w:r>
      <w:r>
        <w:rPr>
          <w:rFonts w:hint="eastAsia" w:ascii="宋体" w:hAnsi="宋体" w:eastAsia="宋体" w:cs="宋体"/>
          <w:b/>
          <w:bCs/>
          <w:color w:val="auto"/>
          <w:highlight w:val="none"/>
        </w:rPr>
        <w:t>、投标文件的递交</w:t>
      </w:r>
      <w:bookmarkEnd w:id="80"/>
    </w:p>
    <w:p w14:paraId="25041788">
      <w:pPr>
        <w:pStyle w:val="157"/>
        <w:spacing w:before="0" w:beforeAutospacing="0" w:after="0" w:afterAutospacing="0" w:line="490" w:lineRule="exact"/>
        <w:ind w:firstLine="480" w:firstLineChars="200"/>
        <w:rPr>
          <w:rFonts w:hint="eastAsia" w:ascii="宋体" w:hAnsi="宋体" w:eastAsia="宋体" w:cs="宋体"/>
          <w:color w:val="0000FF"/>
          <w:highlight w:val="none"/>
          <w:lang w:eastAsia="zh-CN"/>
        </w:rPr>
      </w:pPr>
      <w:r>
        <w:rPr>
          <w:rFonts w:hint="eastAsia" w:cs="宋体"/>
          <w:color w:val="auto"/>
          <w:highlight w:val="none"/>
          <w:lang w:val="en-US" w:eastAsia="zh-CN"/>
        </w:rPr>
        <w:t>1、</w:t>
      </w:r>
      <w:r>
        <w:rPr>
          <w:rFonts w:hint="eastAsia" w:ascii="宋体" w:hAnsi="宋体" w:eastAsia="宋体" w:cs="宋体"/>
          <w:color w:val="auto"/>
          <w:highlight w:val="none"/>
        </w:rPr>
        <w:t>投标文件递交截止时间及开标时间</w:t>
      </w:r>
      <w:r>
        <w:rPr>
          <w:rFonts w:hint="eastAsia" w:ascii="宋体" w:hAnsi="宋体" w:eastAsia="宋体" w:cs="宋体"/>
          <w:color w:val="0000FF"/>
          <w:highlight w:val="none"/>
        </w:rPr>
        <w:t>：</w:t>
      </w:r>
      <w:r>
        <w:rPr>
          <w:rFonts w:hint="eastAsia" w:ascii="宋体" w:hAnsi="宋体" w:eastAsia="宋体" w:cs="宋体"/>
          <w:color w:val="0000FF"/>
          <w:highlight w:val="none"/>
          <w:lang w:val="en-US" w:eastAsia="zh-CN"/>
        </w:rPr>
        <w:t>202</w:t>
      </w:r>
      <w:r>
        <w:rPr>
          <w:rFonts w:hint="eastAsia" w:cs="宋体"/>
          <w:color w:val="0000FF"/>
          <w:highlight w:val="none"/>
          <w:lang w:val="en-US" w:eastAsia="zh-CN"/>
        </w:rPr>
        <w:t>6</w:t>
      </w:r>
      <w:r>
        <w:rPr>
          <w:rFonts w:hint="eastAsia" w:ascii="宋体" w:hAnsi="宋体" w:eastAsia="宋体" w:cs="宋体"/>
          <w:color w:val="0000FF"/>
          <w:highlight w:val="none"/>
          <w:lang w:val="en-US" w:eastAsia="zh-CN"/>
        </w:rPr>
        <w:t>年</w:t>
      </w:r>
      <w:r>
        <w:rPr>
          <w:rFonts w:hint="eastAsia" w:cs="宋体"/>
          <w:color w:val="0000FF"/>
          <w:highlight w:val="none"/>
          <w:lang w:val="en-US" w:eastAsia="zh-CN"/>
        </w:rPr>
        <w:t>03</w:t>
      </w:r>
      <w:r>
        <w:rPr>
          <w:rFonts w:hint="eastAsia" w:ascii="宋体" w:hAnsi="宋体" w:eastAsia="宋体" w:cs="宋体"/>
          <w:color w:val="0000FF"/>
          <w:highlight w:val="none"/>
          <w:lang w:val="en-US" w:eastAsia="zh-CN"/>
        </w:rPr>
        <w:t>月</w:t>
      </w:r>
      <w:r>
        <w:rPr>
          <w:rFonts w:hint="eastAsia" w:cs="宋体"/>
          <w:color w:val="0000FF"/>
          <w:highlight w:val="none"/>
          <w:lang w:val="en-US" w:eastAsia="zh-CN"/>
        </w:rPr>
        <w:t>02</w:t>
      </w:r>
      <w:r>
        <w:rPr>
          <w:rFonts w:hint="eastAsia" w:ascii="宋体" w:hAnsi="宋体" w:eastAsia="宋体" w:cs="宋体"/>
          <w:color w:val="0000FF"/>
          <w:highlight w:val="none"/>
          <w:lang w:val="en-US" w:eastAsia="zh-CN"/>
        </w:rPr>
        <w:t>日</w:t>
      </w:r>
      <w:r>
        <w:rPr>
          <w:rFonts w:hint="eastAsia" w:cs="宋体"/>
          <w:color w:val="0000FF"/>
          <w:highlight w:val="none"/>
          <w:lang w:val="en-US" w:eastAsia="zh-CN"/>
        </w:rPr>
        <w:t>08</w:t>
      </w:r>
      <w:r>
        <w:rPr>
          <w:rFonts w:hint="eastAsia" w:ascii="宋体" w:hAnsi="宋体" w:eastAsia="宋体" w:cs="宋体"/>
          <w:color w:val="0000FF"/>
          <w:highlight w:val="none"/>
          <w:lang w:val="en-US" w:eastAsia="zh-CN"/>
        </w:rPr>
        <w:t>时</w:t>
      </w:r>
      <w:r>
        <w:rPr>
          <w:rFonts w:hint="eastAsia" w:cs="宋体"/>
          <w:color w:val="0000FF"/>
          <w:highlight w:val="none"/>
          <w:lang w:val="en-US" w:eastAsia="zh-CN"/>
        </w:rPr>
        <w:t>20</w:t>
      </w:r>
      <w:r>
        <w:rPr>
          <w:rFonts w:hint="eastAsia" w:ascii="宋体" w:hAnsi="宋体" w:eastAsia="宋体" w:cs="宋体"/>
          <w:color w:val="0000FF"/>
          <w:highlight w:val="none"/>
          <w:lang w:val="en-US" w:eastAsia="zh-CN"/>
        </w:rPr>
        <w:t>分</w:t>
      </w:r>
      <w:r>
        <w:rPr>
          <w:rFonts w:hint="eastAsia" w:cs="宋体"/>
          <w:color w:val="0000FF"/>
          <w:highlight w:val="none"/>
          <w:lang w:eastAsia="zh-CN"/>
        </w:rPr>
        <w:t>；</w:t>
      </w:r>
    </w:p>
    <w:p w14:paraId="0E523177">
      <w:pPr>
        <w:pStyle w:val="157"/>
        <w:spacing w:before="0" w:beforeAutospacing="0" w:after="0" w:afterAutospacing="0" w:line="490" w:lineRule="exact"/>
        <w:ind w:firstLine="480" w:firstLineChars="200"/>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rPr>
        <w:t>开标地点：三门峡市公共资源交易中心五楼开标区。</w:t>
      </w:r>
    </w:p>
    <w:p w14:paraId="2ABAFEFE">
      <w:pPr>
        <w:pStyle w:val="157"/>
        <w:spacing w:before="0" w:beforeAutospacing="0" w:after="0" w:afterAutospacing="0" w:line="490" w:lineRule="exact"/>
        <w:ind w:firstLine="482" w:firstLineChars="200"/>
        <w:outlineLvl w:val="1"/>
        <w:rPr>
          <w:rFonts w:hint="eastAsia" w:ascii="宋体" w:hAnsi="宋体" w:eastAsia="宋体" w:cs="宋体"/>
          <w:b/>
          <w:bCs/>
          <w:color w:val="auto"/>
          <w:highlight w:val="none"/>
        </w:rPr>
      </w:pPr>
      <w:bookmarkStart w:id="81" w:name="_Toc13412"/>
      <w:r>
        <w:rPr>
          <w:rFonts w:hint="eastAsia" w:cs="宋体"/>
          <w:b/>
          <w:bCs/>
          <w:color w:val="auto"/>
          <w:highlight w:val="none"/>
          <w:lang w:val="en-US" w:eastAsia="zh-CN"/>
        </w:rPr>
        <w:t>六</w:t>
      </w:r>
      <w:r>
        <w:rPr>
          <w:rFonts w:hint="eastAsia" w:ascii="宋体" w:hAnsi="宋体" w:eastAsia="宋体" w:cs="宋体"/>
          <w:b/>
          <w:bCs/>
          <w:color w:val="auto"/>
          <w:highlight w:val="none"/>
        </w:rPr>
        <w:t>、其他事项</w:t>
      </w:r>
      <w:bookmarkEnd w:id="81"/>
    </w:p>
    <w:p w14:paraId="71BC9ADB">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1、本项目实行资格后审，根据优化营商环境的要求，评标时审查内容以投标（响应）文件为准：</w:t>
      </w:r>
    </w:p>
    <w:p w14:paraId="45FB1920">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（1）资格评（预）审部分：资格评（预）审以投标文件为准，其资料真实性由供应商自行承担，同时，供应商要完善主体库(主体库基本信息不作为资格审查项)。</w:t>
      </w:r>
    </w:p>
    <w:p w14:paraId="00003D41">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（2）评标打分部分：评标打分部分仍按照100分制原则进行，涉及到资格审查、企业荣誉、企业业绩等计分部分时，以投标单位自行制作到投标文件中的相应内容为准。</w:t>
      </w:r>
    </w:p>
    <w:p w14:paraId="6AFEBB1C">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3）投标文件编制部分：在招标文件中要求供应商按照投标文件格式进行投标文件编制，在投标文件编制时，应明确将投标单位企业基本情况、资质情况、人员情况、财务情况、业绩情况编入投标文件，便于进行资格审查及评标打分。 </w:t>
      </w:r>
    </w:p>
    <w:p w14:paraId="3CBB4C83">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2、供应商递交的资料和投标（响应）文件不论中标与否均不予退还。</w:t>
      </w:r>
    </w:p>
    <w:p w14:paraId="42FAC99E">
      <w:pPr>
        <w:widowControl/>
        <w:spacing w:line="48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3、采购人不组织供应商踏勘现场。</w:t>
      </w:r>
    </w:p>
    <w:p w14:paraId="4554653A">
      <w:pPr>
        <w:pStyle w:val="157"/>
        <w:spacing w:before="0" w:beforeAutospacing="0" w:after="0" w:afterAutospacing="0" w:line="490" w:lineRule="exact"/>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温馨提示：本项目为电子化、无纸化交易项目，开标时不再接受任何纸质资料，为保证您能投标成功，请需仔细阅读招标文件和三门峡市公共资源交易中心官网业务办理指南。</w:t>
      </w:r>
    </w:p>
    <w:p w14:paraId="2A08606B">
      <w:pPr>
        <w:pStyle w:val="157"/>
        <w:spacing w:before="0" w:beforeAutospacing="0" w:after="0" w:afterAutospacing="0" w:line="490" w:lineRule="exact"/>
        <w:ind w:firstLine="482" w:firstLineChars="200"/>
        <w:outlineLvl w:val="1"/>
        <w:rPr>
          <w:rFonts w:hint="eastAsia" w:asciiTheme="majorEastAsia" w:hAnsiTheme="majorEastAsia" w:eastAsiaTheme="majorEastAsia" w:cstheme="majorEastAsia"/>
          <w:b/>
          <w:bCs/>
          <w:color w:val="auto"/>
          <w:highlight w:val="none"/>
        </w:rPr>
      </w:pPr>
      <w:bookmarkStart w:id="82" w:name="_Toc231"/>
      <w:r>
        <w:rPr>
          <w:rFonts w:hint="eastAsia" w:asciiTheme="majorEastAsia" w:hAnsiTheme="majorEastAsia" w:eastAsiaTheme="majorEastAsia" w:cstheme="majorEastAsia"/>
          <w:b/>
          <w:bCs/>
          <w:color w:val="auto"/>
          <w:highlight w:val="none"/>
          <w:lang w:val="en-US" w:eastAsia="zh-CN"/>
        </w:rPr>
        <w:t>七</w:t>
      </w:r>
      <w:r>
        <w:rPr>
          <w:rFonts w:hint="eastAsia" w:asciiTheme="majorEastAsia" w:hAnsiTheme="majorEastAsia" w:eastAsiaTheme="majorEastAsia" w:cstheme="majorEastAsia"/>
          <w:b/>
          <w:bCs/>
          <w:color w:val="auto"/>
          <w:highlight w:val="none"/>
        </w:rPr>
        <w:t>、发布公告的媒介</w:t>
      </w:r>
      <w:bookmarkEnd w:id="82"/>
    </w:p>
    <w:p w14:paraId="00B0FE1E">
      <w:pPr>
        <w:widowControl/>
        <w:spacing w:line="480" w:lineRule="exact"/>
        <w:ind w:firstLine="480" w:firstLineChars="200"/>
        <w:jc w:val="left"/>
        <w:rPr>
          <w:rFonts w:hint="eastAsia" w:ascii="宋体" w:hAnsi="宋体" w:eastAsia="宋体" w:cs="宋体"/>
          <w:color w:val="auto"/>
          <w:sz w:val="24"/>
          <w:highlight w:val="none"/>
          <w:lang w:val="en-US" w:eastAsia="zh-CN"/>
        </w:rPr>
      </w:pPr>
      <w:bookmarkStart w:id="83" w:name="_Toc29930"/>
      <w:r>
        <w:rPr>
          <w:rFonts w:hint="eastAsia" w:asciiTheme="minorEastAsia" w:hAnsiTheme="minorEastAsia" w:eastAsiaTheme="minorEastAsia" w:cstheme="minorEastAsia"/>
          <w:color w:val="auto"/>
          <w:sz w:val="24"/>
          <w:highlight w:val="none"/>
          <w:lang w:val="en-US" w:eastAsia="zh-CN"/>
        </w:rPr>
        <w:t>本次招标公告在《河南招标采购综合网》、《中国招标投标公共服务平台》和《三门峡市公共资源交易中心网》等网站上发布。</w:t>
      </w:r>
    </w:p>
    <w:p w14:paraId="2A510857">
      <w:pPr>
        <w:pStyle w:val="157"/>
        <w:spacing w:before="0" w:beforeAutospacing="0" w:after="0" w:afterAutospacing="0" w:line="500" w:lineRule="exact"/>
        <w:ind w:firstLine="482" w:firstLineChars="200"/>
        <w:outlineLvl w:val="1"/>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lang w:val="en-US" w:eastAsia="zh-CN"/>
        </w:rPr>
        <w:t>八</w:t>
      </w:r>
      <w:r>
        <w:rPr>
          <w:rFonts w:hint="eastAsia" w:asciiTheme="majorEastAsia" w:hAnsiTheme="majorEastAsia" w:eastAsiaTheme="majorEastAsia" w:cstheme="majorEastAsia"/>
          <w:b/>
          <w:bCs/>
          <w:color w:val="auto"/>
          <w:highlight w:val="none"/>
        </w:rPr>
        <w:t>、 联系方式</w:t>
      </w:r>
      <w:bookmarkEnd w:id="83"/>
    </w:p>
    <w:p w14:paraId="53E8D22A">
      <w:pPr>
        <w:pStyle w:val="157"/>
        <w:spacing w:before="0" w:beforeAutospacing="0" w:after="0" w:afterAutospacing="0" w:line="500" w:lineRule="exact"/>
        <w:ind w:firstLine="480" w:firstLineChars="200"/>
        <w:rPr>
          <w:rFonts w:hint="default" w:ascii="宋体" w:hAnsi="宋体" w:eastAsia="宋体" w:cs="宋体"/>
          <w:color w:val="auto"/>
          <w:highlight w:val="green"/>
          <w:lang w:val="en-US" w:eastAsia="zh-CN"/>
        </w:rPr>
      </w:pPr>
      <w:r>
        <w:rPr>
          <w:rFonts w:hint="eastAsia" w:ascii="宋体" w:hAnsi="宋体" w:eastAsia="宋体" w:cs="宋体"/>
          <w:color w:val="auto"/>
          <w:highlight w:val="none"/>
          <w:lang w:eastAsia="zh-CN"/>
        </w:rPr>
        <w:t>监督部门：</w:t>
      </w:r>
      <w:r>
        <w:rPr>
          <w:rFonts w:hint="eastAsia" w:cs="宋体"/>
          <w:color w:val="auto"/>
          <w:highlight w:val="none"/>
          <w:lang w:val="en-US" w:eastAsia="zh-CN"/>
        </w:rPr>
        <w:t xml:space="preserve"> 三门峡市城乡一体化示范区财政局</w:t>
      </w:r>
    </w:p>
    <w:p w14:paraId="2A5A143B">
      <w:pPr>
        <w:pStyle w:val="157"/>
        <w:spacing w:before="0" w:beforeAutospacing="0" w:after="0" w:afterAutospacing="0" w:line="500" w:lineRule="exact"/>
        <w:ind w:firstLine="480" w:firstLineChars="200"/>
        <w:rPr>
          <w:rFonts w:hint="default" w:cs="宋体"/>
          <w:color w:val="auto"/>
          <w:highlight w:val="none"/>
          <w:lang w:val="en-US" w:eastAsia="zh-CN"/>
        </w:rPr>
      </w:pPr>
      <w:r>
        <w:rPr>
          <w:rFonts w:hint="eastAsia" w:ascii="宋体" w:hAnsi="宋体" w:eastAsia="宋体" w:cs="宋体"/>
          <w:color w:val="auto"/>
          <w:highlight w:val="none"/>
          <w:lang w:eastAsia="zh-CN"/>
        </w:rPr>
        <w:t>联系方式：</w:t>
      </w:r>
      <w:r>
        <w:rPr>
          <w:rFonts w:hint="eastAsia" w:cs="宋体"/>
          <w:color w:val="auto"/>
          <w:highlight w:val="none"/>
          <w:lang w:val="en-US" w:eastAsia="zh-CN"/>
        </w:rPr>
        <w:t>0398-2751556</w:t>
      </w:r>
    </w:p>
    <w:p w14:paraId="137D1417">
      <w:pPr>
        <w:pStyle w:val="157"/>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cs="宋体"/>
          <w:color w:val="auto"/>
          <w:highlight w:val="none"/>
          <w:lang w:val="en-US" w:eastAsia="zh-CN"/>
        </w:rPr>
        <w:t>采 购 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三门峡高恒投资发展有限公司</w:t>
      </w:r>
    </w:p>
    <w:p w14:paraId="5CA666A2">
      <w:pPr>
        <w:pStyle w:val="157"/>
        <w:spacing w:before="0" w:beforeAutospacing="0" w:after="0" w:afterAutospacing="0" w:line="5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 系 人：</w:t>
      </w:r>
      <w:r>
        <w:rPr>
          <w:rFonts w:hint="eastAsia" w:cs="宋体"/>
          <w:color w:val="auto"/>
          <w:highlight w:val="none"/>
          <w:lang w:val="en-US" w:eastAsia="zh-CN"/>
        </w:rPr>
        <w:t>水博</w:t>
      </w:r>
    </w:p>
    <w:p w14:paraId="7584CE59">
      <w:pPr>
        <w:pStyle w:val="157"/>
        <w:spacing w:before="0" w:beforeAutospacing="0" w:after="0" w:afterAutospacing="0" w:line="5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cs="宋体"/>
          <w:color w:val="auto"/>
          <w:highlight w:val="none"/>
          <w:lang w:val="en-US" w:eastAsia="zh-CN"/>
        </w:rPr>
        <w:t>0398-2751219</w:t>
      </w:r>
    </w:p>
    <w:p w14:paraId="78D927E4">
      <w:pPr>
        <w:pStyle w:val="157"/>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cs="宋体"/>
          <w:color w:val="auto"/>
          <w:highlight w:val="none"/>
          <w:lang w:eastAsia="zh-CN"/>
        </w:rPr>
        <w:t>采购代理机构</w:t>
      </w:r>
      <w:r>
        <w:rPr>
          <w:rFonts w:hint="eastAsia" w:ascii="宋体" w:hAnsi="宋体" w:eastAsia="宋体" w:cs="宋体"/>
          <w:color w:val="auto"/>
          <w:highlight w:val="none"/>
        </w:rPr>
        <w:t>：河南恒泽顺工程管理有限公司</w:t>
      </w:r>
    </w:p>
    <w:p w14:paraId="7B5FCD22">
      <w:pPr>
        <w:pStyle w:val="157"/>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cs="宋体"/>
          <w:color w:val="auto"/>
          <w:highlight w:val="none"/>
          <w:lang w:eastAsia="zh-CN"/>
        </w:rPr>
        <w:t>：</w:t>
      </w:r>
      <w:r>
        <w:rPr>
          <w:rFonts w:hint="eastAsia" w:ascii="宋体" w:hAnsi="宋体" w:eastAsia="宋体" w:cs="宋体"/>
          <w:color w:val="auto"/>
          <w:highlight w:val="none"/>
        </w:rPr>
        <w:t>三门峡市工商联大厦B座1102室</w:t>
      </w:r>
    </w:p>
    <w:p w14:paraId="01882FFF">
      <w:pPr>
        <w:pStyle w:val="157"/>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val="en-US" w:eastAsia="zh-CN"/>
        </w:rPr>
        <w:t>杨女士</w:t>
      </w:r>
    </w:p>
    <w:p w14:paraId="0B5380BE">
      <w:pPr>
        <w:pStyle w:val="157"/>
        <w:spacing w:before="0" w:beforeAutospacing="0" w:after="0" w:afterAutospacing="0" w:line="500" w:lineRule="exact"/>
        <w:ind w:firstLine="480" w:firstLineChars="200"/>
        <w:rPr>
          <w:rFonts w:hint="eastAsia" w:cs="宋体"/>
          <w:color w:val="auto"/>
          <w:highlight w:val="none"/>
          <w:lang w:val="en-US" w:eastAsia="zh-CN"/>
        </w:rPr>
      </w:pPr>
      <w:r>
        <w:rPr>
          <w:rFonts w:hint="eastAsia" w:ascii="宋体" w:hAnsi="宋体" w:eastAsia="宋体" w:cs="宋体"/>
          <w:color w:val="auto"/>
          <w:highlight w:val="none"/>
        </w:rPr>
        <w:t>电    话：</w:t>
      </w:r>
      <w:r>
        <w:rPr>
          <w:rFonts w:hint="eastAsia" w:cs="宋体"/>
          <w:color w:val="auto"/>
          <w:highlight w:val="none"/>
          <w:lang w:val="en-US" w:eastAsia="zh-CN"/>
        </w:rPr>
        <w:t>18639872617</w:t>
      </w:r>
    </w:p>
    <w:p w14:paraId="0B60B44A">
      <w:pPr>
        <w:pStyle w:val="157"/>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邮    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"mailto:henanhengzeshunzb@126.com"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henanhengzeshunzb@126.com</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p>
    <w:p w14:paraId="7D194A55">
      <w:pPr>
        <w:pStyle w:val="157"/>
        <w:spacing w:before="0" w:beforeAutospacing="0" w:after="0" w:afterAutospacing="0" w:line="500" w:lineRule="exact"/>
        <w:ind w:firstLine="480" w:firstLineChars="200"/>
        <w:rPr>
          <w:rFonts w:hint="eastAsia" w:ascii="宋体" w:hAnsi="宋体" w:eastAsia="宋体" w:cs="宋体"/>
          <w:color w:val="auto"/>
          <w:highlight w:val="none"/>
        </w:rPr>
      </w:pPr>
    </w:p>
    <w:p w14:paraId="4CA93CC7">
      <w:pPr>
        <w:pStyle w:val="30"/>
        <w:spacing w:before="0" w:beforeAutospacing="0" w:after="0" w:afterAutospacing="0"/>
        <w:jc w:val="both"/>
        <w:rPr>
          <w:rFonts w:hint="eastAsia" w:ascii="宋体" w:hAnsi="宋体" w:eastAsia="宋体" w:cs="宋体"/>
          <w:color w:val="auto"/>
          <w:highlight w:val="none"/>
        </w:rPr>
      </w:pPr>
    </w:p>
    <w:p w14:paraId="42F52804">
      <w:pPr>
        <w:pStyle w:val="3"/>
        <w:tabs>
          <w:tab w:val="left" w:pos="425"/>
        </w:tabs>
        <w:spacing w:before="0" w:after="0"/>
        <w:jc w:val="both"/>
        <w:outlineLvl w:val="9"/>
        <w:rPr>
          <w:rFonts w:hint="eastAsia" w:ascii="宋体" w:hAnsi="宋体" w:eastAsia="宋体" w:cs="宋体"/>
          <w:color w:val="auto"/>
          <w:highlight w:val="none"/>
        </w:rPr>
      </w:pPr>
      <w:bookmarkStart w:id="84" w:name="_Toc505093157"/>
      <w:bookmarkStart w:id="85" w:name="_Toc19474"/>
      <w:bookmarkStart w:id="86" w:name="_Toc15864"/>
      <w:bookmarkStart w:id="87" w:name="_Toc23519"/>
      <w:bookmarkStart w:id="88" w:name="_Toc20059"/>
    </w:p>
    <w:p w14:paraId="45A28117">
      <w:pPr>
        <w:rPr>
          <w:rFonts w:hint="eastAsia" w:ascii="宋体" w:hAnsi="宋体" w:eastAsia="宋体" w:cs="宋体"/>
          <w:color w:val="auto"/>
          <w:highlight w:val="none"/>
        </w:rPr>
      </w:pPr>
    </w:p>
    <w:p w14:paraId="5EF724ED">
      <w:pPr>
        <w:rPr>
          <w:rFonts w:hint="eastAsia" w:ascii="宋体" w:hAnsi="宋体" w:eastAsia="宋体" w:cs="宋体"/>
          <w:color w:val="auto"/>
          <w:highlight w:val="none"/>
        </w:rPr>
      </w:pPr>
    </w:p>
    <w:p w14:paraId="6277A19E">
      <w:pPr>
        <w:rPr>
          <w:rFonts w:hint="eastAsia" w:ascii="宋体" w:hAnsi="宋体" w:eastAsia="宋体" w:cs="宋体"/>
          <w:color w:val="auto"/>
          <w:highlight w:val="none"/>
        </w:rPr>
      </w:pPr>
    </w:p>
    <w:p w14:paraId="58B0704F">
      <w:pPr>
        <w:rPr>
          <w:rFonts w:hint="eastAsia" w:ascii="宋体" w:hAnsi="宋体" w:eastAsia="宋体" w:cs="宋体"/>
          <w:color w:val="auto"/>
          <w:highlight w:val="none"/>
        </w:rPr>
      </w:pPr>
    </w:p>
    <w:p w14:paraId="3D72E3EF">
      <w:pPr>
        <w:rPr>
          <w:rFonts w:hint="eastAsia" w:ascii="宋体" w:hAnsi="宋体" w:eastAsia="宋体" w:cs="宋体"/>
          <w:color w:val="auto"/>
          <w:highlight w:val="none"/>
        </w:rPr>
      </w:pPr>
    </w:p>
    <w:p w14:paraId="436F1433">
      <w:pPr>
        <w:rPr>
          <w:rFonts w:hint="eastAsia" w:ascii="宋体" w:hAnsi="宋体" w:eastAsia="宋体" w:cs="宋体"/>
          <w:color w:val="auto"/>
          <w:highlight w:val="none"/>
        </w:rPr>
      </w:pPr>
    </w:p>
    <w:p w14:paraId="2F7D55DC">
      <w:pPr>
        <w:rPr>
          <w:rFonts w:hint="eastAsia" w:ascii="宋体" w:hAnsi="宋体" w:eastAsia="宋体" w:cs="宋体"/>
          <w:color w:val="auto"/>
          <w:highlight w:val="none"/>
        </w:rPr>
      </w:pPr>
    </w:p>
    <w:p w14:paraId="1935F68E">
      <w:pPr>
        <w:rPr>
          <w:rFonts w:hint="eastAsia" w:ascii="宋体" w:hAnsi="宋体" w:eastAsia="宋体" w:cs="宋体"/>
          <w:color w:val="auto"/>
          <w:highlight w:val="none"/>
        </w:rPr>
      </w:pPr>
    </w:p>
    <w:p w14:paraId="0696BE77">
      <w:pPr>
        <w:rPr>
          <w:rFonts w:hint="eastAsia" w:ascii="宋体" w:hAnsi="宋体" w:eastAsia="宋体" w:cs="宋体"/>
          <w:color w:val="auto"/>
          <w:highlight w:val="none"/>
        </w:rPr>
      </w:pPr>
    </w:p>
    <w:p w14:paraId="3C9E929F">
      <w:pPr>
        <w:rPr>
          <w:rFonts w:hint="eastAsia" w:ascii="宋体" w:hAnsi="宋体" w:eastAsia="宋体" w:cs="宋体"/>
          <w:color w:val="auto"/>
          <w:highlight w:val="none"/>
        </w:rPr>
      </w:pPr>
    </w:p>
    <w:p w14:paraId="6B9E1DF7">
      <w:pPr>
        <w:rPr>
          <w:rFonts w:hint="eastAsia" w:ascii="宋体" w:hAnsi="宋体" w:eastAsia="宋体" w:cs="宋体"/>
          <w:color w:val="auto"/>
          <w:highlight w:val="none"/>
        </w:rPr>
      </w:pPr>
    </w:p>
    <w:p w14:paraId="37739E98">
      <w:pPr>
        <w:rPr>
          <w:rFonts w:hint="eastAsia" w:ascii="宋体" w:hAnsi="宋体" w:eastAsia="宋体" w:cs="宋体"/>
          <w:color w:val="auto"/>
          <w:highlight w:val="none"/>
        </w:rPr>
      </w:pPr>
    </w:p>
    <w:p w14:paraId="4C18AC43">
      <w:pPr>
        <w:rPr>
          <w:rFonts w:hint="eastAsia" w:ascii="宋体" w:hAnsi="宋体" w:eastAsia="宋体" w:cs="宋体"/>
          <w:color w:val="auto"/>
          <w:highlight w:val="none"/>
        </w:rPr>
      </w:pPr>
    </w:p>
    <w:p w14:paraId="2D960584">
      <w:pPr>
        <w:rPr>
          <w:rFonts w:hint="eastAsia" w:ascii="宋体" w:hAnsi="宋体" w:eastAsia="宋体" w:cs="宋体"/>
          <w:color w:val="auto"/>
          <w:highlight w:val="none"/>
        </w:rPr>
      </w:pPr>
    </w:p>
    <w:p w14:paraId="79D6B743">
      <w:pPr>
        <w:rPr>
          <w:rFonts w:hint="eastAsia" w:ascii="宋体" w:hAnsi="宋体" w:eastAsia="宋体" w:cs="宋体"/>
          <w:color w:val="auto"/>
          <w:highlight w:val="none"/>
        </w:rPr>
      </w:pPr>
    </w:p>
    <w:p w14:paraId="303309A9">
      <w:pPr>
        <w:rPr>
          <w:rFonts w:hint="eastAsia" w:ascii="宋体" w:hAnsi="宋体" w:eastAsia="宋体" w:cs="宋体"/>
          <w:color w:val="auto"/>
          <w:highlight w:val="none"/>
        </w:rPr>
      </w:pPr>
    </w:p>
    <w:p w14:paraId="4A7D3803">
      <w:pPr>
        <w:rPr>
          <w:rFonts w:hint="eastAsia" w:ascii="宋体" w:hAnsi="宋体" w:eastAsia="宋体" w:cs="宋体"/>
          <w:color w:val="auto"/>
          <w:highlight w:val="none"/>
        </w:rPr>
      </w:pPr>
    </w:p>
    <w:p w14:paraId="6B7726D8">
      <w:pPr>
        <w:rPr>
          <w:rFonts w:hint="eastAsia" w:ascii="宋体" w:hAnsi="宋体" w:eastAsia="宋体" w:cs="宋体"/>
          <w:color w:val="auto"/>
          <w:highlight w:val="none"/>
        </w:rPr>
      </w:pPr>
    </w:p>
    <w:p w14:paraId="058AFF43">
      <w:pPr>
        <w:rPr>
          <w:rFonts w:hint="eastAsia" w:ascii="宋体" w:hAnsi="宋体" w:eastAsia="宋体" w:cs="宋体"/>
          <w:color w:val="auto"/>
          <w:highlight w:val="none"/>
        </w:rPr>
      </w:pPr>
    </w:p>
    <w:p w14:paraId="4E316F6F">
      <w:pPr>
        <w:rPr>
          <w:rFonts w:hint="eastAsia" w:ascii="宋体" w:hAnsi="宋体" w:eastAsia="宋体" w:cs="宋体"/>
          <w:color w:val="auto"/>
          <w:highlight w:val="none"/>
        </w:rPr>
      </w:pPr>
    </w:p>
    <w:p w14:paraId="40D3B6D8">
      <w:pPr>
        <w:rPr>
          <w:rFonts w:hint="eastAsia" w:ascii="宋体" w:hAnsi="宋体" w:eastAsia="宋体" w:cs="宋体"/>
          <w:color w:val="auto"/>
          <w:highlight w:val="none"/>
        </w:rPr>
      </w:pPr>
    </w:p>
    <w:p w14:paraId="38754F6C">
      <w:pPr>
        <w:rPr>
          <w:rFonts w:hint="eastAsia" w:ascii="宋体" w:hAnsi="宋体" w:eastAsia="宋体" w:cs="宋体"/>
          <w:color w:val="auto"/>
          <w:highlight w:val="none"/>
        </w:rPr>
      </w:pPr>
    </w:p>
    <w:p w14:paraId="0FB2D171">
      <w:pPr>
        <w:rPr>
          <w:rFonts w:hint="eastAsia" w:ascii="宋体" w:hAnsi="宋体" w:eastAsia="宋体" w:cs="宋体"/>
          <w:color w:val="auto"/>
          <w:highlight w:val="none"/>
        </w:rPr>
      </w:pPr>
    </w:p>
    <w:p w14:paraId="7A9DB425">
      <w:pPr>
        <w:rPr>
          <w:rFonts w:hint="eastAsia" w:ascii="宋体" w:hAnsi="宋体" w:eastAsia="宋体" w:cs="宋体"/>
          <w:color w:val="auto"/>
          <w:highlight w:val="none"/>
        </w:rPr>
      </w:pPr>
    </w:p>
    <w:p w14:paraId="2A3355E8">
      <w:pPr>
        <w:rPr>
          <w:rFonts w:hint="eastAsia" w:ascii="宋体" w:hAnsi="宋体" w:eastAsia="宋体" w:cs="宋体"/>
          <w:color w:val="auto"/>
          <w:highlight w:val="none"/>
        </w:rPr>
      </w:pPr>
    </w:p>
    <w:p w14:paraId="0BDFBA7F">
      <w:pPr>
        <w:rPr>
          <w:rFonts w:hint="eastAsia" w:ascii="宋体" w:hAnsi="宋体" w:eastAsia="宋体" w:cs="宋体"/>
          <w:color w:val="auto"/>
          <w:highlight w:val="none"/>
        </w:rPr>
      </w:pPr>
    </w:p>
    <w:p w14:paraId="6A74334E">
      <w:pPr>
        <w:rPr>
          <w:rFonts w:hint="eastAsia" w:ascii="宋体" w:hAnsi="宋体" w:eastAsia="宋体" w:cs="宋体"/>
          <w:color w:val="auto"/>
          <w:highlight w:val="none"/>
        </w:rPr>
      </w:pPr>
    </w:p>
    <w:p w14:paraId="50F5CC31">
      <w:pPr>
        <w:rPr>
          <w:rFonts w:hint="eastAsia" w:ascii="宋体" w:hAnsi="宋体" w:eastAsia="宋体" w:cs="宋体"/>
          <w:color w:val="auto"/>
          <w:highlight w:val="none"/>
        </w:rPr>
      </w:pPr>
    </w:p>
    <w:p w14:paraId="02BF158A">
      <w:pPr>
        <w:rPr>
          <w:rFonts w:hint="eastAsia" w:ascii="宋体" w:hAnsi="宋体" w:eastAsia="宋体" w:cs="宋体"/>
          <w:color w:val="auto"/>
          <w:highlight w:val="none"/>
        </w:rPr>
      </w:pPr>
    </w:p>
    <w:p w14:paraId="75756987">
      <w:pPr>
        <w:rPr>
          <w:rFonts w:hint="eastAsia" w:ascii="宋体" w:hAnsi="宋体" w:eastAsia="宋体" w:cs="宋体"/>
          <w:color w:val="auto"/>
          <w:highlight w:val="none"/>
        </w:rPr>
      </w:pPr>
    </w:p>
    <w:p w14:paraId="0C3DBE6F">
      <w:pPr>
        <w:rPr>
          <w:rFonts w:hint="eastAsia" w:ascii="宋体" w:hAnsi="宋体" w:eastAsia="宋体" w:cs="宋体"/>
          <w:color w:val="auto"/>
          <w:highlight w:val="none"/>
        </w:rPr>
      </w:pPr>
    </w:p>
    <w:p w14:paraId="3F424F4A">
      <w:pPr>
        <w:rPr>
          <w:rFonts w:hint="eastAsia" w:ascii="宋体" w:hAnsi="宋体" w:eastAsia="宋体" w:cs="宋体"/>
          <w:color w:val="auto"/>
          <w:highlight w:val="none"/>
        </w:rPr>
      </w:pPr>
    </w:p>
    <w:p w14:paraId="50C021C3">
      <w:pPr>
        <w:rPr>
          <w:rFonts w:hint="eastAsia" w:ascii="宋体" w:hAnsi="宋体" w:eastAsia="宋体" w:cs="宋体"/>
          <w:color w:val="auto"/>
          <w:highlight w:val="none"/>
        </w:rPr>
      </w:pPr>
    </w:p>
    <w:p w14:paraId="5EBE13D0">
      <w:pPr>
        <w:rPr>
          <w:rFonts w:hint="eastAsia" w:ascii="宋体" w:hAnsi="宋体" w:eastAsia="宋体" w:cs="宋体"/>
          <w:color w:val="auto"/>
          <w:highlight w:val="none"/>
        </w:rPr>
      </w:pPr>
    </w:p>
    <w:p w14:paraId="78F338B2">
      <w:pPr>
        <w:pStyle w:val="3"/>
        <w:tabs>
          <w:tab w:val="left" w:pos="425"/>
        </w:tabs>
        <w:spacing w:before="0" w:after="0"/>
        <w:jc w:val="center"/>
        <w:outlineLvl w:val="0"/>
        <w:rPr>
          <w:rFonts w:hint="eastAsia" w:ascii="宋体" w:hAnsi="宋体" w:eastAsia="宋体" w:cs="宋体"/>
          <w:color w:val="auto"/>
          <w:sz w:val="24"/>
          <w:szCs w:val="24"/>
          <w:highlight w:val="none"/>
          <w:lang w:val="en-US" w:eastAsia="zh-CN"/>
        </w:rPr>
      </w:pPr>
      <w:bookmarkStart w:id="89" w:name="_Toc16292"/>
      <w:bookmarkStart w:id="90" w:name="_Toc25111"/>
      <w:bookmarkStart w:id="91" w:name="_Toc3784"/>
      <w:r>
        <w:rPr>
          <w:rFonts w:hint="eastAsia" w:ascii="宋体" w:hAnsi="宋体" w:eastAsia="宋体" w:cs="宋体"/>
          <w:color w:val="auto"/>
          <w:highlight w:val="none"/>
          <w:lang w:val="en-US" w:eastAsia="zh-CN"/>
        </w:rPr>
        <w:t>第二章 供应商须知</w:t>
      </w:r>
      <w:bookmarkEnd w:id="89"/>
    </w:p>
    <w:p w14:paraId="0BF23CE9">
      <w:pPr>
        <w:pStyle w:val="3"/>
        <w:tabs>
          <w:tab w:val="left" w:pos="425"/>
        </w:tabs>
        <w:spacing w:before="0" w:after="0"/>
        <w:jc w:val="center"/>
        <w:outlineLvl w:val="0"/>
        <w:rPr>
          <w:rFonts w:hint="eastAsia"/>
          <w:color w:val="auto"/>
          <w:highlight w:val="none"/>
          <w:lang w:val="en-US" w:eastAsia="zh-CN"/>
        </w:rPr>
      </w:pPr>
      <w:bookmarkStart w:id="92" w:name="_Toc24002"/>
      <w:bookmarkStart w:id="93" w:name="_Toc18814"/>
      <w:r>
        <w:rPr>
          <w:rFonts w:hint="eastAsia" w:ascii="宋体" w:hAnsi="宋体" w:eastAsia="宋体" w:cs="宋体"/>
          <w:color w:val="auto"/>
          <w:sz w:val="24"/>
          <w:szCs w:val="24"/>
          <w:highlight w:val="none"/>
          <w:lang w:val="en-US" w:eastAsia="zh-CN"/>
        </w:rPr>
        <w:t>供应商须知前附表</w:t>
      </w:r>
      <w:bookmarkEnd w:id="92"/>
      <w:bookmarkEnd w:id="93"/>
    </w:p>
    <w:bookmarkEnd w:id="84"/>
    <w:bookmarkEnd w:id="85"/>
    <w:bookmarkEnd w:id="86"/>
    <w:bookmarkEnd w:id="87"/>
    <w:bookmarkEnd w:id="88"/>
    <w:bookmarkEnd w:id="90"/>
    <w:bookmarkEnd w:id="91"/>
    <w:tbl>
      <w:tblPr>
        <w:tblStyle w:val="45"/>
        <w:tblW w:w="10188" w:type="dxa"/>
        <w:jc w:val="center"/>
        <w:tblLayout w:type="fixed"/>
        <w:tblCellMar>
          <w:top w:w="0" w:type="dxa"/>
          <w:left w:w="0" w:type="dxa"/>
          <w:bottom w:w="0" w:type="dxa"/>
          <w:right w:w="0" w:type="dxa"/>
        </w:tblCellMar>
      </w:tblPr>
      <w:tblGrid>
        <w:gridCol w:w="904"/>
        <w:gridCol w:w="2417"/>
        <w:gridCol w:w="6867"/>
      </w:tblGrid>
      <w:tr w14:paraId="1C6905FB">
        <w:tblPrEx>
          <w:tblCellMar>
            <w:top w:w="0" w:type="dxa"/>
            <w:left w:w="0" w:type="dxa"/>
            <w:bottom w:w="0" w:type="dxa"/>
            <w:right w:w="0" w:type="dxa"/>
          </w:tblCellMar>
        </w:tblPrEx>
        <w:trPr>
          <w:trHeight w:val="456"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A4AAC4D">
            <w:pPr>
              <w:autoSpaceDE w:val="0"/>
              <w:autoSpaceDN w:val="0"/>
              <w:adjustRightInd w:val="0"/>
              <w:spacing w:line="360" w:lineRule="auto"/>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条款号</w:t>
            </w:r>
          </w:p>
        </w:tc>
        <w:tc>
          <w:tcPr>
            <w:tcW w:w="2417" w:type="dxa"/>
            <w:tcBorders>
              <w:top w:val="single" w:color="000000" w:sz="4" w:space="0"/>
              <w:left w:val="single" w:color="000000" w:sz="4" w:space="0"/>
              <w:bottom w:val="single" w:color="000000" w:sz="4" w:space="0"/>
              <w:right w:val="single" w:color="000000" w:sz="4" w:space="0"/>
            </w:tcBorders>
            <w:vAlign w:val="center"/>
          </w:tcPr>
          <w:p w14:paraId="51A747C9">
            <w:pPr>
              <w:autoSpaceDE w:val="0"/>
              <w:autoSpaceDN w:val="0"/>
              <w:adjustRightInd w:val="0"/>
              <w:spacing w:line="360" w:lineRule="auto"/>
              <w:ind w:firstLine="68" w:firstLineChars="28"/>
              <w:jc w:val="center"/>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条款名称</w:t>
            </w:r>
          </w:p>
        </w:tc>
        <w:tc>
          <w:tcPr>
            <w:tcW w:w="6867" w:type="dxa"/>
            <w:tcBorders>
              <w:top w:val="single" w:color="000000" w:sz="4" w:space="0"/>
              <w:left w:val="single" w:color="000000" w:sz="4" w:space="0"/>
              <w:bottom w:val="single" w:color="000000" w:sz="4" w:space="0"/>
              <w:right w:val="single" w:color="000000" w:sz="4" w:space="0"/>
            </w:tcBorders>
            <w:vAlign w:val="center"/>
          </w:tcPr>
          <w:p w14:paraId="0B02C9DE">
            <w:pPr>
              <w:autoSpaceDE w:val="0"/>
              <w:autoSpaceDN w:val="0"/>
              <w:adjustRightInd w:val="0"/>
              <w:spacing w:line="360" w:lineRule="auto"/>
              <w:jc w:val="center"/>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编列内容</w:t>
            </w:r>
          </w:p>
        </w:tc>
      </w:tr>
      <w:tr w14:paraId="056C1C13">
        <w:tblPrEx>
          <w:tblCellMar>
            <w:top w:w="0" w:type="dxa"/>
            <w:left w:w="0" w:type="dxa"/>
            <w:bottom w:w="0" w:type="dxa"/>
            <w:right w:w="0" w:type="dxa"/>
          </w:tblCellMar>
        </w:tblPrEx>
        <w:trPr>
          <w:trHeight w:val="156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8B81DA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p>
        </w:tc>
        <w:tc>
          <w:tcPr>
            <w:tcW w:w="2417" w:type="dxa"/>
            <w:tcBorders>
              <w:top w:val="single" w:color="000000" w:sz="4" w:space="0"/>
              <w:left w:val="single" w:color="000000" w:sz="4" w:space="0"/>
              <w:bottom w:val="single" w:color="000000" w:sz="4" w:space="0"/>
              <w:right w:val="single" w:color="000000" w:sz="4" w:space="0"/>
            </w:tcBorders>
            <w:vAlign w:val="center"/>
          </w:tcPr>
          <w:p w14:paraId="3D1110A0">
            <w:pPr>
              <w:pStyle w:val="157"/>
              <w:spacing w:before="0" w:beforeAutospacing="0" w:after="0" w:afterAutospacing="0" w:line="500" w:lineRule="exact"/>
              <w:jc w:val="center"/>
              <w:rPr>
                <w:rFonts w:hint="eastAsia" w:ascii="宋体" w:hAnsi="宋体" w:eastAsia="宋体" w:cs="宋体"/>
                <w:color w:val="auto"/>
                <w:highlight w:val="none"/>
                <w:lang w:eastAsia="zh-CN"/>
              </w:rPr>
            </w:pPr>
            <w:r>
              <w:rPr>
                <w:rFonts w:hint="eastAsia" w:cs="宋体"/>
                <w:color w:val="auto"/>
                <w:highlight w:val="none"/>
                <w:lang w:eastAsia="zh-CN"/>
              </w:rPr>
              <w:t>采购人</w:t>
            </w:r>
          </w:p>
        </w:tc>
        <w:tc>
          <w:tcPr>
            <w:tcW w:w="6867" w:type="dxa"/>
            <w:tcBorders>
              <w:top w:val="single" w:color="000000" w:sz="4" w:space="0"/>
              <w:left w:val="single" w:color="000000" w:sz="4" w:space="0"/>
              <w:bottom w:val="single" w:color="000000" w:sz="4" w:space="0"/>
              <w:right w:val="single" w:color="000000" w:sz="4" w:space="0"/>
            </w:tcBorders>
            <w:vAlign w:val="center"/>
          </w:tcPr>
          <w:p w14:paraId="2337A987">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 购 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三门峡高恒投资发展有限公司</w:t>
            </w:r>
          </w:p>
          <w:p w14:paraId="62D4BFC4">
            <w:pPr>
              <w:pStyle w:val="157"/>
              <w:spacing w:before="0" w:beforeAutospacing="0" w:after="0" w:afterAutospacing="0" w:line="5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 系 人：</w:t>
            </w:r>
            <w:r>
              <w:rPr>
                <w:rFonts w:hint="eastAsia" w:ascii="宋体" w:hAnsi="宋体" w:eastAsia="宋体" w:cs="宋体"/>
                <w:color w:val="auto"/>
                <w:highlight w:val="none"/>
                <w:lang w:val="en-US" w:eastAsia="zh-CN"/>
              </w:rPr>
              <w:t>水博</w:t>
            </w:r>
          </w:p>
          <w:p w14:paraId="02FB1D91">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0398-2751219</w:t>
            </w:r>
          </w:p>
        </w:tc>
      </w:tr>
      <w:tr w14:paraId="75484F7A">
        <w:tblPrEx>
          <w:tblCellMar>
            <w:top w:w="0" w:type="dxa"/>
            <w:left w:w="0" w:type="dxa"/>
            <w:bottom w:w="0" w:type="dxa"/>
            <w:right w:w="0" w:type="dxa"/>
          </w:tblCellMar>
        </w:tblPrEx>
        <w:trPr>
          <w:trHeight w:val="153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8F6B7D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p>
        </w:tc>
        <w:tc>
          <w:tcPr>
            <w:tcW w:w="2417" w:type="dxa"/>
            <w:tcBorders>
              <w:top w:val="single" w:color="000000" w:sz="4" w:space="0"/>
              <w:left w:val="single" w:color="000000" w:sz="4" w:space="0"/>
              <w:bottom w:val="single" w:color="000000" w:sz="4" w:space="0"/>
              <w:right w:val="single" w:color="000000" w:sz="4" w:space="0"/>
            </w:tcBorders>
            <w:vAlign w:val="center"/>
          </w:tcPr>
          <w:p w14:paraId="3C0173C5">
            <w:pPr>
              <w:tabs>
                <w:tab w:val="left" w:pos="180"/>
              </w:tabs>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采购代理机构</w:t>
            </w:r>
          </w:p>
        </w:tc>
        <w:tc>
          <w:tcPr>
            <w:tcW w:w="6867" w:type="dxa"/>
            <w:tcBorders>
              <w:top w:val="single" w:color="000000" w:sz="4" w:space="0"/>
              <w:left w:val="single" w:color="000000" w:sz="4" w:space="0"/>
              <w:bottom w:val="single" w:color="000000" w:sz="4" w:space="0"/>
              <w:right w:val="single" w:color="000000" w:sz="4" w:space="0"/>
            </w:tcBorders>
            <w:vAlign w:val="center"/>
          </w:tcPr>
          <w:p w14:paraId="3EA0CFCE">
            <w:pPr>
              <w:pStyle w:val="157"/>
              <w:spacing w:before="0" w:beforeAutospacing="0" w:after="0" w:afterAutospacing="0" w:line="500" w:lineRule="exact"/>
              <w:rPr>
                <w:rFonts w:hint="eastAsia" w:ascii="宋体" w:hAnsi="宋体" w:eastAsia="宋体" w:cs="宋体"/>
                <w:color w:val="auto"/>
                <w:highlight w:val="none"/>
              </w:rPr>
            </w:pPr>
            <w:r>
              <w:rPr>
                <w:rFonts w:hint="eastAsia" w:cs="宋体"/>
                <w:color w:val="auto"/>
                <w:highlight w:val="none"/>
                <w:lang w:eastAsia="zh-CN"/>
              </w:rPr>
              <w:t>采购代理机构</w:t>
            </w:r>
            <w:r>
              <w:rPr>
                <w:rFonts w:hint="eastAsia" w:ascii="宋体" w:hAnsi="宋体" w:eastAsia="宋体" w:cs="宋体"/>
                <w:color w:val="auto"/>
                <w:highlight w:val="none"/>
              </w:rPr>
              <w:t>：河南恒泽顺工程管理有限公司</w:t>
            </w:r>
          </w:p>
          <w:p w14:paraId="6D35312B">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地    址:三门峡市工商联大厦B座1102室</w:t>
            </w:r>
          </w:p>
          <w:p w14:paraId="0305B0CA">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val="en-US" w:eastAsia="zh-CN"/>
              </w:rPr>
              <w:t>杨女士</w:t>
            </w:r>
          </w:p>
          <w:p w14:paraId="3DA06652">
            <w:pPr>
              <w:pStyle w:val="157"/>
              <w:spacing w:before="0" w:beforeAutospacing="0" w:after="0" w:afterAutospacing="0" w:line="500" w:lineRule="exact"/>
              <w:rPr>
                <w:rFonts w:hint="eastAsia" w:cs="宋体"/>
                <w:color w:val="auto"/>
                <w:highlight w:val="none"/>
                <w:lang w:val="en-US" w:eastAsia="zh-CN"/>
              </w:rPr>
            </w:pPr>
            <w:r>
              <w:rPr>
                <w:rFonts w:hint="eastAsia" w:ascii="宋体" w:hAnsi="宋体" w:eastAsia="宋体" w:cs="宋体"/>
                <w:color w:val="auto"/>
                <w:highlight w:val="none"/>
              </w:rPr>
              <w:t>电    话：</w:t>
            </w:r>
            <w:r>
              <w:rPr>
                <w:rFonts w:hint="eastAsia" w:cs="宋体"/>
                <w:color w:val="auto"/>
                <w:highlight w:val="none"/>
                <w:lang w:val="en-US" w:eastAsia="zh-CN"/>
              </w:rPr>
              <w:t>18639872617</w:t>
            </w:r>
          </w:p>
          <w:p w14:paraId="7AB458DF">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邮    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"mailto:henanhengzeshunzb@126.com"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henanhengzeshunzb@126.com</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p>
        </w:tc>
      </w:tr>
      <w:tr w14:paraId="38493D1C">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BB4F6A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p>
        </w:tc>
        <w:tc>
          <w:tcPr>
            <w:tcW w:w="2417" w:type="dxa"/>
            <w:tcBorders>
              <w:top w:val="single" w:color="000000" w:sz="4" w:space="0"/>
              <w:left w:val="single" w:color="000000" w:sz="4" w:space="0"/>
              <w:bottom w:val="single" w:color="000000" w:sz="4" w:space="0"/>
              <w:right w:val="single" w:color="000000" w:sz="4" w:space="0"/>
            </w:tcBorders>
            <w:vAlign w:val="center"/>
          </w:tcPr>
          <w:p w14:paraId="3282DF4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867" w:type="dxa"/>
            <w:tcBorders>
              <w:top w:val="single" w:color="000000" w:sz="4" w:space="0"/>
              <w:left w:val="single" w:color="000000" w:sz="4" w:space="0"/>
              <w:bottom w:val="single" w:color="000000" w:sz="4" w:space="0"/>
              <w:right w:val="single" w:color="000000" w:sz="4" w:space="0"/>
            </w:tcBorders>
            <w:vAlign w:val="center"/>
          </w:tcPr>
          <w:p w14:paraId="07FD4E4C">
            <w:pPr>
              <w:spacing w:line="360" w:lineRule="auto"/>
              <w:outlineLvl w:val="0"/>
              <w:rPr>
                <w:rFonts w:hint="eastAsia" w:ascii="宋体" w:hAnsi="宋体" w:eastAsia="宋体" w:cs="宋体"/>
                <w:b/>
                <w:color w:val="auto"/>
                <w:sz w:val="24"/>
                <w:highlight w:val="none"/>
                <w:lang w:eastAsia="zh-CN"/>
              </w:rPr>
            </w:pPr>
            <w:r>
              <w:rPr>
                <w:rFonts w:hint="eastAsia" w:ascii="宋体" w:hAnsi="宋体" w:cs="宋体"/>
                <w:color w:val="auto"/>
                <w:sz w:val="24"/>
                <w:highlight w:val="none"/>
                <w:lang w:eastAsia="zh-CN"/>
              </w:rPr>
              <w:t>三门峡市城乡一体化示范区成品油流通大数据平台建设服务项目</w:t>
            </w:r>
          </w:p>
        </w:tc>
      </w:tr>
      <w:tr w14:paraId="3A73850A">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686BFD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p>
        </w:tc>
        <w:tc>
          <w:tcPr>
            <w:tcW w:w="2417" w:type="dxa"/>
            <w:tcBorders>
              <w:top w:val="single" w:color="000000" w:sz="4" w:space="0"/>
              <w:left w:val="single" w:color="000000" w:sz="4" w:space="0"/>
              <w:bottom w:val="single" w:color="000000" w:sz="4" w:space="0"/>
              <w:right w:val="single" w:color="000000" w:sz="4" w:space="0"/>
            </w:tcBorders>
            <w:vAlign w:val="center"/>
          </w:tcPr>
          <w:p w14:paraId="5D57178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6867" w:type="dxa"/>
            <w:tcBorders>
              <w:top w:val="single" w:color="000000" w:sz="4" w:space="0"/>
              <w:left w:val="single" w:color="000000" w:sz="4" w:space="0"/>
              <w:bottom w:val="single" w:color="000000" w:sz="4" w:space="0"/>
              <w:right w:val="single" w:color="000000" w:sz="4" w:space="0"/>
            </w:tcBorders>
            <w:vAlign w:val="center"/>
          </w:tcPr>
          <w:p w14:paraId="16CF8209">
            <w:pPr>
              <w:autoSpaceDE w:val="0"/>
              <w:autoSpaceDN w:val="0"/>
              <w:adjustRightInd w:val="0"/>
              <w:spacing w:line="360" w:lineRule="auto"/>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采购人指定地点</w:t>
            </w:r>
          </w:p>
        </w:tc>
      </w:tr>
      <w:tr w14:paraId="39ED4D50">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2C27E4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p>
        </w:tc>
        <w:tc>
          <w:tcPr>
            <w:tcW w:w="2417" w:type="dxa"/>
            <w:tcBorders>
              <w:top w:val="single" w:color="000000" w:sz="4" w:space="0"/>
              <w:left w:val="single" w:color="000000" w:sz="4" w:space="0"/>
              <w:bottom w:val="single" w:color="000000" w:sz="4" w:space="0"/>
              <w:right w:val="single" w:color="000000" w:sz="4" w:space="0"/>
            </w:tcBorders>
            <w:vAlign w:val="center"/>
          </w:tcPr>
          <w:p w14:paraId="63BDC072">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6867" w:type="dxa"/>
            <w:tcBorders>
              <w:top w:val="single" w:color="000000" w:sz="4" w:space="0"/>
              <w:left w:val="single" w:color="000000" w:sz="4" w:space="0"/>
              <w:bottom w:val="single" w:color="000000" w:sz="4" w:space="0"/>
              <w:right w:val="single" w:color="000000" w:sz="4" w:space="0"/>
            </w:tcBorders>
            <w:vAlign w:val="center"/>
          </w:tcPr>
          <w:p w14:paraId="39F67591">
            <w:pPr>
              <w:spacing w:line="360" w:lineRule="auto"/>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本项目针对三门峡市城乡一体化示范区辖区内的13家加油站，</w:t>
            </w:r>
            <w:r>
              <w:rPr>
                <w:rFonts w:hint="eastAsia" w:ascii="宋体" w:hAnsi="宋体" w:eastAsia="宋体" w:cs="宋体"/>
                <w:bCs/>
                <w:color w:val="auto"/>
                <w:sz w:val="24"/>
                <w:highlight w:val="none"/>
                <w:lang w:eastAsia="zh-CN"/>
              </w:rPr>
              <w:t>提供成品油监管平台服务，以数字化监管替代传统监管模式，强化科技治税赋能效能，精准破解成品油行业隐瞒销售、偷税漏税等监管难题，有效遏制各类违法违规行为，实现监管数据可查、流程可追、风险可控。同时，以数据驱动优化监管策略，筑牢行业监管与税收征管协同共治根基，营造公平竞争、规范有序的市场环境，</w:t>
            </w:r>
            <w:r>
              <w:rPr>
                <w:rFonts w:hint="eastAsia" w:ascii="宋体" w:hAnsi="宋体" w:eastAsia="宋体" w:cs="宋体"/>
                <w:bCs/>
                <w:color w:val="auto"/>
                <w:sz w:val="24"/>
                <w:highlight w:val="none"/>
                <w:lang w:val="en-US" w:eastAsia="zh-CN"/>
              </w:rPr>
              <w:t>确保税收征管准确透明，为</w:t>
            </w:r>
            <w:r>
              <w:rPr>
                <w:rFonts w:hint="eastAsia" w:ascii="宋体" w:hAnsi="宋体" w:eastAsia="宋体" w:cs="宋体"/>
                <w:bCs/>
                <w:color w:val="auto"/>
                <w:sz w:val="24"/>
                <w:highlight w:val="none"/>
                <w:lang w:eastAsia="zh-CN"/>
              </w:rPr>
              <w:t>示范区成品油流通行业高质量发展提供坚实的数字化服务支撑与保障。（具体内容见招标文件中“第五章服务内容及要求 ”）。</w:t>
            </w:r>
            <w:r>
              <w:rPr>
                <w:rFonts w:hint="eastAsia" w:ascii="宋体" w:hAnsi="宋体" w:eastAsia="宋体" w:cs="宋体"/>
                <w:bCs/>
                <w:color w:val="auto"/>
                <w:sz w:val="24"/>
                <w:highlight w:val="none"/>
                <w:lang w:val="en-US" w:eastAsia="zh-CN"/>
              </w:rPr>
              <w:t xml:space="preserve"> </w:t>
            </w:r>
          </w:p>
        </w:tc>
      </w:tr>
      <w:tr w14:paraId="2B946CD6">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54B976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p>
        </w:tc>
        <w:tc>
          <w:tcPr>
            <w:tcW w:w="2417" w:type="dxa"/>
            <w:tcBorders>
              <w:top w:val="single" w:color="000000" w:sz="4" w:space="0"/>
              <w:left w:val="single" w:color="000000" w:sz="4" w:space="0"/>
              <w:bottom w:val="single" w:color="000000" w:sz="4" w:space="0"/>
              <w:right w:val="single" w:color="000000" w:sz="4" w:space="0"/>
            </w:tcBorders>
            <w:vAlign w:val="center"/>
          </w:tcPr>
          <w:p w14:paraId="37EE33D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标段划分</w:t>
            </w:r>
          </w:p>
        </w:tc>
        <w:tc>
          <w:tcPr>
            <w:tcW w:w="6867" w:type="dxa"/>
            <w:tcBorders>
              <w:top w:val="single" w:color="000000" w:sz="4" w:space="0"/>
              <w:left w:val="single" w:color="000000" w:sz="4" w:space="0"/>
              <w:bottom w:val="single" w:color="000000" w:sz="4" w:space="0"/>
              <w:right w:val="single" w:color="000000" w:sz="4" w:space="0"/>
            </w:tcBorders>
            <w:vAlign w:val="center"/>
          </w:tcPr>
          <w:p w14:paraId="776B54E1">
            <w:pPr>
              <w:spacing w:line="49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本项目不划分标段</w:t>
            </w:r>
            <w:r>
              <w:rPr>
                <w:rFonts w:hint="eastAsia" w:ascii="宋体" w:hAnsi="宋体" w:eastAsia="宋体" w:cs="宋体"/>
                <w:color w:val="auto"/>
                <w:sz w:val="24"/>
                <w:highlight w:val="none"/>
                <w:lang w:eastAsia="zh-CN"/>
              </w:rPr>
              <w:t>。</w:t>
            </w:r>
          </w:p>
        </w:tc>
      </w:tr>
      <w:tr w14:paraId="55E64B0D">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6E0209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2417" w:type="dxa"/>
            <w:tcBorders>
              <w:top w:val="single" w:color="000000" w:sz="4" w:space="0"/>
              <w:left w:val="single" w:color="000000" w:sz="4" w:space="0"/>
              <w:bottom w:val="single" w:color="000000" w:sz="4" w:space="0"/>
              <w:right w:val="single" w:color="000000" w:sz="4" w:space="0"/>
            </w:tcBorders>
            <w:vAlign w:val="center"/>
          </w:tcPr>
          <w:p w14:paraId="4D6D613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867" w:type="dxa"/>
            <w:tcBorders>
              <w:top w:val="single" w:color="000000" w:sz="4" w:space="0"/>
              <w:left w:val="single" w:color="000000" w:sz="4" w:space="0"/>
              <w:bottom w:val="single" w:color="000000" w:sz="4" w:space="0"/>
              <w:right w:val="single" w:color="000000" w:sz="4" w:space="0"/>
            </w:tcBorders>
            <w:vAlign w:val="center"/>
          </w:tcPr>
          <w:p w14:paraId="55D8FA0B">
            <w:pPr>
              <w:autoSpaceDE w:val="0"/>
              <w:autoSpaceDN w:val="0"/>
              <w:adjustRightIn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财政资金</w:t>
            </w:r>
            <w:r>
              <w:rPr>
                <w:rFonts w:hint="eastAsia" w:ascii="宋体" w:hAnsi="宋体" w:eastAsia="宋体" w:cs="宋体"/>
                <w:color w:val="auto"/>
                <w:kern w:val="0"/>
                <w:sz w:val="24"/>
                <w:highlight w:val="none"/>
              </w:rPr>
              <w:t>，100%</w:t>
            </w:r>
            <w:r>
              <w:rPr>
                <w:rFonts w:hint="eastAsia" w:ascii="宋体" w:hAnsi="宋体" w:eastAsia="宋体" w:cs="宋体"/>
                <w:color w:val="auto"/>
                <w:kern w:val="0"/>
                <w:sz w:val="24"/>
                <w:highlight w:val="none"/>
                <w:lang w:val="en-US" w:eastAsia="zh-CN"/>
              </w:rPr>
              <w:t xml:space="preserve"> 。</w:t>
            </w:r>
          </w:p>
        </w:tc>
      </w:tr>
      <w:tr w14:paraId="5E10D4C7">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DF7F7F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417" w:type="dxa"/>
            <w:tcBorders>
              <w:top w:val="single" w:color="000000" w:sz="4" w:space="0"/>
              <w:left w:val="single" w:color="000000" w:sz="4" w:space="0"/>
              <w:bottom w:val="single" w:color="000000" w:sz="4" w:space="0"/>
              <w:right w:val="single" w:color="000000" w:sz="4" w:space="0"/>
            </w:tcBorders>
            <w:vAlign w:val="center"/>
          </w:tcPr>
          <w:p w14:paraId="17A940A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867" w:type="dxa"/>
            <w:tcBorders>
              <w:top w:val="single" w:color="000000" w:sz="4" w:space="0"/>
              <w:left w:val="single" w:color="000000" w:sz="4" w:space="0"/>
              <w:bottom w:val="single" w:color="000000" w:sz="4" w:space="0"/>
              <w:right w:val="single" w:color="000000" w:sz="4" w:space="0"/>
            </w:tcBorders>
            <w:vAlign w:val="center"/>
          </w:tcPr>
          <w:p w14:paraId="7F716735">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已落实</w:t>
            </w:r>
            <w:r>
              <w:rPr>
                <w:rFonts w:hint="eastAsia" w:ascii="宋体" w:hAnsi="宋体" w:eastAsia="宋体" w:cs="宋体"/>
                <w:color w:val="auto"/>
                <w:sz w:val="24"/>
                <w:highlight w:val="none"/>
                <w:lang w:eastAsia="zh-CN"/>
              </w:rPr>
              <w:t>。</w:t>
            </w:r>
          </w:p>
        </w:tc>
      </w:tr>
      <w:tr w14:paraId="56AB98A6">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062DD3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2417" w:type="dxa"/>
            <w:tcBorders>
              <w:top w:val="single" w:color="000000" w:sz="4" w:space="0"/>
              <w:left w:val="single" w:color="000000" w:sz="4" w:space="0"/>
              <w:bottom w:val="single" w:color="000000" w:sz="4" w:space="0"/>
              <w:right w:val="single" w:color="000000" w:sz="4" w:space="0"/>
            </w:tcBorders>
            <w:vAlign w:val="center"/>
          </w:tcPr>
          <w:p w14:paraId="6CC6731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Times New Roman"/>
                <w:sz w:val="24"/>
                <w:highlight w:val="none"/>
                <w:lang w:val="en-US" w:eastAsia="zh-CN"/>
              </w:rPr>
              <w:t>服务</w:t>
            </w:r>
            <w:r>
              <w:rPr>
                <w:rFonts w:hint="eastAsia" w:ascii="宋体" w:hAnsi="宋体" w:eastAsia="宋体" w:cs="Times New Roman"/>
                <w:sz w:val="24"/>
                <w:highlight w:val="none"/>
                <w:lang w:val="en-US" w:eastAsia="zh-CN"/>
              </w:rPr>
              <w:t>期限</w:t>
            </w:r>
          </w:p>
        </w:tc>
        <w:tc>
          <w:tcPr>
            <w:tcW w:w="6867" w:type="dxa"/>
            <w:tcBorders>
              <w:top w:val="single" w:color="000000" w:sz="4" w:space="0"/>
              <w:left w:val="single" w:color="000000" w:sz="4" w:space="0"/>
              <w:bottom w:val="single" w:color="000000" w:sz="4" w:space="0"/>
              <w:right w:val="single" w:color="000000" w:sz="4" w:space="0"/>
            </w:tcBorders>
            <w:vAlign w:val="center"/>
          </w:tcPr>
          <w:p w14:paraId="53A73FAD">
            <w:pPr>
              <w:spacing w:line="490" w:lineRule="exact"/>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合同签订后30天内完成安装、调试、并确保数据正常传输至平台，验收合格后免费提供三年技术支持；</w:t>
            </w:r>
          </w:p>
        </w:tc>
      </w:tr>
      <w:tr w14:paraId="36761874">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21F3705">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w:t>
            </w:r>
            <w:r>
              <w:rPr>
                <w:rFonts w:hint="eastAsia" w:ascii="宋体" w:hAnsi="宋体" w:cs="宋体"/>
                <w:color w:val="auto"/>
                <w:sz w:val="24"/>
                <w:highlight w:val="none"/>
                <w:lang w:val="en-US" w:eastAsia="zh-CN"/>
              </w:rPr>
              <w:t>3</w:t>
            </w:r>
          </w:p>
        </w:tc>
        <w:tc>
          <w:tcPr>
            <w:tcW w:w="2417" w:type="dxa"/>
            <w:tcBorders>
              <w:top w:val="single" w:color="000000" w:sz="4" w:space="0"/>
              <w:left w:val="single" w:color="000000" w:sz="4" w:space="0"/>
              <w:bottom w:val="single" w:color="000000" w:sz="4" w:space="0"/>
              <w:right w:val="single" w:color="000000" w:sz="4" w:space="0"/>
            </w:tcBorders>
            <w:vAlign w:val="center"/>
          </w:tcPr>
          <w:p w14:paraId="2085B273">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质量要求</w:t>
            </w:r>
          </w:p>
        </w:tc>
        <w:tc>
          <w:tcPr>
            <w:tcW w:w="6867" w:type="dxa"/>
            <w:tcBorders>
              <w:top w:val="single" w:color="000000" w:sz="4" w:space="0"/>
              <w:left w:val="single" w:color="000000" w:sz="4" w:space="0"/>
              <w:bottom w:val="single" w:color="000000" w:sz="4" w:space="0"/>
              <w:right w:val="single" w:color="000000" w:sz="4" w:space="0"/>
            </w:tcBorders>
            <w:vAlign w:val="center"/>
          </w:tcPr>
          <w:p w14:paraId="66FB8C7B">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符合国家及行业标准，满足采购人需求。</w:t>
            </w:r>
          </w:p>
        </w:tc>
      </w:tr>
      <w:tr w14:paraId="39B8AA15">
        <w:tblPrEx>
          <w:tblCellMar>
            <w:top w:w="0" w:type="dxa"/>
            <w:left w:w="0" w:type="dxa"/>
            <w:bottom w:w="0" w:type="dxa"/>
            <w:right w:w="0" w:type="dxa"/>
          </w:tblCellMar>
        </w:tblPrEx>
        <w:trPr>
          <w:trHeight w:val="111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AB048A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2417" w:type="dxa"/>
            <w:tcBorders>
              <w:top w:val="single" w:color="000000" w:sz="4" w:space="0"/>
              <w:left w:val="single" w:color="000000" w:sz="4" w:space="0"/>
              <w:bottom w:val="single" w:color="000000" w:sz="4" w:space="0"/>
              <w:right w:val="single" w:color="000000" w:sz="4" w:space="0"/>
            </w:tcBorders>
            <w:vAlign w:val="center"/>
          </w:tcPr>
          <w:p w14:paraId="6A962EF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6867" w:type="dxa"/>
            <w:tcBorders>
              <w:top w:val="single" w:color="000000" w:sz="4" w:space="0"/>
              <w:left w:val="single" w:color="000000" w:sz="4" w:space="0"/>
              <w:bottom w:val="single" w:color="000000" w:sz="4" w:space="0"/>
              <w:right w:val="single" w:color="000000" w:sz="4" w:space="0"/>
            </w:tcBorders>
            <w:vAlign w:val="center"/>
          </w:tcPr>
          <w:p w14:paraId="7ADD90D8">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1. </w:t>
            </w:r>
            <w:r>
              <w:rPr>
                <w:rFonts w:hint="eastAsia" w:ascii="宋体" w:hAnsi="宋体" w:eastAsia="宋体" w:cs="宋体"/>
                <w:color w:val="auto"/>
                <w:sz w:val="24"/>
                <w:highlight w:val="none"/>
                <w:lang w:val="en-US" w:eastAsia="zh-CN"/>
              </w:rPr>
              <w:t>满足《中华人民共和国政府采购法》第二十二条规定，供应商须提供承诺书；（格式详见第六章投标文件格式附件1）</w:t>
            </w:r>
            <w:r>
              <w:rPr>
                <w:rFonts w:hint="eastAsia" w:ascii="宋体" w:hAnsi="宋体" w:eastAsia="宋体" w:cs="宋体"/>
                <w:color w:val="auto"/>
                <w:sz w:val="24"/>
                <w:highlight w:val="none"/>
                <w:lang w:eastAsia="zh-CN"/>
              </w:rPr>
              <w:t>；</w:t>
            </w:r>
          </w:p>
          <w:p w14:paraId="61194769">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 落实政府采购政策需满足的资格要求：本项目支持小微（监狱、残疾人福利性单位）企业扶持等相关政府采购政策；</w:t>
            </w:r>
            <w:r>
              <w:rPr>
                <w:rFonts w:hint="eastAsia" w:ascii="宋体" w:hAnsi="宋体" w:eastAsia="宋体" w:cs="宋体"/>
                <w:color w:val="auto"/>
                <w:sz w:val="24"/>
                <w:highlight w:val="none"/>
                <w:lang w:val="en-US" w:eastAsia="zh-CN"/>
              </w:rPr>
              <w:t>（格式详见第六章投标文件格式附件4）</w:t>
            </w:r>
          </w:p>
          <w:p w14:paraId="4DE3209D">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本项目的特定资格要求：注册于中华人民共和国境内的供应商且符合以下要求：</w:t>
            </w:r>
          </w:p>
          <w:p w14:paraId="30240A6E">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3.1 供应商</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具有有效的营业执照，或事业单位法人证书。（投标文件中须附营业执照或事业单位法人证书</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lang w:eastAsia="zh-CN"/>
              </w:rPr>
              <w:t>扫描件，否则其投标不被接受）。</w:t>
            </w:r>
          </w:p>
          <w:p w14:paraId="79A4B1E4">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2供应商须出具本单位无商业贿赂及无不正当竞争行为的承诺书（格式详见第六章投标文件格式附件2）；</w:t>
            </w:r>
          </w:p>
          <w:p w14:paraId="535906EE">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s://zxgk.court.gov.cn/shixi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color w:val="auto"/>
                <w:sz w:val="24"/>
                <w:highlight w:val="none"/>
                <w:lang w:eastAsia="zh-CN"/>
              </w:rPr>
              <w:t>，查询日期为本公告发布之日起，网站截图应含有日期</w:t>
            </w:r>
            <w:r>
              <w:rPr>
                <w:rFonts w:hint="eastAsia" w:ascii="宋体" w:hAnsi="宋体" w:eastAsia="宋体" w:cs="宋体"/>
                <w:color w:val="auto"/>
                <w:sz w:val="24"/>
                <w:highlight w:val="none"/>
                <w:lang w:val="en-US" w:eastAsia="zh-CN"/>
              </w:rPr>
              <w:t>且显示查询结果。</w:t>
            </w:r>
            <w:r>
              <w:rPr>
                <w:rFonts w:hint="eastAsia" w:ascii="宋体" w:hAnsi="宋体" w:eastAsia="宋体" w:cs="宋体"/>
                <w:color w:val="auto"/>
                <w:sz w:val="24"/>
                <w:highlight w:val="none"/>
                <w:lang w:eastAsia="zh-CN"/>
              </w:rPr>
              <w:t>；</w:t>
            </w:r>
          </w:p>
          <w:p w14:paraId="56898B78">
            <w:pPr>
              <w:autoSpaceDE w:val="0"/>
              <w:autoSpaceDN w:val="0"/>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单位负责人为同一人或者存在直接控股、管理关系的不同供应商，不得参加同一合同项下的采购活动；（提供“国家企业信用信息公示系统”中查询打印的相关信息或单位自行出具的承诺书，查询信息需包含公司基本信息、股东信息及股权变更信息等相关信息，查询起始日期为本项目公告发布之后，查询截止时间为开标时间同一时间）</w:t>
            </w:r>
          </w:p>
          <w:p w14:paraId="4741F10E">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3.5本次采购不接受联合体投标，供应商需提供非联合体承诺书（格式详见第六章投标文件格式附件3）；</w:t>
            </w:r>
          </w:p>
        </w:tc>
      </w:tr>
      <w:tr w14:paraId="50624F9C">
        <w:tblPrEx>
          <w:tblCellMar>
            <w:top w:w="0" w:type="dxa"/>
            <w:left w:w="0" w:type="dxa"/>
            <w:bottom w:w="0" w:type="dxa"/>
            <w:right w:w="0" w:type="dxa"/>
          </w:tblCellMar>
        </w:tblPrEx>
        <w:trPr>
          <w:trHeight w:val="611"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72C67B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2417" w:type="dxa"/>
            <w:tcBorders>
              <w:top w:val="single" w:color="000000" w:sz="4" w:space="0"/>
              <w:left w:val="single" w:color="000000" w:sz="4" w:space="0"/>
              <w:bottom w:val="single" w:color="000000" w:sz="4" w:space="0"/>
              <w:right w:val="single" w:color="000000" w:sz="4" w:space="0"/>
            </w:tcBorders>
            <w:vAlign w:val="center"/>
          </w:tcPr>
          <w:p w14:paraId="4C56C5E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是否接受联合体投标</w:t>
            </w:r>
          </w:p>
        </w:tc>
        <w:tc>
          <w:tcPr>
            <w:tcW w:w="6867" w:type="dxa"/>
            <w:tcBorders>
              <w:top w:val="single" w:color="000000" w:sz="4" w:space="0"/>
              <w:left w:val="single" w:color="000000" w:sz="4" w:space="0"/>
              <w:bottom w:val="single" w:color="000000" w:sz="4" w:space="0"/>
              <w:right w:val="single" w:color="000000" w:sz="4" w:space="0"/>
            </w:tcBorders>
            <w:vAlign w:val="center"/>
          </w:tcPr>
          <w:p w14:paraId="5659E36A">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rPr>
              <w:t>接受</w:t>
            </w:r>
            <w:r>
              <w:rPr>
                <w:rFonts w:hint="eastAsia" w:ascii="宋体" w:hAnsi="宋体" w:cs="宋体"/>
                <w:color w:val="auto"/>
                <w:sz w:val="24"/>
                <w:highlight w:val="none"/>
                <w:lang w:eastAsia="zh-CN"/>
              </w:rPr>
              <w:t>。</w:t>
            </w:r>
          </w:p>
        </w:tc>
      </w:tr>
      <w:tr w14:paraId="14E89D1B">
        <w:tblPrEx>
          <w:tblCellMar>
            <w:top w:w="0" w:type="dxa"/>
            <w:left w:w="0" w:type="dxa"/>
            <w:bottom w:w="0" w:type="dxa"/>
            <w:right w:w="0" w:type="dxa"/>
          </w:tblCellMar>
        </w:tblPrEx>
        <w:trPr>
          <w:trHeight w:val="388"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0D7D0E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2417" w:type="dxa"/>
            <w:tcBorders>
              <w:top w:val="single" w:color="000000" w:sz="4" w:space="0"/>
              <w:left w:val="single" w:color="000000" w:sz="4" w:space="0"/>
              <w:bottom w:val="single" w:color="000000" w:sz="4" w:space="0"/>
              <w:right w:val="single" w:color="000000" w:sz="4" w:space="0"/>
            </w:tcBorders>
            <w:vAlign w:val="center"/>
          </w:tcPr>
          <w:p w14:paraId="7111BFA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867" w:type="dxa"/>
            <w:tcBorders>
              <w:top w:val="single" w:color="000000" w:sz="4" w:space="0"/>
              <w:left w:val="single" w:color="000000" w:sz="4" w:space="0"/>
              <w:bottom w:val="single" w:color="000000" w:sz="4" w:space="0"/>
              <w:right w:val="single" w:color="000000" w:sz="4" w:space="0"/>
            </w:tcBorders>
            <w:vAlign w:val="center"/>
          </w:tcPr>
          <w:p w14:paraId="030460E2">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tc>
      </w:tr>
      <w:tr w14:paraId="7F475C30">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1AC2D4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1.10.1</w:t>
            </w:r>
          </w:p>
        </w:tc>
        <w:tc>
          <w:tcPr>
            <w:tcW w:w="2417" w:type="dxa"/>
            <w:tcBorders>
              <w:top w:val="single" w:color="000000" w:sz="4" w:space="0"/>
              <w:left w:val="single" w:color="000000" w:sz="4" w:space="0"/>
              <w:bottom w:val="single" w:color="000000" w:sz="4" w:space="0"/>
              <w:right w:val="single" w:color="000000" w:sz="4" w:space="0"/>
            </w:tcBorders>
            <w:vAlign w:val="center"/>
          </w:tcPr>
          <w:p w14:paraId="01D728B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投标预备会</w:t>
            </w:r>
          </w:p>
        </w:tc>
        <w:tc>
          <w:tcPr>
            <w:tcW w:w="6867" w:type="dxa"/>
            <w:tcBorders>
              <w:top w:val="single" w:color="000000" w:sz="4" w:space="0"/>
              <w:left w:val="single" w:color="000000" w:sz="4" w:space="0"/>
              <w:bottom w:val="single" w:color="000000" w:sz="4" w:space="0"/>
              <w:right w:val="single" w:color="000000" w:sz="4" w:space="0"/>
            </w:tcBorders>
            <w:vAlign w:val="center"/>
          </w:tcPr>
          <w:p w14:paraId="7F409FD1">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不召开</w:t>
            </w:r>
            <w:r>
              <w:rPr>
                <w:rFonts w:hint="eastAsia" w:ascii="宋体" w:hAnsi="宋体" w:cs="宋体"/>
                <w:color w:val="auto"/>
                <w:sz w:val="24"/>
                <w:highlight w:val="none"/>
                <w:lang w:eastAsia="zh-CN"/>
              </w:rPr>
              <w:t>。</w:t>
            </w:r>
          </w:p>
        </w:tc>
      </w:tr>
      <w:tr w14:paraId="65CB66D7">
        <w:tblPrEx>
          <w:tblCellMar>
            <w:top w:w="0" w:type="dxa"/>
            <w:left w:w="0" w:type="dxa"/>
            <w:bottom w:w="0" w:type="dxa"/>
            <w:right w:w="0" w:type="dxa"/>
          </w:tblCellMar>
        </w:tblPrEx>
        <w:trPr>
          <w:trHeight w:val="29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C839E5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1.10.3</w:t>
            </w:r>
          </w:p>
        </w:tc>
        <w:tc>
          <w:tcPr>
            <w:tcW w:w="2417" w:type="dxa"/>
            <w:tcBorders>
              <w:top w:val="single" w:color="000000" w:sz="4" w:space="0"/>
              <w:left w:val="single" w:color="000000" w:sz="4" w:space="0"/>
              <w:bottom w:val="single" w:color="000000" w:sz="4" w:space="0"/>
              <w:right w:val="single" w:color="000000" w:sz="4" w:space="0"/>
            </w:tcBorders>
            <w:vAlign w:val="center"/>
          </w:tcPr>
          <w:p w14:paraId="35D431A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澄清的时间</w:t>
            </w:r>
          </w:p>
        </w:tc>
        <w:tc>
          <w:tcPr>
            <w:tcW w:w="6867" w:type="dxa"/>
            <w:tcBorders>
              <w:top w:val="single" w:color="000000" w:sz="4" w:space="0"/>
              <w:left w:val="single" w:color="000000" w:sz="4" w:space="0"/>
              <w:bottom w:val="single" w:color="000000" w:sz="4" w:space="0"/>
              <w:right w:val="single" w:color="000000" w:sz="4" w:space="0"/>
            </w:tcBorders>
            <w:vAlign w:val="center"/>
          </w:tcPr>
          <w:p w14:paraId="34B0E5ED">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招标文件规定的投标截止时间15天前</w:t>
            </w:r>
            <w:r>
              <w:rPr>
                <w:rFonts w:hint="eastAsia" w:ascii="宋体" w:hAnsi="宋体" w:cs="宋体"/>
                <w:color w:val="auto"/>
                <w:sz w:val="24"/>
                <w:highlight w:val="none"/>
                <w:lang w:eastAsia="zh-CN"/>
              </w:rPr>
              <w:t>。</w:t>
            </w:r>
          </w:p>
        </w:tc>
      </w:tr>
      <w:tr w14:paraId="6A5CF4C2">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41E7BA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417" w:type="dxa"/>
            <w:tcBorders>
              <w:top w:val="single" w:color="000000" w:sz="4" w:space="0"/>
              <w:left w:val="single" w:color="000000" w:sz="4" w:space="0"/>
              <w:bottom w:val="single" w:color="000000" w:sz="4" w:space="0"/>
              <w:right w:val="single" w:color="000000" w:sz="4" w:space="0"/>
            </w:tcBorders>
            <w:vAlign w:val="center"/>
          </w:tcPr>
          <w:p w14:paraId="384DFF5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实质性要求和条件</w:t>
            </w:r>
          </w:p>
        </w:tc>
        <w:tc>
          <w:tcPr>
            <w:tcW w:w="6867" w:type="dxa"/>
            <w:tcBorders>
              <w:top w:val="single" w:color="000000" w:sz="4" w:space="0"/>
              <w:left w:val="single" w:color="000000" w:sz="4" w:space="0"/>
              <w:bottom w:val="single" w:color="000000" w:sz="4" w:space="0"/>
              <w:right w:val="single" w:color="000000" w:sz="4" w:space="0"/>
            </w:tcBorders>
            <w:vAlign w:val="center"/>
          </w:tcPr>
          <w:p w14:paraId="22DAAB71">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投标文件应当对招标文件的实质性要求和条件作出满足性或更有利于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的响应，否则，</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的投标将被否决。</w:t>
            </w:r>
          </w:p>
        </w:tc>
      </w:tr>
      <w:tr w14:paraId="2A7061EA">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F29CA8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1.12.3</w:t>
            </w:r>
          </w:p>
        </w:tc>
        <w:tc>
          <w:tcPr>
            <w:tcW w:w="2417" w:type="dxa"/>
            <w:tcBorders>
              <w:top w:val="single" w:color="000000" w:sz="4" w:space="0"/>
              <w:left w:val="single" w:color="000000" w:sz="4" w:space="0"/>
              <w:bottom w:val="single" w:color="000000" w:sz="4" w:space="0"/>
              <w:right w:val="single" w:color="000000" w:sz="4" w:space="0"/>
            </w:tcBorders>
            <w:vAlign w:val="center"/>
          </w:tcPr>
          <w:p w14:paraId="1E617D9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867" w:type="dxa"/>
            <w:tcBorders>
              <w:top w:val="single" w:color="000000" w:sz="4" w:space="0"/>
              <w:left w:val="single" w:color="000000" w:sz="4" w:space="0"/>
              <w:bottom w:val="single" w:color="000000" w:sz="4" w:space="0"/>
              <w:right w:val="single" w:color="000000" w:sz="4" w:space="0"/>
            </w:tcBorders>
            <w:vAlign w:val="center"/>
          </w:tcPr>
          <w:p w14:paraId="1620D573">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rPr>
              <w:t>允许</w:t>
            </w:r>
            <w:r>
              <w:rPr>
                <w:rFonts w:hint="eastAsia" w:ascii="宋体" w:hAnsi="宋体" w:cs="宋体"/>
                <w:color w:val="auto"/>
                <w:sz w:val="24"/>
                <w:highlight w:val="none"/>
                <w:lang w:eastAsia="zh-CN"/>
              </w:rPr>
              <w:t>。</w:t>
            </w:r>
          </w:p>
        </w:tc>
      </w:tr>
      <w:tr w14:paraId="6919BD3F">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427220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417" w:type="dxa"/>
            <w:tcBorders>
              <w:top w:val="single" w:color="000000" w:sz="4" w:space="0"/>
              <w:left w:val="single" w:color="000000" w:sz="4" w:space="0"/>
              <w:bottom w:val="single" w:color="000000" w:sz="4" w:space="0"/>
              <w:right w:val="single" w:color="000000" w:sz="4" w:space="0"/>
            </w:tcBorders>
            <w:vAlign w:val="center"/>
          </w:tcPr>
          <w:p w14:paraId="7CB1778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构成招标文件的其他材料</w:t>
            </w:r>
          </w:p>
        </w:tc>
        <w:tc>
          <w:tcPr>
            <w:tcW w:w="6867" w:type="dxa"/>
            <w:tcBorders>
              <w:top w:val="single" w:color="000000" w:sz="4" w:space="0"/>
              <w:left w:val="single" w:color="000000" w:sz="4" w:space="0"/>
              <w:bottom w:val="single" w:color="000000" w:sz="4" w:space="0"/>
              <w:right w:val="single" w:color="000000" w:sz="4" w:space="0"/>
            </w:tcBorders>
            <w:vAlign w:val="center"/>
          </w:tcPr>
          <w:p w14:paraId="67ABCAD2">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招标文件的修改、澄清、招标文件的补充文件（如有）、</w:t>
            </w:r>
            <w:r>
              <w:rPr>
                <w:rFonts w:hint="eastAsia" w:ascii="宋体" w:hAnsi="宋体" w:cs="宋体"/>
                <w:color w:val="auto"/>
                <w:sz w:val="24"/>
                <w:highlight w:val="none"/>
                <w:lang w:eastAsia="zh-CN"/>
              </w:rPr>
              <w:t>采购控制价</w:t>
            </w:r>
            <w:r>
              <w:rPr>
                <w:rFonts w:hint="eastAsia" w:ascii="宋体" w:hAnsi="宋体" w:eastAsia="宋体" w:cs="宋体"/>
                <w:color w:val="auto"/>
                <w:sz w:val="24"/>
                <w:highlight w:val="none"/>
              </w:rPr>
              <w:t>等。</w:t>
            </w:r>
          </w:p>
        </w:tc>
      </w:tr>
      <w:tr w14:paraId="55705F69">
        <w:tblPrEx>
          <w:tblCellMar>
            <w:top w:w="0" w:type="dxa"/>
            <w:left w:w="0" w:type="dxa"/>
            <w:bottom w:w="0" w:type="dxa"/>
            <w:right w:w="0" w:type="dxa"/>
          </w:tblCellMar>
        </w:tblPrEx>
        <w:trPr>
          <w:trHeight w:val="307" w:hRule="atLeast"/>
          <w:jc w:val="center"/>
        </w:trPr>
        <w:tc>
          <w:tcPr>
            <w:tcW w:w="904" w:type="dxa"/>
            <w:tcBorders>
              <w:top w:val="single" w:color="000000" w:sz="4" w:space="0"/>
              <w:left w:val="single" w:color="000000" w:sz="4" w:space="0"/>
              <w:right w:val="single" w:color="000000" w:sz="4" w:space="0"/>
            </w:tcBorders>
            <w:vAlign w:val="center"/>
          </w:tcPr>
          <w:p w14:paraId="3F16A81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p>
        </w:tc>
        <w:tc>
          <w:tcPr>
            <w:tcW w:w="2417" w:type="dxa"/>
            <w:tcBorders>
              <w:top w:val="single" w:color="000000" w:sz="4" w:space="0"/>
              <w:left w:val="single" w:color="000000" w:sz="4" w:space="0"/>
              <w:right w:val="single" w:color="000000" w:sz="4" w:space="0"/>
            </w:tcBorders>
            <w:vAlign w:val="center"/>
          </w:tcPr>
          <w:p w14:paraId="72E4BAE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对招标文件提出疑问的截止时间</w:t>
            </w:r>
          </w:p>
        </w:tc>
        <w:tc>
          <w:tcPr>
            <w:tcW w:w="6867" w:type="dxa"/>
            <w:tcBorders>
              <w:top w:val="single" w:color="000000" w:sz="4" w:space="0"/>
              <w:left w:val="single" w:color="000000" w:sz="4" w:space="0"/>
              <w:bottom w:val="single" w:color="000000" w:sz="4" w:space="0"/>
              <w:right w:val="single" w:color="000000" w:sz="4" w:space="0"/>
            </w:tcBorders>
            <w:vAlign w:val="center"/>
          </w:tcPr>
          <w:p w14:paraId="2EE692BE">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递交投标文件的截止</w:t>
            </w:r>
            <w:r>
              <w:rPr>
                <w:rFonts w:hint="eastAsia" w:ascii="宋体" w:hAnsi="宋体" w:cs="宋体"/>
                <w:color w:val="auto"/>
                <w:kern w:val="0"/>
                <w:sz w:val="24"/>
                <w:highlight w:val="none"/>
                <w:lang w:val="en-US" w:eastAsia="zh-CN"/>
              </w:rPr>
              <w:t>时间15</w:t>
            </w:r>
            <w:r>
              <w:rPr>
                <w:rFonts w:hint="eastAsia" w:ascii="宋体" w:hAnsi="宋体" w:eastAsia="宋体" w:cs="宋体"/>
                <w:color w:val="auto"/>
                <w:kern w:val="0"/>
                <w:sz w:val="24"/>
                <w:highlight w:val="none"/>
              </w:rPr>
              <w:t>日前</w:t>
            </w:r>
            <w:r>
              <w:rPr>
                <w:rFonts w:hint="eastAsia" w:ascii="宋体" w:hAnsi="宋体" w:cs="宋体"/>
                <w:color w:val="auto"/>
                <w:kern w:val="0"/>
                <w:sz w:val="24"/>
                <w:highlight w:val="none"/>
                <w:lang w:eastAsia="zh-CN"/>
              </w:rPr>
              <w:t>。</w:t>
            </w:r>
          </w:p>
        </w:tc>
      </w:tr>
      <w:tr w14:paraId="3CB9DC96">
        <w:tblPrEx>
          <w:tblCellMar>
            <w:top w:w="0" w:type="dxa"/>
            <w:left w:w="0" w:type="dxa"/>
            <w:bottom w:w="0" w:type="dxa"/>
            <w:right w:w="0" w:type="dxa"/>
          </w:tblCellMar>
        </w:tblPrEx>
        <w:trPr>
          <w:trHeight w:val="38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A61191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p>
        </w:tc>
        <w:tc>
          <w:tcPr>
            <w:tcW w:w="2417" w:type="dxa"/>
            <w:tcBorders>
              <w:top w:val="single" w:color="000000" w:sz="4" w:space="0"/>
              <w:left w:val="single" w:color="000000" w:sz="4" w:space="0"/>
              <w:bottom w:val="single" w:color="000000" w:sz="4" w:space="0"/>
              <w:right w:val="single" w:color="000000" w:sz="4" w:space="0"/>
            </w:tcBorders>
            <w:vAlign w:val="center"/>
          </w:tcPr>
          <w:p w14:paraId="04C28EE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招标文件澄清发出的形式</w:t>
            </w:r>
          </w:p>
        </w:tc>
        <w:tc>
          <w:tcPr>
            <w:tcW w:w="6867" w:type="dxa"/>
            <w:tcBorders>
              <w:top w:val="single" w:color="000000" w:sz="4" w:space="0"/>
              <w:left w:val="single" w:color="000000" w:sz="4" w:space="0"/>
              <w:bottom w:val="single" w:color="000000" w:sz="4" w:space="0"/>
              <w:right w:val="single" w:color="000000" w:sz="4" w:space="0"/>
            </w:tcBorders>
            <w:vAlign w:val="center"/>
          </w:tcPr>
          <w:p w14:paraId="0ED7A47D">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将需要解答的内容以答疑文件形式，在三门峡市公共资源交易中心网站项目网上答疑栏统一回复给潜在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。所有潜在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应密切关注三门峡市公共资源交易中心网站，自行查收、下载。</w:t>
            </w:r>
          </w:p>
        </w:tc>
      </w:tr>
      <w:tr w14:paraId="0349649D">
        <w:tblPrEx>
          <w:tblCellMar>
            <w:top w:w="0" w:type="dxa"/>
            <w:left w:w="0" w:type="dxa"/>
            <w:bottom w:w="0" w:type="dxa"/>
            <w:right w:w="0" w:type="dxa"/>
          </w:tblCellMar>
        </w:tblPrEx>
        <w:trPr>
          <w:trHeight w:val="628"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60B6109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p>
        </w:tc>
        <w:tc>
          <w:tcPr>
            <w:tcW w:w="2417" w:type="dxa"/>
            <w:tcBorders>
              <w:top w:val="single" w:color="auto" w:sz="4" w:space="0"/>
              <w:left w:val="single" w:color="auto" w:sz="4" w:space="0"/>
              <w:bottom w:val="single" w:color="auto" w:sz="4" w:space="0"/>
              <w:right w:val="single" w:color="auto" w:sz="4" w:space="0"/>
            </w:tcBorders>
            <w:vAlign w:val="center"/>
          </w:tcPr>
          <w:p w14:paraId="5484B69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招标文件修改发出的形式</w:t>
            </w:r>
          </w:p>
        </w:tc>
        <w:tc>
          <w:tcPr>
            <w:tcW w:w="6867" w:type="dxa"/>
            <w:tcBorders>
              <w:top w:val="single" w:color="auto" w:sz="4" w:space="0"/>
              <w:left w:val="single" w:color="auto" w:sz="4" w:space="0"/>
              <w:bottom w:val="single" w:color="auto" w:sz="4" w:space="0"/>
              <w:right w:val="single" w:color="auto" w:sz="4" w:space="0"/>
            </w:tcBorders>
            <w:vAlign w:val="center"/>
          </w:tcPr>
          <w:p w14:paraId="62DF5786">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在三门峡市公共资源交易中心等</w:t>
            </w:r>
            <w:r>
              <w:rPr>
                <w:rFonts w:hint="eastAsia" w:ascii="宋体" w:hAnsi="宋体" w:cs="宋体"/>
                <w:color w:val="auto"/>
                <w:sz w:val="24"/>
                <w:highlight w:val="none"/>
                <w:lang w:val="en-US" w:eastAsia="zh-CN"/>
              </w:rPr>
              <w:t>相关</w:t>
            </w:r>
            <w:r>
              <w:rPr>
                <w:rFonts w:hint="eastAsia" w:ascii="宋体" w:hAnsi="宋体" w:eastAsia="宋体" w:cs="宋体"/>
                <w:color w:val="auto"/>
                <w:sz w:val="24"/>
                <w:highlight w:val="none"/>
              </w:rPr>
              <w:t>网站发布变更公告</w:t>
            </w:r>
            <w:r>
              <w:rPr>
                <w:rFonts w:hint="eastAsia" w:ascii="宋体" w:hAnsi="宋体" w:cs="宋体"/>
                <w:color w:val="auto"/>
                <w:sz w:val="24"/>
                <w:highlight w:val="none"/>
                <w:lang w:eastAsia="zh-CN"/>
              </w:rPr>
              <w:t>。</w:t>
            </w:r>
          </w:p>
        </w:tc>
      </w:tr>
      <w:tr w14:paraId="503B20B7">
        <w:tblPrEx>
          <w:tblCellMar>
            <w:top w:w="0" w:type="dxa"/>
            <w:left w:w="0" w:type="dxa"/>
            <w:bottom w:w="0" w:type="dxa"/>
            <w:right w:w="0" w:type="dxa"/>
          </w:tblCellMar>
        </w:tblPrEx>
        <w:trPr>
          <w:trHeight w:val="342"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0E281F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2417" w:type="dxa"/>
            <w:tcBorders>
              <w:top w:val="single" w:color="auto" w:sz="4" w:space="0"/>
              <w:left w:val="single" w:color="auto" w:sz="4" w:space="0"/>
              <w:bottom w:val="single" w:color="auto" w:sz="4" w:space="0"/>
              <w:right w:val="single" w:color="auto" w:sz="4" w:space="0"/>
            </w:tcBorders>
            <w:vAlign w:val="center"/>
          </w:tcPr>
          <w:p w14:paraId="5E60571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确认收到招标文件修改</w:t>
            </w:r>
          </w:p>
        </w:tc>
        <w:tc>
          <w:tcPr>
            <w:tcW w:w="6867" w:type="dxa"/>
            <w:tcBorders>
              <w:top w:val="single" w:color="auto" w:sz="4" w:space="0"/>
              <w:left w:val="single" w:color="auto" w:sz="4" w:space="0"/>
              <w:bottom w:val="single" w:color="auto" w:sz="4" w:space="0"/>
              <w:right w:val="single" w:color="auto" w:sz="4" w:space="0"/>
            </w:tcBorders>
            <w:vAlign w:val="center"/>
          </w:tcPr>
          <w:p w14:paraId="2B7080AA">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所有潜在</w:t>
            </w: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应密切关注三门峡市公共资源交易中心</w:t>
            </w:r>
            <w:r>
              <w:rPr>
                <w:rFonts w:hint="eastAsia" w:ascii="宋体" w:hAnsi="宋体" w:cs="宋体"/>
                <w:color w:val="auto"/>
                <w:kern w:val="0"/>
                <w:sz w:val="24"/>
                <w:highlight w:val="none"/>
                <w:lang w:val="en-US" w:eastAsia="zh-CN"/>
              </w:rPr>
              <w:t>等相关</w:t>
            </w:r>
            <w:r>
              <w:rPr>
                <w:rFonts w:hint="eastAsia" w:ascii="宋体" w:hAnsi="宋体" w:eastAsia="宋体" w:cs="宋体"/>
                <w:color w:val="auto"/>
                <w:kern w:val="0"/>
                <w:sz w:val="24"/>
                <w:highlight w:val="none"/>
              </w:rPr>
              <w:t>网站，自行查收、下载变更资料。</w:t>
            </w:r>
          </w:p>
        </w:tc>
      </w:tr>
      <w:tr w14:paraId="4E78E14E">
        <w:tblPrEx>
          <w:tblCellMar>
            <w:top w:w="0" w:type="dxa"/>
            <w:left w:w="0" w:type="dxa"/>
            <w:bottom w:w="0" w:type="dxa"/>
            <w:right w:w="0" w:type="dxa"/>
          </w:tblCellMar>
        </w:tblPrEx>
        <w:trPr>
          <w:trHeight w:val="69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2C9116B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2417" w:type="dxa"/>
            <w:tcBorders>
              <w:top w:val="single" w:color="000000" w:sz="4" w:space="0"/>
              <w:left w:val="single" w:color="000000" w:sz="4" w:space="0"/>
              <w:bottom w:val="single" w:color="000000" w:sz="4" w:space="0"/>
              <w:right w:val="single" w:color="000000" w:sz="4" w:space="0"/>
            </w:tcBorders>
            <w:vAlign w:val="center"/>
          </w:tcPr>
          <w:p w14:paraId="3706AD9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构成投标文件的其它资料</w:t>
            </w:r>
          </w:p>
        </w:tc>
        <w:tc>
          <w:tcPr>
            <w:tcW w:w="6867" w:type="dxa"/>
            <w:tcBorders>
              <w:top w:val="single" w:color="000000" w:sz="4" w:space="0"/>
              <w:left w:val="single" w:color="000000" w:sz="4" w:space="0"/>
              <w:bottom w:val="single" w:color="000000" w:sz="4" w:space="0"/>
              <w:right w:val="single" w:color="000000" w:sz="4" w:space="0"/>
            </w:tcBorders>
            <w:vAlign w:val="center"/>
          </w:tcPr>
          <w:p w14:paraId="2EE54899">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投标文件中须附有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须知前附表1.4.1款和第三章评标办法中所需证件、证明的</w:t>
            </w:r>
            <w:r>
              <w:rPr>
                <w:rFonts w:hint="eastAsia" w:ascii="宋体" w:hAnsi="宋体" w:cs="宋体"/>
                <w:color w:val="auto"/>
                <w:sz w:val="24"/>
                <w:highlight w:val="none"/>
                <w:lang w:val="en-US" w:eastAsia="zh-CN"/>
              </w:rPr>
              <w:t>原件</w:t>
            </w:r>
            <w:r>
              <w:rPr>
                <w:rFonts w:hint="eastAsia" w:ascii="宋体" w:hAnsi="宋体" w:eastAsia="宋体" w:cs="宋体"/>
                <w:color w:val="auto"/>
                <w:sz w:val="24"/>
                <w:highlight w:val="none"/>
              </w:rPr>
              <w:t>扫描件</w:t>
            </w:r>
            <w:r>
              <w:rPr>
                <w:rFonts w:hint="eastAsia" w:ascii="宋体" w:hAnsi="宋体" w:cs="宋体"/>
                <w:color w:val="auto"/>
                <w:sz w:val="24"/>
                <w:highlight w:val="none"/>
                <w:lang w:eastAsia="zh-CN"/>
              </w:rPr>
              <w:t>。</w:t>
            </w:r>
          </w:p>
        </w:tc>
      </w:tr>
      <w:tr w14:paraId="339D71B6">
        <w:tblPrEx>
          <w:tblCellMar>
            <w:top w:w="0" w:type="dxa"/>
            <w:left w:w="0" w:type="dxa"/>
            <w:bottom w:w="0" w:type="dxa"/>
            <w:right w:w="0" w:type="dxa"/>
          </w:tblCellMar>
        </w:tblPrEx>
        <w:trPr>
          <w:trHeight w:val="42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01EB190">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417" w:type="dxa"/>
            <w:tcBorders>
              <w:top w:val="single" w:color="000000" w:sz="4" w:space="0"/>
              <w:left w:val="single" w:color="000000" w:sz="4" w:space="0"/>
              <w:bottom w:val="single" w:color="000000" w:sz="4" w:space="0"/>
              <w:right w:val="single" w:color="000000" w:sz="4" w:space="0"/>
            </w:tcBorders>
            <w:vAlign w:val="center"/>
          </w:tcPr>
          <w:p w14:paraId="1A0EA155">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投标报价规定</w:t>
            </w:r>
          </w:p>
        </w:tc>
        <w:tc>
          <w:tcPr>
            <w:tcW w:w="6867" w:type="dxa"/>
            <w:tcBorders>
              <w:top w:val="single" w:color="000000" w:sz="4" w:space="0"/>
              <w:left w:val="single" w:color="000000" w:sz="4" w:space="0"/>
              <w:bottom w:val="single" w:color="000000" w:sz="4" w:space="0"/>
              <w:right w:val="single" w:color="000000" w:sz="4" w:space="0"/>
            </w:tcBorders>
            <w:vAlign w:val="center"/>
          </w:tcPr>
          <w:p w14:paraId="780B4A2D">
            <w:pPr>
              <w:autoSpaceDE w:val="0"/>
              <w:autoSpaceDN w:val="0"/>
              <w:adjustRightIn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报价方式：总价报价，投标报价应包含完项目所需要的全部费用。</w:t>
            </w:r>
          </w:p>
        </w:tc>
      </w:tr>
      <w:tr w14:paraId="58615C45">
        <w:tblPrEx>
          <w:tblCellMar>
            <w:top w:w="0" w:type="dxa"/>
            <w:left w:w="0" w:type="dxa"/>
            <w:bottom w:w="0" w:type="dxa"/>
            <w:right w:w="0" w:type="dxa"/>
          </w:tblCellMar>
        </w:tblPrEx>
        <w:trPr>
          <w:trHeight w:val="42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87516F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2417" w:type="dxa"/>
            <w:tcBorders>
              <w:top w:val="single" w:color="000000" w:sz="4" w:space="0"/>
              <w:left w:val="single" w:color="000000" w:sz="4" w:space="0"/>
              <w:bottom w:val="single" w:color="000000" w:sz="4" w:space="0"/>
              <w:right w:val="single" w:color="000000" w:sz="4" w:space="0"/>
            </w:tcBorders>
            <w:vAlign w:val="center"/>
          </w:tcPr>
          <w:p w14:paraId="1EC738C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867" w:type="dxa"/>
            <w:tcBorders>
              <w:top w:val="single" w:color="000000" w:sz="4" w:space="0"/>
              <w:left w:val="single" w:color="000000" w:sz="4" w:space="0"/>
              <w:bottom w:val="single" w:color="000000" w:sz="4" w:space="0"/>
              <w:right w:val="single" w:color="000000" w:sz="4" w:space="0"/>
            </w:tcBorders>
            <w:vAlign w:val="center"/>
          </w:tcPr>
          <w:p w14:paraId="09A90D58">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p>
        </w:tc>
      </w:tr>
      <w:tr w14:paraId="5C78ACEB">
        <w:tblPrEx>
          <w:tblCellMar>
            <w:top w:w="0" w:type="dxa"/>
            <w:left w:w="0" w:type="dxa"/>
            <w:bottom w:w="0" w:type="dxa"/>
            <w:right w:w="0" w:type="dxa"/>
          </w:tblCellMar>
        </w:tblPrEx>
        <w:trPr>
          <w:trHeight w:val="751"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177184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417" w:type="dxa"/>
            <w:tcBorders>
              <w:top w:val="single" w:color="000000" w:sz="4" w:space="0"/>
              <w:left w:val="single" w:color="000000" w:sz="4" w:space="0"/>
              <w:bottom w:val="single" w:color="000000" w:sz="4" w:space="0"/>
              <w:right w:val="single" w:color="000000" w:sz="4" w:space="0"/>
            </w:tcBorders>
            <w:vAlign w:val="center"/>
          </w:tcPr>
          <w:p w14:paraId="5396F7A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6867" w:type="dxa"/>
            <w:tcBorders>
              <w:top w:val="single" w:color="000000" w:sz="4" w:space="0"/>
              <w:left w:val="single" w:color="000000" w:sz="4" w:space="0"/>
              <w:bottom w:val="single" w:color="000000" w:sz="4" w:space="0"/>
              <w:right w:val="single" w:color="000000" w:sz="4" w:space="0"/>
            </w:tcBorders>
            <w:vAlign w:val="center"/>
          </w:tcPr>
          <w:p w14:paraId="36E6C72A">
            <w:pPr>
              <w:pStyle w:val="157"/>
              <w:spacing w:before="0" w:beforeAutospacing="0" w:after="0" w:afterAutospacing="0" w:line="490" w:lineRule="exact"/>
              <w:outlineLvl w:val="1"/>
              <w:rPr>
                <w:rFonts w:hint="eastAsia" w:ascii="宋体" w:hAnsi="宋体" w:eastAsia="宋体" w:cs="宋体"/>
                <w:color w:val="auto"/>
                <w:highlight w:val="none"/>
                <w:lang w:eastAsia="zh-CN"/>
              </w:rPr>
            </w:pPr>
            <w:r>
              <w:rPr>
                <w:rFonts w:hint="eastAsia" w:cs="Times New Roman"/>
                <w:color w:val="auto"/>
                <w:szCs w:val="20"/>
                <w:highlight w:val="none"/>
                <w:lang w:val="en-US" w:eastAsia="zh-CN"/>
              </w:rPr>
              <w:t>参照</w:t>
            </w:r>
            <w:r>
              <w:rPr>
                <w:rFonts w:hint="eastAsia" w:ascii="宋体" w:hAnsi="宋体" w:cs="Times New Roman"/>
                <w:color w:val="auto"/>
                <w:szCs w:val="20"/>
                <w:highlight w:val="none"/>
                <w:lang w:eastAsia="zh-CN"/>
              </w:rPr>
              <w:t>《河南省财政厅关于优化政府采购营商环境有关问题的通知》（豫财购[2019]4号文）的要求</w:t>
            </w:r>
            <w:r>
              <w:rPr>
                <w:rFonts w:hint="eastAsia" w:cs="Times New Roman"/>
                <w:color w:val="auto"/>
                <w:szCs w:val="20"/>
                <w:highlight w:val="none"/>
                <w:lang w:eastAsia="zh-CN"/>
              </w:rPr>
              <w:t>，</w:t>
            </w:r>
            <w:r>
              <w:rPr>
                <w:rFonts w:hint="eastAsia" w:ascii="宋体" w:hAnsi="宋体" w:cs="Times New Roman"/>
                <w:color w:val="auto"/>
                <w:szCs w:val="20"/>
                <w:highlight w:val="none"/>
                <w:lang w:eastAsia="zh-CN"/>
              </w:rPr>
              <w:t>本项目不再收取投标保证金。</w:t>
            </w:r>
          </w:p>
        </w:tc>
      </w:tr>
      <w:tr w14:paraId="2627975B">
        <w:tblPrEx>
          <w:tblCellMar>
            <w:top w:w="0" w:type="dxa"/>
            <w:left w:w="0" w:type="dxa"/>
            <w:bottom w:w="0" w:type="dxa"/>
            <w:right w:w="0" w:type="dxa"/>
          </w:tblCellMar>
        </w:tblPrEx>
        <w:trPr>
          <w:trHeight w:val="54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65E37E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p>
        </w:tc>
        <w:tc>
          <w:tcPr>
            <w:tcW w:w="2417" w:type="dxa"/>
            <w:tcBorders>
              <w:top w:val="single" w:color="000000" w:sz="4" w:space="0"/>
              <w:left w:val="single" w:color="000000" w:sz="4" w:space="0"/>
              <w:bottom w:val="single" w:color="000000" w:sz="4" w:space="0"/>
              <w:right w:val="single" w:color="000000" w:sz="4" w:space="0"/>
            </w:tcBorders>
            <w:vAlign w:val="center"/>
          </w:tcPr>
          <w:p w14:paraId="52202F3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867" w:type="dxa"/>
            <w:tcBorders>
              <w:top w:val="single" w:color="000000" w:sz="4" w:space="0"/>
              <w:left w:val="single" w:color="000000" w:sz="4" w:space="0"/>
              <w:bottom w:val="single" w:color="000000" w:sz="4" w:space="0"/>
              <w:right w:val="single" w:color="000000" w:sz="4" w:space="0"/>
            </w:tcBorders>
            <w:vAlign w:val="center"/>
          </w:tcPr>
          <w:p w14:paraId="0CEC8CC0">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不允许</w:t>
            </w:r>
            <w:r>
              <w:rPr>
                <w:rFonts w:hint="eastAsia" w:ascii="宋体" w:hAnsi="宋体" w:cs="宋体"/>
                <w:color w:val="auto"/>
                <w:sz w:val="24"/>
                <w:highlight w:val="none"/>
                <w:lang w:eastAsia="zh-CN"/>
              </w:rPr>
              <w:t>。</w:t>
            </w:r>
          </w:p>
        </w:tc>
      </w:tr>
      <w:tr w14:paraId="6B25B260">
        <w:tblPrEx>
          <w:tblCellMar>
            <w:top w:w="0" w:type="dxa"/>
            <w:left w:w="0" w:type="dxa"/>
            <w:bottom w:w="0" w:type="dxa"/>
            <w:right w:w="0" w:type="dxa"/>
          </w:tblCellMar>
        </w:tblPrEx>
        <w:trPr>
          <w:trHeight w:val="1035"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C685A4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3.7.3 </w:t>
            </w:r>
          </w:p>
        </w:tc>
        <w:tc>
          <w:tcPr>
            <w:tcW w:w="2417" w:type="dxa"/>
            <w:tcBorders>
              <w:top w:val="single" w:color="000000" w:sz="4" w:space="0"/>
              <w:left w:val="single" w:color="000000" w:sz="4" w:space="0"/>
              <w:bottom w:val="single" w:color="000000" w:sz="4" w:space="0"/>
              <w:right w:val="single" w:color="000000" w:sz="4" w:space="0"/>
            </w:tcBorders>
            <w:vAlign w:val="center"/>
          </w:tcPr>
          <w:p w14:paraId="1BB8243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要求</w:t>
            </w:r>
          </w:p>
        </w:tc>
        <w:tc>
          <w:tcPr>
            <w:tcW w:w="6867" w:type="dxa"/>
            <w:tcBorders>
              <w:top w:val="single" w:color="000000" w:sz="4" w:space="0"/>
              <w:left w:val="single" w:color="000000" w:sz="4" w:space="0"/>
              <w:bottom w:val="single" w:color="000000" w:sz="4" w:space="0"/>
              <w:right w:val="single" w:color="000000" w:sz="4" w:space="0"/>
            </w:tcBorders>
            <w:vAlign w:val="center"/>
          </w:tcPr>
          <w:p w14:paraId="2774D981">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1、本项目为电子化、无纸化交易项目，投标文件是</w:t>
            </w: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通过中心投标文件制作系统制作，并经过电子签章和加密后生成的电子化投标文件，未对电子化文件进行签章的视为无效投标。</w:t>
            </w: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投标时，将不再接受任何纸质文件资料。</w:t>
            </w:r>
          </w:p>
          <w:p w14:paraId="0D65EE4C">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2、要求法定代表人或授权委托人签字或盖章的，</w:t>
            </w: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在进行电子化投标文件签章时，以签盖法定代表人签章为准。</w:t>
            </w:r>
          </w:p>
          <w:p w14:paraId="6ED73895">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3、电子化投标文件工具请点击https://download.bqpoint.com/download/downloaddetail.html?SourceFrom=Ztb&amp;ZtbSoftXiaQuCode=1506&amp;ZtbSoftType=tballinclusive进行下载。</w:t>
            </w:r>
          </w:p>
        </w:tc>
      </w:tr>
      <w:tr w14:paraId="46F2A25F">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4E14B0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3.7.4</w:t>
            </w:r>
          </w:p>
        </w:tc>
        <w:tc>
          <w:tcPr>
            <w:tcW w:w="2417" w:type="dxa"/>
            <w:tcBorders>
              <w:top w:val="single" w:color="000000" w:sz="4" w:space="0"/>
              <w:left w:val="single" w:color="000000" w:sz="4" w:space="0"/>
              <w:bottom w:val="single" w:color="000000" w:sz="4" w:space="0"/>
              <w:right w:val="single" w:color="000000" w:sz="4" w:space="0"/>
            </w:tcBorders>
            <w:vAlign w:val="center"/>
          </w:tcPr>
          <w:p w14:paraId="28AB412F">
            <w:pPr>
              <w:pStyle w:val="158"/>
              <w:spacing w:before="1"/>
              <w:ind w:left="10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投标文件其他要求</w:t>
            </w:r>
          </w:p>
        </w:tc>
        <w:tc>
          <w:tcPr>
            <w:tcW w:w="6867" w:type="dxa"/>
            <w:tcBorders>
              <w:top w:val="single" w:color="000000" w:sz="4" w:space="0"/>
              <w:left w:val="single" w:color="000000" w:sz="4" w:space="0"/>
              <w:bottom w:val="single" w:color="000000" w:sz="4" w:space="0"/>
              <w:right w:val="single" w:color="000000" w:sz="4" w:space="0"/>
            </w:tcBorders>
          </w:tcPr>
          <w:p w14:paraId="5814B211">
            <w:pPr>
              <w:pStyle w:val="157"/>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本项目为电子化、无纸化交易项目，开标时不再递交纸质投标文件，中标单位签订合同前需向</w:t>
            </w:r>
            <w:r>
              <w:rPr>
                <w:rFonts w:hint="eastAsia" w:cs="宋体"/>
                <w:color w:val="auto"/>
                <w:highlight w:val="none"/>
                <w:lang w:eastAsia="zh-CN"/>
              </w:rPr>
              <w:t>采购人</w:t>
            </w:r>
            <w:r>
              <w:rPr>
                <w:rFonts w:hint="eastAsia" w:ascii="宋体" w:hAnsi="宋体" w:eastAsia="宋体" w:cs="宋体"/>
                <w:color w:val="auto"/>
                <w:highlight w:val="none"/>
              </w:rPr>
              <w:t>递交叁份与电子化投标文件相同的纸质投标文件（一正两副），投标文件应按以下要求装订：胶装（不得采用活页装订），应有目录，</w:t>
            </w:r>
            <w:r>
              <w:rPr>
                <w:rFonts w:hint="eastAsia" w:cs="宋体"/>
                <w:color w:val="auto"/>
                <w:highlight w:val="none"/>
                <w:lang w:val="en-US" w:eastAsia="zh-CN"/>
              </w:rPr>
              <w:t>书脊处标明项目名称和项目编号，</w:t>
            </w:r>
            <w:r>
              <w:rPr>
                <w:rFonts w:hint="eastAsia" w:ascii="宋体" w:hAnsi="宋体" w:eastAsia="宋体" w:cs="宋体"/>
                <w:color w:val="auto"/>
                <w:highlight w:val="none"/>
              </w:rPr>
              <w:t>并逐页标注连续页码，</w:t>
            </w:r>
            <w:r>
              <w:rPr>
                <w:rFonts w:hint="eastAsia" w:ascii="宋体" w:hAnsi="宋体" w:eastAsia="宋体" w:cs="宋体"/>
                <w:b/>
                <w:bCs/>
                <w:color w:val="auto"/>
                <w:highlight w:val="none"/>
              </w:rPr>
              <w:t>需加盖</w:t>
            </w:r>
            <w:r>
              <w:rPr>
                <w:rFonts w:hint="eastAsia" w:cs="宋体"/>
                <w:b/>
                <w:bCs/>
                <w:color w:val="auto"/>
                <w:highlight w:val="none"/>
                <w:lang w:val="en-US" w:eastAsia="zh-CN"/>
              </w:rPr>
              <w:t>骑缝</w:t>
            </w:r>
            <w:r>
              <w:rPr>
                <w:rFonts w:hint="eastAsia" w:ascii="宋体" w:hAnsi="宋体" w:eastAsia="宋体" w:cs="宋体"/>
                <w:b/>
                <w:bCs/>
                <w:color w:val="auto"/>
                <w:highlight w:val="none"/>
              </w:rPr>
              <w:t>章。</w:t>
            </w:r>
          </w:p>
        </w:tc>
      </w:tr>
      <w:tr w14:paraId="275A72AB">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A285A3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p>
        </w:tc>
        <w:tc>
          <w:tcPr>
            <w:tcW w:w="2417" w:type="dxa"/>
            <w:tcBorders>
              <w:top w:val="single" w:color="000000" w:sz="4" w:space="0"/>
              <w:left w:val="single" w:color="000000" w:sz="4" w:space="0"/>
              <w:bottom w:val="single" w:color="000000" w:sz="4" w:space="0"/>
              <w:right w:val="single" w:color="000000" w:sz="4" w:space="0"/>
            </w:tcBorders>
            <w:vAlign w:val="center"/>
          </w:tcPr>
          <w:p w14:paraId="3523ECC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投标截止时间  </w:t>
            </w:r>
          </w:p>
        </w:tc>
        <w:tc>
          <w:tcPr>
            <w:tcW w:w="6867" w:type="dxa"/>
            <w:tcBorders>
              <w:top w:val="single" w:color="000000" w:sz="4" w:space="0"/>
              <w:left w:val="single" w:color="000000" w:sz="4" w:space="0"/>
              <w:bottom w:val="single" w:color="000000" w:sz="4" w:space="0"/>
              <w:right w:val="single" w:color="000000" w:sz="4" w:space="0"/>
            </w:tcBorders>
            <w:vAlign w:val="center"/>
          </w:tcPr>
          <w:p w14:paraId="43A67053">
            <w:pPr>
              <w:autoSpaceDE w:val="0"/>
              <w:autoSpaceDN w:val="0"/>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202</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lang w:val="en-US" w:eastAsia="zh-CN"/>
              </w:rPr>
              <w:t>年</w:t>
            </w:r>
            <w:r>
              <w:rPr>
                <w:rFonts w:hint="eastAsia" w:ascii="宋体" w:hAnsi="宋体" w:cs="宋体"/>
                <w:b/>
                <w:color w:val="auto"/>
                <w:sz w:val="24"/>
                <w:highlight w:val="none"/>
                <w:lang w:val="en-US" w:eastAsia="zh-CN"/>
              </w:rPr>
              <w:t>03</w:t>
            </w:r>
            <w:r>
              <w:rPr>
                <w:rFonts w:hint="eastAsia" w:ascii="宋体" w:hAnsi="宋体" w:eastAsia="宋体" w:cs="宋体"/>
                <w:b/>
                <w:color w:val="auto"/>
                <w:sz w:val="24"/>
                <w:highlight w:val="none"/>
                <w:lang w:val="en-US" w:eastAsia="zh-CN"/>
              </w:rPr>
              <w:t>月</w:t>
            </w:r>
            <w:r>
              <w:rPr>
                <w:rFonts w:hint="eastAsia" w:ascii="宋体" w:hAnsi="宋体" w:cs="宋体"/>
                <w:b/>
                <w:color w:val="auto"/>
                <w:sz w:val="24"/>
                <w:highlight w:val="none"/>
                <w:lang w:val="en-US" w:eastAsia="zh-CN"/>
              </w:rPr>
              <w:t>02</w:t>
            </w:r>
            <w:r>
              <w:rPr>
                <w:rFonts w:hint="eastAsia" w:ascii="宋体" w:hAnsi="宋体" w:eastAsia="宋体" w:cs="宋体"/>
                <w:b/>
                <w:color w:val="auto"/>
                <w:sz w:val="24"/>
                <w:highlight w:val="none"/>
                <w:lang w:val="en-US" w:eastAsia="zh-CN"/>
              </w:rPr>
              <w:t>日</w:t>
            </w:r>
            <w:r>
              <w:rPr>
                <w:rFonts w:hint="eastAsia" w:ascii="宋体" w:hAnsi="宋体" w:cs="宋体"/>
                <w:b/>
                <w:color w:val="auto"/>
                <w:sz w:val="24"/>
                <w:highlight w:val="none"/>
                <w:lang w:val="en-US" w:eastAsia="zh-CN"/>
              </w:rPr>
              <w:t xml:space="preserve">08 </w:t>
            </w:r>
            <w:r>
              <w:rPr>
                <w:rFonts w:hint="eastAsia" w:ascii="宋体" w:hAnsi="宋体" w:eastAsia="宋体" w:cs="宋体"/>
                <w:b/>
                <w:color w:val="auto"/>
                <w:sz w:val="24"/>
                <w:highlight w:val="none"/>
                <w:lang w:val="en-US" w:eastAsia="zh-CN"/>
              </w:rPr>
              <w:t>时</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lang w:val="en-US" w:eastAsia="zh-CN"/>
              </w:rPr>
              <w:t>分</w:t>
            </w:r>
          </w:p>
        </w:tc>
      </w:tr>
      <w:tr w14:paraId="029A39A8">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F3325A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417" w:type="dxa"/>
            <w:tcBorders>
              <w:top w:val="single" w:color="000000" w:sz="4" w:space="0"/>
              <w:left w:val="single" w:color="000000" w:sz="4" w:space="0"/>
              <w:bottom w:val="single" w:color="000000" w:sz="4" w:space="0"/>
              <w:right w:val="single" w:color="000000" w:sz="4" w:space="0"/>
            </w:tcBorders>
            <w:vAlign w:val="center"/>
          </w:tcPr>
          <w:p w14:paraId="087DE22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867" w:type="dxa"/>
            <w:tcBorders>
              <w:top w:val="single" w:color="000000" w:sz="4" w:space="0"/>
              <w:left w:val="single" w:color="000000" w:sz="4" w:space="0"/>
              <w:bottom w:val="single" w:color="000000" w:sz="4" w:space="0"/>
              <w:right w:val="single" w:color="000000" w:sz="4" w:space="0"/>
            </w:tcBorders>
            <w:vAlign w:val="center"/>
          </w:tcPr>
          <w:p w14:paraId="24101295">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开标时间：同投标截止时间</w:t>
            </w:r>
          </w:p>
          <w:p w14:paraId="0EAFA6B1">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开标地点：同递交投标文件地点</w:t>
            </w:r>
          </w:p>
        </w:tc>
      </w:tr>
      <w:tr w14:paraId="0178136B">
        <w:tblPrEx>
          <w:tblCellMar>
            <w:top w:w="0" w:type="dxa"/>
            <w:left w:w="0" w:type="dxa"/>
            <w:bottom w:w="0" w:type="dxa"/>
            <w:right w:w="0" w:type="dxa"/>
          </w:tblCellMar>
        </w:tblPrEx>
        <w:trPr>
          <w:trHeight w:val="50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8D7E78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417" w:type="dxa"/>
            <w:tcBorders>
              <w:top w:val="single" w:color="000000" w:sz="4" w:space="0"/>
              <w:left w:val="single" w:color="000000" w:sz="4" w:space="0"/>
              <w:bottom w:val="single" w:color="000000" w:sz="4" w:space="0"/>
              <w:right w:val="single" w:color="000000" w:sz="4" w:space="0"/>
            </w:tcBorders>
            <w:vAlign w:val="center"/>
          </w:tcPr>
          <w:p w14:paraId="4A1912A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867" w:type="dxa"/>
            <w:tcBorders>
              <w:top w:val="single" w:color="000000" w:sz="4" w:space="0"/>
              <w:left w:val="single" w:color="000000" w:sz="4" w:space="0"/>
              <w:bottom w:val="single" w:color="000000" w:sz="4" w:space="0"/>
              <w:right w:val="single" w:color="000000" w:sz="4" w:space="0"/>
            </w:tcBorders>
            <w:vAlign w:val="center"/>
          </w:tcPr>
          <w:p w14:paraId="316D776A">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见招标文件开标程序</w:t>
            </w:r>
          </w:p>
        </w:tc>
      </w:tr>
      <w:tr w14:paraId="75ECA2B4">
        <w:tblPrEx>
          <w:tblCellMar>
            <w:top w:w="0" w:type="dxa"/>
            <w:left w:w="0" w:type="dxa"/>
            <w:bottom w:w="0" w:type="dxa"/>
            <w:right w:w="0" w:type="dxa"/>
          </w:tblCellMar>
        </w:tblPrEx>
        <w:trPr>
          <w:trHeight w:val="76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051CE4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6.1.1</w:t>
            </w:r>
          </w:p>
        </w:tc>
        <w:tc>
          <w:tcPr>
            <w:tcW w:w="2417" w:type="dxa"/>
            <w:tcBorders>
              <w:top w:val="single" w:color="000000" w:sz="4" w:space="0"/>
              <w:left w:val="single" w:color="000000" w:sz="4" w:space="0"/>
              <w:bottom w:val="single" w:color="000000" w:sz="4" w:space="0"/>
              <w:right w:val="single" w:color="000000" w:sz="4" w:space="0"/>
            </w:tcBorders>
            <w:vAlign w:val="center"/>
          </w:tcPr>
          <w:p w14:paraId="23E290E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tc>
        <w:tc>
          <w:tcPr>
            <w:tcW w:w="6867" w:type="dxa"/>
            <w:tcBorders>
              <w:top w:val="single" w:color="000000" w:sz="4" w:space="0"/>
              <w:left w:val="single" w:color="000000" w:sz="4" w:space="0"/>
              <w:bottom w:val="single" w:color="000000" w:sz="4" w:space="0"/>
              <w:right w:val="single" w:color="000000" w:sz="4" w:space="0"/>
            </w:tcBorders>
            <w:vAlign w:val="center"/>
          </w:tcPr>
          <w:p w14:paraId="046908C0">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评标委员会构成：</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人</w:t>
            </w:r>
          </w:p>
          <w:p w14:paraId="437A1EB4">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人，专家</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rPr>
              <w:t>人</w:t>
            </w:r>
          </w:p>
          <w:p w14:paraId="4A16E034">
            <w:pPr>
              <w:autoSpaceDE w:val="0"/>
              <w:autoSpaceDN w:val="0"/>
              <w:adjustRightIn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评标专家确定方式：评标前通过河南省电子化政府采购系统评标专家库中随机抽取技术、经济专家</w:t>
            </w:r>
            <w:r>
              <w:rPr>
                <w:rFonts w:hint="eastAsia" w:ascii="宋体" w:hAnsi="宋体" w:cs="宋体"/>
                <w:color w:val="auto"/>
                <w:sz w:val="24"/>
                <w:highlight w:val="none"/>
                <w:lang w:val="en-US" w:eastAsia="zh-CN"/>
              </w:rPr>
              <w:t>共4人。</w:t>
            </w:r>
          </w:p>
          <w:p w14:paraId="573FBDC7">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根据省政府关于评标专家的有关管理规定，业主评委</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评标劳务费</w:t>
            </w:r>
            <w:r>
              <w:rPr>
                <w:rFonts w:hint="eastAsia" w:ascii="宋体" w:hAnsi="宋体" w:cs="宋体"/>
                <w:color w:val="auto"/>
                <w:sz w:val="24"/>
                <w:highlight w:val="none"/>
                <w:lang w:eastAsia="zh-CN"/>
              </w:rPr>
              <w:t>。</w:t>
            </w:r>
          </w:p>
        </w:tc>
      </w:tr>
      <w:tr w14:paraId="42F2D969">
        <w:tblPrEx>
          <w:tblCellMar>
            <w:top w:w="0" w:type="dxa"/>
            <w:left w:w="0" w:type="dxa"/>
            <w:bottom w:w="0" w:type="dxa"/>
            <w:right w:w="0" w:type="dxa"/>
          </w:tblCellMar>
        </w:tblPrEx>
        <w:trPr>
          <w:trHeight w:val="826"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66350A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p>
        </w:tc>
        <w:tc>
          <w:tcPr>
            <w:tcW w:w="2417" w:type="dxa"/>
            <w:tcBorders>
              <w:top w:val="single" w:color="000000" w:sz="4" w:space="0"/>
              <w:left w:val="single" w:color="000000" w:sz="4" w:space="0"/>
              <w:bottom w:val="single" w:color="000000" w:sz="4" w:space="0"/>
              <w:right w:val="single" w:color="000000" w:sz="4" w:space="0"/>
            </w:tcBorders>
            <w:vAlign w:val="center"/>
          </w:tcPr>
          <w:p w14:paraId="6808263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评标委员会推荐中标候选人的人数</w:t>
            </w:r>
          </w:p>
        </w:tc>
        <w:tc>
          <w:tcPr>
            <w:tcW w:w="6867" w:type="dxa"/>
            <w:tcBorders>
              <w:top w:val="single" w:color="000000" w:sz="4" w:space="0"/>
              <w:left w:val="single" w:color="000000" w:sz="4" w:space="0"/>
              <w:bottom w:val="single" w:color="000000" w:sz="4" w:space="0"/>
              <w:right w:val="single" w:color="000000" w:sz="4" w:space="0"/>
            </w:tcBorders>
            <w:vAlign w:val="center"/>
          </w:tcPr>
          <w:p w14:paraId="622673F6">
            <w:pPr>
              <w:autoSpaceDE w:val="0"/>
              <w:autoSpaceDN w:val="0"/>
              <w:adjustRightIn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推荐3名中标候选人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并标明排序。</w:t>
            </w:r>
          </w:p>
        </w:tc>
      </w:tr>
      <w:tr w14:paraId="448F6431">
        <w:tblPrEx>
          <w:tblCellMar>
            <w:top w:w="0" w:type="dxa"/>
            <w:left w:w="0" w:type="dxa"/>
            <w:bottom w:w="0" w:type="dxa"/>
            <w:right w:w="0" w:type="dxa"/>
          </w:tblCellMar>
        </w:tblPrEx>
        <w:trPr>
          <w:trHeight w:val="46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253927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p>
        </w:tc>
        <w:tc>
          <w:tcPr>
            <w:tcW w:w="2417" w:type="dxa"/>
            <w:tcBorders>
              <w:top w:val="single" w:color="000000" w:sz="4" w:space="0"/>
              <w:left w:val="single" w:color="000000" w:sz="4" w:space="0"/>
              <w:bottom w:val="single" w:color="000000" w:sz="4" w:space="0"/>
              <w:right w:val="single" w:color="000000" w:sz="4" w:space="0"/>
            </w:tcBorders>
            <w:vAlign w:val="center"/>
          </w:tcPr>
          <w:p w14:paraId="5DBAC76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中标公示媒介及期限</w:t>
            </w:r>
          </w:p>
        </w:tc>
        <w:tc>
          <w:tcPr>
            <w:tcW w:w="6867" w:type="dxa"/>
            <w:tcBorders>
              <w:top w:val="single" w:color="000000" w:sz="4" w:space="0"/>
              <w:left w:val="single" w:color="000000" w:sz="4" w:space="0"/>
              <w:bottom w:val="single" w:color="000000" w:sz="4" w:space="0"/>
              <w:right w:val="single" w:color="000000" w:sz="4" w:space="0"/>
            </w:tcBorders>
            <w:vAlign w:val="center"/>
          </w:tcPr>
          <w:p w14:paraId="595FD237">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公示媒介：同招标公告发布媒介</w:t>
            </w:r>
          </w:p>
          <w:p w14:paraId="6FA66560">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u w:val="single"/>
                <w:lang w:val="en-US" w:eastAsia="zh-CN"/>
              </w:rPr>
              <w:t xml:space="preserve"> 1  </w:t>
            </w:r>
            <w:r>
              <w:rPr>
                <w:rFonts w:hint="eastAsia" w:ascii="宋体" w:hAnsi="宋体" w:eastAsia="宋体" w:cs="宋体"/>
                <w:color w:val="auto"/>
                <w:sz w:val="24"/>
                <w:highlight w:val="none"/>
              </w:rPr>
              <w:t>日</w:t>
            </w:r>
          </w:p>
        </w:tc>
      </w:tr>
      <w:tr w14:paraId="0004F634">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284D7B2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7.4</w:t>
            </w:r>
          </w:p>
        </w:tc>
        <w:tc>
          <w:tcPr>
            <w:tcW w:w="2417" w:type="dxa"/>
            <w:tcBorders>
              <w:top w:val="single" w:color="000000" w:sz="4" w:space="0"/>
              <w:left w:val="single" w:color="000000" w:sz="4" w:space="0"/>
              <w:bottom w:val="single" w:color="000000" w:sz="4" w:space="0"/>
              <w:right w:val="single" w:color="auto" w:sz="4" w:space="0"/>
            </w:tcBorders>
            <w:vAlign w:val="center"/>
          </w:tcPr>
          <w:p w14:paraId="0A0A8E0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是否授权评标委员会</w:t>
            </w:r>
          </w:p>
          <w:p w14:paraId="206C01E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867" w:type="dxa"/>
            <w:tcBorders>
              <w:top w:val="single" w:color="000000" w:sz="4" w:space="0"/>
              <w:left w:val="single" w:color="auto" w:sz="4" w:space="0"/>
              <w:bottom w:val="single" w:color="000000" w:sz="4" w:space="0"/>
              <w:right w:val="single" w:color="000000" w:sz="4" w:space="0"/>
            </w:tcBorders>
            <w:vAlign w:val="center"/>
          </w:tcPr>
          <w:p w14:paraId="29B297E9">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tc>
      </w:tr>
      <w:tr w14:paraId="57897EAE">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0B6C66E">
            <w:pPr>
              <w:autoSpaceDE w:val="0"/>
              <w:autoSpaceDN w:val="0"/>
              <w:adjustRightIn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417" w:type="dxa"/>
            <w:tcBorders>
              <w:top w:val="single" w:color="000000" w:sz="4" w:space="0"/>
              <w:left w:val="single" w:color="000000" w:sz="4" w:space="0"/>
              <w:bottom w:val="single" w:color="000000" w:sz="4" w:space="0"/>
              <w:right w:val="single" w:color="auto" w:sz="4" w:space="0"/>
            </w:tcBorders>
            <w:vAlign w:val="center"/>
          </w:tcPr>
          <w:p w14:paraId="6B3D71B7">
            <w:pPr>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szCs w:val="24"/>
                <w:highlight w:val="none"/>
              </w:rPr>
              <w:t xml:space="preserve">代理服务费  </w:t>
            </w:r>
          </w:p>
        </w:tc>
        <w:tc>
          <w:tcPr>
            <w:tcW w:w="6867" w:type="dxa"/>
            <w:tcBorders>
              <w:top w:val="single" w:color="000000" w:sz="4" w:space="0"/>
              <w:left w:val="single" w:color="auto" w:sz="4" w:space="0"/>
              <w:bottom w:val="single" w:color="000000" w:sz="4" w:space="0"/>
              <w:right w:val="single" w:color="000000" w:sz="4" w:space="0"/>
            </w:tcBorders>
            <w:vAlign w:val="center"/>
          </w:tcPr>
          <w:p w14:paraId="2FD3D57E">
            <w:pPr>
              <w:spacing w:line="520" w:lineRule="exact"/>
              <w:rPr>
                <w:rFonts w:hint="eastAsia" w:ascii="宋体" w:hAnsi="宋体" w:eastAsia="宋体" w:cs="宋体"/>
                <w:color w:val="auto"/>
                <w:sz w:val="24"/>
                <w:highlight w:val="none"/>
              </w:rPr>
            </w:pPr>
            <w:r>
              <w:rPr>
                <w:rFonts w:hint="eastAsia" w:ascii="宋体" w:hAnsi="宋体" w:eastAsia="宋体" w:cs="Times New Roman"/>
                <w:color w:val="auto"/>
                <w:kern w:val="0"/>
                <w:sz w:val="24"/>
                <w:szCs w:val="24"/>
                <w:highlight w:val="none"/>
                <w:lang w:val="en-US" w:eastAsia="zh-CN"/>
              </w:rPr>
              <w:t>招标代理费用参照《河南省招标代理服务收费指导意见》豫招协【2023】002号收费标准进行收取。领取中标通知书前由中标人支付</w:t>
            </w:r>
            <w:r>
              <w:rPr>
                <w:rFonts w:hint="eastAsia" w:ascii="宋体" w:hAnsi="宋体" w:cs="Times New Roman"/>
                <w:color w:val="auto"/>
                <w:kern w:val="0"/>
                <w:sz w:val="24"/>
                <w:szCs w:val="24"/>
                <w:highlight w:val="none"/>
                <w:lang w:val="en-US" w:eastAsia="zh-CN"/>
              </w:rPr>
              <w:t>。</w:t>
            </w:r>
          </w:p>
        </w:tc>
      </w:tr>
      <w:tr w14:paraId="1C5B26E8">
        <w:tblPrEx>
          <w:tblCellMar>
            <w:top w:w="0" w:type="dxa"/>
            <w:left w:w="0" w:type="dxa"/>
            <w:bottom w:w="0" w:type="dxa"/>
            <w:right w:w="0" w:type="dxa"/>
          </w:tblCellMar>
        </w:tblPrEx>
        <w:trPr>
          <w:trHeight w:val="593"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618D525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417" w:type="dxa"/>
            <w:tcBorders>
              <w:top w:val="single" w:color="auto" w:sz="4" w:space="0"/>
              <w:left w:val="single" w:color="000000" w:sz="4" w:space="0"/>
              <w:bottom w:val="single" w:color="auto" w:sz="4" w:space="0"/>
              <w:right w:val="single" w:color="auto" w:sz="4" w:space="0"/>
            </w:tcBorders>
            <w:vAlign w:val="center"/>
          </w:tcPr>
          <w:p w14:paraId="6FD2128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是否采用电子招标投标</w:t>
            </w:r>
          </w:p>
        </w:tc>
        <w:tc>
          <w:tcPr>
            <w:tcW w:w="6867" w:type="dxa"/>
            <w:tcBorders>
              <w:top w:val="single" w:color="auto" w:sz="4" w:space="0"/>
              <w:left w:val="single" w:color="auto" w:sz="4" w:space="0"/>
              <w:bottom w:val="single" w:color="auto" w:sz="4" w:space="0"/>
              <w:right w:val="single" w:color="000000" w:sz="4" w:space="0"/>
            </w:tcBorders>
            <w:vAlign w:val="center"/>
          </w:tcPr>
          <w:p w14:paraId="391AFA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文件是</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通过中心</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制作系统制作，并经过签章和加密后生成的电子版</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0D032D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具体制作文件请点击https://download.bqpoint.com/download/downloaddetail.html?SourceFrom=Ztb&amp;ZtbSoftXiaQuCode=1506&amp;ZtbSoftType=tballinclusive进行下载。</w:t>
            </w:r>
          </w:p>
          <w:p w14:paraId="1D855B0C">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23CACD3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3E7925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的签章</w:t>
            </w:r>
          </w:p>
          <w:p w14:paraId="1159C3DA">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在生成电子化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后，应对电子化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进行签章，未进行签章的视为无效投标。</w:t>
            </w:r>
          </w:p>
          <w:p w14:paraId="0C649DE0">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文件中要求</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盖章的，以签盖单位章为准；要求法定代表人或授权代理人签章的，以签盖法定代表人签章为准</w:t>
            </w:r>
            <w:r>
              <w:rPr>
                <w:rFonts w:hint="eastAsia" w:ascii="宋体" w:hAnsi="宋体" w:cs="宋体"/>
                <w:color w:val="auto"/>
                <w:sz w:val="24"/>
                <w:highlight w:val="none"/>
              </w:rPr>
              <w:t>。</w:t>
            </w:r>
          </w:p>
          <w:p w14:paraId="1DF488E9">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的格式及上传投标</w:t>
            </w:r>
          </w:p>
          <w:p w14:paraId="433FB7E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所上传的电子化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，应是通过中心</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制作系统制作的，经过签章和加密后生成的电子版</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。其中包含用于</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上传的主文件（后缀为.smxtf）和用于应急补救的</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备份文件（后缀为.nsmxtf）。</w:t>
            </w:r>
          </w:p>
          <w:p w14:paraId="007706B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应在投标截止时间前成功上传至三门峡市公共资源电子化交易系统。至投标截止时间止，仍未上传成功的电子化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将不予接收。</w:t>
            </w:r>
          </w:p>
          <w:p w14:paraId="73627850">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w:t>
            </w:r>
            <w:r>
              <w:rPr>
                <w:rFonts w:hint="eastAsia" w:ascii="宋体" w:hAnsi="宋体" w:cs="宋体"/>
                <w:b w:val="0"/>
                <w:bCs w:val="0"/>
                <w:color w:val="auto"/>
                <w:sz w:val="24"/>
                <w:highlight w:val="none"/>
              </w:rPr>
              <w:t>标操作教材制作完成的电子化</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无法上传的，</w:t>
            </w:r>
            <w:r>
              <w:rPr>
                <w:rFonts w:hint="eastAsia" w:ascii="宋体" w:hAnsi="宋体" w:cs="宋体"/>
                <w:b w:val="0"/>
                <w:bCs w:val="0"/>
                <w:color w:val="auto"/>
                <w:sz w:val="24"/>
                <w:highlight w:val="none"/>
                <w:lang w:eastAsia="zh-CN"/>
              </w:rPr>
              <w:t>供应商</w:t>
            </w:r>
            <w:r>
              <w:rPr>
                <w:rFonts w:hint="eastAsia" w:ascii="宋体" w:hAnsi="宋体" w:cs="宋体"/>
                <w:b w:val="0"/>
                <w:bCs w:val="0"/>
                <w:color w:val="auto"/>
                <w:sz w:val="24"/>
                <w:highlight w:val="none"/>
              </w:rPr>
              <w:t>应在投标截止时间前尽早的联系中心技术人员，以便有充分的时间进行处理。</w:t>
            </w:r>
            <w:r>
              <w:rPr>
                <w:rFonts w:hint="eastAsia" w:ascii="宋体" w:hAnsi="宋体" w:cs="宋体"/>
                <w:b w:val="0"/>
                <w:bCs w:val="0"/>
                <w:color w:val="auto"/>
                <w:sz w:val="24"/>
                <w:highlight w:val="none"/>
                <w:lang w:eastAsia="zh-CN"/>
              </w:rPr>
              <w:t>供应商</w:t>
            </w:r>
            <w:r>
              <w:rPr>
                <w:rFonts w:hint="eastAsia" w:ascii="宋体" w:hAnsi="宋体" w:cs="宋体"/>
                <w:b w:val="0"/>
                <w:bCs w:val="0"/>
                <w:color w:val="auto"/>
                <w:sz w:val="24"/>
                <w:highlight w:val="none"/>
              </w:rPr>
              <w:t>应充分考虑到处理技术问题和上传数据等工作所需的时间问题，</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未在投标截止时间前成功上传的，其</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不予接收。</w:t>
            </w:r>
          </w:p>
          <w:p w14:paraId="24D66A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）电子化项目开标、解密、唱标、评标</w:t>
            </w:r>
          </w:p>
          <w:p w14:paraId="42AA29E2">
            <w:pPr>
              <w:spacing w:line="360" w:lineRule="auto"/>
              <w:ind w:firstLine="120" w:firstLineChars="5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进行招标，开标当日，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无需到开标现场参加开标会议，</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应当在投标截止时间前，登陆不见面开标大厅选择登陆三门峡市公共资源电子招投标系统进行登陆,在线准时参加开标活动并进行</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解密等</w:t>
            </w:r>
            <w:r>
              <w:rPr>
                <w:rFonts w:hint="eastAsia" w:ascii="宋体" w:hAnsi="宋体" w:cs="宋体"/>
                <w:color w:val="auto"/>
                <w:sz w:val="24"/>
                <w:highlight w:val="none"/>
                <w:lang w:eastAsia="zh-CN"/>
              </w:rPr>
              <w:t>。</w:t>
            </w:r>
          </w:p>
          <w:p w14:paraId="473DF153">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采用一次加密方式。开标时，由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使用CA 证书，在规定时间内对其电子化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进行解密。每位</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的解密时间为开标时间起30分钟内，如在规定时间内未完成解密的，其</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不予开标、唱标。</w:t>
            </w:r>
          </w:p>
          <w:p w14:paraId="1E7426FE">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解密异常的处理</w:t>
            </w:r>
          </w:p>
          <w:p w14:paraId="78EFB6D6">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的电子</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无法解密等异常情况，</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应及时致电中介服务机构说明。</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异常，按以下步骤进行处理：</w:t>
            </w:r>
          </w:p>
          <w:p w14:paraId="12BD6E2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032B34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文件自身问题导致</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无法解密的，该</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将不予接收、解密和唱标。开标会议继续进行。</w:t>
            </w:r>
          </w:p>
          <w:p w14:paraId="2400B0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6BD79BB8">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w:t>
            </w:r>
            <w:r>
              <w:rPr>
                <w:rFonts w:hint="eastAsia" w:ascii="宋体" w:hAnsi="宋体" w:cs="宋体"/>
                <w:color w:val="auto"/>
                <w:sz w:val="24"/>
                <w:highlight w:val="none"/>
                <w:lang w:eastAsia="zh-CN"/>
              </w:rPr>
              <w:t>供应商投标文件</w:t>
            </w:r>
            <w:r>
              <w:rPr>
                <w:rFonts w:hint="eastAsia" w:ascii="宋体" w:hAnsi="宋体" w:cs="宋体"/>
                <w:color w:val="auto"/>
                <w:sz w:val="24"/>
                <w:highlight w:val="none"/>
              </w:rPr>
              <w:t>解密完成后，由中介服务机构操作，对所有已解密</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进行唱标。</w:t>
            </w:r>
          </w:p>
          <w:p w14:paraId="77C5EA43">
            <w:pPr>
              <w:spacing w:line="360" w:lineRule="auto"/>
              <w:rPr>
                <w:rFonts w:hint="eastAsia" w:ascii="宋体" w:hAnsi="宋体" w:cs="宋体"/>
                <w:color w:val="auto"/>
                <w:sz w:val="24"/>
                <w:highlight w:val="none"/>
              </w:rPr>
            </w:pP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因停电、电脑病毒、网络堵塞等原因，未在规定的解密时间内对</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进行解密的，其</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不予接收、唱标。</w:t>
            </w:r>
          </w:p>
          <w:p w14:paraId="20D4EA05">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有质疑的，将通过电子化交易系统对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发起质疑，并在监督人员的监督下，用免提模式致电需要答复的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对质疑进行回复。</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的回复文件必须以经过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和其法定代表人签章的PDF格式文件为准，并通过电子化交易系统提交至评标委员会。</w:t>
            </w:r>
          </w:p>
          <w:p w14:paraId="34C653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连续三次致电未接通的，视为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放弃回复，评标委员会将自行对需要回复的内容进行认定。</w:t>
            </w:r>
          </w:p>
          <w:p w14:paraId="63551A2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w:t>
            </w:r>
            <w:r>
              <w:rPr>
                <w:rFonts w:hint="eastAsia" w:ascii="宋体" w:hAnsi="宋体" w:cs="宋体"/>
                <w:b/>
                <w:bCs/>
                <w:color w:val="auto"/>
                <w:sz w:val="24"/>
                <w:highlight w:val="none"/>
                <w:lang w:val="en-US" w:eastAsia="zh-CN"/>
              </w:rPr>
              <w:t>资料</w:t>
            </w:r>
            <w:r>
              <w:rPr>
                <w:rFonts w:hint="eastAsia" w:ascii="宋体" w:hAnsi="宋体" w:cs="宋体"/>
                <w:b/>
                <w:bCs/>
                <w:color w:val="auto"/>
                <w:sz w:val="24"/>
                <w:highlight w:val="none"/>
              </w:rPr>
              <w:t>的提交</w:t>
            </w:r>
          </w:p>
          <w:p w14:paraId="35933B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本项目实行资格后审，以</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为准，其上传资料真实性由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自行承担，同时，</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要完善主体库。</w:t>
            </w:r>
          </w:p>
          <w:p w14:paraId="3D47C86D">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需应仔细阅读操作手册，保证上传内容齐全，真实有效，原件扫描件清晰可辨。因</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上传原因导致应得分项而未得分或资格审查不合格等情况的，由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自行承担责任。</w:t>
            </w:r>
          </w:p>
          <w:p w14:paraId="6ADBBC68">
            <w:pPr>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r w14:paraId="77C2FAB8">
        <w:tblPrEx>
          <w:tblCellMar>
            <w:top w:w="0" w:type="dxa"/>
            <w:left w:w="0" w:type="dxa"/>
            <w:bottom w:w="0" w:type="dxa"/>
            <w:right w:w="0" w:type="dxa"/>
          </w:tblCellMar>
        </w:tblPrEx>
        <w:trPr>
          <w:trHeight w:val="90" w:hRule="atLeast"/>
          <w:jc w:val="center"/>
        </w:trPr>
        <w:tc>
          <w:tcPr>
            <w:tcW w:w="10188" w:type="dxa"/>
            <w:gridSpan w:val="3"/>
            <w:tcBorders>
              <w:top w:val="single" w:color="auto" w:sz="4" w:space="0"/>
              <w:left w:val="single" w:color="000000" w:sz="4" w:space="0"/>
              <w:bottom w:val="single" w:color="auto" w:sz="4" w:space="0"/>
              <w:right w:val="single" w:color="000000" w:sz="4" w:space="0"/>
            </w:tcBorders>
            <w:vAlign w:val="center"/>
          </w:tcPr>
          <w:p w14:paraId="3CEE73C4">
            <w:pPr>
              <w:autoSpaceDE w:val="0"/>
              <w:autoSpaceDN w:val="0"/>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10．需要补充的其他内容</w:t>
            </w:r>
          </w:p>
        </w:tc>
      </w:tr>
      <w:tr w14:paraId="65B5A911">
        <w:tblPrEx>
          <w:tblCellMar>
            <w:top w:w="0" w:type="dxa"/>
            <w:left w:w="0" w:type="dxa"/>
            <w:bottom w:w="0" w:type="dxa"/>
            <w:right w:w="0" w:type="dxa"/>
          </w:tblCellMar>
        </w:tblPrEx>
        <w:trPr>
          <w:trHeight w:val="800"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116DAD7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p>
        </w:tc>
        <w:tc>
          <w:tcPr>
            <w:tcW w:w="2417" w:type="dxa"/>
            <w:tcBorders>
              <w:top w:val="single" w:color="auto" w:sz="4" w:space="0"/>
              <w:left w:val="single" w:color="000000" w:sz="4" w:space="0"/>
              <w:bottom w:val="single" w:color="auto" w:sz="4" w:space="0"/>
              <w:right w:val="single" w:color="000000" w:sz="4" w:space="0"/>
            </w:tcBorders>
            <w:vAlign w:val="center"/>
          </w:tcPr>
          <w:p w14:paraId="261F6D1C">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采购控制价</w:t>
            </w:r>
          </w:p>
        </w:tc>
        <w:tc>
          <w:tcPr>
            <w:tcW w:w="6867" w:type="dxa"/>
            <w:tcBorders>
              <w:top w:val="single" w:color="auto" w:sz="4" w:space="0"/>
              <w:left w:val="single" w:color="000000" w:sz="4" w:space="0"/>
              <w:bottom w:val="single" w:color="auto" w:sz="4" w:space="0"/>
              <w:right w:val="single" w:color="000000" w:sz="4" w:space="0"/>
            </w:tcBorders>
            <w:vAlign w:val="center"/>
          </w:tcPr>
          <w:p w14:paraId="7203978D">
            <w:pPr>
              <w:numPr>
                <w:ilvl w:val="0"/>
                <w:numId w:val="0"/>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本项目</w:t>
            </w:r>
            <w:r>
              <w:rPr>
                <w:rFonts w:hint="eastAsia" w:ascii="宋体" w:hAnsi="宋体" w:cs="宋体"/>
                <w:color w:val="auto"/>
                <w:sz w:val="24"/>
                <w:highlight w:val="none"/>
                <w:lang w:val="en-US" w:eastAsia="zh-CN"/>
              </w:rPr>
              <w:t>采购控制价</w:t>
            </w:r>
            <w:r>
              <w:rPr>
                <w:rFonts w:hint="eastAsia" w:ascii="宋体" w:hAnsi="宋体" w:eastAsia="宋体" w:cs="宋体"/>
                <w:color w:val="auto"/>
                <w:sz w:val="24"/>
                <w:highlight w:val="none"/>
              </w:rPr>
              <w:t>为：</w:t>
            </w:r>
            <w:r>
              <w:rPr>
                <w:rFonts w:hint="eastAsia" w:ascii="宋体" w:hAnsi="宋体" w:cs="宋体"/>
                <w:color w:val="auto"/>
                <w:sz w:val="24"/>
                <w:highlight w:val="none"/>
                <w:lang w:val="en-US" w:eastAsia="zh-CN"/>
              </w:rPr>
              <w:t>大写：</w:t>
            </w:r>
            <w:r>
              <w:rPr>
                <w:rFonts w:hint="eastAsia" w:ascii="宋体" w:hAnsi="宋体" w:cs="宋体"/>
                <w:b/>
                <w:bCs/>
                <w:color w:val="auto"/>
                <w:sz w:val="24"/>
                <w:highlight w:val="none"/>
                <w:lang w:val="en-US" w:eastAsia="zh-CN"/>
              </w:rPr>
              <w:t>叁佰玖拾伍万叁仟伍佰元整；</w:t>
            </w:r>
            <w:r>
              <w:rPr>
                <w:rFonts w:hint="eastAsia" w:ascii="宋体" w:hAnsi="宋体" w:cs="宋体"/>
                <w:color w:val="auto"/>
                <w:sz w:val="24"/>
                <w:highlight w:val="none"/>
                <w:lang w:val="en-US" w:eastAsia="zh-CN"/>
              </w:rPr>
              <w:t xml:space="preserve">   </w:t>
            </w:r>
          </w:p>
          <w:p w14:paraId="4E8701E4">
            <w:pPr>
              <w:numPr>
                <w:ilvl w:val="0"/>
                <w:numId w:val="0"/>
              </w:numPr>
              <w:spacing w:line="360" w:lineRule="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 xml:space="preserve">                      小写：</w:t>
            </w:r>
            <w:r>
              <w:rPr>
                <w:rFonts w:hint="eastAsia" w:ascii="宋体" w:hAnsi="宋体" w:cs="宋体"/>
                <w:b/>
                <w:bCs/>
                <w:color w:val="auto"/>
                <w:sz w:val="24"/>
                <w:highlight w:val="none"/>
                <w:lang w:val="en-US" w:eastAsia="zh-CN"/>
              </w:rPr>
              <w:t>3953500.00元；</w:t>
            </w:r>
          </w:p>
          <w:p w14:paraId="53DB78F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2.采购控制价</w:t>
            </w:r>
            <w:r>
              <w:rPr>
                <w:rFonts w:hint="eastAsia" w:ascii="宋体" w:hAnsi="宋体" w:eastAsia="宋体" w:cs="宋体"/>
                <w:color w:val="auto"/>
                <w:sz w:val="24"/>
                <w:highlight w:val="none"/>
              </w:rPr>
              <w:t>是</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控制本项目的最高限价，</w:t>
            </w:r>
            <w:r>
              <w:rPr>
                <w:rFonts w:hint="eastAsia" w:ascii="宋体" w:hAnsi="宋体" w:cs="宋体"/>
                <w:color w:val="auto"/>
                <w:sz w:val="24"/>
                <w:highlight w:val="none"/>
                <w:lang w:val="en-US" w:eastAsia="zh-CN"/>
              </w:rPr>
              <w:t>高</w:t>
            </w:r>
            <w:r>
              <w:rPr>
                <w:rFonts w:hint="eastAsia" w:ascii="宋体" w:hAnsi="宋体" w:eastAsia="宋体" w:cs="宋体"/>
                <w:color w:val="auto"/>
                <w:sz w:val="24"/>
                <w:highlight w:val="none"/>
              </w:rPr>
              <w:t>于</w:t>
            </w:r>
            <w:r>
              <w:rPr>
                <w:rFonts w:hint="eastAsia" w:ascii="宋体" w:hAnsi="宋体" w:cs="宋体"/>
                <w:color w:val="auto"/>
                <w:sz w:val="24"/>
                <w:highlight w:val="none"/>
                <w:lang w:val="en-US" w:eastAsia="zh-CN"/>
              </w:rPr>
              <w:t>采购控制价</w:t>
            </w:r>
            <w:r>
              <w:rPr>
                <w:rFonts w:hint="eastAsia" w:ascii="宋体" w:hAnsi="宋体" w:eastAsia="宋体" w:cs="宋体"/>
                <w:color w:val="auto"/>
                <w:sz w:val="24"/>
                <w:highlight w:val="none"/>
              </w:rPr>
              <w:t>的投标报价将被否决投标，有效投标报价是指不超过</w:t>
            </w:r>
            <w:r>
              <w:rPr>
                <w:rFonts w:hint="eastAsia" w:ascii="宋体" w:hAnsi="宋体" w:cs="宋体"/>
                <w:color w:val="auto"/>
                <w:sz w:val="24"/>
                <w:highlight w:val="none"/>
                <w:lang w:val="en-US" w:eastAsia="zh-CN"/>
              </w:rPr>
              <w:t>采购控制价</w:t>
            </w:r>
            <w:r>
              <w:rPr>
                <w:rFonts w:hint="eastAsia" w:ascii="宋体" w:hAnsi="宋体" w:eastAsia="宋体" w:cs="宋体"/>
                <w:color w:val="auto"/>
                <w:sz w:val="24"/>
                <w:highlight w:val="none"/>
              </w:rPr>
              <w:t>的投报报价。</w:t>
            </w:r>
          </w:p>
        </w:tc>
      </w:tr>
      <w:tr w14:paraId="5519E393">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768731B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10.2</w:t>
            </w:r>
          </w:p>
        </w:tc>
        <w:tc>
          <w:tcPr>
            <w:tcW w:w="2417" w:type="dxa"/>
            <w:tcBorders>
              <w:top w:val="single" w:color="auto" w:sz="4" w:space="0"/>
              <w:left w:val="single" w:color="000000" w:sz="4" w:space="0"/>
              <w:bottom w:val="single" w:color="auto" w:sz="4" w:space="0"/>
              <w:right w:val="single" w:color="000000" w:sz="4" w:space="0"/>
            </w:tcBorders>
            <w:vAlign w:val="center"/>
          </w:tcPr>
          <w:p w14:paraId="7CD2A63D">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其他内容</w:t>
            </w:r>
          </w:p>
        </w:tc>
        <w:tc>
          <w:tcPr>
            <w:tcW w:w="6867" w:type="dxa"/>
            <w:tcBorders>
              <w:top w:val="single" w:color="auto" w:sz="4" w:space="0"/>
              <w:left w:val="single" w:color="000000" w:sz="4" w:space="0"/>
              <w:bottom w:val="single" w:color="auto" w:sz="4" w:space="0"/>
              <w:right w:val="single" w:color="000000" w:sz="4" w:space="0"/>
            </w:tcBorders>
            <w:vAlign w:val="center"/>
          </w:tcPr>
          <w:p w14:paraId="5998B307">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1.本项目实行资格后审，根据优化营商环境的要求，评标时审查内容以投标（响应）文件为准：</w:t>
            </w:r>
          </w:p>
          <w:p w14:paraId="7D1442C4">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（1）资格评（预）审部分：资格评（预）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lang w:val="en-US" w:eastAsia="zh-CN"/>
              </w:rPr>
              <w:t>以投标（响应）文件为准，其上传资料真实性由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自行承担，同时，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要完善主体库(主体库基本信息不作为资格审查项)。</w:t>
            </w:r>
          </w:p>
          <w:p w14:paraId="5E33F8E3">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（2）评标打分部分：评标打分部分仍按照100分制原则进行，涉及到资格审查、企业荣誉、企业业绩等计分部分时，以</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自行上传到投标（响应）文件中的相应内容为准。</w:t>
            </w:r>
          </w:p>
          <w:p w14:paraId="4C2615F8">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投标文件</w:t>
            </w:r>
            <w:r>
              <w:rPr>
                <w:rFonts w:hint="eastAsia" w:ascii="宋体" w:hAnsi="宋体" w:eastAsia="宋体" w:cs="宋体"/>
                <w:color w:val="auto"/>
                <w:sz w:val="24"/>
                <w:highlight w:val="none"/>
                <w:lang w:val="en-US" w:eastAsia="zh-CN"/>
              </w:rPr>
              <w:t>编制部分：在招标文件中要求</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61932B58">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递交的资料和投标（响应）文件不论中标与否均不予退还；</w:t>
            </w:r>
          </w:p>
          <w:p w14:paraId="20B38E33">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不组织</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踏勘现场</w:t>
            </w:r>
            <w:r>
              <w:rPr>
                <w:rFonts w:hint="eastAsia" w:ascii="宋体" w:hAnsi="宋体" w:cs="宋体"/>
                <w:color w:val="auto"/>
                <w:sz w:val="24"/>
                <w:highlight w:val="none"/>
                <w:lang w:val="en-US" w:eastAsia="zh-CN"/>
              </w:rPr>
              <w:t>。</w:t>
            </w:r>
          </w:p>
        </w:tc>
      </w:tr>
      <w:tr w14:paraId="2F60AFC0">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52D3C1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p>
        </w:tc>
        <w:tc>
          <w:tcPr>
            <w:tcW w:w="2417" w:type="dxa"/>
            <w:tcBorders>
              <w:top w:val="single" w:color="auto" w:sz="4" w:space="0"/>
              <w:left w:val="single" w:color="000000" w:sz="4" w:space="0"/>
              <w:bottom w:val="single" w:color="auto" w:sz="4" w:space="0"/>
              <w:right w:val="single" w:color="000000" w:sz="4" w:space="0"/>
            </w:tcBorders>
            <w:vAlign w:val="center"/>
          </w:tcPr>
          <w:p w14:paraId="545990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同义词语</w:t>
            </w:r>
          </w:p>
        </w:tc>
        <w:tc>
          <w:tcPr>
            <w:tcW w:w="6867" w:type="dxa"/>
            <w:tcBorders>
              <w:top w:val="single" w:color="auto" w:sz="4" w:space="0"/>
              <w:left w:val="single" w:color="000000" w:sz="4" w:space="0"/>
              <w:bottom w:val="single" w:color="auto" w:sz="4" w:space="0"/>
              <w:right w:val="single" w:color="000000" w:sz="4" w:space="0"/>
            </w:tcBorders>
            <w:vAlign w:val="center"/>
          </w:tcPr>
          <w:p w14:paraId="0E6E64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构成招标文件组成部分的“合同条款”等章节中出现的措辞“甲方”和“乙方”，在招标投标阶段应当分别按“</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”进行理解。</w:t>
            </w:r>
          </w:p>
        </w:tc>
      </w:tr>
      <w:tr w14:paraId="48A7160E">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23FC6B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p>
        </w:tc>
        <w:tc>
          <w:tcPr>
            <w:tcW w:w="2417" w:type="dxa"/>
            <w:tcBorders>
              <w:top w:val="single" w:color="auto" w:sz="4" w:space="0"/>
              <w:left w:val="single" w:color="000000" w:sz="4" w:space="0"/>
              <w:bottom w:val="single" w:color="auto" w:sz="4" w:space="0"/>
              <w:right w:val="single" w:color="000000" w:sz="4" w:space="0"/>
            </w:tcBorders>
            <w:vAlign w:val="center"/>
          </w:tcPr>
          <w:p w14:paraId="400F16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  督</w:t>
            </w:r>
          </w:p>
        </w:tc>
        <w:tc>
          <w:tcPr>
            <w:tcW w:w="6867" w:type="dxa"/>
            <w:tcBorders>
              <w:top w:val="single" w:color="auto" w:sz="4" w:space="0"/>
              <w:left w:val="single" w:color="000000" w:sz="4" w:space="0"/>
              <w:bottom w:val="single" w:color="auto" w:sz="4" w:space="0"/>
              <w:right w:val="single" w:color="000000" w:sz="4" w:space="0"/>
            </w:tcBorders>
            <w:vAlign w:val="center"/>
          </w:tcPr>
          <w:p w14:paraId="256191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本项目的招标投标活动及其相关当事人应当接受有管辖权的行政监督部门依法实施的监督。</w:t>
            </w:r>
          </w:p>
        </w:tc>
      </w:tr>
      <w:tr w14:paraId="0729EF37">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1C3A23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10.5</w:t>
            </w:r>
          </w:p>
        </w:tc>
        <w:tc>
          <w:tcPr>
            <w:tcW w:w="2417" w:type="dxa"/>
            <w:tcBorders>
              <w:top w:val="single" w:color="auto" w:sz="4" w:space="0"/>
              <w:left w:val="single" w:color="000000" w:sz="4" w:space="0"/>
              <w:bottom w:val="single" w:color="auto" w:sz="4" w:space="0"/>
              <w:right w:val="single" w:color="000000" w:sz="4" w:space="0"/>
            </w:tcBorders>
            <w:vAlign w:val="center"/>
          </w:tcPr>
          <w:p w14:paraId="5E349B4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解释权</w:t>
            </w:r>
          </w:p>
        </w:tc>
        <w:tc>
          <w:tcPr>
            <w:tcW w:w="6867" w:type="dxa"/>
            <w:tcBorders>
              <w:top w:val="single" w:color="auto" w:sz="4" w:space="0"/>
              <w:left w:val="single" w:color="000000" w:sz="4" w:space="0"/>
              <w:bottom w:val="single" w:color="auto" w:sz="4" w:space="0"/>
              <w:right w:val="single" w:color="000000" w:sz="4" w:space="0"/>
            </w:tcBorders>
            <w:vAlign w:val="center"/>
          </w:tcPr>
          <w:p w14:paraId="3E1E7D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负责解释。</w:t>
            </w:r>
          </w:p>
        </w:tc>
      </w:tr>
      <w:tr w14:paraId="4869E403">
        <w:tblPrEx>
          <w:tblCellMar>
            <w:top w:w="0" w:type="dxa"/>
            <w:left w:w="0" w:type="dxa"/>
            <w:bottom w:w="0" w:type="dxa"/>
            <w:right w:w="0" w:type="dxa"/>
          </w:tblCellMar>
        </w:tblPrEx>
        <w:trPr>
          <w:trHeight w:val="768"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2C4735F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10.6</w:t>
            </w:r>
          </w:p>
        </w:tc>
        <w:tc>
          <w:tcPr>
            <w:tcW w:w="2417" w:type="dxa"/>
            <w:tcBorders>
              <w:top w:val="single" w:color="auto" w:sz="4" w:space="0"/>
              <w:left w:val="single" w:color="000000" w:sz="4" w:space="0"/>
              <w:bottom w:val="single" w:color="auto" w:sz="4" w:space="0"/>
              <w:right w:val="single" w:color="000000" w:sz="4" w:space="0"/>
            </w:tcBorders>
            <w:vAlign w:val="center"/>
          </w:tcPr>
          <w:p w14:paraId="3CD1FBB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其他补充内容</w:t>
            </w:r>
          </w:p>
        </w:tc>
        <w:tc>
          <w:tcPr>
            <w:tcW w:w="6867" w:type="dxa"/>
            <w:tcBorders>
              <w:top w:val="single" w:color="auto" w:sz="4" w:space="0"/>
              <w:left w:val="single" w:color="000000" w:sz="4" w:space="0"/>
              <w:bottom w:val="single" w:color="auto" w:sz="4" w:space="0"/>
              <w:right w:val="single" w:color="000000" w:sz="4" w:space="0"/>
            </w:tcBorders>
            <w:vAlign w:val="center"/>
          </w:tcPr>
          <w:p w14:paraId="1C2B9E27">
            <w:pPr>
              <w:spacing w:line="360" w:lineRule="auto"/>
              <w:rPr>
                <w:rFonts w:hint="default" w:eastAsia="宋体"/>
                <w:highlight w:val="none"/>
                <w:lang w:val="en-US" w:eastAsia="zh-CN"/>
              </w:rPr>
            </w:pPr>
            <w:r>
              <w:rPr>
                <w:rFonts w:hint="eastAsia" w:ascii="宋体" w:hAnsi="宋体" w:eastAsia="宋体" w:cs="宋体"/>
                <w:color w:val="auto"/>
                <w:sz w:val="24"/>
                <w:highlight w:val="none"/>
              </w:rPr>
              <w:t>承包人未经发包人同意，不得将所承包</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的任何部分分包，也不允许转包给他人，更不得将其承包的全部</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肢解以后以分包的名义分别转包给他人。如发现转包，发包人有权终止合同，由此而造成的经济损失，由承包人负责赔偿。</w:t>
            </w:r>
          </w:p>
        </w:tc>
      </w:tr>
      <w:tr w14:paraId="7364AB51">
        <w:tblPrEx>
          <w:tblCellMar>
            <w:top w:w="0" w:type="dxa"/>
            <w:left w:w="0" w:type="dxa"/>
            <w:bottom w:w="0" w:type="dxa"/>
            <w:right w:w="0" w:type="dxa"/>
          </w:tblCellMar>
        </w:tblPrEx>
        <w:trPr>
          <w:trHeight w:val="593"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08035EA9">
            <w:pPr>
              <w:spacing w:line="360" w:lineRule="auto"/>
              <w:jc w:val="center"/>
              <w:rPr>
                <w:rFonts w:hint="default" w:ascii="宋体" w:hAnsi="宋体" w:eastAsia="宋体" w:cs="宋体"/>
                <w:color w:val="auto"/>
                <w:sz w:val="24"/>
                <w:highlight w:val="none"/>
                <w:lang w:val="en-US" w:eastAsia="zh-CN"/>
              </w:rPr>
            </w:pPr>
            <w:bookmarkStart w:id="94" w:name="_Toc25288"/>
            <w:bookmarkStart w:id="95" w:name="_Toc15756"/>
            <w:bookmarkStart w:id="96" w:name="_Toc1846"/>
            <w:bookmarkStart w:id="97" w:name="_Toc505093158"/>
            <w:bookmarkStart w:id="98" w:name="_Toc2559"/>
            <w:bookmarkStart w:id="99" w:name="_Toc32727"/>
            <w:bookmarkStart w:id="100" w:name="_Toc9497"/>
            <w:r>
              <w:rPr>
                <w:rFonts w:hint="eastAsia" w:ascii="宋体" w:hAnsi="宋体" w:cs="宋体"/>
                <w:color w:val="auto"/>
                <w:sz w:val="24"/>
                <w:highlight w:val="none"/>
                <w:lang w:val="en-US" w:eastAsia="zh-CN"/>
              </w:rPr>
              <w:t>10.7</w:t>
            </w:r>
          </w:p>
        </w:tc>
        <w:tc>
          <w:tcPr>
            <w:tcW w:w="2417" w:type="dxa"/>
            <w:tcBorders>
              <w:top w:val="single" w:color="auto" w:sz="4" w:space="0"/>
              <w:left w:val="single" w:color="000000" w:sz="4" w:space="0"/>
              <w:bottom w:val="single" w:color="auto" w:sz="4" w:space="0"/>
              <w:right w:val="single" w:color="000000" w:sz="4" w:space="0"/>
            </w:tcBorders>
            <w:vAlign w:val="center"/>
          </w:tcPr>
          <w:p w14:paraId="26BD6648">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所属行业</w:t>
            </w:r>
          </w:p>
        </w:tc>
        <w:tc>
          <w:tcPr>
            <w:tcW w:w="6867" w:type="dxa"/>
            <w:tcBorders>
              <w:top w:val="single" w:color="auto" w:sz="4" w:space="0"/>
              <w:left w:val="single" w:color="000000" w:sz="4" w:space="0"/>
              <w:bottom w:val="single" w:color="auto" w:sz="4" w:space="0"/>
              <w:right w:val="single" w:color="000000" w:sz="4" w:space="0"/>
            </w:tcBorders>
            <w:vAlign w:val="center"/>
          </w:tcPr>
          <w:p w14:paraId="64EFB8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软件和信息技术服务业</w:t>
            </w:r>
            <w:r>
              <w:rPr>
                <w:rFonts w:hint="eastAsia" w:ascii="宋体" w:hAnsi="宋体" w:cs="宋体"/>
                <w:color w:val="auto"/>
                <w:sz w:val="24"/>
                <w:highlight w:val="none"/>
                <w:lang w:val="en-US" w:eastAsia="zh-CN"/>
              </w:rPr>
              <w:t>。</w:t>
            </w:r>
          </w:p>
        </w:tc>
      </w:tr>
    </w:tbl>
    <w:p w14:paraId="3FCD68EF">
      <w:pPr>
        <w:pStyle w:val="4"/>
        <w:spacing w:before="0" w:after="0" w:line="360"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94"/>
      <w:bookmarkEnd w:id="95"/>
      <w:bookmarkEnd w:id="96"/>
      <w:bookmarkEnd w:id="97"/>
      <w:bookmarkEnd w:id="98"/>
      <w:bookmarkEnd w:id="99"/>
      <w:bookmarkEnd w:id="100"/>
    </w:p>
    <w:p w14:paraId="0B4D0E6D">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1.1招标项目概况</w:t>
      </w:r>
    </w:p>
    <w:p w14:paraId="7065E2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1.1.1根据有关法律、法规和规章的规定，本招标项目已具备招标条件，现对本项目进行招标。</w:t>
      </w:r>
    </w:p>
    <w:p w14:paraId="521461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3B7473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1BCFB1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1.1.4项目名称：见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37D3DA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cs="宋体"/>
          <w:color w:val="auto"/>
          <w:sz w:val="24"/>
          <w:highlight w:val="none"/>
          <w:lang w:eastAsia="zh-CN"/>
        </w:rPr>
        <w:t>交货地点</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3E87A0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1.1.6项目标段划分：见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178BADCD">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1.2招标项目的资金来源和落实情况</w:t>
      </w:r>
    </w:p>
    <w:p w14:paraId="4D22C3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1.2.1资金来源及比例：见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1D82E2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1.2.2资金落实情况：见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1131A6AE">
      <w:pPr>
        <w:pStyle w:val="100"/>
        <w:ind w:firstLine="1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ascii="宋体" w:hAnsi="宋体" w:cs="宋体"/>
          <w:color w:val="auto"/>
          <w:sz w:val="24"/>
          <w:highlight w:val="none"/>
          <w:lang w:val="en-US" w:eastAsia="zh-CN"/>
        </w:rPr>
        <w:t>合同履行期限期</w:t>
      </w:r>
      <w:r>
        <w:rPr>
          <w:rFonts w:hint="eastAsia" w:ascii="宋体" w:hAnsi="宋体" w:eastAsia="宋体" w:cs="宋体"/>
          <w:color w:val="auto"/>
          <w:sz w:val="24"/>
          <w:szCs w:val="24"/>
          <w:highlight w:val="none"/>
        </w:rPr>
        <w:t>和</w:t>
      </w:r>
      <w:r>
        <w:rPr>
          <w:rFonts w:hint="eastAsia" w:ascii="宋体" w:hAnsi="宋体" w:eastAsia="宋体" w:cs="宋体"/>
          <w:color w:val="auto"/>
          <w:sz w:val="24"/>
          <w:highlight w:val="none"/>
          <w:lang w:val="en-US" w:eastAsia="zh-CN"/>
        </w:rPr>
        <w:t>质量标准</w:t>
      </w:r>
    </w:p>
    <w:p w14:paraId="119B1B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合同履行期限</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1A119B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cs="宋体"/>
          <w:color w:val="auto"/>
          <w:sz w:val="24"/>
          <w:highlight w:val="none"/>
          <w:lang w:val="en-US" w:eastAsia="zh-CN"/>
        </w:rPr>
        <w:t>质量标准</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2E4839B5">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p w14:paraId="28C96F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应具备承担本招标项目资质条件：符合</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须知第1.4.1款规定。</w:t>
      </w:r>
    </w:p>
    <w:p w14:paraId="4B4168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不得存在下列情形之一：</w:t>
      </w:r>
    </w:p>
    <w:p w14:paraId="7C7E51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不具有独立法人资格的附属机构（单位）；</w:t>
      </w:r>
    </w:p>
    <w:p w14:paraId="193C06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存在利害关系且可能影响招标公正性；</w:t>
      </w:r>
    </w:p>
    <w:p w14:paraId="3404F1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（3）与本招标项目的其他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为同一个单位负责人；</w:t>
      </w:r>
    </w:p>
    <w:p w14:paraId="47D673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（4）与本招标项目的其他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存在控股、管理关系；</w:t>
      </w:r>
    </w:p>
    <w:p w14:paraId="2E7A89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（5）为本招标项目的代建人；</w:t>
      </w:r>
    </w:p>
    <w:p w14:paraId="5381D9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（6）为本招标项目的</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w:t>
      </w:r>
    </w:p>
    <w:p w14:paraId="4EB3C6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（7）与本招标项目的代建人或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同为一个法定代表人；</w:t>
      </w:r>
    </w:p>
    <w:p w14:paraId="73C833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（8）与本招标项目的代建人或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存在控股或参股关系；</w:t>
      </w:r>
    </w:p>
    <w:p w14:paraId="4D0D8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（9）被依法暂停或者取消投标资格；</w:t>
      </w:r>
    </w:p>
    <w:p w14:paraId="2097AF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（10）被责令停产停业、暂扣或者吊销许可证、暂扣或者吊销执照；</w:t>
      </w:r>
    </w:p>
    <w:p w14:paraId="3C849D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（11）进入清算程序，或被宣告破产，或其他丧失履约能力的情形；</w:t>
      </w:r>
    </w:p>
    <w:p w14:paraId="1AF55F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）法律法规或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须知前附表规定的其他情形。</w:t>
      </w:r>
    </w:p>
    <w:p w14:paraId="141B85B2">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1.5费用承担</w:t>
      </w:r>
    </w:p>
    <w:p w14:paraId="1D4EC8C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准备和参加投标活动发生的费用自理。</w:t>
      </w:r>
    </w:p>
    <w:p w14:paraId="3D0D283A">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1.6保密</w:t>
      </w:r>
    </w:p>
    <w:p w14:paraId="273DF4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参与招标投标活动的各方应对招标文件和投标文件中的商业和技术等秘密保密，否则应承担相应的法律责任。</w:t>
      </w:r>
    </w:p>
    <w:p w14:paraId="7A4844A1">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1.7语言文字</w:t>
      </w:r>
    </w:p>
    <w:p w14:paraId="124FE7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招标投标文件使用的语言文字为中文。专用术语使用外文的，应附有中文注释。</w:t>
      </w:r>
    </w:p>
    <w:p w14:paraId="72C8DA81">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1.8计量单位</w:t>
      </w:r>
    </w:p>
    <w:p w14:paraId="199A41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14:paraId="2230DF2E">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1.9踏勘现场</w:t>
      </w:r>
    </w:p>
    <w:p w14:paraId="13458E01">
      <w:pPr>
        <w:pStyle w:val="100"/>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p w14:paraId="1DF9F69E">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1.10投标预备会</w:t>
      </w:r>
    </w:p>
    <w:p w14:paraId="6F53C097">
      <w:pPr>
        <w:pStyle w:val="100"/>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36672028">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1.12响应和偏差</w:t>
      </w:r>
    </w:p>
    <w:p w14:paraId="3708F0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1.12.1投标文件应当对招标文件的实质性要求和条件作出满足性或更有利于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的响应，否则，</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的投标将被否决。实质性要求和条件见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52A7A49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1.12.2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须知前附表允许投标文件偏离招标文件某些要求的，偏差应当符合招标文件规定的偏差范围和幅度。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p>
    <w:p w14:paraId="074220FD">
      <w:pPr>
        <w:pStyle w:val="4"/>
        <w:spacing w:before="0" w:after="0" w:line="360" w:lineRule="auto"/>
        <w:outlineLvl w:val="1"/>
        <w:rPr>
          <w:rFonts w:hint="eastAsia" w:ascii="宋体" w:hAnsi="宋体" w:eastAsia="宋体" w:cs="宋体"/>
          <w:color w:val="auto"/>
          <w:sz w:val="24"/>
          <w:szCs w:val="24"/>
          <w:highlight w:val="none"/>
        </w:rPr>
      </w:pPr>
      <w:bookmarkStart w:id="101" w:name="_Toc6314"/>
      <w:bookmarkStart w:id="102" w:name="_Toc14274"/>
      <w:bookmarkStart w:id="103" w:name="_Toc505093159"/>
      <w:bookmarkStart w:id="104" w:name="_Toc31914"/>
      <w:bookmarkStart w:id="105" w:name="_Toc3009"/>
      <w:bookmarkStart w:id="106" w:name="_Toc19159"/>
      <w:bookmarkStart w:id="107" w:name="_Toc9011"/>
      <w:r>
        <w:rPr>
          <w:rFonts w:hint="eastAsia" w:ascii="宋体" w:hAnsi="宋体" w:eastAsia="宋体" w:cs="宋体"/>
          <w:color w:val="auto"/>
          <w:sz w:val="24"/>
          <w:szCs w:val="24"/>
          <w:highlight w:val="none"/>
        </w:rPr>
        <w:t>2.招标文件</w:t>
      </w:r>
      <w:bookmarkEnd w:id="101"/>
      <w:bookmarkEnd w:id="102"/>
      <w:bookmarkEnd w:id="103"/>
      <w:bookmarkEnd w:id="104"/>
      <w:bookmarkEnd w:id="105"/>
      <w:bookmarkEnd w:id="106"/>
      <w:bookmarkEnd w:id="107"/>
    </w:p>
    <w:p w14:paraId="0F303FC0">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2.1招标文件的组成</w:t>
      </w:r>
    </w:p>
    <w:p w14:paraId="64CA06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本招标文件包括：</w:t>
      </w:r>
    </w:p>
    <w:p w14:paraId="6C726F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（1）招标公告；</w:t>
      </w:r>
    </w:p>
    <w:p w14:paraId="0A4E16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w:t>
      </w:r>
    </w:p>
    <w:p w14:paraId="421AE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（3）评标办法（综合评分法）；</w:t>
      </w:r>
    </w:p>
    <w:p w14:paraId="7D7339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（4）合同条款及格式；</w:t>
      </w:r>
    </w:p>
    <w:p w14:paraId="24616E7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lang w:eastAsia="zh-CN"/>
        </w:rPr>
        <w:t>；</w:t>
      </w:r>
    </w:p>
    <w:p w14:paraId="0F989A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（6）投标文件格式。</w:t>
      </w:r>
    </w:p>
    <w:p w14:paraId="27D1EC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根据本章第2.2款和第2.3款对招标文件所作的澄清、修改，构成招标文件的组成部分。</w:t>
      </w:r>
    </w:p>
    <w:p w14:paraId="7E0C0D20">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2.2招标文件的澄清</w:t>
      </w:r>
    </w:p>
    <w:p w14:paraId="28E835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应仔细阅读和检查招标文件的全部内容。如发现缺页或附件不全，应及时向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提出，以便补齐。如有疑问，应按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须知前附表规定的时间和形式将提出的问题送达</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，要求</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对招标文件予以澄清。</w:t>
      </w:r>
    </w:p>
    <w:p w14:paraId="23507C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2.2.2招标文件的澄清以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，但不指明澄清问题的来源。澄清发出的时间距本章第4.2.1项规定的投标截止时间不足15日的，并且澄清内容可能影响投标文件编制的，将相应延长投标截止时间。</w:t>
      </w:r>
    </w:p>
    <w:p w14:paraId="2CAE54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在收到澄清后，应按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须知前附表规定的时间和形式通知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，确认已收到该澄清。</w:t>
      </w:r>
    </w:p>
    <w:p w14:paraId="38EE48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2.2.4除非</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认为确有必要答复，否则，</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有权拒绝回复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在本章第2.2.1项规定的时间后的任何澄清要求。</w:t>
      </w:r>
    </w:p>
    <w:p w14:paraId="4BB96969">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2.3招标文件的修改</w:t>
      </w:r>
    </w:p>
    <w:p w14:paraId="57576B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须知前附表规定的形式修改招标文件，并通知所有已购买招标文件的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。修改招标文件的时间距本章第4.2.1项规定的投标截止时间不足15日的，并且修改内容可能影响投标文件编制的，将相应延长投标截止时间。</w:t>
      </w:r>
    </w:p>
    <w:p w14:paraId="37477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收到修改内容后，应按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须知前附表规定的时间和形式通知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，确认已收到该修改。</w:t>
      </w:r>
    </w:p>
    <w:p w14:paraId="357A7C4C">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2.4招标文件的异议</w:t>
      </w:r>
    </w:p>
    <w:p w14:paraId="2D28169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或者其他利害关系人对招标文件有异议的，应当在投标截止时间</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日前以书面形式提出。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将在收到异议之日起3日内作出答复；作出答复前，将暂停招标投标活动。</w:t>
      </w:r>
    </w:p>
    <w:p w14:paraId="2F7D8114">
      <w:pPr>
        <w:pStyle w:val="4"/>
        <w:spacing w:before="0" w:after="0" w:line="360" w:lineRule="auto"/>
        <w:outlineLvl w:val="1"/>
        <w:rPr>
          <w:rFonts w:hint="eastAsia" w:ascii="宋体" w:hAnsi="宋体" w:eastAsia="宋体" w:cs="宋体"/>
          <w:color w:val="auto"/>
          <w:sz w:val="24"/>
          <w:szCs w:val="24"/>
          <w:highlight w:val="none"/>
        </w:rPr>
      </w:pPr>
      <w:bookmarkStart w:id="108" w:name="_Toc4350"/>
      <w:bookmarkStart w:id="109" w:name="_Toc29507"/>
      <w:bookmarkStart w:id="110" w:name="_Toc505093160"/>
      <w:bookmarkStart w:id="111" w:name="_Toc24855"/>
      <w:bookmarkStart w:id="112" w:name="_Toc15995"/>
      <w:bookmarkStart w:id="113" w:name="_Toc11894"/>
      <w:bookmarkStart w:id="114" w:name="_Toc31156"/>
      <w:r>
        <w:rPr>
          <w:rFonts w:hint="eastAsia" w:ascii="宋体" w:hAnsi="宋体" w:eastAsia="宋体" w:cs="宋体"/>
          <w:color w:val="auto"/>
          <w:sz w:val="24"/>
          <w:szCs w:val="24"/>
          <w:highlight w:val="none"/>
        </w:rPr>
        <w:t>3.投标文件</w:t>
      </w:r>
      <w:bookmarkEnd w:id="108"/>
      <w:bookmarkEnd w:id="109"/>
      <w:bookmarkEnd w:id="110"/>
      <w:bookmarkEnd w:id="111"/>
      <w:bookmarkEnd w:id="112"/>
      <w:bookmarkEnd w:id="113"/>
      <w:bookmarkEnd w:id="114"/>
    </w:p>
    <w:p w14:paraId="2A5F69DA">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3.1投标文件的组成</w:t>
      </w:r>
    </w:p>
    <w:p w14:paraId="5EB31A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3.1.1投标文件应包括下列内容：</w:t>
      </w:r>
    </w:p>
    <w:p w14:paraId="197B39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一、投标函及投标函附录</w:t>
      </w:r>
    </w:p>
    <w:p w14:paraId="168D9E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p>
    <w:p w14:paraId="530F66C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三、授权委托书（若有）</w:t>
      </w:r>
    </w:p>
    <w:p w14:paraId="1522BF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、资格审查资料</w:t>
      </w:r>
    </w:p>
    <w:p w14:paraId="05F6B40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企业业绩</w:t>
      </w:r>
    </w:p>
    <w:p w14:paraId="2A7D06B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技术和服务方案</w:t>
      </w:r>
    </w:p>
    <w:p w14:paraId="386989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认为</w:t>
      </w:r>
      <w:r>
        <w:rPr>
          <w:rFonts w:hint="eastAsia" w:ascii="宋体" w:hAnsi="宋体" w:eastAsia="宋体" w:cs="宋体"/>
          <w:color w:val="auto"/>
          <w:sz w:val="24"/>
          <w:highlight w:val="none"/>
        </w:rPr>
        <w:t>可提交的其他资料</w:t>
      </w:r>
    </w:p>
    <w:p w14:paraId="25F8428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在评标过程中作出的符合法律法规和招标文件规定的澄清确认，构成投标文件的组成部分。</w:t>
      </w:r>
    </w:p>
    <w:p w14:paraId="6B1106B0">
      <w:pPr>
        <w:pStyle w:val="100"/>
        <w:ind w:firstLine="1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3.2投标报价</w:t>
      </w:r>
    </w:p>
    <w:p w14:paraId="3EA1885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3.2.1</w:t>
      </w:r>
      <w:r>
        <w:rPr>
          <w:rFonts w:hint="eastAsia" w:ascii="宋体" w:hAnsi="宋体" w:eastAsia="宋体" w:cs="宋体"/>
          <w:color w:val="auto"/>
          <w:sz w:val="24"/>
          <w:highlight w:val="none"/>
          <w:lang w:val="en-US" w:eastAsia="zh-CN"/>
        </w:rPr>
        <w:t>投标报价应全面覆盖本项目所有</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内容</w:t>
      </w:r>
      <w:r>
        <w:rPr>
          <w:rFonts w:hint="eastAsia" w:ascii="宋体" w:hAnsi="宋体" w:cs="宋体"/>
          <w:color w:val="auto"/>
          <w:sz w:val="24"/>
          <w:highlight w:val="none"/>
          <w:lang w:val="en-US" w:eastAsia="zh-CN"/>
        </w:rPr>
        <w:t>，具体包括在报价中列明所有需要提供的服务项目、相关的技术支持和售后服务，以及可能产生的任何额外费用，确保报价的完整性和准确性，避免因遗漏或模糊表述导致后续争议或合同履行问题。</w:t>
      </w:r>
    </w:p>
    <w:p w14:paraId="011CC6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应充分了解该项目的总体情况以及影响投标报价的其他要素。</w:t>
      </w:r>
    </w:p>
    <w:p w14:paraId="5B85DB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3.2.3投标报价的其他要求见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4C6DB9CA">
      <w:pPr>
        <w:pStyle w:val="100"/>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3.3投标有效期</w:t>
      </w:r>
    </w:p>
    <w:p w14:paraId="4F912C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3.3.1除</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须知前附表另有规定外，投标有效期为</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p>
    <w:p w14:paraId="413B66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3.3.2在投标有效期内，</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撤销投标文件的，应承担招标文件和法律规定的责任。</w:t>
      </w:r>
    </w:p>
    <w:p w14:paraId="6993CFC5">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3.3.3出现特殊情况需要延长投标有效期的，</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以书面形式通知所有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延长投标有效期。</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拒绝延长的，其投标失效</w:t>
      </w:r>
      <w:r>
        <w:rPr>
          <w:rFonts w:hint="eastAsia" w:ascii="宋体" w:hAnsi="宋体" w:cs="宋体"/>
          <w:color w:val="auto"/>
          <w:sz w:val="24"/>
          <w:highlight w:val="none"/>
          <w:lang w:eastAsia="zh-CN"/>
        </w:rPr>
        <w:t>。</w:t>
      </w:r>
    </w:p>
    <w:p w14:paraId="17E470E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3.4投标保证金</w:t>
      </w:r>
    </w:p>
    <w:p w14:paraId="53346351">
      <w:pPr>
        <w:pStyle w:val="100"/>
        <w:ind w:firstLine="600" w:firstLineChars="2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详见供应商须知前附表。</w:t>
      </w:r>
    </w:p>
    <w:p w14:paraId="28ED2A34">
      <w:pPr>
        <w:pStyle w:val="100"/>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备选投标方案</w:t>
      </w:r>
    </w:p>
    <w:p w14:paraId="1B2441F3">
      <w:pPr>
        <w:pStyle w:val="100"/>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w:t>
      </w:r>
    </w:p>
    <w:p w14:paraId="46EC3950">
      <w:pPr>
        <w:pStyle w:val="100"/>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投标文件的编制</w:t>
      </w:r>
    </w:p>
    <w:p w14:paraId="4912E9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.1投标文件应按第六章“投标文件格式”进行编写，如有必要，可以增加附页，作为投标文件的组成部分。其中，投标函附录在满足招标文件实质性要求的基础上，可以提出比招标文件要求更有利于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的承诺。</w:t>
      </w:r>
    </w:p>
    <w:p w14:paraId="54AB4A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.2投标文件应当对招标文件有关</w:t>
      </w:r>
      <w:r>
        <w:rPr>
          <w:rFonts w:hint="eastAsia" w:ascii="宋体" w:hAnsi="宋体" w:cs="宋体"/>
          <w:color w:val="auto"/>
          <w:sz w:val="24"/>
          <w:highlight w:val="none"/>
          <w:lang w:val="en-US" w:eastAsia="zh-CN"/>
        </w:rPr>
        <w:t>合同履行期限期</w:t>
      </w:r>
      <w:r>
        <w:rPr>
          <w:rFonts w:hint="eastAsia" w:ascii="宋体" w:hAnsi="宋体" w:eastAsia="宋体" w:cs="宋体"/>
          <w:color w:val="auto"/>
          <w:sz w:val="24"/>
          <w:highlight w:val="none"/>
        </w:rPr>
        <w:t>、投标有效期、</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内容及要求等实质性内容作出响应。</w:t>
      </w:r>
    </w:p>
    <w:p w14:paraId="0CC79C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的具体要求见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w:t>
      </w:r>
    </w:p>
    <w:p w14:paraId="7EBCFFF6">
      <w:pPr>
        <w:pStyle w:val="4"/>
        <w:spacing w:before="0" w:after="0" w:line="360" w:lineRule="auto"/>
        <w:outlineLvl w:val="1"/>
        <w:rPr>
          <w:rFonts w:hint="eastAsia" w:ascii="宋体" w:hAnsi="宋体" w:eastAsia="宋体" w:cs="宋体"/>
          <w:color w:val="auto"/>
          <w:sz w:val="24"/>
          <w:szCs w:val="24"/>
          <w:highlight w:val="none"/>
        </w:rPr>
      </w:pPr>
      <w:bookmarkStart w:id="115" w:name="_Toc28777"/>
      <w:bookmarkStart w:id="116" w:name="_Toc7366"/>
      <w:bookmarkStart w:id="117" w:name="_Toc505093161"/>
      <w:bookmarkStart w:id="118" w:name="_Toc19753"/>
      <w:bookmarkStart w:id="119" w:name="_Toc21577"/>
      <w:bookmarkStart w:id="120" w:name="_Toc18409"/>
      <w:bookmarkStart w:id="121" w:name="_Toc10944"/>
      <w:r>
        <w:rPr>
          <w:rFonts w:hint="eastAsia" w:ascii="宋体" w:hAnsi="宋体" w:eastAsia="宋体" w:cs="宋体"/>
          <w:color w:val="auto"/>
          <w:sz w:val="24"/>
          <w:szCs w:val="24"/>
          <w:highlight w:val="none"/>
        </w:rPr>
        <w:t>4.投标</w:t>
      </w:r>
      <w:bookmarkEnd w:id="115"/>
      <w:bookmarkEnd w:id="116"/>
      <w:bookmarkEnd w:id="117"/>
      <w:bookmarkEnd w:id="118"/>
      <w:bookmarkEnd w:id="119"/>
      <w:bookmarkEnd w:id="120"/>
      <w:bookmarkEnd w:id="121"/>
    </w:p>
    <w:p w14:paraId="11A84EFD">
      <w:pPr>
        <w:pStyle w:val="100"/>
        <w:ind w:left="0" w:leftChars="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应当按照招标文件和电子招标投标交易平台的要求加密投标文件，具体要求见</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须知前附表“电子化招标投标交易注意事项”。</w:t>
      </w:r>
    </w:p>
    <w:p w14:paraId="7C43D15B">
      <w:pPr>
        <w:pStyle w:val="100"/>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4.2投标文件的递交</w:t>
      </w:r>
    </w:p>
    <w:p w14:paraId="166C50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须知前附表规定的投标截止时间前递交投标文件。</w:t>
      </w:r>
    </w:p>
    <w:p w14:paraId="10B5CC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通过下载招标文件的电子招标投标交易平台递交电子投标文件。</w:t>
      </w:r>
    </w:p>
    <w:p w14:paraId="2D059F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4.2.3除</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须知前附表另有规定外，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所递交的投标文件不予退还。</w:t>
      </w:r>
    </w:p>
    <w:p w14:paraId="462E07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4.2.4逾期送达的投标文件，电子招标投标交易平台将予以拒收。</w:t>
      </w:r>
    </w:p>
    <w:p w14:paraId="269FD4FB">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4.3投标文件的修改与撤回</w:t>
      </w:r>
    </w:p>
    <w:p w14:paraId="27F4DB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4.3.1在本章第4.2.1项规定的投标截止时间前，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可以修改或撤回已递交的投标文件，但应以书面形式通知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w:t>
      </w:r>
    </w:p>
    <w:p w14:paraId="0C9940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修改的内容为投标文件的组成部分。</w:t>
      </w:r>
    </w:p>
    <w:p w14:paraId="43733F65">
      <w:pPr>
        <w:pStyle w:val="4"/>
        <w:spacing w:before="0" w:after="0" w:line="360" w:lineRule="auto"/>
        <w:outlineLvl w:val="1"/>
        <w:rPr>
          <w:rFonts w:hint="eastAsia" w:ascii="宋体" w:hAnsi="宋体" w:eastAsia="宋体" w:cs="宋体"/>
          <w:color w:val="auto"/>
          <w:sz w:val="24"/>
          <w:szCs w:val="24"/>
          <w:highlight w:val="none"/>
        </w:rPr>
      </w:pPr>
      <w:bookmarkStart w:id="122" w:name="_Toc26520"/>
      <w:bookmarkStart w:id="123" w:name="_Toc16808"/>
      <w:bookmarkStart w:id="124" w:name="_Toc4332"/>
      <w:bookmarkStart w:id="125" w:name="_Toc505093162"/>
      <w:bookmarkStart w:id="126" w:name="_Toc22819"/>
      <w:bookmarkStart w:id="127" w:name="_Toc20757"/>
      <w:bookmarkStart w:id="128" w:name="_Toc22594"/>
      <w:r>
        <w:rPr>
          <w:rFonts w:hint="eastAsia" w:ascii="宋体" w:hAnsi="宋体" w:eastAsia="宋体" w:cs="宋体"/>
          <w:color w:val="auto"/>
          <w:sz w:val="24"/>
          <w:szCs w:val="24"/>
          <w:highlight w:val="none"/>
        </w:rPr>
        <w:t>5.开标</w:t>
      </w:r>
      <w:bookmarkEnd w:id="122"/>
      <w:bookmarkEnd w:id="123"/>
      <w:bookmarkEnd w:id="124"/>
      <w:bookmarkEnd w:id="125"/>
      <w:bookmarkEnd w:id="126"/>
      <w:bookmarkEnd w:id="127"/>
      <w:bookmarkEnd w:id="128"/>
    </w:p>
    <w:p w14:paraId="10086CCA">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5.1开标时间和地点</w:t>
      </w:r>
    </w:p>
    <w:p w14:paraId="11F3F9B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在本章第 4.2.1 项规定的投标截止时间（开标时间）和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须知前附表规定的地点,通过电子招标投标交易平台公开开标。</w:t>
      </w:r>
    </w:p>
    <w:p w14:paraId="4090E217">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5.2开标程序</w:t>
      </w:r>
    </w:p>
    <w:p w14:paraId="6F8A5D3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bookmarkStart w:id="129" w:name="_Toc32123"/>
      <w:bookmarkStart w:id="130" w:name="_Toc30969"/>
      <w:bookmarkStart w:id="131" w:name="_Toc21355"/>
      <w:bookmarkStart w:id="132" w:name="_Toc505093163"/>
      <w:r>
        <w:rPr>
          <w:rFonts w:hint="eastAsia" w:ascii="宋体" w:hAnsi="宋体" w:eastAsia="宋体" w:cs="宋体"/>
          <w:color w:val="auto"/>
          <w:sz w:val="24"/>
          <w:highlight w:val="none"/>
        </w:rPr>
        <w:t>5.2.1 本项目采用电子化、无纸化进行招标，开标当日，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无需到开标现场参加开标会议，</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10569E1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 电子化投标文件采用一次加密方式。开标时，由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的解密时间为开标时间起30 分钟内，如在规定时间内未完成解密的，其投标文件不予开标、唱标。</w:t>
      </w:r>
    </w:p>
    <w:p w14:paraId="397887FA">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5.2.3 电子化投标文件解密异常的处理</w:t>
      </w:r>
    </w:p>
    <w:p w14:paraId="240B43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的电子投标文件无法解密等异常情况，</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应及时致电中介服务机构说明。投标文件异常，按以下步骤进行处理：</w:t>
      </w:r>
    </w:p>
    <w:p w14:paraId="767FBDE5">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02C2A7AF">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文件自身问题导致投标文件无法解密的，该投标文件将不予接收、解密和唱标。开标会议继续进行。</w:t>
      </w:r>
    </w:p>
    <w:p w14:paraId="317F8A4F">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4A239BA">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5.2.4 待所有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投标文件解密完成后，由中介服务机构操作，对所有已解密投标文件进行唱标。</w:t>
      </w:r>
    </w:p>
    <w:p w14:paraId="13C18E2A">
      <w:pPr>
        <w:spacing w:line="360" w:lineRule="auto"/>
        <w:ind w:firstLine="573"/>
        <w:rPr>
          <w:rFonts w:hint="eastAsia" w:ascii="宋体" w:hAnsi="宋体" w:eastAsia="宋体" w:cs="宋体"/>
          <w:color w:val="auto"/>
          <w:sz w:val="24"/>
          <w:highlight w:val="none"/>
        </w:rPr>
      </w:pP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因停电、电脑病毒、网络堵塞等原因，未在规定的解密时间内对投标文件进行解密的，其投标文件不予接收、唱标。</w:t>
      </w:r>
    </w:p>
    <w:p w14:paraId="1875DB50">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5.2.5 开标时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可登录到交易系统中在开标解密栏中点击报价一览表查看自己的投标报价。如对自己的唱标内容有异议的，应在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的质疑并做好书面记录。</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未在规定时间内提出质疑的，视为认可唱标内容。</w:t>
      </w:r>
    </w:p>
    <w:bookmarkEnd w:id="129"/>
    <w:bookmarkEnd w:id="130"/>
    <w:bookmarkEnd w:id="131"/>
    <w:p w14:paraId="4411C9B2">
      <w:pPr>
        <w:pStyle w:val="4"/>
        <w:spacing w:before="0" w:after="0" w:line="360" w:lineRule="auto"/>
        <w:outlineLvl w:val="1"/>
        <w:rPr>
          <w:rFonts w:hint="eastAsia" w:ascii="宋体" w:hAnsi="宋体" w:eastAsia="宋体" w:cs="宋体"/>
          <w:color w:val="auto"/>
          <w:sz w:val="24"/>
          <w:szCs w:val="24"/>
          <w:highlight w:val="none"/>
        </w:rPr>
      </w:pPr>
      <w:bookmarkStart w:id="133" w:name="_Toc20205"/>
      <w:bookmarkStart w:id="134" w:name="_Toc21384"/>
      <w:bookmarkStart w:id="135" w:name="_Toc11224"/>
      <w:bookmarkStart w:id="136" w:name="_Toc11560"/>
      <w:bookmarkStart w:id="137" w:name="_Toc25924"/>
      <w:bookmarkStart w:id="138" w:name="_Toc23735"/>
      <w:r>
        <w:rPr>
          <w:rFonts w:hint="eastAsia" w:ascii="宋体" w:hAnsi="宋体" w:eastAsia="宋体" w:cs="宋体"/>
          <w:color w:val="auto"/>
          <w:sz w:val="24"/>
          <w:szCs w:val="24"/>
          <w:highlight w:val="none"/>
        </w:rPr>
        <w:t>6.评标</w:t>
      </w:r>
      <w:bookmarkEnd w:id="132"/>
      <w:bookmarkEnd w:id="133"/>
      <w:bookmarkEnd w:id="134"/>
      <w:bookmarkEnd w:id="135"/>
      <w:bookmarkEnd w:id="136"/>
      <w:bookmarkEnd w:id="137"/>
      <w:bookmarkEnd w:id="138"/>
    </w:p>
    <w:p w14:paraId="4059A206">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6.1评标委员会</w:t>
      </w:r>
    </w:p>
    <w:p w14:paraId="7AD281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6.1.1评标由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依法组建的评标委员会负责。评标委员会由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或其委托的</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熟悉相关业务的代表，以及有关技术、经济等</w:t>
      </w:r>
      <w:r>
        <w:rPr>
          <w:rFonts w:hint="eastAsia" w:ascii="宋体" w:hAnsi="宋体" w:cs="宋体"/>
          <w:color w:val="auto"/>
          <w:sz w:val="24"/>
          <w:highlight w:val="none"/>
          <w:lang w:val="en-US" w:eastAsia="zh-CN"/>
        </w:rPr>
        <w:t>有关</w:t>
      </w:r>
      <w:r>
        <w:rPr>
          <w:rFonts w:hint="eastAsia" w:ascii="宋体" w:hAnsi="宋体" w:eastAsia="宋体" w:cs="宋体"/>
          <w:color w:val="auto"/>
          <w:sz w:val="24"/>
          <w:highlight w:val="none"/>
        </w:rPr>
        <w:t>方面的专家组成。评标委员会成员人数以及技术、经济等方面专家的确定方式见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08E228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6.1.2评标委员会成员有下列情形之一的，应当回避：</w:t>
      </w:r>
    </w:p>
    <w:p w14:paraId="2EDD5B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主要负责人的近亲属；</w:t>
      </w:r>
    </w:p>
    <w:p w14:paraId="4E6A55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14:paraId="7F48A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有经济利益关系，可能影响对投标公正评审的；</w:t>
      </w:r>
    </w:p>
    <w:p w14:paraId="09EFE0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（4）曾因在招标、评标以及其他与招标投标有关活动中从事违法行为而受过行政处罚或刑事处罚的；</w:t>
      </w:r>
    </w:p>
    <w:p w14:paraId="6EE09B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有其他利害关系。</w:t>
      </w:r>
    </w:p>
    <w:p w14:paraId="06F068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6.1.3评标过程中，评标委员会成员有回避事由、擅离职守或者因健康等原因不能继续评标的，</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有权更换。被更换的评标委员会成员作出的评审结论无效，由更换后的评标委员会成员重新进行评审。</w:t>
      </w:r>
    </w:p>
    <w:p w14:paraId="49881313">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6.1.4评标时，评标委员会对电子化投标文件有质疑的，将通过电子化交易系统对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发起质疑，在监督人员的监督下，</w:t>
      </w:r>
      <w:r>
        <w:rPr>
          <w:rFonts w:hint="eastAsia" w:ascii="宋体" w:hAnsi="宋体" w:cs="宋体"/>
          <w:color w:val="auto"/>
          <w:sz w:val="24"/>
          <w:highlight w:val="none"/>
          <w:lang w:val="en-US" w:eastAsia="zh-CN"/>
        </w:rPr>
        <w:t>由采购代理机构</w:t>
      </w:r>
      <w:r>
        <w:rPr>
          <w:rFonts w:hint="eastAsia" w:ascii="宋体" w:hAnsi="宋体" w:eastAsia="宋体" w:cs="宋体"/>
          <w:color w:val="auto"/>
          <w:sz w:val="24"/>
          <w:highlight w:val="none"/>
        </w:rPr>
        <w:t>用免提模式致电需要答复的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对质疑进行回复。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的回复文件必须以经过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和其法定代表人签章的PDF格式文件为准，并通过电子化交易系统提交至评标委员会。</w:t>
      </w:r>
    </w:p>
    <w:p w14:paraId="29306B56">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6.1.5电子化交易系统</w:t>
      </w:r>
      <w:r>
        <w:rPr>
          <w:rFonts w:hint="eastAsia" w:ascii="宋体" w:hAnsi="宋体" w:eastAsia="宋体" w:cs="宋体"/>
          <w:color w:val="auto"/>
          <w:sz w:val="24"/>
          <w:highlight w:val="none"/>
          <w:lang w:val="en-US" w:eastAsia="zh-CN"/>
        </w:rPr>
        <w:t>的质疑</w:t>
      </w:r>
      <w:r>
        <w:rPr>
          <w:rFonts w:hint="eastAsia" w:ascii="宋体" w:hAnsi="宋体" w:eastAsia="宋体" w:cs="宋体"/>
          <w:color w:val="auto"/>
          <w:sz w:val="24"/>
          <w:highlight w:val="none"/>
        </w:rPr>
        <w:t>回复</w:t>
      </w:r>
      <w:r>
        <w:rPr>
          <w:rFonts w:hint="eastAsia" w:ascii="宋体" w:hAnsi="宋体" w:eastAsia="宋体" w:cs="宋体"/>
          <w:color w:val="auto"/>
          <w:sz w:val="24"/>
          <w:highlight w:val="none"/>
          <w:lang w:val="en-US" w:eastAsia="zh-CN"/>
        </w:rPr>
        <w:t>时间已过</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未回复的</w:t>
      </w:r>
      <w:r>
        <w:rPr>
          <w:rFonts w:hint="eastAsia" w:ascii="宋体" w:hAnsi="宋体" w:eastAsia="宋体" w:cs="宋体"/>
          <w:color w:val="auto"/>
          <w:sz w:val="24"/>
          <w:highlight w:val="none"/>
        </w:rPr>
        <w:t>，视为放弃回复，评标委员会将自行对需要回复的内容进行认定。</w:t>
      </w:r>
    </w:p>
    <w:p w14:paraId="117B77EC">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6.2评标原则</w:t>
      </w:r>
    </w:p>
    <w:p w14:paraId="0B089F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评标活动遵循公平、公正、科学和择优的原则。</w:t>
      </w:r>
    </w:p>
    <w:p w14:paraId="760302DB">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6.3评标</w:t>
      </w:r>
    </w:p>
    <w:p w14:paraId="4B8958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6.3.1评标委员会按照第三章“评标办法（综合评分法）”规定的方法、评审因素、标准和程序对投标文件进行评审。第三章“评标办法（综合评分法）”没有规定的方法、评审因素和标准，不作为评标依据。</w:t>
      </w:r>
    </w:p>
    <w:p w14:paraId="73399F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6.3.2评标完成后，评标委员会应当向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提交评标报告和中标候选人名单。评标委员会推荐中标候选人的人数见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4DF87646">
      <w:pPr>
        <w:pStyle w:val="4"/>
        <w:spacing w:before="0" w:after="0" w:line="360" w:lineRule="auto"/>
        <w:outlineLvl w:val="1"/>
        <w:rPr>
          <w:rFonts w:hint="eastAsia" w:ascii="宋体" w:hAnsi="宋体" w:eastAsia="宋体" w:cs="宋体"/>
          <w:color w:val="auto"/>
          <w:sz w:val="24"/>
          <w:szCs w:val="24"/>
          <w:highlight w:val="none"/>
        </w:rPr>
      </w:pPr>
      <w:bookmarkStart w:id="139" w:name="_Toc15678"/>
      <w:bookmarkStart w:id="140" w:name="_Toc29390"/>
      <w:bookmarkStart w:id="141" w:name="_Toc505093164"/>
      <w:bookmarkStart w:id="142" w:name="_Toc9679"/>
      <w:bookmarkStart w:id="143" w:name="_Toc3866"/>
      <w:bookmarkStart w:id="144" w:name="_Toc25494"/>
      <w:bookmarkStart w:id="145" w:name="_Toc3082"/>
      <w:r>
        <w:rPr>
          <w:rFonts w:hint="eastAsia" w:ascii="宋体" w:hAnsi="宋体" w:eastAsia="宋体" w:cs="宋体"/>
          <w:color w:val="auto"/>
          <w:sz w:val="24"/>
          <w:szCs w:val="24"/>
          <w:highlight w:val="none"/>
        </w:rPr>
        <w:t>7.合同授予</w:t>
      </w:r>
      <w:bookmarkEnd w:id="139"/>
      <w:bookmarkEnd w:id="140"/>
      <w:bookmarkEnd w:id="141"/>
      <w:bookmarkEnd w:id="142"/>
      <w:bookmarkEnd w:id="143"/>
      <w:bookmarkEnd w:id="144"/>
      <w:bookmarkEnd w:id="145"/>
    </w:p>
    <w:p w14:paraId="60993011">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7.1中标公示</w:t>
      </w:r>
    </w:p>
    <w:p w14:paraId="4CD7054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在收到评标报告之日起3日内，按照</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须知前附表规定的公示媒介和期限</w:t>
      </w:r>
      <w:r>
        <w:rPr>
          <w:rFonts w:hint="eastAsia" w:ascii="宋体" w:hAnsi="宋体" w:cs="宋体"/>
          <w:color w:val="auto"/>
          <w:sz w:val="24"/>
          <w:highlight w:val="none"/>
          <w:lang w:val="en-US" w:eastAsia="zh-CN"/>
        </w:rPr>
        <w:t>发布中标公示</w:t>
      </w:r>
      <w:r>
        <w:rPr>
          <w:rFonts w:hint="eastAsia" w:ascii="宋体" w:hAnsi="宋体" w:eastAsia="宋体" w:cs="宋体"/>
          <w:color w:val="auto"/>
          <w:sz w:val="24"/>
          <w:highlight w:val="none"/>
        </w:rPr>
        <w:t>，公示期不得少于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日。</w:t>
      </w:r>
    </w:p>
    <w:p w14:paraId="2E10459D">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7.2评标结果异议</w:t>
      </w:r>
    </w:p>
    <w:p w14:paraId="4A0DCFE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或者其他利害关系人对评标结果有异议的，应当在中标公示期间提出。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将在收到异议之日起3日内作出答复；作出答复前，将暂停招标投标活动。</w:t>
      </w:r>
    </w:p>
    <w:p w14:paraId="34E18E88">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7.3中标候选人履约能力审查</w:t>
      </w:r>
    </w:p>
    <w:p w14:paraId="2B1E1C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中标候选人的经营、财务状况发生较大变化或存在违法行为，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认为可能影响其履约能力的，将在发出中标通知书前请原评标委员会按照招标文件规定的标准和方法进行审查确认。</w:t>
      </w:r>
    </w:p>
    <w:p w14:paraId="23E82C88">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7.4定标</w:t>
      </w:r>
    </w:p>
    <w:p w14:paraId="3F789E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须知前附表的规定，</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授权的评标委员会依法确定中标人。</w:t>
      </w:r>
    </w:p>
    <w:p w14:paraId="33D5D978">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7.5中标通知</w:t>
      </w:r>
    </w:p>
    <w:p w14:paraId="7FD29D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在本章第3.3款规定的投标有效期内，</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以书面形式向中标人发出中标通知书，同时将中标结果</w:t>
      </w:r>
      <w:r>
        <w:rPr>
          <w:rFonts w:hint="eastAsia" w:ascii="宋体" w:hAnsi="宋体" w:cs="宋体"/>
          <w:color w:val="auto"/>
          <w:sz w:val="24"/>
          <w:highlight w:val="none"/>
          <w:lang w:val="en-US" w:eastAsia="zh-CN"/>
        </w:rPr>
        <w:t>以公告形式</w:t>
      </w:r>
      <w:r>
        <w:rPr>
          <w:rFonts w:hint="eastAsia" w:ascii="宋体" w:hAnsi="宋体" w:eastAsia="宋体" w:cs="宋体"/>
          <w:color w:val="auto"/>
          <w:sz w:val="24"/>
          <w:highlight w:val="none"/>
        </w:rPr>
        <w:t>通知未中标的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p>
    <w:p w14:paraId="3A5EC995">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7.6履约保证金</w:t>
      </w:r>
    </w:p>
    <w:p w14:paraId="67BF6E7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本项目不要求</w:t>
      </w:r>
      <w:r>
        <w:rPr>
          <w:rFonts w:hint="eastAsia" w:ascii="宋体" w:hAnsi="宋体" w:cs="宋体"/>
          <w:color w:val="auto"/>
          <w:sz w:val="24"/>
          <w:highlight w:val="none"/>
          <w:lang w:eastAsia="zh-CN"/>
        </w:rPr>
        <w:t>。</w:t>
      </w:r>
    </w:p>
    <w:p w14:paraId="70584D24">
      <w:pPr>
        <w:pStyle w:val="4"/>
        <w:spacing w:before="0" w:after="0" w:line="360" w:lineRule="auto"/>
        <w:outlineLvl w:val="1"/>
        <w:rPr>
          <w:rFonts w:hint="eastAsia" w:ascii="宋体" w:hAnsi="宋体" w:eastAsia="宋体" w:cs="宋体"/>
          <w:color w:val="auto"/>
          <w:sz w:val="24"/>
          <w:szCs w:val="24"/>
          <w:highlight w:val="none"/>
        </w:rPr>
      </w:pPr>
      <w:bookmarkStart w:id="146" w:name="_Toc5790"/>
      <w:bookmarkStart w:id="147" w:name="_Toc505093165"/>
      <w:bookmarkStart w:id="148" w:name="_Toc902"/>
      <w:bookmarkStart w:id="149" w:name="_Toc24297"/>
      <w:bookmarkStart w:id="150" w:name="_Toc6615"/>
      <w:bookmarkStart w:id="151" w:name="_Toc5543"/>
      <w:bookmarkStart w:id="152" w:name="_Toc25512"/>
      <w:r>
        <w:rPr>
          <w:rFonts w:hint="eastAsia" w:ascii="宋体" w:hAnsi="宋体" w:eastAsia="宋体" w:cs="宋体"/>
          <w:color w:val="auto"/>
          <w:sz w:val="24"/>
          <w:szCs w:val="24"/>
          <w:highlight w:val="none"/>
        </w:rPr>
        <w:t>8.纪律和监督</w:t>
      </w:r>
      <w:bookmarkEnd w:id="146"/>
      <w:bookmarkEnd w:id="147"/>
      <w:bookmarkEnd w:id="148"/>
      <w:bookmarkEnd w:id="149"/>
      <w:bookmarkEnd w:id="150"/>
      <w:bookmarkEnd w:id="151"/>
      <w:bookmarkEnd w:id="152"/>
    </w:p>
    <w:p w14:paraId="33CA0F5C">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p>
    <w:p w14:paraId="32DB48B0">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不得泄露招标投标活动中应当保密的情况和资料，不得与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串通损害国家利益、社会公共利益或者他人合法权益。</w:t>
      </w:r>
    </w:p>
    <w:p w14:paraId="18E81908">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p>
    <w:p w14:paraId="37D88A7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不得相互串通投标或者与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串通投标，不得向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或者评标委员会成员行贿谋取中标，不得以他人名义投标或者以其他方式弄虚作假骗取中标；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不得以任何方式干扰、影响评标工作。</w:t>
      </w:r>
    </w:p>
    <w:p w14:paraId="7DC7DF0C">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26F5DD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综合评分法）”没有规定的评审因素和标准进行评标。</w:t>
      </w:r>
    </w:p>
    <w:p w14:paraId="2E0A36AC">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8.4对与评标活动有关的工作人员的纪律要求</w:t>
      </w:r>
    </w:p>
    <w:p w14:paraId="041B54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26BEED1">
      <w:pPr>
        <w:pStyle w:val="100"/>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8.5投诉</w:t>
      </w:r>
    </w:p>
    <w:p w14:paraId="3B42C8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或者其他利害关系人认为招标投标活动不符合法律、行政法规规定的，可以自知道或者应当知道之日起10日内向有关行政监督部门投诉。投诉应当有明确的请求和必要的证明材料。</w:t>
      </w:r>
    </w:p>
    <w:p w14:paraId="4C92D0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或者其他利害关系人对招标文件、开标和评标结果提出投诉的，应当按照</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须知第2.4款、第7.2款的规定先向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提出异议。异议答复期间不计算在第8.5.1项规定的期限内。</w:t>
      </w:r>
    </w:p>
    <w:p w14:paraId="0BA9E17B">
      <w:pPr>
        <w:pStyle w:val="4"/>
        <w:spacing w:before="0" w:after="0" w:line="360" w:lineRule="auto"/>
        <w:outlineLvl w:val="1"/>
        <w:rPr>
          <w:rFonts w:hint="eastAsia" w:ascii="宋体" w:hAnsi="宋体" w:eastAsia="宋体" w:cs="宋体"/>
          <w:color w:val="auto"/>
          <w:sz w:val="24"/>
          <w:szCs w:val="24"/>
          <w:highlight w:val="none"/>
        </w:rPr>
      </w:pPr>
      <w:bookmarkStart w:id="153" w:name="_Toc24393"/>
      <w:bookmarkStart w:id="154" w:name="_Toc168"/>
      <w:bookmarkStart w:id="155" w:name="_Toc22337"/>
      <w:bookmarkStart w:id="156" w:name="_Toc14759"/>
      <w:bookmarkStart w:id="157" w:name="_Toc505093166"/>
      <w:bookmarkStart w:id="158" w:name="_Toc6397"/>
      <w:bookmarkStart w:id="159" w:name="_Toc1918"/>
      <w:r>
        <w:rPr>
          <w:rFonts w:hint="eastAsia" w:ascii="宋体" w:hAnsi="宋体" w:eastAsia="宋体" w:cs="宋体"/>
          <w:color w:val="auto"/>
          <w:sz w:val="24"/>
          <w:szCs w:val="24"/>
          <w:highlight w:val="none"/>
        </w:rPr>
        <w:t>9.是否采用电子招标投标</w:t>
      </w:r>
      <w:bookmarkEnd w:id="153"/>
      <w:bookmarkEnd w:id="154"/>
      <w:bookmarkEnd w:id="155"/>
      <w:bookmarkEnd w:id="156"/>
      <w:bookmarkEnd w:id="157"/>
      <w:bookmarkEnd w:id="158"/>
      <w:bookmarkEnd w:id="159"/>
    </w:p>
    <w:p w14:paraId="4BDD14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本招标项目是否采用电子招标投标方式，见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5649A335">
      <w:pPr>
        <w:pStyle w:val="4"/>
        <w:spacing w:before="0" w:after="0" w:line="360" w:lineRule="auto"/>
        <w:outlineLvl w:val="1"/>
        <w:rPr>
          <w:rFonts w:hint="eastAsia" w:ascii="宋体" w:hAnsi="宋体" w:eastAsia="宋体" w:cs="宋体"/>
          <w:color w:val="auto"/>
          <w:sz w:val="24"/>
          <w:szCs w:val="24"/>
          <w:highlight w:val="none"/>
        </w:rPr>
      </w:pPr>
      <w:bookmarkStart w:id="160" w:name="_Toc10928"/>
      <w:bookmarkStart w:id="161" w:name="_Toc25840"/>
      <w:bookmarkStart w:id="162" w:name="_Toc15784"/>
      <w:bookmarkStart w:id="163" w:name="_Toc10627"/>
      <w:bookmarkStart w:id="164" w:name="_Toc20071"/>
      <w:bookmarkStart w:id="165" w:name="_Toc20351"/>
      <w:bookmarkStart w:id="166" w:name="_Toc505093167"/>
      <w:r>
        <w:rPr>
          <w:rFonts w:hint="eastAsia" w:ascii="宋体" w:hAnsi="宋体" w:eastAsia="宋体" w:cs="宋体"/>
          <w:color w:val="auto"/>
          <w:sz w:val="24"/>
          <w:szCs w:val="24"/>
          <w:highlight w:val="none"/>
        </w:rPr>
        <w:t>10.需要补充的其他内容</w:t>
      </w:r>
      <w:bookmarkEnd w:id="160"/>
      <w:bookmarkEnd w:id="161"/>
      <w:bookmarkEnd w:id="162"/>
      <w:bookmarkEnd w:id="163"/>
      <w:bookmarkEnd w:id="164"/>
      <w:bookmarkEnd w:id="165"/>
      <w:bookmarkEnd w:id="166"/>
    </w:p>
    <w:p w14:paraId="0EA507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bookmarkStart w:id="167" w:name="_Toc32736"/>
      <w:bookmarkStart w:id="168" w:name="_Toc3148"/>
      <w:bookmarkStart w:id="169" w:name="_Toc24058"/>
      <w:bookmarkStart w:id="170" w:name="_Toc266"/>
      <w:bookmarkStart w:id="171" w:name="_Toc29649"/>
      <w:bookmarkStart w:id="172" w:name="_Toc505093169"/>
    </w:p>
    <w:p w14:paraId="702DD3EC">
      <w:pPr>
        <w:spacing w:line="360" w:lineRule="auto"/>
        <w:ind w:firstLine="480" w:firstLineChars="200"/>
        <w:rPr>
          <w:rFonts w:hint="eastAsia" w:ascii="宋体" w:hAnsi="宋体" w:eastAsia="宋体" w:cs="宋体"/>
          <w:color w:val="auto"/>
          <w:sz w:val="24"/>
          <w:highlight w:val="none"/>
        </w:rPr>
      </w:pPr>
    </w:p>
    <w:p w14:paraId="63383AA7">
      <w:pPr>
        <w:spacing w:line="360" w:lineRule="auto"/>
        <w:ind w:firstLine="480" w:firstLineChars="200"/>
        <w:rPr>
          <w:rFonts w:hint="eastAsia" w:ascii="宋体" w:hAnsi="宋体" w:eastAsia="宋体" w:cs="宋体"/>
          <w:color w:val="auto"/>
          <w:sz w:val="24"/>
          <w:highlight w:val="none"/>
        </w:rPr>
      </w:pPr>
    </w:p>
    <w:p w14:paraId="52EFEFD2">
      <w:pPr>
        <w:spacing w:line="360" w:lineRule="auto"/>
        <w:ind w:firstLine="480" w:firstLineChars="200"/>
        <w:rPr>
          <w:rFonts w:hint="eastAsia" w:ascii="宋体" w:hAnsi="宋体" w:eastAsia="宋体" w:cs="宋体"/>
          <w:color w:val="auto"/>
          <w:sz w:val="24"/>
          <w:highlight w:val="none"/>
        </w:rPr>
      </w:pPr>
    </w:p>
    <w:p w14:paraId="555233EB">
      <w:pPr>
        <w:spacing w:line="360" w:lineRule="auto"/>
        <w:ind w:firstLine="480" w:firstLineChars="200"/>
        <w:rPr>
          <w:rFonts w:hint="eastAsia" w:ascii="宋体" w:hAnsi="宋体" w:eastAsia="宋体" w:cs="宋体"/>
          <w:color w:val="auto"/>
          <w:sz w:val="24"/>
          <w:highlight w:val="none"/>
        </w:rPr>
      </w:pPr>
    </w:p>
    <w:p w14:paraId="61F34D1D">
      <w:pPr>
        <w:spacing w:line="360" w:lineRule="auto"/>
        <w:ind w:firstLine="480" w:firstLineChars="200"/>
        <w:rPr>
          <w:rFonts w:hint="eastAsia" w:ascii="宋体" w:hAnsi="宋体" w:eastAsia="宋体" w:cs="宋体"/>
          <w:color w:val="auto"/>
          <w:sz w:val="24"/>
          <w:highlight w:val="none"/>
        </w:rPr>
      </w:pPr>
    </w:p>
    <w:p w14:paraId="23840309">
      <w:pPr>
        <w:spacing w:line="360" w:lineRule="auto"/>
        <w:ind w:firstLine="480" w:firstLineChars="200"/>
        <w:rPr>
          <w:rFonts w:hint="eastAsia" w:ascii="宋体" w:hAnsi="宋体" w:eastAsia="宋体" w:cs="宋体"/>
          <w:color w:val="auto"/>
          <w:sz w:val="24"/>
          <w:highlight w:val="none"/>
        </w:rPr>
      </w:pPr>
    </w:p>
    <w:p w14:paraId="5A9A4D79">
      <w:pPr>
        <w:spacing w:line="360" w:lineRule="auto"/>
        <w:ind w:firstLine="480" w:firstLineChars="200"/>
        <w:rPr>
          <w:rFonts w:hint="eastAsia" w:ascii="宋体" w:hAnsi="宋体" w:eastAsia="宋体" w:cs="宋体"/>
          <w:color w:val="auto"/>
          <w:sz w:val="24"/>
          <w:highlight w:val="none"/>
        </w:rPr>
      </w:pPr>
    </w:p>
    <w:p w14:paraId="42BF44B3">
      <w:pPr>
        <w:spacing w:line="360" w:lineRule="auto"/>
        <w:ind w:firstLine="480" w:firstLineChars="200"/>
        <w:rPr>
          <w:rFonts w:hint="eastAsia" w:ascii="宋体" w:hAnsi="宋体" w:eastAsia="宋体" w:cs="宋体"/>
          <w:color w:val="auto"/>
          <w:sz w:val="24"/>
          <w:highlight w:val="none"/>
        </w:rPr>
      </w:pPr>
    </w:p>
    <w:p w14:paraId="54674035">
      <w:pPr>
        <w:spacing w:line="360" w:lineRule="auto"/>
        <w:ind w:firstLine="480" w:firstLineChars="200"/>
        <w:rPr>
          <w:rFonts w:hint="eastAsia" w:ascii="宋体" w:hAnsi="宋体" w:eastAsia="宋体" w:cs="宋体"/>
          <w:color w:val="auto"/>
          <w:sz w:val="24"/>
          <w:highlight w:val="none"/>
        </w:rPr>
      </w:pPr>
    </w:p>
    <w:p w14:paraId="358FA9FF">
      <w:pPr>
        <w:spacing w:line="360" w:lineRule="auto"/>
        <w:ind w:firstLine="480" w:firstLineChars="200"/>
        <w:rPr>
          <w:rFonts w:hint="eastAsia" w:ascii="宋体" w:hAnsi="宋体" w:eastAsia="宋体" w:cs="宋体"/>
          <w:color w:val="auto"/>
          <w:sz w:val="24"/>
          <w:highlight w:val="none"/>
        </w:rPr>
      </w:pPr>
    </w:p>
    <w:p w14:paraId="781AE839">
      <w:pPr>
        <w:spacing w:line="360" w:lineRule="auto"/>
        <w:ind w:firstLine="480" w:firstLineChars="200"/>
        <w:rPr>
          <w:rFonts w:hint="eastAsia" w:ascii="宋体" w:hAnsi="宋体" w:eastAsia="宋体" w:cs="宋体"/>
          <w:color w:val="auto"/>
          <w:sz w:val="24"/>
          <w:highlight w:val="none"/>
        </w:rPr>
      </w:pPr>
    </w:p>
    <w:p w14:paraId="79AF733E">
      <w:pPr>
        <w:spacing w:line="360" w:lineRule="auto"/>
        <w:ind w:firstLine="480" w:firstLineChars="200"/>
        <w:rPr>
          <w:rFonts w:hint="eastAsia" w:ascii="宋体" w:hAnsi="宋体" w:eastAsia="宋体" w:cs="宋体"/>
          <w:color w:val="auto"/>
          <w:sz w:val="24"/>
          <w:highlight w:val="none"/>
        </w:rPr>
      </w:pPr>
    </w:p>
    <w:p w14:paraId="7AB18520">
      <w:pPr>
        <w:spacing w:line="360" w:lineRule="auto"/>
        <w:ind w:firstLine="480" w:firstLineChars="200"/>
        <w:rPr>
          <w:rFonts w:hint="eastAsia" w:ascii="宋体" w:hAnsi="宋体" w:eastAsia="宋体" w:cs="宋体"/>
          <w:color w:val="auto"/>
          <w:sz w:val="24"/>
          <w:highlight w:val="none"/>
        </w:rPr>
      </w:pPr>
    </w:p>
    <w:p w14:paraId="3A5CC23B">
      <w:pPr>
        <w:spacing w:line="360" w:lineRule="auto"/>
        <w:ind w:firstLine="480" w:firstLineChars="200"/>
        <w:rPr>
          <w:rFonts w:hint="eastAsia" w:ascii="宋体" w:hAnsi="宋体" w:eastAsia="宋体" w:cs="宋体"/>
          <w:color w:val="auto"/>
          <w:sz w:val="24"/>
          <w:highlight w:val="none"/>
        </w:rPr>
      </w:pPr>
    </w:p>
    <w:p w14:paraId="280889A7">
      <w:pPr>
        <w:spacing w:line="360" w:lineRule="auto"/>
        <w:ind w:firstLine="480" w:firstLineChars="200"/>
        <w:rPr>
          <w:rFonts w:hint="eastAsia" w:ascii="宋体" w:hAnsi="宋体" w:eastAsia="宋体" w:cs="宋体"/>
          <w:color w:val="auto"/>
          <w:sz w:val="24"/>
          <w:highlight w:val="none"/>
        </w:rPr>
      </w:pPr>
    </w:p>
    <w:p w14:paraId="38EF3CAD">
      <w:pPr>
        <w:spacing w:line="360" w:lineRule="auto"/>
        <w:ind w:firstLine="480" w:firstLineChars="200"/>
        <w:rPr>
          <w:rFonts w:hint="eastAsia" w:ascii="宋体" w:hAnsi="宋体" w:eastAsia="宋体" w:cs="宋体"/>
          <w:color w:val="auto"/>
          <w:sz w:val="24"/>
          <w:highlight w:val="none"/>
        </w:rPr>
      </w:pPr>
    </w:p>
    <w:p w14:paraId="7C3B7EA3">
      <w:pPr>
        <w:spacing w:line="360" w:lineRule="auto"/>
        <w:ind w:firstLine="480" w:firstLineChars="200"/>
        <w:rPr>
          <w:rFonts w:hint="eastAsia" w:ascii="宋体" w:hAnsi="宋体" w:eastAsia="宋体" w:cs="宋体"/>
          <w:color w:val="auto"/>
          <w:sz w:val="24"/>
          <w:highlight w:val="none"/>
        </w:rPr>
      </w:pPr>
    </w:p>
    <w:p w14:paraId="29CC82B9">
      <w:pPr>
        <w:spacing w:line="360" w:lineRule="auto"/>
        <w:ind w:firstLine="480" w:firstLineChars="200"/>
        <w:rPr>
          <w:rFonts w:hint="eastAsia" w:ascii="宋体" w:hAnsi="宋体" w:eastAsia="宋体" w:cs="宋体"/>
          <w:color w:val="auto"/>
          <w:sz w:val="24"/>
          <w:highlight w:val="none"/>
        </w:rPr>
      </w:pPr>
    </w:p>
    <w:p w14:paraId="4BD82A52">
      <w:pPr>
        <w:spacing w:line="360" w:lineRule="auto"/>
        <w:ind w:firstLine="480" w:firstLineChars="200"/>
        <w:rPr>
          <w:rFonts w:hint="eastAsia" w:ascii="宋体" w:hAnsi="宋体" w:eastAsia="宋体" w:cs="宋体"/>
          <w:color w:val="auto"/>
          <w:sz w:val="24"/>
          <w:highlight w:val="none"/>
        </w:rPr>
      </w:pPr>
    </w:p>
    <w:p w14:paraId="4572C6ED">
      <w:pPr>
        <w:spacing w:line="360" w:lineRule="auto"/>
        <w:ind w:firstLine="480" w:firstLineChars="200"/>
        <w:rPr>
          <w:rFonts w:hint="eastAsia" w:ascii="宋体" w:hAnsi="宋体" w:eastAsia="宋体" w:cs="宋体"/>
          <w:color w:val="auto"/>
          <w:sz w:val="24"/>
          <w:highlight w:val="none"/>
        </w:rPr>
      </w:pPr>
    </w:p>
    <w:p w14:paraId="2C23F944">
      <w:pPr>
        <w:spacing w:line="360" w:lineRule="auto"/>
        <w:ind w:firstLine="480" w:firstLineChars="200"/>
        <w:rPr>
          <w:rFonts w:hint="eastAsia" w:ascii="宋体" w:hAnsi="宋体" w:eastAsia="宋体" w:cs="宋体"/>
          <w:color w:val="auto"/>
          <w:sz w:val="24"/>
          <w:highlight w:val="none"/>
        </w:rPr>
      </w:pPr>
    </w:p>
    <w:p w14:paraId="152A17D0">
      <w:pPr>
        <w:spacing w:line="360" w:lineRule="auto"/>
        <w:ind w:firstLine="480" w:firstLineChars="200"/>
        <w:rPr>
          <w:rFonts w:hint="eastAsia" w:ascii="宋体" w:hAnsi="宋体" w:eastAsia="宋体" w:cs="宋体"/>
          <w:color w:val="auto"/>
          <w:sz w:val="24"/>
          <w:highlight w:val="none"/>
        </w:rPr>
      </w:pPr>
    </w:p>
    <w:p w14:paraId="59CB1474">
      <w:pPr>
        <w:spacing w:line="360" w:lineRule="auto"/>
        <w:ind w:firstLine="480" w:firstLineChars="200"/>
        <w:rPr>
          <w:rFonts w:hint="eastAsia" w:ascii="宋体" w:hAnsi="宋体" w:eastAsia="宋体" w:cs="宋体"/>
          <w:color w:val="auto"/>
          <w:sz w:val="24"/>
          <w:highlight w:val="none"/>
        </w:rPr>
      </w:pPr>
    </w:p>
    <w:p w14:paraId="040C93BA">
      <w:pPr>
        <w:spacing w:line="360" w:lineRule="auto"/>
        <w:ind w:firstLine="480" w:firstLineChars="200"/>
        <w:rPr>
          <w:rFonts w:hint="eastAsia" w:ascii="宋体" w:hAnsi="宋体" w:eastAsia="宋体" w:cs="宋体"/>
          <w:color w:val="auto"/>
          <w:sz w:val="24"/>
          <w:highlight w:val="none"/>
        </w:rPr>
      </w:pPr>
    </w:p>
    <w:p w14:paraId="3711F38A">
      <w:pPr>
        <w:spacing w:line="360" w:lineRule="auto"/>
        <w:ind w:firstLine="480" w:firstLineChars="200"/>
        <w:rPr>
          <w:rFonts w:hint="eastAsia" w:ascii="宋体" w:hAnsi="宋体" w:eastAsia="宋体" w:cs="宋体"/>
          <w:color w:val="auto"/>
          <w:sz w:val="24"/>
          <w:highlight w:val="none"/>
        </w:rPr>
      </w:pPr>
    </w:p>
    <w:p w14:paraId="760C2757">
      <w:pPr>
        <w:spacing w:line="360" w:lineRule="auto"/>
        <w:ind w:firstLine="480" w:firstLineChars="200"/>
        <w:rPr>
          <w:rFonts w:hint="eastAsia" w:ascii="宋体" w:hAnsi="宋体" w:eastAsia="宋体" w:cs="宋体"/>
          <w:color w:val="auto"/>
          <w:sz w:val="24"/>
          <w:highlight w:val="none"/>
        </w:rPr>
      </w:pPr>
    </w:p>
    <w:p w14:paraId="0BAD4408">
      <w:pPr>
        <w:spacing w:line="360" w:lineRule="auto"/>
        <w:ind w:firstLine="480" w:firstLineChars="200"/>
        <w:rPr>
          <w:rFonts w:hint="eastAsia" w:ascii="宋体" w:hAnsi="宋体" w:eastAsia="宋体" w:cs="宋体"/>
          <w:color w:val="auto"/>
          <w:sz w:val="24"/>
          <w:highlight w:val="none"/>
        </w:rPr>
      </w:pPr>
    </w:p>
    <w:p w14:paraId="2617317A">
      <w:pPr>
        <w:spacing w:line="360" w:lineRule="auto"/>
        <w:rPr>
          <w:rFonts w:hint="eastAsia" w:ascii="宋体" w:hAnsi="宋体" w:eastAsia="宋体" w:cs="宋体"/>
          <w:color w:val="auto"/>
          <w:sz w:val="24"/>
          <w:highlight w:val="none"/>
        </w:rPr>
      </w:pPr>
    </w:p>
    <w:p w14:paraId="3819A36D">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评标办法 （综合评分法）</w:t>
      </w:r>
      <w:bookmarkEnd w:id="167"/>
      <w:bookmarkEnd w:id="168"/>
      <w:bookmarkEnd w:id="169"/>
    </w:p>
    <w:p w14:paraId="4C5FCD02">
      <w:pPr>
        <w:pStyle w:val="4"/>
        <w:spacing w:before="0" w:after="0" w:line="360" w:lineRule="auto"/>
        <w:jc w:val="center"/>
        <w:outlineLvl w:val="1"/>
        <w:rPr>
          <w:rFonts w:hint="eastAsia" w:ascii="宋体" w:hAnsi="宋体" w:eastAsia="宋体" w:cs="宋体"/>
          <w:color w:val="auto"/>
          <w:highlight w:val="none"/>
        </w:rPr>
      </w:pPr>
      <w:bookmarkStart w:id="173" w:name="_Toc27124"/>
      <w:bookmarkStart w:id="174" w:name="_Toc4539"/>
      <w:bookmarkStart w:id="175" w:name="_Toc13551"/>
      <w:bookmarkStart w:id="176" w:name="_Toc26488"/>
      <w:bookmarkStart w:id="177" w:name="_Toc32707"/>
      <w:r>
        <w:rPr>
          <w:rFonts w:hint="eastAsia" w:ascii="宋体" w:hAnsi="宋体" w:eastAsia="宋体" w:cs="宋体"/>
          <w:color w:val="auto"/>
          <w:sz w:val="24"/>
          <w:szCs w:val="24"/>
          <w:highlight w:val="none"/>
        </w:rPr>
        <w:t>评标办法前附表</w:t>
      </w:r>
      <w:bookmarkEnd w:id="173"/>
      <w:bookmarkEnd w:id="174"/>
      <w:bookmarkEnd w:id="175"/>
      <w:bookmarkEnd w:id="176"/>
      <w:bookmarkEnd w:id="177"/>
    </w:p>
    <w:bookmarkEnd w:id="170"/>
    <w:bookmarkEnd w:id="171"/>
    <w:bookmarkEnd w:id="172"/>
    <w:tbl>
      <w:tblPr>
        <w:tblStyle w:val="4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57"/>
        <w:gridCol w:w="1438"/>
        <w:gridCol w:w="6021"/>
      </w:tblGrid>
      <w:tr w14:paraId="6207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9" w:type="dxa"/>
            <w:gridSpan w:val="2"/>
            <w:tcMar>
              <w:left w:w="57" w:type="dxa"/>
              <w:right w:w="57" w:type="dxa"/>
            </w:tcMar>
            <w:vAlign w:val="center"/>
          </w:tcPr>
          <w:p w14:paraId="04F2D4A1">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438" w:type="dxa"/>
            <w:tcMar>
              <w:left w:w="57" w:type="dxa"/>
              <w:right w:w="57" w:type="dxa"/>
            </w:tcMar>
            <w:vAlign w:val="center"/>
          </w:tcPr>
          <w:p w14:paraId="78CFFFE7">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评审因素</w:t>
            </w:r>
          </w:p>
        </w:tc>
        <w:tc>
          <w:tcPr>
            <w:tcW w:w="6021" w:type="dxa"/>
            <w:tcMar>
              <w:left w:w="57" w:type="dxa"/>
              <w:right w:w="57" w:type="dxa"/>
            </w:tcMar>
            <w:vAlign w:val="center"/>
          </w:tcPr>
          <w:p w14:paraId="6E303EAB">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评审标准</w:t>
            </w:r>
          </w:p>
        </w:tc>
      </w:tr>
      <w:tr w14:paraId="5234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2" w:type="dxa"/>
            <w:vMerge w:val="restart"/>
            <w:tcMar>
              <w:left w:w="57" w:type="dxa"/>
              <w:right w:w="57" w:type="dxa"/>
            </w:tcMar>
            <w:vAlign w:val="center"/>
          </w:tcPr>
          <w:p w14:paraId="2A30A818">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2.1.1</w:t>
            </w:r>
          </w:p>
        </w:tc>
        <w:tc>
          <w:tcPr>
            <w:tcW w:w="1157" w:type="dxa"/>
            <w:vMerge w:val="restart"/>
            <w:tcMar>
              <w:left w:w="57" w:type="dxa"/>
              <w:right w:w="57" w:type="dxa"/>
            </w:tcMar>
            <w:vAlign w:val="center"/>
          </w:tcPr>
          <w:p w14:paraId="043F233E">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形式评审标准</w:t>
            </w:r>
          </w:p>
        </w:tc>
        <w:tc>
          <w:tcPr>
            <w:tcW w:w="1438" w:type="dxa"/>
            <w:tcMar>
              <w:left w:w="57" w:type="dxa"/>
              <w:right w:w="57" w:type="dxa"/>
            </w:tcMar>
            <w:vAlign w:val="center"/>
          </w:tcPr>
          <w:p w14:paraId="14842126">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p>
        </w:tc>
        <w:tc>
          <w:tcPr>
            <w:tcW w:w="6021" w:type="dxa"/>
            <w:tcMar>
              <w:left w:w="57" w:type="dxa"/>
              <w:right w:w="57" w:type="dxa"/>
            </w:tcMar>
            <w:vAlign w:val="center"/>
          </w:tcPr>
          <w:p w14:paraId="1DE933E9">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与营业执照一致。</w:t>
            </w:r>
          </w:p>
        </w:tc>
      </w:tr>
      <w:tr w14:paraId="2F31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2" w:type="dxa"/>
            <w:vMerge w:val="continue"/>
            <w:tcMar>
              <w:left w:w="57" w:type="dxa"/>
              <w:right w:w="57" w:type="dxa"/>
            </w:tcMar>
            <w:vAlign w:val="center"/>
          </w:tcPr>
          <w:p w14:paraId="6E92DD54">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04392848">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0B18D050">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投标函签字盖章</w:t>
            </w:r>
          </w:p>
        </w:tc>
        <w:tc>
          <w:tcPr>
            <w:tcW w:w="6021" w:type="dxa"/>
            <w:tcMar>
              <w:left w:w="57" w:type="dxa"/>
              <w:right w:w="57" w:type="dxa"/>
            </w:tcMar>
            <w:vAlign w:val="center"/>
          </w:tcPr>
          <w:p w14:paraId="55926CC1">
            <w:pPr>
              <w:snapToGrid w:val="0"/>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符合第二章“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须知”规定</w:t>
            </w:r>
            <w:r>
              <w:rPr>
                <w:rFonts w:hint="eastAsia" w:ascii="宋体" w:hAnsi="宋体" w:cs="宋体"/>
                <w:color w:val="auto"/>
                <w:sz w:val="24"/>
                <w:highlight w:val="none"/>
                <w:lang w:eastAsia="zh-CN"/>
              </w:rPr>
              <w:t>。</w:t>
            </w:r>
          </w:p>
        </w:tc>
      </w:tr>
      <w:tr w14:paraId="7C82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2" w:type="dxa"/>
            <w:vMerge w:val="continue"/>
            <w:tcMar>
              <w:left w:w="57" w:type="dxa"/>
              <w:right w:w="57" w:type="dxa"/>
            </w:tcMar>
            <w:vAlign w:val="center"/>
          </w:tcPr>
          <w:p w14:paraId="2DAA2B23">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45B4B2AA">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14504529">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6021" w:type="dxa"/>
            <w:tcMar>
              <w:left w:w="57" w:type="dxa"/>
              <w:right w:w="57" w:type="dxa"/>
            </w:tcMar>
            <w:vAlign w:val="center"/>
          </w:tcPr>
          <w:p w14:paraId="64243D9B">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符合第六章“投标文件格式”的要求。</w:t>
            </w:r>
          </w:p>
        </w:tc>
      </w:tr>
      <w:tr w14:paraId="50E3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2" w:type="dxa"/>
            <w:vMerge w:val="continue"/>
            <w:tcMar>
              <w:left w:w="57" w:type="dxa"/>
              <w:right w:w="57" w:type="dxa"/>
            </w:tcMar>
            <w:vAlign w:val="center"/>
          </w:tcPr>
          <w:p w14:paraId="70871539">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3D7B67ED">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66EEC38B">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6021" w:type="dxa"/>
            <w:tcMar>
              <w:left w:w="57" w:type="dxa"/>
              <w:right w:w="57" w:type="dxa"/>
            </w:tcMar>
            <w:vAlign w:val="center"/>
          </w:tcPr>
          <w:p w14:paraId="06B85DB8">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只能有一个有效报价，且不超过</w:t>
            </w:r>
            <w:r>
              <w:rPr>
                <w:rFonts w:hint="eastAsia" w:ascii="宋体" w:hAnsi="宋体" w:cs="宋体"/>
                <w:color w:val="auto"/>
                <w:sz w:val="24"/>
                <w:highlight w:val="none"/>
                <w:lang w:eastAsia="zh-CN"/>
              </w:rPr>
              <w:t>采购控制价</w:t>
            </w:r>
            <w:r>
              <w:rPr>
                <w:rFonts w:hint="eastAsia" w:ascii="宋体" w:hAnsi="宋体" w:eastAsia="宋体" w:cs="宋体"/>
                <w:color w:val="auto"/>
                <w:sz w:val="24"/>
                <w:highlight w:val="none"/>
              </w:rPr>
              <w:t>。</w:t>
            </w:r>
          </w:p>
        </w:tc>
      </w:tr>
      <w:tr w14:paraId="70AA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2" w:type="dxa"/>
            <w:vMerge w:val="restart"/>
            <w:tcMar>
              <w:left w:w="57" w:type="dxa"/>
              <w:right w:w="57" w:type="dxa"/>
            </w:tcMar>
            <w:vAlign w:val="center"/>
          </w:tcPr>
          <w:p w14:paraId="63B5BF2F">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157" w:type="dxa"/>
            <w:vMerge w:val="restart"/>
            <w:tcMar>
              <w:left w:w="57" w:type="dxa"/>
              <w:right w:w="57" w:type="dxa"/>
            </w:tcMar>
            <w:vAlign w:val="center"/>
          </w:tcPr>
          <w:p w14:paraId="55D80550">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1438" w:type="dxa"/>
            <w:tcMar>
              <w:left w:w="57" w:type="dxa"/>
              <w:right w:w="57" w:type="dxa"/>
            </w:tcMar>
            <w:vAlign w:val="center"/>
          </w:tcPr>
          <w:p w14:paraId="53958FB9">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6021" w:type="dxa"/>
            <w:vAlign w:val="center"/>
          </w:tcPr>
          <w:p w14:paraId="56B78359">
            <w:pPr>
              <w:spacing w:line="360" w:lineRule="auto"/>
              <w:jc w:val="left"/>
              <w:rPr>
                <w:rFonts w:hint="eastAsia" w:ascii="宋体" w:hAnsi="宋体" w:eastAsia="宋体" w:cs="宋体"/>
                <w:color w:val="auto"/>
                <w:sz w:val="24"/>
                <w:highlight w:val="none"/>
              </w:rPr>
            </w:pPr>
            <w:r>
              <w:rPr>
                <w:rFonts w:hint="eastAsia" w:ascii="宋体" w:hAnsi="宋体" w:cs="宋体"/>
                <w:kern w:val="0"/>
                <w:sz w:val="24"/>
                <w:szCs w:val="24"/>
                <w:lang w:eastAsia="zh-CN"/>
              </w:rPr>
              <w:t>供应商</w:t>
            </w:r>
            <w:r>
              <w:rPr>
                <w:rFonts w:hint="eastAsia" w:ascii="宋体" w:hAnsi="宋体" w:cs="宋体"/>
                <w:kern w:val="0"/>
                <w:sz w:val="24"/>
                <w:szCs w:val="24"/>
                <w:lang w:val="en-US" w:eastAsia="zh-CN"/>
              </w:rPr>
              <w:t>须</w:t>
            </w:r>
            <w:r>
              <w:rPr>
                <w:rFonts w:hint="eastAsia" w:ascii="宋体" w:hAnsi="宋体" w:cs="宋体"/>
                <w:kern w:val="0"/>
                <w:sz w:val="24"/>
                <w:szCs w:val="24"/>
                <w:lang w:eastAsia="zh-CN"/>
              </w:rPr>
              <w:t>具有有效的营业执照，或事业单位法人证书。（投标文件中须附营业执照或事业单位法人证书</w:t>
            </w:r>
            <w:r>
              <w:rPr>
                <w:rFonts w:hint="eastAsia" w:ascii="宋体" w:hAnsi="宋体" w:cs="宋体"/>
                <w:kern w:val="0"/>
                <w:sz w:val="24"/>
                <w:szCs w:val="24"/>
                <w:lang w:val="en-US" w:eastAsia="zh-CN"/>
              </w:rPr>
              <w:t>原件</w:t>
            </w:r>
            <w:r>
              <w:rPr>
                <w:rFonts w:hint="eastAsia" w:ascii="宋体" w:hAnsi="宋体" w:cs="宋体"/>
                <w:kern w:val="0"/>
                <w:sz w:val="24"/>
                <w:szCs w:val="24"/>
                <w:lang w:eastAsia="zh-CN"/>
              </w:rPr>
              <w:t>扫描件，否则其投标不被接受）。</w:t>
            </w:r>
          </w:p>
        </w:tc>
      </w:tr>
      <w:tr w14:paraId="0C7D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2" w:type="dxa"/>
            <w:vMerge w:val="continue"/>
            <w:tcMar>
              <w:left w:w="57" w:type="dxa"/>
              <w:right w:w="57" w:type="dxa"/>
            </w:tcMar>
            <w:vAlign w:val="center"/>
          </w:tcPr>
          <w:p w14:paraId="33A8C487">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3B09B910">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2982A67E">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无商业贿赂及无不正当竞争行为的承诺书</w:t>
            </w:r>
          </w:p>
        </w:tc>
        <w:tc>
          <w:tcPr>
            <w:tcW w:w="6021" w:type="dxa"/>
            <w:vAlign w:val="center"/>
          </w:tcPr>
          <w:p w14:paraId="3133858C">
            <w:pPr>
              <w:spacing w:line="490" w:lineRule="exact"/>
              <w:outlineLvl w:val="0"/>
              <w:rPr>
                <w:rFonts w:hint="eastAsia" w:ascii="宋体" w:hAnsi="宋体" w:eastAsia="宋体" w:cs="宋体"/>
                <w:color w:val="auto"/>
                <w:sz w:val="24"/>
                <w:highlight w:val="none"/>
              </w:rPr>
            </w:pPr>
            <w:bookmarkStart w:id="178" w:name="_Toc13877"/>
            <w:r>
              <w:rPr>
                <w:rFonts w:hint="eastAsia" w:asciiTheme="minorEastAsia" w:hAnsiTheme="minorEastAsia" w:eastAsiaTheme="minorEastAsia" w:cstheme="minorEastAsia"/>
                <w:b w:val="0"/>
                <w:bCs w:val="0"/>
                <w:color w:val="auto"/>
                <w:sz w:val="24"/>
                <w:highlight w:val="none"/>
                <w:lang w:val="en-US" w:eastAsia="zh-CN"/>
              </w:rPr>
              <w:t>供应商须出具本单位无商业贿赂及无不正当竞争行为的承诺书</w:t>
            </w:r>
            <w:r>
              <w:rPr>
                <w:rFonts w:hint="eastAsia" w:asciiTheme="minorEastAsia" w:hAnsiTheme="minorEastAsia" w:eastAsiaTheme="minorEastAsia" w:cstheme="minorEastAsia"/>
                <w:b w:val="0"/>
                <w:bCs w:val="0"/>
                <w:color w:val="auto"/>
                <w:sz w:val="24"/>
                <w:szCs w:val="28"/>
                <w:highlight w:val="none"/>
                <w:lang w:val="en-US" w:eastAsia="zh-CN"/>
              </w:rPr>
              <w:t>（格式详见第六章投标文件格式附件2）</w:t>
            </w:r>
            <w:r>
              <w:rPr>
                <w:rFonts w:hint="eastAsia" w:ascii="宋体" w:hAnsi="宋体" w:eastAsia="宋体" w:cs="宋体"/>
                <w:color w:val="auto"/>
                <w:sz w:val="24"/>
                <w:highlight w:val="none"/>
                <w:lang w:val="en-US" w:eastAsia="zh-CN"/>
              </w:rPr>
              <w:t>。</w:t>
            </w:r>
            <w:bookmarkEnd w:id="178"/>
          </w:p>
        </w:tc>
      </w:tr>
      <w:tr w14:paraId="7354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2" w:type="dxa"/>
            <w:vMerge w:val="continue"/>
            <w:tcMar>
              <w:left w:w="57" w:type="dxa"/>
              <w:right w:w="57" w:type="dxa"/>
            </w:tcMar>
            <w:vAlign w:val="center"/>
          </w:tcPr>
          <w:p w14:paraId="385B84B8">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1F96B27">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127704C8">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网站</w:t>
            </w:r>
            <w:r>
              <w:rPr>
                <w:rFonts w:hint="eastAsia" w:ascii="宋体" w:hAnsi="宋体" w:eastAsia="宋体" w:cs="宋体"/>
                <w:color w:val="auto"/>
                <w:sz w:val="24"/>
                <w:highlight w:val="none"/>
              </w:rPr>
              <w:t>查询</w:t>
            </w:r>
            <w:r>
              <w:rPr>
                <w:rFonts w:hint="eastAsia" w:ascii="宋体" w:hAnsi="宋体" w:cs="宋体"/>
                <w:color w:val="auto"/>
                <w:sz w:val="24"/>
                <w:highlight w:val="none"/>
                <w:lang w:val="en-US" w:eastAsia="zh-CN"/>
              </w:rPr>
              <w:t>截图</w:t>
            </w:r>
          </w:p>
        </w:tc>
        <w:tc>
          <w:tcPr>
            <w:tcW w:w="6021" w:type="dxa"/>
            <w:vAlign w:val="center"/>
          </w:tcPr>
          <w:p w14:paraId="4174202C">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baseline"/>
              <w:rPr>
                <w:rFonts w:hint="eastAsia" w:ascii="宋体" w:hAnsi="宋体" w:eastAsia="宋体" w:cs="宋体"/>
                <w:color w:val="auto"/>
                <w:sz w:val="24"/>
                <w:highlight w:val="none"/>
              </w:rPr>
            </w:pPr>
            <w:r>
              <w:rPr>
                <w:rFonts w:hint="eastAsia" w:ascii="宋体" w:hAnsi="宋体" w:eastAsia="宋体" w:cs="宋体"/>
                <w:kern w:val="0"/>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kern w:val="0"/>
                <w:sz w:val="24"/>
                <w:szCs w:val="24"/>
                <w:lang w:val="en-US" w:eastAsia="zh-CN"/>
              </w:rPr>
              <w:t>供应商</w:t>
            </w:r>
            <w:r>
              <w:rPr>
                <w:rFonts w:hint="eastAsia" w:ascii="宋体" w:hAnsi="宋体" w:eastAsia="宋体" w:cs="宋体"/>
                <w:kern w:val="0"/>
                <w:sz w:val="24"/>
                <w:szCs w:val="24"/>
                <w:lang w:val="en-US" w:eastAsia="zh-CN"/>
              </w:rPr>
              <w:t>，拒绝参与本项目采购活动；查询渠道：①中国执行信息公开网（https://zxgk.court.gov.cn/shixin）查询内容：失信被执行人；②“信用中国”网站（https://www.creditchina.gov.cn/zhuanxiangchaxun/），查询内容：重大税收违法失信主体；③中国政府采购网（www.ccgp.gov.cn）查询内容：政府采购严重违法失信行为记录名单。</w:t>
            </w:r>
            <w:r>
              <w:rPr>
                <w:rFonts w:hint="eastAsia" w:ascii="宋体" w:hAnsi="宋体" w:cs="宋体"/>
                <w:kern w:val="0"/>
                <w:sz w:val="24"/>
                <w:szCs w:val="24"/>
                <w:lang w:val="en-US" w:eastAsia="zh-CN"/>
              </w:rPr>
              <w:t>供应商</w:t>
            </w:r>
            <w:r>
              <w:rPr>
                <w:rFonts w:hint="eastAsia" w:ascii="宋体" w:hAnsi="宋体" w:eastAsia="宋体" w:cs="宋体"/>
                <w:kern w:val="0"/>
                <w:sz w:val="24"/>
                <w:szCs w:val="24"/>
                <w:lang w:val="en-US" w:eastAsia="zh-CN"/>
              </w:rPr>
              <w:t>须提供中国执行信息公开网查询页、信用中国查询页、中国政府采购网查询页的查询结果截图</w:t>
            </w:r>
            <w:r>
              <w:rPr>
                <w:rFonts w:hint="eastAsia" w:ascii="宋体" w:hAnsi="宋体" w:eastAsia="宋体" w:cs="宋体"/>
                <w:kern w:val="0"/>
                <w:sz w:val="24"/>
                <w:szCs w:val="24"/>
              </w:rPr>
              <w:t>，查询日期为本</w:t>
            </w:r>
            <w:r>
              <w:rPr>
                <w:rFonts w:hint="eastAsia" w:ascii="宋体" w:hAnsi="宋体" w:eastAsia="宋体" w:cs="宋体"/>
                <w:kern w:val="0"/>
                <w:sz w:val="24"/>
                <w:szCs w:val="24"/>
                <w:lang w:eastAsia="zh-CN"/>
              </w:rPr>
              <w:t>公告</w:t>
            </w:r>
            <w:r>
              <w:rPr>
                <w:rFonts w:hint="eastAsia" w:ascii="宋体" w:hAnsi="宋体" w:eastAsia="宋体" w:cs="宋体"/>
                <w:kern w:val="0"/>
                <w:sz w:val="24"/>
                <w:szCs w:val="24"/>
              </w:rPr>
              <w:t>发布之日起，网站截图应含有日期</w:t>
            </w:r>
            <w:r>
              <w:rPr>
                <w:rFonts w:hint="eastAsia" w:ascii="宋体" w:hAnsi="宋体" w:eastAsia="宋体" w:cs="宋体"/>
                <w:kern w:val="0"/>
                <w:sz w:val="24"/>
                <w:szCs w:val="24"/>
                <w:lang w:val="en-US" w:eastAsia="zh-CN"/>
              </w:rPr>
              <w:t>且显示查询结果</w:t>
            </w:r>
            <w:r>
              <w:rPr>
                <w:rFonts w:hint="eastAsia" w:ascii="宋体" w:hAnsi="宋体" w:cs="宋体"/>
                <w:kern w:val="0"/>
                <w:sz w:val="24"/>
                <w:szCs w:val="24"/>
                <w:lang w:val="en-US" w:eastAsia="zh-CN"/>
              </w:rPr>
              <w:t>。</w:t>
            </w:r>
          </w:p>
        </w:tc>
      </w:tr>
      <w:tr w14:paraId="22F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2" w:type="dxa"/>
            <w:vMerge w:val="continue"/>
            <w:tcMar>
              <w:left w:w="57" w:type="dxa"/>
              <w:right w:w="57" w:type="dxa"/>
            </w:tcMar>
            <w:vAlign w:val="center"/>
          </w:tcPr>
          <w:p w14:paraId="7B2B3E52">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C94DD07">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4E004384">
            <w:pPr>
              <w:snapToGrid w:val="0"/>
              <w:spacing w:line="480" w:lineRule="exact"/>
              <w:jc w:val="center"/>
              <w:rPr>
                <w:rFonts w:hint="eastAsia" w:ascii="宋体" w:hAnsi="宋体" w:cs="宋体"/>
                <w:color w:val="auto"/>
                <w:sz w:val="24"/>
                <w:highlight w:val="none"/>
                <w:lang w:val="en-US" w:eastAsia="zh-CN"/>
              </w:rPr>
            </w:pPr>
            <w:r>
              <w:rPr>
                <w:rFonts w:hint="eastAsia" w:ascii="宋体" w:hAnsi="宋体" w:cs="宋体"/>
                <w:color w:val="auto"/>
                <w:sz w:val="24"/>
                <w:szCs w:val="24"/>
                <w:highlight w:val="none"/>
              </w:rPr>
              <w:t>企业信用信息公示系统截图</w:t>
            </w:r>
          </w:p>
        </w:tc>
        <w:tc>
          <w:tcPr>
            <w:tcW w:w="6021" w:type="dxa"/>
            <w:vAlign w:val="center"/>
          </w:tcPr>
          <w:p w14:paraId="77289AB4">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baseline"/>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单位负责人为同一人或者存在直接控股、管理关系的不同供应商，不得参加同一合同项下的采购活动；（提供“国家企业信用信息公示系统”中查询打印的相关信息或单位自行出具的承诺书，查询信息需包含公司基本信息、股东信息及股权变更信息等相关信息，查询起始日期为本项目公告发布之后，查询截止时间为开标时间同一时间）</w:t>
            </w:r>
          </w:p>
        </w:tc>
      </w:tr>
      <w:tr w14:paraId="5D03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continue"/>
            <w:tcMar>
              <w:left w:w="57" w:type="dxa"/>
              <w:right w:w="57" w:type="dxa"/>
            </w:tcMar>
            <w:vAlign w:val="center"/>
          </w:tcPr>
          <w:p w14:paraId="032DF68E">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91A87EF">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0F27D0C2">
            <w:pPr>
              <w:snapToGrid w:val="0"/>
              <w:spacing w:line="480" w:lineRule="exact"/>
              <w:jc w:val="center"/>
              <w:rPr>
                <w:rFonts w:hint="default" w:ascii="宋体" w:hAnsi="宋体" w:eastAsia="宋体" w:cs="宋体"/>
                <w:color w:val="auto"/>
                <w:sz w:val="24"/>
                <w:highlight w:val="green"/>
                <w:lang w:val="en-US" w:eastAsia="zh-CN"/>
              </w:rPr>
            </w:pPr>
            <w:r>
              <w:rPr>
                <w:rFonts w:hint="eastAsia" w:ascii="宋体" w:hAnsi="宋体" w:eastAsia="宋体" w:cs="宋体"/>
                <w:color w:val="auto"/>
                <w:sz w:val="24"/>
                <w:highlight w:val="none"/>
              </w:rPr>
              <w:t>中华人民共和国政府采购法》第二十二条</w:t>
            </w:r>
          </w:p>
        </w:tc>
        <w:tc>
          <w:tcPr>
            <w:tcW w:w="6021" w:type="dxa"/>
            <w:vAlign w:val="center"/>
          </w:tcPr>
          <w:p w14:paraId="2F81C29E">
            <w:pPr>
              <w:adjustRightInd w:val="0"/>
              <w:snapToGrid w:val="0"/>
              <w:spacing w:line="480" w:lineRule="exact"/>
              <w:jc w:val="left"/>
              <w:textAlignment w:val="baseline"/>
              <w:rPr>
                <w:rFonts w:hint="eastAsia" w:ascii="宋体" w:hAnsi="宋体" w:eastAsia="宋体" w:cs="宋体"/>
                <w:color w:val="auto"/>
                <w:sz w:val="24"/>
                <w:highlight w:val="green"/>
              </w:rPr>
            </w:pPr>
            <w:r>
              <w:rPr>
                <w:rFonts w:hint="eastAsia" w:ascii="宋体" w:hAnsi="宋体" w:eastAsia="宋体" w:cs="宋体"/>
                <w:color w:val="auto"/>
                <w:sz w:val="24"/>
                <w:highlight w:val="none"/>
                <w:lang w:val="en-US" w:eastAsia="zh-CN"/>
              </w:rPr>
              <w:t>满足《中华人民共和国政府采购法》第二十二条规定，</w:t>
            </w:r>
            <w:r>
              <w:rPr>
                <w:rFonts w:hint="eastAsia" w:ascii="宋体" w:hAnsi="宋体" w:cs="宋体"/>
                <w:color w:val="auto"/>
                <w:sz w:val="24"/>
                <w:highlight w:val="none"/>
                <w:lang w:val="en-US" w:eastAsia="zh-CN"/>
              </w:rPr>
              <w:t>供应商须</w:t>
            </w:r>
            <w:r>
              <w:rPr>
                <w:rFonts w:hint="eastAsia" w:ascii="宋体" w:hAnsi="宋体" w:eastAsia="宋体" w:cs="宋体"/>
                <w:color w:val="auto"/>
                <w:sz w:val="24"/>
                <w:highlight w:val="none"/>
                <w:lang w:val="en-US" w:eastAsia="zh-CN"/>
              </w:rPr>
              <w:t>提供承诺书</w:t>
            </w:r>
            <w:r>
              <w:rPr>
                <w:rFonts w:hint="eastAsia" w:ascii="宋体" w:hAnsi="宋体" w:cs="宋体"/>
                <w:color w:val="auto"/>
                <w:sz w:val="24"/>
                <w:highlight w:val="none"/>
                <w:lang w:val="en-US" w:eastAsia="zh-CN"/>
              </w:rPr>
              <w:t>；</w:t>
            </w:r>
            <w:r>
              <w:rPr>
                <w:rFonts w:hint="eastAsia" w:asciiTheme="minorEastAsia" w:hAnsiTheme="minorEastAsia" w:eastAsiaTheme="minorEastAsia" w:cstheme="minorEastAsia"/>
                <w:b w:val="0"/>
                <w:bCs w:val="0"/>
                <w:color w:val="auto"/>
                <w:sz w:val="24"/>
                <w:highlight w:val="none"/>
                <w:lang w:val="en-US" w:eastAsia="zh-CN"/>
              </w:rPr>
              <w:t>（格式详见第六章投标文件格式附件1）</w:t>
            </w:r>
          </w:p>
        </w:tc>
      </w:tr>
      <w:tr w14:paraId="5B27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continue"/>
            <w:tcMar>
              <w:left w:w="57" w:type="dxa"/>
              <w:right w:w="57" w:type="dxa"/>
            </w:tcMar>
            <w:vAlign w:val="center"/>
          </w:tcPr>
          <w:p w14:paraId="153108AF">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71CE31BA">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795E4A59">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非联合体承诺书</w:t>
            </w:r>
          </w:p>
        </w:tc>
        <w:tc>
          <w:tcPr>
            <w:tcW w:w="6021" w:type="dxa"/>
            <w:vAlign w:val="center"/>
          </w:tcPr>
          <w:p w14:paraId="06B69B47">
            <w:pPr>
              <w:snapToGrid w:val="0"/>
              <w:spacing w:line="480" w:lineRule="exact"/>
              <w:jc w:val="left"/>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本次采购不接受联合体投标，供应商需提供非联合体承诺书（格式详见第六章投标文件格式附件3）。</w:t>
            </w:r>
          </w:p>
        </w:tc>
      </w:tr>
      <w:tr w14:paraId="70B3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restart"/>
            <w:tcMar>
              <w:left w:w="57" w:type="dxa"/>
              <w:right w:w="57" w:type="dxa"/>
            </w:tcMar>
            <w:vAlign w:val="center"/>
          </w:tcPr>
          <w:p w14:paraId="230CC09A">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p>
        </w:tc>
        <w:tc>
          <w:tcPr>
            <w:tcW w:w="1157" w:type="dxa"/>
            <w:vMerge w:val="restart"/>
            <w:tcMar>
              <w:left w:w="57" w:type="dxa"/>
              <w:right w:w="57" w:type="dxa"/>
            </w:tcMar>
            <w:vAlign w:val="center"/>
          </w:tcPr>
          <w:p w14:paraId="48CC247D">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响应性评审标准</w:t>
            </w:r>
          </w:p>
        </w:tc>
        <w:tc>
          <w:tcPr>
            <w:tcW w:w="1438" w:type="dxa"/>
            <w:tcMar>
              <w:left w:w="57" w:type="dxa"/>
              <w:right w:w="57" w:type="dxa"/>
            </w:tcMar>
            <w:vAlign w:val="center"/>
          </w:tcPr>
          <w:p w14:paraId="4FBFF07E">
            <w:pPr>
              <w:snapToGrid w:val="0"/>
              <w:spacing w:line="48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val="en-US" w:eastAsia="zh-CN"/>
              </w:rPr>
              <w:t>内容</w:t>
            </w:r>
          </w:p>
        </w:tc>
        <w:tc>
          <w:tcPr>
            <w:tcW w:w="6021" w:type="dxa"/>
            <w:vAlign w:val="center"/>
          </w:tcPr>
          <w:p w14:paraId="7D5485F2">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符合第二章“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须知”第</w:t>
            </w:r>
            <w:r>
              <w:rPr>
                <w:rFonts w:hint="eastAsia" w:ascii="宋体" w:hAnsi="宋体" w:eastAsia="宋体" w:cs="宋体"/>
                <w:color w:val="auto"/>
                <w:sz w:val="24"/>
                <w:highlight w:val="none"/>
                <w:lang w:val="en-US" w:eastAsia="zh-CN"/>
              </w:rPr>
              <w:t>1.1.6</w:t>
            </w:r>
            <w:r>
              <w:rPr>
                <w:rFonts w:hint="eastAsia" w:ascii="宋体" w:hAnsi="宋体" w:eastAsia="宋体" w:cs="宋体"/>
                <w:color w:val="auto"/>
                <w:sz w:val="24"/>
                <w:highlight w:val="none"/>
              </w:rPr>
              <w:t>项规定</w:t>
            </w:r>
            <w:r>
              <w:rPr>
                <w:rFonts w:hint="eastAsia" w:ascii="宋体" w:hAnsi="宋体" w:cs="宋体"/>
                <w:color w:val="auto"/>
                <w:sz w:val="24"/>
                <w:highlight w:val="none"/>
                <w:lang w:eastAsia="zh-CN"/>
              </w:rPr>
              <w:t>。</w:t>
            </w:r>
          </w:p>
        </w:tc>
      </w:tr>
      <w:tr w14:paraId="0629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098D902B">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6BA7C9BE">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13B6ADE0">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6021" w:type="dxa"/>
            <w:vAlign w:val="center"/>
          </w:tcPr>
          <w:p w14:paraId="4FA5322A">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不得高于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公布的</w:t>
            </w:r>
            <w:r>
              <w:rPr>
                <w:rFonts w:hint="eastAsia" w:ascii="宋体" w:hAnsi="宋体" w:cs="宋体"/>
                <w:color w:val="auto"/>
                <w:sz w:val="24"/>
                <w:highlight w:val="none"/>
                <w:lang w:eastAsia="zh-CN"/>
              </w:rPr>
              <w:t>采购控制价</w:t>
            </w:r>
            <w:r>
              <w:rPr>
                <w:rFonts w:hint="eastAsia" w:ascii="宋体" w:hAnsi="宋体" w:eastAsia="宋体" w:cs="宋体"/>
                <w:color w:val="auto"/>
                <w:sz w:val="24"/>
                <w:highlight w:val="none"/>
              </w:rPr>
              <w:t>，否则其投标将被否决。</w:t>
            </w:r>
          </w:p>
        </w:tc>
      </w:tr>
      <w:tr w14:paraId="701B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2" w:type="dxa"/>
            <w:vMerge w:val="continue"/>
            <w:tcMar>
              <w:left w:w="57" w:type="dxa"/>
              <w:right w:w="57" w:type="dxa"/>
            </w:tcMar>
            <w:vAlign w:val="center"/>
          </w:tcPr>
          <w:p w14:paraId="408779BF">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7D2032A7">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4F1DCE67">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服务期限</w:t>
            </w:r>
          </w:p>
        </w:tc>
        <w:tc>
          <w:tcPr>
            <w:tcW w:w="6021" w:type="dxa"/>
            <w:vAlign w:val="center"/>
          </w:tcPr>
          <w:p w14:paraId="5046F0E0">
            <w:pPr>
              <w:spacing w:line="360" w:lineRule="auto"/>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合同签订后30天内完成安装、调试、并确保数据正常传输至平台，验收合格后免费提供三年技术支持；</w:t>
            </w:r>
          </w:p>
        </w:tc>
      </w:tr>
      <w:tr w14:paraId="4D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2" w:type="dxa"/>
            <w:vMerge w:val="continue"/>
            <w:tcMar>
              <w:left w:w="57" w:type="dxa"/>
              <w:right w:w="57" w:type="dxa"/>
            </w:tcMar>
            <w:vAlign w:val="center"/>
          </w:tcPr>
          <w:p w14:paraId="15E49C55">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78FD6A3">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569597D2">
            <w:pPr>
              <w:snapToGrid w:val="0"/>
              <w:spacing w:line="480" w:lineRule="exact"/>
              <w:jc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质量要求</w:t>
            </w:r>
          </w:p>
        </w:tc>
        <w:tc>
          <w:tcPr>
            <w:tcW w:w="6021" w:type="dxa"/>
            <w:vAlign w:val="center"/>
          </w:tcPr>
          <w:p w14:paraId="6423F4E8">
            <w:pPr>
              <w:snapToGrid w:val="0"/>
              <w:spacing w:line="480" w:lineRule="exact"/>
              <w:jc w:val="left"/>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符合国家及行业标准，满足采购人需求；</w:t>
            </w:r>
          </w:p>
        </w:tc>
      </w:tr>
      <w:tr w14:paraId="24ED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2" w:type="dxa"/>
            <w:vMerge w:val="continue"/>
            <w:tcMar>
              <w:left w:w="57" w:type="dxa"/>
              <w:right w:w="57" w:type="dxa"/>
            </w:tcMar>
            <w:vAlign w:val="center"/>
          </w:tcPr>
          <w:p w14:paraId="544A748E">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4F485330">
            <w:pPr>
              <w:snapToGrid w:val="0"/>
              <w:spacing w:line="480" w:lineRule="exact"/>
              <w:jc w:val="center"/>
              <w:rPr>
                <w:rFonts w:hint="eastAsia" w:ascii="宋体" w:hAnsi="宋体" w:eastAsia="宋体" w:cs="宋体"/>
                <w:color w:val="auto"/>
                <w:sz w:val="24"/>
                <w:highlight w:val="none"/>
              </w:rPr>
            </w:pPr>
          </w:p>
        </w:tc>
        <w:tc>
          <w:tcPr>
            <w:tcW w:w="1438" w:type="dxa"/>
            <w:tcMar>
              <w:left w:w="57" w:type="dxa"/>
              <w:right w:w="57" w:type="dxa"/>
            </w:tcMar>
            <w:vAlign w:val="center"/>
          </w:tcPr>
          <w:p w14:paraId="5A88EF34">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021" w:type="dxa"/>
            <w:vAlign w:val="center"/>
          </w:tcPr>
          <w:p w14:paraId="013BB3D1">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r>
              <w:rPr>
                <w:rFonts w:hint="eastAsia" w:ascii="宋体" w:hAnsi="宋体" w:cs="宋体"/>
                <w:color w:val="auto"/>
                <w:sz w:val="24"/>
                <w:highlight w:val="none"/>
                <w:lang w:eastAsia="zh-CN"/>
              </w:rPr>
              <w:t>。</w:t>
            </w:r>
          </w:p>
        </w:tc>
      </w:tr>
    </w:tbl>
    <w:p w14:paraId="6A88D490">
      <w:pPr>
        <w:rPr>
          <w:rFonts w:hint="eastAsia" w:ascii="宋体" w:hAnsi="宋体" w:eastAsia="宋体" w:cs="宋体"/>
          <w:color w:val="auto"/>
          <w:sz w:val="24"/>
          <w:szCs w:val="24"/>
          <w:highlight w:val="none"/>
          <w:lang w:val="en-US" w:eastAsia="zh-CN"/>
        </w:rPr>
      </w:pPr>
    </w:p>
    <w:p w14:paraId="794735EF">
      <w:pPr>
        <w:rPr>
          <w:rFonts w:hint="eastAsia" w:ascii="宋体" w:hAnsi="宋体" w:eastAsia="宋体" w:cs="宋体"/>
          <w:color w:val="auto"/>
          <w:sz w:val="24"/>
          <w:szCs w:val="24"/>
          <w:highlight w:val="none"/>
          <w:lang w:val="en-US" w:eastAsia="zh-CN"/>
        </w:rPr>
      </w:pPr>
    </w:p>
    <w:p w14:paraId="07F0539F">
      <w:pPr>
        <w:rPr>
          <w:rFonts w:hint="eastAsia" w:ascii="宋体" w:hAnsi="宋体" w:eastAsia="宋体" w:cs="宋体"/>
          <w:color w:val="auto"/>
          <w:sz w:val="24"/>
          <w:szCs w:val="24"/>
          <w:highlight w:val="none"/>
          <w:lang w:val="en-US" w:eastAsia="zh-CN"/>
        </w:rPr>
      </w:pPr>
    </w:p>
    <w:p w14:paraId="718350F2">
      <w:pPr>
        <w:rPr>
          <w:rFonts w:hint="eastAsia" w:ascii="宋体" w:hAnsi="宋体" w:eastAsia="宋体" w:cs="宋体"/>
          <w:color w:val="auto"/>
          <w:sz w:val="24"/>
          <w:szCs w:val="24"/>
          <w:highlight w:val="none"/>
          <w:lang w:val="en-US" w:eastAsia="zh-CN"/>
        </w:rPr>
      </w:pPr>
    </w:p>
    <w:p w14:paraId="61DDC5C8">
      <w:pPr>
        <w:rPr>
          <w:rFonts w:hint="eastAsia" w:ascii="宋体" w:hAnsi="宋体" w:eastAsia="宋体" w:cs="宋体"/>
          <w:color w:val="auto"/>
          <w:sz w:val="24"/>
          <w:szCs w:val="24"/>
          <w:highlight w:val="none"/>
          <w:lang w:val="en-US" w:eastAsia="zh-CN"/>
        </w:rPr>
      </w:pPr>
    </w:p>
    <w:p w14:paraId="1C0FEBCF">
      <w:pPr>
        <w:rPr>
          <w:rFonts w:hint="eastAsia" w:ascii="宋体" w:hAnsi="宋体" w:eastAsia="宋体" w:cs="宋体"/>
          <w:color w:val="auto"/>
          <w:sz w:val="24"/>
          <w:szCs w:val="24"/>
          <w:highlight w:val="none"/>
          <w:lang w:val="en-US" w:eastAsia="zh-CN"/>
        </w:rPr>
      </w:pPr>
    </w:p>
    <w:p w14:paraId="5B078E33">
      <w:pPr>
        <w:rPr>
          <w:rFonts w:hint="eastAsia" w:ascii="宋体" w:hAnsi="宋体" w:eastAsia="宋体" w:cs="宋体"/>
          <w:color w:val="auto"/>
          <w:sz w:val="24"/>
          <w:szCs w:val="24"/>
          <w:highlight w:val="none"/>
          <w:lang w:val="en-US" w:eastAsia="zh-CN"/>
        </w:rPr>
      </w:pPr>
    </w:p>
    <w:p w14:paraId="052C0768">
      <w:pPr>
        <w:rPr>
          <w:rFonts w:hint="eastAsia" w:ascii="宋体" w:hAnsi="宋体" w:eastAsia="宋体" w:cs="宋体"/>
          <w:color w:val="auto"/>
          <w:sz w:val="24"/>
          <w:szCs w:val="24"/>
          <w:highlight w:val="none"/>
          <w:lang w:val="en-US" w:eastAsia="zh-CN"/>
        </w:rPr>
      </w:pPr>
    </w:p>
    <w:p w14:paraId="1B47E5FE">
      <w:pPr>
        <w:pStyle w:val="26"/>
        <w:rPr>
          <w:rFonts w:hint="eastAsia" w:ascii="宋体" w:hAnsi="宋体" w:eastAsia="宋体" w:cs="宋体"/>
          <w:color w:val="auto"/>
          <w:sz w:val="24"/>
          <w:szCs w:val="24"/>
          <w:highlight w:val="none"/>
          <w:lang w:val="en-US" w:eastAsia="zh-CN"/>
        </w:rPr>
      </w:pPr>
    </w:p>
    <w:p w14:paraId="7A35B5DE">
      <w:pPr>
        <w:pStyle w:val="4"/>
        <w:spacing w:before="0" w:after="0" w:line="360" w:lineRule="auto"/>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2.2详细评审</w:t>
      </w:r>
    </w:p>
    <w:tbl>
      <w:tblPr>
        <w:tblStyle w:val="4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57"/>
        <w:gridCol w:w="1292"/>
        <w:gridCol w:w="6167"/>
      </w:tblGrid>
      <w:tr w14:paraId="5B4B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9" w:type="dxa"/>
            <w:gridSpan w:val="2"/>
            <w:tcMar>
              <w:left w:w="57" w:type="dxa"/>
              <w:right w:w="57" w:type="dxa"/>
            </w:tcMar>
            <w:vAlign w:val="center"/>
          </w:tcPr>
          <w:p w14:paraId="5EFC7880">
            <w:pPr>
              <w:pStyle w:val="30"/>
              <w:tabs>
                <w:tab w:val="right" w:pos="2948"/>
              </w:tabs>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292" w:type="dxa"/>
            <w:tcMar>
              <w:left w:w="57" w:type="dxa"/>
              <w:right w:w="57" w:type="dxa"/>
            </w:tcMar>
            <w:vAlign w:val="center"/>
          </w:tcPr>
          <w:p w14:paraId="7CE7B32C">
            <w:pPr>
              <w:pStyle w:val="30"/>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6167" w:type="dxa"/>
            <w:tcMar>
              <w:left w:w="57" w:type="dxa"/>
              <w:right w:w="57" w:type="dxa"/>
            </w:tcMar>
            <w:vAlign w:val="center"/>
          </w:tcPr>
          <w:p w14:paraId="044DEEB8">
            <w:pPr>
              <w:pStyle w:val="30"/>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14:paraId="61E4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99" w:type="dxa"/>
            <w:gridSpan w:val="2"/>
            <w:tcMar>
              <w:left w:w="57" w:type="dxa"/>
              <w:right w:w="57" w:type="dxa"/>
            </w:tcMar>
            <w:vAlign w:val="center"/>
          </w:tcPr>
          <w:p w14:paraId="48E121B0">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292" w:type="dxa"/>
            <w:tcMar>
              <w:left w:w="57" w:type="dxa"/>
              <w:right w:w="57" w:type="dxa"/>
            </w:tcMar>
            <w:vAlign w:val="center"/>
          </w:tcPr>
          <w:p w14:paraId="5F3D69F9">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14:paraId="3BFE7BFA">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（总分100分）</w:t>
            </w:r>
          </w:p>
        </w:tc>
        <w:tc>
          <w:tcPr>
            <w:tcW w:w="6167" w:type="dxa"/>
            <w:tcMar>
              <w:left w:w="57" w:type="dxa"/>
              <w:right w:w="57" w:type="dxa"/>
            </w:tcMar>
            <w:vAlign w:val="center"/>
          </w:tcPr>
          <w:p w14:paraId="4114D6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09F063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评分标准：</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w:t>
            </w:r>
          </w:p>
          <w:p w14:paraId="4E5070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评分标准：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r>
      <w:tr w14:paraId="6FC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99" w:type="dxa"/>
            <w:gridSpan w:val="2"/>
            <w:tcMar>
              <w:left w:w="57" w:type="dxa"/>
              <w:right w:w="57" w:type="dxa"/>
            </w:tcMar>
            <w:vAlign w:val="center"/>
          </w:tcPr>
          <w:p w14:paraId="794553A0">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条款号</w:t>
            </w:r>
          </w:p>
        </w:tc>
        <w:tc>
          <w:tcPr>
            <w:tcW w:w="1292" w:type="dxa"/>
            <w:tcMar>
              <w:left w:w="57" w:type="dxa"/>
              <w:right w:w="57" w:type="dxa"/>
            </w:tcMar>
            <w:vAlign w:val="center"/>
          </w:tcPr>
          <w:p w14:paraId="3ABF57B9">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评分因素</w:t>
            </w:r>
          </w:p>
        </w:tc>
        <w:tc>
          <w:tcPr>
            <w:tcW w:w="6167" w:type="dxa"/>
            <w:tcMar>
              <w:left w:w="57" w:type="dxa"/>
              <w:right w:w="57" w:type="dxa"/>
            </w:tcMar>
            <w:vAlign w:val="center"/>
          </w:tcPr>
          <w:p w14:paraId="00BF4685">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评分标准</w:t>
            </w:r>
          </w:p>
        </w:tc>
      </w:tr>
      <w:tr w14:paraId="3E1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42" w:type="dxa"/>
            <w:tcMar>
              <w:left w:w="57" w:type="dxa"/>
              <w:right w:w="57" w:type="dxa"/>
            </w:tcMar>
            <w:vAlign w:val="center"/>
          </w:tcPr>
          <w:p w14:paraId="37069AD9">
            <w:pPr>
              <w:pStyle w:val="30"/>
              <w:spacing w:before="0" w:beforeAutospacing="0" w:after="0" w:afterAutospacing="0" w:line="360" w:lineRule="auto"/>
              <w:jc w:val="center"/>
              <w:rPr>
                <w:rFonts w:hint="default" w:ascii="宋体" w:hAnsi="宋体" w:eastAsia="宋体" w:cs="宋体"/>
                <w:color w:val="auto"/>
                <w:highlight w:val="none"/>
                <w:lang w:val="en-US" w:eastAsia="zh-CN"/>
              </w:rPr>
            </w:pPr>
            <w:r>
              <w:rPr>
                <w:rFonts w:hint="eastAsia" w:cs="宋体"/>
                <w:color w:val="auto"/>
                <w:highlight w:val="none"/>
                <w:lang w:val="en-US" w:eastAsia="zh-CN"/>
              </w:rPr>
              <w:t>2.2.2（1）</w:t>
            </w:r>
          </w:p>
        </w:tc>
        <w:tc>
          <w:tcPr>
            <w:tcW w:w="1157" w:type="dxa"/>
            <w:tcMar>
              <w:left w:w="57" w:type="dxa"/>
              <w:right w:w="57" w:type="dxa"/>
            </w:tcMar>
            <w:vAlign w:val="center"/>
          </w:tcPr>
          <w:p w14:paraId="63680B8D">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7459" w:type="dxa"/>
            <w:gridSpan w:val="2"/>
            <w:tcMar>
              <w:left w:w="57" w:type="dxa"/>
              <w:right w:w="57" w:type="dxa"/>
            </w:tcMar>
            <w:vAlign w:val="center"/>
          </w:tcPr>
          <w:p w14:paraId="7757DA2D">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低价优先法：采用低价优先法计算，即：满足招标文件要求且投标价格最低的报价为评审基准价，其价格分为20分。其他供应商的价格分统一按照下列公式计算：</w:t>
            </w:r>
          </w:p>
          <w:p w14:paraId="0C0819E0">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报价得分=（评审基准价／投标报价）×（20）</w:t>
            </w:r>
          </w:p>
          <w:p w14:paraId="6337BA91">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1、本项目投标报价超出最高限价的，采购人不予接受，且供应商为无效投标；</w:t>
            </w:r>
          </w:p>
          <w:p w14:paraId="08CECEDE">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供应商所投服务响应报价明显低于成本价，评标委员会可向供应商发起询问并要求其在规定时间内说明并提交证明文件。若供应商无具体理由以及相关文件佐证，评标委员会认为报价明显不合理的，按0分计算。</w:t>
            </w:r>
          </w:p>
          <w:p w14:paraId="712B03DC">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注：价格扣除：供应商根据《政府采购促进中小企业发展管理办法》（财库[2020]46号）、财政部司法部《关于政府采购支持监狱企业发展有关问题的通知》（财库〔2014〕68号）和财政部民政部中国残疾人联合会《关于促进残疾人就业政府采购政策的通知》（财库〔2017〕141号）规定，本项目对小微企业、监狱企业、残疾人福利性企业作为供应商所提供的本企业生产的产品的价格给予20%的扣除。同一供应商（包括联合体），小微企业、监狱、残疾人福利性企业同一产品价格扣除优惠只享受一次，不得重复享受。在货物采购项目中，供应商提供的货物既有中型企业制造，也有小微企业制造的，不享受20%的扣除。</w:t>
            </w:r>
          </w:p>
        </w:tc>
      </w:tr>
      <w:tr w14:paraId="4010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42" w:type="dxa"/>
            <w:vMerge w:val="restart"/>
            <w:tcMar>
              <w:left w:w="57" w:type="dxa"/>
              <w:right w:w="57" w:type="dxa"/>
            </w:tcMar>
            <w:vAlign w:val="center"/>
          </w:tcPr>
          <w:p w14:paraId="76B6B03E">
            <w:pPr>
              <w:pStyle w:val="30"/>
              <w:spacing w:before="0" w:beforeAutospacing="0" w:after="0" w:afterAutospacing="0" w:line="360" w:lineRule="auto"/>
              <w:jc w:val="center"/>
              <w:rPr>
                <w:rFonts w:hint="eastAsia" w:eastAsia="宋体" w:cs="宋体"/>
                <w:color w:val="auto"/>
                <w:highlight w:val="none"/>
                <w:lang w:val="en-US" w:eastAsia="zh-CN"/>
              </w:rPr>
            </w:pPr>
            <w:r>
              <w:rPr>
                <w:rFonts w:hint="eastAsia" w:ascii="宋体" w:hAnsi="宋体" w:eastAsia="宋体" w:cs="宋体"/>
                <w:color w:val="auto"/>
                <w:highlight w:val="none"/>
              </w:rPr>
              <w:t>2.2.</w:t>
            </w:r>
            <w:r>
              <w:rPr>
                <w:rFonts w:hint="eastAsia" w:cs="宋体"/>
                <w:color w:val="auto"/>
                <w:highlight w:val="none"/>
                <w:lang w:val="en-US" w:eastAsia="zh-CN"/>
              </w:rPr>
              <w:t>2</w:t>
            </w:r>
          </w:p>
          <w:p w14:paraId="5176E115">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w:t>
            </w:r>
          </w:p>
        </w:tc>
        <w:tc>
          <w:tcPr>
            <w:tcW w:w="1157" w:type="dxa"/>
            <w:vMerge w:val="restart"/>
            <w:tcMar>
              <w:left w:w="57" w:type="dxa"/>
              <w:right w:w="57" w:type="dxa"/>
            </w:tcMar>
            <w:vAlign w:val="center"/>
          </w:tcPr>
          <w:p w14:paraId="32884520">
            <w:pPr>
              <w:spacing w:line="360" w:lineRule="auto"/>
              <w:jc w:val="center"/>
              <w:rPr>
                <w:rFonts w:hint="eastAsia" w:ascii="宋体" w:hAnsi="宋体" w:eastAsia="宋体" w:cs="宋体"/>
                <w:color w:val="auto"/>
                <w:sz w:val="24"/>
                <w:highlight w:val="none"/>
              </w:rPr>
            </w:pPr>
          </w:p>
          <w:p w14:paraId="6C25093A">
            <w:pPr>
              <w:spacing w:line="360" w:lineRule="auto"/>
              <w:jc w:val="center"/>
              <w:rPr>
                <w:rFonts w:hint="eastAsia" w:ascii="宋体" w:hAnsi="宋体" w:eastAsia="宋体" w:cs="宋体"/>
                <w:color w:val="auto"/>
                <w:sz w:val="24"/>
                <w:highlight w:val="none"/>
              </w:rPr>
            </w:pPr>
          </w:p>
          <w:p w14:paraId="202BD200">
            <w:pPr>
              <w:spacing w:line="360" w:lineRule="auto"/>
              <w:jc w:val="center"/>
              <w:rPr>
                <w:rFonts w:hint="eastAsia" w:ascii="宋体" w:hAnsi="宋体" w:eastAsia="宋体" w:cs="宋体"/>
                <w:color w:val="auto"/>
                <w:sz w:val="24"/>
                <w:highlight w:val="none"/>
              </w:rPr>
            </w:pPr>
          </w:p>
          <w:p w14:paraId="71C9B3DE">
            <w:pPr>
              <w:spacing w:line="360" w:lineRule="auto"/>
              <w:jc w:val="center"/>
              <w:rPr>
                <w:rFonts w:hint="eastAsia" w:ascii="宋体" w:hAnsi="宋体" w:eastAsia="宋体" w:cs="宋体"/>
                <w:color w:val="auto"/>
                <w:sz w:val="24"/>
                <w:highlight w:val="none"/>
              </w:rPr>
            </w:pPr>
          </w:p>
          <w:p w14:paraId="3369F63A">
            <w:pPr>
              <w:spacing w:line="360" w:lineRule="auto"/>
              <w:jc w:val="center"/>
              <w:rPr>
                <w:rFonts w:hint="eastAsia" w:ascii="宋体" w:hAnsi="宋体" w:eastAsia="宋体" w:cs="宋体"/>
                <w:color w:val="auto"/>
                <w:sz w:val="24"/>
                <w:highlight w:val="none"/>
              </w:rPr>
            </w:pPr>
          </w:p>
          <w:p w14:paraId="42E9EEF3">
            <w:pPr>
              <w:spacing w:line="360" w:lineRule="auto"/>
              <w:jc w:val="center"/>
              <w:rPr>
                <w:rFonts w:hint="eastAsia" w:ascii="宋体" w:hAnsi="宋体" w:eastAsia="宋体" w:cs="宋体"/>
                <w:color w:val="auto"/>
                <w:sz w:val="24"/>
                <w:highlight w:val="none"/>
              </w:rPr>
            </w:pPr>
          </w:p>
          <w:p w14:paraId="78CB9C0C">
            <w:pPr>
              <w:spacing w:line="360" w:lineRule="auto"/>
              <w:jc w:val="center"/>
              <w:rPr>
                <w:rFonts w:hint="eastAsia" w:ascii="宋体" w:hAnsi="宋体" w:eastAsia="宋体" w:cs="宋体"/>
                <w:color w:val="auto"/>
                <w:sz w:val="24"/>
                <w:highlight w:val="none"/>
              </w:rPr>
            </w:pPr>
          </w:p>
          <w:p w14:paraId="1E4DA466">
            <w:pPr>
              <w:spacing w:line="360" w:lineRule="auto"/>
              <w:jc w:val="center"/>
              <w:rPr>
                <w:rFonts w:hint="eastAsia" w:ascii="宋体" w:hAnsi="宋体" w:eastAsia="宋体" w:cs="宋体"/>
                <w:color w:val="auto"/>
                <w:sz w:val="24"/>
                <w:highlight w:val="none"/>
              </w:rPr>
            </w:pPr>
          </w:p>
          <w:p w14:paraId="0156DEB1">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 xml:space="preserve">部分 </w:t>
            </w:r>
          </w:p>
          <w:p w14:paraId="6B23FEA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w:t>
            </w:r>
          </w:p>
        </w:tc>
        <w:tc>
          <w:tcPr>
            <w:tcW w:w="1292" w:type="dxa"/>
            <w:tcMar>
              <w:left w:w="57" w:type="dxa"/>
              <w:right w:w="57" w:type="dxa"/>
            </w:tcMar>
            <w:vAlign w:val="center"/>
          </w:tcPr>
          <w:p w14:paraId="47B1FA60">
            <w:pPr>
              <w:pStyle w:val="30"/>
              <w:spacing w:before="0" w:beforeAutospacing="0" w:after="0" w:afterAutospacing="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技术服务方案</w:t>
            </w:r>
          </w:p>
          <w:p w14:paraId="64BA1E59">
            <w:pPr>
              <w:pStyle w:val="30"/>
              <w:spacing w:before="0" w:beforeAutospacing="0" w:after="0" w:afterAutospacing="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（0-12分）</w:t>
            </w:r>
          </w:p>
        </w:tc>
        <w:tc>
          <w:tcPr>
            <w:tcW w:w="6167" w:type="dxa"/>
            <w:tcMar>
              <w:left w:w="57" w:type="dxa"/>
              <w:right w:w="57" w:type="dxa"/>
            </w:tcMar>
            <w:vAlign w:val="center"/>
          </w:tcPr>
          <w:p w14:paraId="708FC7A2">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根据各投标人提供的技术服务方案，包括但不限于：数据采集实现原理、硬件远程管理方案、数据安全及保密措施：</w:t>
            </w:r>
          </w:p>
          <w:p w14:paraId="0805DA79">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 xml:space="preserve">1. </w:t>
            </w:r>
            <w:bookmarkStart w:id="179" w:name="OLE_LINK11"/>
            <w:r>
              <w:rPr>
                <w:rFonts w:hint="default" w:ascii="宋体" w:hAnsi="宋体" w:cs="宋体"/>
                <w:b w:val="0"/>
                <w:bCs w:val="0"/>
                <w:color w:val="auto"/>
                <w:sz w:val="24"/>
                <w:highlight w:val="none"/>
                <w:lang w:val="en-US" w:eastAsia="zh-CN"/>
              </w:rPr>
              <w:t>技术方案</w:t>
            </w:r>
            <w:bookmarkEnd w:id="179"/>
            <w:r>
              <w:rPr>
                <w:rFonts w:hint="default" w:ascii="宋体" w:hAnsi="宋体" w:cs="宋体"/>
                <w:b w:val="0"/>
                <w:bCs w:val="0"/>
                <w:color w:val="auto"/>
                <w:sz w:val="24"/>
                <w:highlight w:val="none"/>
                <w:lang w:val="en-US" w:eastAsia="zh-CN"/>
              </w:rPr>
              <w:t>紧密贴合本项目实际系统现状，内容科学合理，在系统架构、系统组成、系统功能、设备参数等方面设计周详，适应现场环境要求，实施措施具体有效，能够充分满足项目全部需求，得12分；</w:t>
            </w:r>
          </w:p>
          <w:p w14:paraId="0E5E21E9">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2. 技术方案能够结合本项目系统现状，在科学性、合理性方面基本达到要求，系统架构、功能组成、设备参数等内容虽不够具体详实，但总体上可支持项目部分需求的实现，得8分；</w:t>
            </w:r>
          </w:p>
          <w:p w14:paraId="0DCCE949">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3. 技术方案与本项目系统基本情况基本相符，但在科学性、合理性方面表现一般，系统架构、功能设计、设备选型等不够科学，安全防范措施较为薄弱，得4分；</w:t>
            </w:r>
          </w:p>
          <w:p w14:paraId="4C2A3741">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未提交技术方案的投标人不得分。</w:t>
            </w:r>
          </w:p>
          <w:p w14:paraId="1FCC2AF2">
            <w:pPr>
              <w:numPr>
                <w:ilvl w:val="0"/>
                <w:numId w:val="0"/>
              </w:numPr>
              <w:spacing w:line="480" w:lineRule="atLeast"/>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注：涉及平台功能模块，必须提供系统真实界面截图，需包含完整系统界面（系统真实网址、含系统导航栏、功能菜单、当前操作模块名称），不得仅截取局部功能区域。</w:t>
            </w:r>
          </w:p>
        </w:tc>
      </w:tr>
      <w:tr w14:paraId="25F0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42" w:type="dxa"/>
            <w:vMerge w:val="continue"/>
            <w:tcMar>
              <w:left w:w="57" w:type="dxa"/>
              <w:right w:w="57" w:type="dxa"/>
            </w:tcMar>
            <w:vAlign w:val="center"/>
          </w:tcPr>
          <w:p w14:paraId="2DC5BCF1">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5B07717F">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7E93BDA0">
            <w:pPr>
              <w:pStyle w:val="30"/>
              <w:spacing w:before="0" w:beforeAutospacing="0" w:after="0" w:afterAutospacing="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实施方案</w:t>
            </w:r>
          </w:p>
          <w:p w14:paraId="0E2E7482">
            <w:pPr>
              <w:pStyle w:val="30"/>
              <w:spacing w:before="0" w:beforeAutospacing="0" w:after="0" w:afterAutospacing="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（0-</w:t>
            </w:r>
            <w:r>
              <w:rPr>
                <w:rFonts w:hint="eastAsia" w:cs="宋体"/>
                <w:color w:val="auto"/>
                <w:highlight w:val="none"/>
                <w:lang w:val="en-US" w:eastAsia="zh-CN"/>
              </w:rPr>
              <w:t>12</w:t>
            </w:r>
            <w:r>
              <w:rPr>
                <w:rFonts w:hint="eastAsia" w:ascii="宋体" w:hAnsi="宋体" w:eastAsia="宋体" w:cs="宋体"/>
                <w:color w:val="auto"/>
                <w:highlight w:val="none"/>
                <w:lang w:eastAsia="zh-CN"/>
              </w:rPr>
              <w:t>分）</w:t>
            </w:r>
          </w:p>
        </w:tc>
        <w:tc>
          <w:tcPr>
            <w:tcW w:w="6167" w:type="dxa"/>
            <w:tcMar>
              <w:left w:w="57" w:type="dxa"/>
              <w:right w:w="57" w:type="dxa"/>
            </w:tcMar>
            <w:vAlign w:val="center"/>
          </w:tcPr>
          <w:p w14:paraId="66731DB2">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根据各投标人提供的实施方案，包括但不限于:项目管理机构保障、实施进度计划及保障措施、数据采集服务的实施保障措施及安全保障措施等内容；</w:t>
            </w:r>
          </w:p>
          <w:p w14:paraId="27EF1FEA">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1.方案内容详尽具体，关键环节控制措施科学可行，能够充分满足甚至优于项目需求，得12分；</w:t>
            </w:r>
          </w:p>
          <w:p w14:paraId="1BA809A9">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2.方案内容较详细，关键环节控制措施较为合理，能够基本满足项目主要需求，得8分；</w:t>
            </w:r>
          </w:p>
          <w:p w14:paraId="18874DF9">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3.方案内容不够具体，关键环节控制措施可行性有限，仅能部分满足项目需求，得4分；</w:t>
            </w:r>
          </w:p>
          <w:p w14:paraId="0522B563">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未提交实施方案的投标人不得分。</w:t>
            </w:r>
          </w:p>
        </w:tc>
      </w:tr>
      <w:tr w14:paraId="6C2D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2" w:type="dxa"/>
            <w:vMerge w:val="continue"/>
            <w:tcMar>
              <w:left w:w="57" w:type="dxa"/>
              <w:right w:w="57" w:type="dxa"/>
            </w:tcMar>
            <w:vAlign w:val="center"/>
          </w:tcPr>
          <w:p w14:paraId="03411D2C">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7CB3FA66">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6C4FC302">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质量保证措施</w:t>
            </w:r>
          </w:p>
          <w:p w14:paraId="2178079D">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w:t>
            </w:r>
            <w:r>
              <w:rPr>
                <w:rFonts w:hint="eastAsia" w:cs="宋体"/>
                <w:color w:val="auto"/>
                <w:highlight w:val="none"/>
                <w:lang w:val="en-US" w:eastAsia="zh-CN"/>
              </w:rPr>
              <w:t>12</w:t>
            </w:r>
            <w:r>
              <w:rPr>
                <w:rFonts w:hint="eastAsia" w:ascii="宋体" w:hAnsi="宋体" w:eastAsia="宋体" w:cs="宋体"/>
                <w:color w:val="auto"/>
                <w:highlight w:val="none"/>
              </w:rPr>
              <w:t>分）</w:t>
            </w:r>
          </w:p>
        </w:tc>
        <w:tc>
          <w:tcPr>
            <w:tcW w:w="6167" w:type="dxa"/>
            <w:tcMar>
              <w:left w:w="57" w:type="dxa"/>
              <w:right w:w="57" w:type="dxa"/>
            </w:tcMar>
            <w:vAlign w:val="center"/>
          </w:tcPr>
          <w:p w14:paraId="69098B1D">
            <w:pPr>
              <w:numPr>
                <w:ilvl w:val="0"/>
                <w:numId w:val="0"/>
              </w:numPr>
              <w:spacing w:line="480" w:lineRule="atLeast"/>
              <w:rPr>
                <w:rFonts w:hint="eastAsia" w:ascii="宋体" w:hAnsi="宋体" w:cs="宋体"/>
                <w:b w:val="0"/>
                <w:bCs w:val="0"/>
                <w:color w:val="auto"/>
                <w:sz w:val="24"/>
                <w:highlight w:val="none"/>
                <w:lang w:val="en-US" w:eastAsia="zh-CN"/>
              </w:rPr>
            </w:pPr>
            <w:bookmarkStart w:id="180" w:name="OLE_LINK1"/>
            <w:r>
              <w:rPr>
                <w:rFonts w:hint="eastAsia" w:ascii="宋体" w:hAnsi="宋体" w:cs="宋体"/>
                <w:b w:val="0"/>
                <w:bCs w:val="0"/>
                <w:color w:val="auto"/>
                <w:sz w:val="24"/>
                <w:highlight w:val="none"/>
                <w:lang w:val="en-US" w:eastAsia="zh-CN"/>
              </w:rPr>
              <w:t>能够提出针对本项目服务项目的质量、交付前及交付安装验收后的质量等保证措施；</w:t>
            </w:r>
          </w:p>
          <w:p w14:paraId="5E0E9B1C">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1.方案内容全面系统，设计科学合理，实施细则清晰可行，保障机制完善有力，能充分确保项目实施质量，得12分；</w:t>
            </w:r>
          </w:p>
          <w:p w14:paraId="5263F514">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 xml:space="preserve">2.方案内容较为全面，设计基本合理，实施细则较为明确，保障机制较为完善，能基本确保项目实施质量，得8分； </w:t>
            </w:r>
          </w:p>
          <w:p w14:paraId="7B77A2E1">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3.质量保证措施方案内容基本完整，但设计合理性一般，实施细则不够具体，保障机制不够完善，对质量保证的支持有限，得4分；</w:t>
            </w:r>
          </w:p>
          <w:p w14:paraId="363FA9BD">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4.未提交质量保证措施方案的投标人不得分；</w:t>
            </w:r>
            <w:bookmarkEnd w:id="180"/>
            <w:r>
              <w:rPr>
                <w:rFonts w:hint="eastAsia" w:ascii="宋体" w:hAnsi="宋体" w:cs="宋体"/>
                <w:b w:val="0"/>
                <w:bCs w:val="0"/>
                <w:color w:val="auto"/>
                <w:sz w:val="24"/>
                <w:highlight w:val="none"/>
                <w:lang w:val="en-US" w:eastAsia="zh-CN"/>
              </w:rPr>
              <w:t xml:space="preserve"> </w:t>
            </w:r>
          </w:p>
        </w:tc>
      </w:tr>
      <w:tr w14:paraId="6C50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jc w:val="center"/>
        </w:trPr>
        <w:tc>
          <w:tcPr>
            <w:tcW w:w="842" w:type="dxa"/>
            <w:vMerge w:val="continue"/>
            <w:tcMar>
              <w:left w:w="57" w:type="dxa"/>
              <w:right w:w="57" w:type="dxa"/>
            </w:tcMar>
            <w:vAlign w:val="center"/>
          </w:tcPr>
          <w:p w14:paraId="1C0EE237">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6A62948A">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7D2C6773">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cs="宋体"/>
                <w:szCs w:val="21"/>
              </w:rPr>
              <w:t>项目进度保证措施（0-</w:t>
            </w:r>
            <w:r>
              <w:rPr>
                <w:rFonts w:hint="eastAsia" w:cs="宋体"/>
                <w:szCs w:val="21"/>
                <w:lang w:val="en-US" w:eastAsia="zh-CN"/>
              </w:rPr>
              <w:t>10</w:t>
            </w:r>
            <w:r>
              <w:rPr>
                <w:rFonts w:hint="eastAsia" w:ascii="宋体" w:hAnsi="宋体" w:cs="宋体"/>
                <w:szCs w:val="21"/>
              </w:rPr>
              <w:t>分）</w:t>
            </w:r>
          </w:p>
        </w:tc>
        <w:tc>
          <w:tcPr>
            <w:tcW w:w="6167" w:type="dxa"/>
            <w:tcMar>
              <w:left w:w="57" w:type="dxa"/>
              <w:right w:w="57" w:type="dxa"/>
            </w:tcMar>
            <w:vAlign w:val="center"/>
          </w:tcPr>
          <w:p w14:paraId="6302AD43">
            <w:pPr>
              <w:numPr>
                <w:ilvl w:val="0"/>
                <w:numId w:val="0"/>
              </w:numPr>
              <w:spacing w:line="480" w:lineRule="atLeast"/>
              <w:rPr>
                <w:rFonts w:hint="eastAsia" w:ascii="宋体" w:hAnsi="宋体" w:cs="宋体"/>
                <w:b w:val="0"/>
                <w:bCs w:val="0"/>
                <w:color w:val="auto"/>
                <w:sz w:val="24"/>
                <w:highlight w:val="none"/>
                <w:lang w:val="en-US" w:eastAsia="zh-CN"/>
              </w:rPr>
            </w:pPr>
            <w:bookmarkStart w:id="181" w:name="OLE_LINK2"/>
            <w:r>
              <w:rPr>
                <w:rFonts w:hint="eastAsia" w:ascii="宋体" w:hAnsi="宋体" w:cs="宋体"/>
                <w:b w:val="0"/>
                <w:bCs w:val="0"/>
                <w:color w:val="auto"/>
                <w:sz w:val="24"/>
                <w:highlight w:val="none"/>
                <w:lang w:val="en-US" w:eastAsia="zh-CN"/>
              </w:rPr>
              <w:t>供应商提供项目供货进度保证措施。包含但不限于项目各阶段服务计划、硬件及安装时间安排、服务阶段工作安排等内容；</w:t>
            </w:r>
          </w:p>
          <w:p w14:paraId="0F298546">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1.项目进度保证措施内容详实完整，设计科学合理且安全可靠，考虑周全细致，控制措施切实到位，能充分确保项目按计划推进，得10分；</w:t>
            </w:r>
          </w:p>
          <w:p w14:paraId="1ED00F34">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2.项目进度保证措施内容完整，设计基本科学合理，考虑较为周全，控制措施基本到位，能基本确保项目进度要求，7分；</w:t>
            </w:r>
          </w:p>
          <w:p w14:paraId="5446C063">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3.项目进度保证措施内容不够完整，考虑不够周全，控制措施的针对性和可操作性不足，对项目进度的保障作用有限，得4分；</w:t>
            </w:r>
          </w:p>
          <w:p w14:paraId="4A5FF591">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4.未提交项目进度保证措施的投标人不得分。</w:t>
            </w:r>
            <w:bookmarkEnd w:id="181"/>
          </w:p>
        </w:tc>
      </w:tr>
      <w:tr w14:paraId="44CD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vMerge w:val="continue"/>
            <w:tcMar>
              <w:left w:w="57" w:type="dxa"/>
              <w:right w:w="57" w:type="dxa"/>
            </w:tcMar>
            <w:vAlign w:val="center"/>
          </w:tcPr>
          <w:p w14:paraId="12C314E4">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53B95FE9">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2C7A5476">
            <w:pPr>
              <w:snapToGrid w:val="0"/>
              <w:spacing w:line="36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培训方案（0-</w:t>
            </w:r>
            <w:r>
              <w:rPr>
                <w:rFonts w:hint="eastAsia" w:ascii="宋体" w:hAnsi="宋体" w:cs="宋体"/>
                <w:color w:val="auto"/>
                <w:kern w:val="0"/>
                <w:sz w:val="24"/>
                <w:highlight w:val="none"/>
                <w:lang w:val="en-US" w:eastAsia="zh-CN"/>
              </w:rPr>
              <w:t>6</w:t>
            </w:r>
            <w:r>
              <w:rPr>
                <w:rFonts w:hint="default" w:ascii="宋体" w:hAnsi="宋体" w:cs="宋体"/>
                <w:color w:val="auto"/>
                <w:kern w:val="0"/>
                <w:sz w:val="24"/>
                <w:highlight w:val="none"/>
                <w:lang w:val="en-US" w:eastAsia="zh-CN"/>
              </w:rPr>
              <w:t>分）</w:t>
            </w:r>
          </w:p>
        </w:tc>
        <w:tc>
          <w:tcPr>
            <w:tcW w:w="6167" w:type="dxa"/>
            <w:tcMar>
              <w:left w:w="57" w:type="dxa"/>
              <w:right w:w="57" w:type="dxa"/>
            </w:tcMar>
            <w:vAlign w:val="center"/>
          </w:tcPr>
          <w:p w14:paraId="43AE0912">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供应商提供的培训方案，内容包括但不限于:培训目标及培训方式、培训内容安排、培训保障措施；</w:t>
            </w:r>
          </w:p>
          <w:p w14:paraId="52D5EBB6">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1.培训方案内容全面系统，涵盖本项目全部关键技术环节，培训安排合理，目标明确，方法得当，可高效保障甲方人员熟练掌握相关操作技能，得6分；</w:t>
            </w:r>
          </w:p>
          <w:p w14:paraId="532EBC7D">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2.培训方案内容较为全面，能覆盖本项目主要技术环节；培训安排基本合理，目标较为明确，方法基本可行；方案能基本满足甲方人员掌握相关操作技能的需要，对项目运行具备一定的支持作用，得3分</w:t>
            </w:r>
          </w:p>
          <w:p w14:paraId="083AF5B9">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3.未提交培训方案或内容不符合要求的投标人不得分。</w:t>
            </w:r>
          </w:p>
        </w:tc>
      </w:tr>
      <w:tr w14:paraId="65B8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2" w:type="dxa"/>
            <w:vMerge w:val="continue"/>
            <w:tcMar>
              <w:left w:w="57" w:type="dxa"/>
              <w:right w:w="57" w:type="dxa"/>
            </w:tcMar>
            <w:vAlign w:val="center"/>
          </w:tcPr>
          <w:p w14:paraId="17DF5EA1">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301DA585">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23FAA7A6">
            <w:pPr>
              <w:snapToGrid w:val="0"/>
              <w:spacing w:line="36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应急预案</w:t>
            </w:r>
          </w:p>
          <w:p w14:paraId="1A31A016">
            <w:pPr>
              <w:snapToGrid w:val="0"/>
              <w:spacing w:line="36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4</w:t>
            </w:r>
            <w:r>
              <w:rPr>
                <w:rFonts w:hint="default" w:ascii="宋体" w:hAnsi="宋体" w:cs="宋体"/>
                <w:color w:val="auto"/>
                <w:kern w:val="0"/>
                <w:sz w:val="24"/>
                <w:highlight w:val="none"/>
                <w:lang w:val="en-US" w:eastAsia="zh-CN"/>
              </w:rPr>
              <w:t xml:space="preserve"> 分）</w:t>
            </w:r>
          </w:p>
        </w:tc>
        <w:tc>
          <w:tcPr>
            <w:tcW w:w="6167" w:type="dxa"/>
            <w:tcMar>
              <w:left w:w="57" w:type="dxa"/>
              <w:right w:w="57" w:type="dxa"/>
            </w:tcMar>
            <w:vAlign w:val="center"/>
          </w:tcPr>
          <w:p w14:paraId="1B9273CB">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1.应急预案内容系统完整，应急维修措施详尽可行，方案设计科学合理，技术质量保障充分，能有效应对各类突发状况。得4分；</w:t>
            </w:r>
          </w:p>
          <w:p w14:paraId="3BB56625">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2.应急预案内容较为完整，应急维修措施较为合理，方案设计基本科学，具备一定的技术质量保障，得2分；</w:t>
            </w:r>
          </w:p>
          <w:p w14:paraId="1979FA12">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3.应急预案内容不够完整或不够详尽，应急维修措施的可行性和有效性存在不足，得1分；</w:t>
            </w:r>
          </w:p>
          <w:p w14:paraId="0EA0E5E9">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4.未提交应急预案的投标人不得分。</w:t>
            </w:r>
          </w:p>
        </w:tc>
      </w:tr>
      <w:tr w14:paraId="6939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2" w:type="dxa"/>
            <w:vMerge w:val="continue"/>
            <w:tcMar>
              <w:left w:w="57" w:type="dxa"/>
              <w:right w:w="57" w:type="dxa"/>
            </w:tcMar>
            <w:vAlign w:val="center"/>
          </w:tcPr>
          <w:p w14:paraId="5D14DF87">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0A348BD8">
            <w:pPr>
              <w:pStyle w:val="30"/>
              <w:spacing w:before="0" w:beforeAutospacing="0" w:after="0" w:afterAutospacing="0" w:line="360" w:lineRule="auto"/>
              <w:jc w:val="center"/>
              <w:rPr>
                <w:rFonts w:hint="eastAsia" w:ascii="宋体" w:hAnsi="宋体" w:eastAsia="宋体" w:cs="宋体"/>
                <w:color w:val="auto"/>
                <w:highlight w:val="none"/>
              </w:rPr>
            </w:pPr>
          </w:p>
        </w:tc>
        <w:tc>
          <w:tcPr>
            <w:tcW w:w="1292" w:type="dxa"/>
            <w:tcMar>
              <w:left w:w="57" w:type="dxa"/>
              <w:right w:w="57" w:type="dxa"/>
            </w:tcMar>
            <w:vAlign w:val="center"/>
          </w:tcPr>
          <w:p w14:paraId="0C21EFBC">
            <w:pPr>
              <w:snapToGrid w:val="0"/>
              <w:spacing w:line="36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巡检服务方案</w:t>
            </w:r>
          </w:p>
          <w:p w14:paraId="255F314D">
            <w:pPr>
              <w:pStyle w:val="20"/>
              <w:rPr>
                <w:rFonts w:hint="default"/>
                <w:lang w:val="en-US" w:eastAsia="zh-CN"/>
              </w:rPr>
            </w:pPr>
            <w:r>
              <w:rPr>
                <w:rFonts w:hint="default" w:ascii="宋体" w:hAnsi="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4</w:t>
            </w:r>
            <w:r>
              <w:rPr>
                <w:rFonts w:hint="default" w:ascii="宋体" w:hAnsi="宋体" w:cs="宋体"/>
                <w:color w:val="auto"/>
                <w:kern w:val="0"/>
                <w:sz w:val="24"/>
                <w:highlight w:val="none"/>
                <w:lang w:val="en-US" w:eastAsia="zh-CN"/>
              </w:rPr>
              <w:t xml:space="preserve"> 分）</w:t>
            </w:r>
          </w:p>
        </w:tc>
        <w:tc>
          <w:tcPr>
            <w:tcW w:w="6167" w:type="dxa"/>
            <w:tcMar>
              <w:left w:w="57" w:type="dxa"/>
              <w:right w:w="57" w:type="dxa"/>
            </w:tcMar>
            <w:vAlign w:val="center"/>
          </w:tcPr>
          <w:p w14:paraId="72348E15">
            <w:pPr>
              <w:numPr>
                <w:ilvl w:val="0"/>
                <w:numId w:val="0"/>
              </w:numPr>
              <w:spacing w:line="480" w:lineRule="atLeas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供应商提供的巡检服务方案，包括但不限于:硬件设备巡检方案内容及流程、硬件设备维护服务方案及机构设置等；</w:t>
            </w:r>
          </w:p>
          <w:p w14:paraId="0695ECEB">
            <w:pPr>
              <w:numPr>
                <w:ilvl w:val="0"/>
                <w:numId w:val="0"/>
              </w:numPr>
              <w:spacing w:line="480" w:lineRule="atLeas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巡查服务方案的内容涵盖了所有必要的细节，具体而详尽，条理清晰，逻辑分明，且安排规划得非常合理，每一个步骤都经过精心设计和周密考虑，能够完全满足本项目采购人的各项具体要求和期望，确保项目的顺利进行和高效完成得4分；</w:t>
            </w:r>
          </w:p>
          <w:p w14:paraId="42E61904">
            <w:pPr>
              <w:numPr>
                <w:ilvl w:val="0"/>
                <w:numId w:val="0"/>
              </w:numPr>
              <w:spacing w:line="480" w:lineRule="atLeas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2、巡查服务方案的内容较为全面，具体而明确，条理清晰，安排规划也较为合理，基本上能够满足采购人的各项要求，虽然在某些细节上可能略有不足，但总体上仍能够保证项目的正常推进和顺利完成得2分；</w:t>
            </w:r>
          </w:p>
          <w:p w14:paraId="6EFA343E">
            <w:pPr>
              <w:numPr>
                <w:ilvl w:val="0"/>
                <w:numId w:val="0"/>
              </w:numPr>
              <w:spacing w:line="480" w:lineRule="atLeas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3、巡查服务方案的内容虽然全面，但在具体细节和清晰度方面存在明显不足，安排规划不够合理，部分环节可能存在疏漏或不够细致，导致只能基本满足采购人的要求，难以达到理想的效果和预期目标得1分。</w:t>
            </w:r>
          </w:p>
          <w:p w14:paraId="7DFCC7EE">
            <w:pPr>
              <w:numPr>
                <w:ilvl w:val="0"/>
                <w:numId w:val="0"/>
              </w:numPr>
              <w:spacing w:line="480" w:lineRule="atLeast"/>
              <w:rPr>
                <w:rFonts w:hint="eastAsia"/>
                <w:lang w:val="en-US" w:eastAsia="zh-CN"/>
              </w:rPr>
            </w:pPr>
            <w:r>
              <w:rPr>
                <w:rFonts w:hint="eastAsia" w:ascii="宋体" w:hAnsi="宋体" w:eastAsia="宋体" w:cs="宋体"/>
                <w:b w:val="0"/>
                <w:bCs w:val="0"/>
                <w:color w:val="auto"/>
                <w:sz w:val="24"/>
                <w:highlight w:val="none"/>
                <w:lang w:val="en-US" w:eastAsia="zh-CN"/>
              </w:rPr>
              <w:t>4、未提供不得分。</w:t>
            </w:r>
          </w:p>
        </w:tc>
      </w:tr>
      <w:tr w14:paraId="2A21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842" w:type="dxa"/>
            <w:vMerge w:val="restart"/>
            <w:tcMar>
              <w:left w:w="57" w:type="dxa"/>
              <w:right w:w="57" w:type="dxa"/>
            </w:tcMar>
            <w:vAlign w:val="center"/>
          </w:tcPr>
          <w:p w14:paraId="64314F9C">
            <w:pPr>
              <w:pStyle w:val="30"/>
              <w:spacing w:before="0" w:beforeAutospacing="0" w:after="0" w:afterAutospacing="0" w:line="360" w:lineRule="auto"/>
              <w:jc w:val="center"/>
              <w:rPr>
                <w:rFonts w:hint="eastAsia" w:ascii="宋体" w:hAnsi="宋体" w:eastAsia="宋体" w:cs="宋体"/>
                <w:color w:val="auto"/>
                <w:highlight w:val="none"/>
              </w:rPr>
            </w:pPr>
          </w:p>
          <w:p w14:paraId="6E473C2E">
            <w:pPr>
              <w:pStyle w:val="30"/>
              <w:spacing w:before="0" w:beforeAutospacing="0" w:after="0" w:afterAutospacing="0" w:line="360" w:lineRule="auto"/>
              <w:jc w:val="center"/>
              <w:rPr>
                <w:rFonts w:hint="eastAsia" w:eastAsia="宋体" w:cs="宋体"/>
                <w:color w:val="auto"/>
                <w:highlight w:val="none"/>
                <w:lang w:val="en-US" w:eastAsia="zh-CN"/>
              </w:rPr>
            </w:pPr>
            <w:r>
              <w:rPr>
                <w:rFonts w:hint="eastAsia" w:ascii="宋体" w:hAnsi="宋体" w:eastAsia="宋体" w:cs="宋体"/>
                <w:color w:val="auto"/>
                <w:highlight w:val="none"/>
              </w:rPr>
              <w:t>2.2.</w:t>
            </w:r>
            <w:r>
              <w:rPr>
                <w:rFonts w:hint="eastAsia" w:cs="宋体"/>
                <w:color w:val="auto"/>
                <w:highlight w:val="none"/>
                <w:lang w:val="en-US" w:eastAsia="zh-CN"/>
              </w:rPr>
              <w:t>2</w:t>
            </w:r>
          </w:p>
          <w:p w14:paraId="2F4DD095">
            <w:pPr>
              <w:pStyle w:val="3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w:t>
            </w:r>
          </w:p>
          <w:p w14:paraId="16B9842D">
            <w:pPr>
              <w:snapToGrid w:val="0"/>
              <w:spacing w:line="480" w:lineRule="exact"/>
              <w:jc w:val="center"/>
              <w:rPr>
                <w:rFonts w:hint="eastAsia" w:ascii="宋体" w:hAnsi="宋体" w:eastAsia="宋体" w:cs="宋体"/>
                <w:color w:val="auto"/>
                <w:highlight w:val="none"/>
              </w:rPr>
            </w:pPr>
          </w:p>
        </w:tc>
        <w:tc>
          <w:tcPr>
            <w:tcW w:w="1157" w:type="dxa"/>
            <w:vMerge w:val="restart"/>
            <w:tcMar>
              <w:left w:w="57" w:type="dxa"/>
              <w:right w:w="57" w:type="dxa"/>
            </w:tcMar>
            <w:vAlign w:val="center"/>
          </w:tcPr>
          <w:p w14:paraId="2850F958">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综合</w:t>
            </w:r>
            <w:r>
              <w:rPr>
                <w:rFonts w:hint="eastAsia" w:ascii="宋体" w:hAnsi="宋体" w:cs="宋体"/>
                <w:color w:val="auto"/>
                <w:sz w:val="24"/>
                <w:highlight w:val="none"/>
                <w:lang w:val="en-US" w:eastAsia="zh-CN"/>
              </w:rPr>
              <w:t>部分</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1292" w:type="dxa"/>
            <w:tcMar>
              <w:left w:w="57" w:type="dxa"/>
              <w:right w:w="57" w:type="dxa"/>
            </w:tcMar>
            <w:vAlign w:val="center"/>
          </w:tcPr>
          <w:p w14:paraId="06AFD2E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企业实力（0-</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tc>
        <w:tc>
          <w:tcPr>
            <w:tcW w:w="6167" w:type="dxa"/>
            <w:tcMar>
              <w:left w:w="57" w:type="dxa"/>
              <w:right w:w="57" w:type="dxa"/>
            </w:tcMar>
            <w:vAlign w:val="center"/>
          </w:tcPr>
          <w:p w14:paraId="0B8934D2">
            <w:pPr>
              <w:numPr>
                <w:ilvl w:val="0"/>
                <w:numId w:val="2"/>
              </w:numPr>
              <w:spacing w:line="480" w:lineRule="atLeas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highlight w:val="none"/>
                <w:lang w:val="en-US" w:eastAsia="zh-CN"/>
              </w:rPr>
              <w:t>投标人提供“成品油流通大数据服务平台”清单中的</w:t>
            </w:r>
            <w:r>
              <w:rPr>
                <w:rFonts w:hint="default" w:ascii="Calibri" w:hAnsi="Calibri" w:cs="Calibri"/>
                <w:b w:val="0"/>
                <w:bCs w:val="0"/>
                <w:color w:val="auto"/>
                <w:sz w:val="20"/>
                <w:szCs w:val="20"/>
                <w:highlight w:val="none"/>
                <w:lang w:val="en-US" w:eastAsia="zh-CN"/>
              </w:rPr>
              <w:t>①</w:t>
            </w:r>
            <w:r>
              <w:rPr>
                <w:rFonts w:hint="eastAsia" w:ascii="宋体" w:hAnsi="宋体" w:cs="宋体"/>
                <w:b w:val="0"/>
                <w:bCs w:val="0"/>
                <w:color w:val="auto"/>
                <w:sz w:val="24"/>
                <w:highlight w:val="none"/>
                <w:lang w:val="en-US" w:eastAsia="zh-CN"/>
              </w:rPr>
              <w:t>软件开发商</w:t>
            </w:r>
            <w:r>
              <w:rPr>
                <w:rFonts w:hint="default" w:ascii="Calibri" w:hAnsi="Calibri" w:cs="Calibri"/>
                <w:b w:val="0"/>
                <w:bCs w:val="0"/>
                <w:color w:val="auto"/>
                <w:sz w:val="20"/>
                <w:szCs w:val="20"/>
                <w:highlight w:val="none"/>
                <w:lang w:val="en-US" w:eastAsia="zh-CN"/>
              </w:rPr>
              <w:t>②</w:t>
            </w:r>
            <w:r>
              <w:rPr>
                <w:rFonts w:hint="eastAsia" w:ascii="宋体" w:hAnsi="宋体" w:cs="宋体"/>
                <w:b w:val="0"/>
                <w:bCs w:val="0"/>
                <w:color w:val="auto"/>
                <w:sz w:val="24"/>
                <w:highlight w:val="none"/>
                <w:lang w:val="en-US" w:eastAsia="zh-CN"/>
              </w:rPr>
              <w:t>加油机品牌供应商</w:t>
            </w:r>
            <w:r>
              <w:rPr>
                <w:rFonts w:hint="default" w:ascii="Calibri" w:hAnsi="Calibri" w:cs="Calibri"/>
                <w:b w:val="0"/>
                <w:bCs w:val="0"/>
                <w:color w:val="auto"/>
                <w:sz w:val="20"/>
                <w:szCs w:val="20"/>
                <w:highlight w:val="none"/>
                <w:lang w:val="en-US" w:eastAsia="zh-CN"/>
              </w:rPr>
              <w:t>③</w:t>
            </w:r>
            <w:r>
              <w:rPr>
                <w:rFonts w:hint="eastAsia" w:ascii="宋体" w:hAnsi="宋体" w:cs="宋体"/>
                <w:b w:val="0"/>
                <w:bCs w:val="0"/>
                <w:color w:val="auto"/>
                <w:sz w:val="24"/>
                <w:highlight w:val="none"/>
                <w:lang w:val="en-US" w:eastAsia="zh-CN"/>
              </w:rPr>
              <w:t>场景化监控设备品牌供应商近三年完成的类似项目业绩，每提供一份得1分，最多得6分；提供（中标通知书或合同）；</w:t>
            </w:r>
          </w:p>
          <w:p w14:paraId="48A3FD1A">
            <w:pPr>
              <w:numPr>
                <w:ilvl w:val="0"/>
                <w:numId w:val="0"/>
              </w:numPr>
              <w:spacing w:line="480" w:lineRule="atLeast"/>
              <w:rPr>
                <w:rFonts w:hint="default" w:ascii="宋体" w:hAnsi="宋体" w:cs="宋体"/>
                <w:b w:val="0"/>
                <w:bCs w:val="0"/>
                <w:color w:val="auto"/>
                <w:sz w:val="24"/>
                <w:szCs w:val="24"/>
                <w:highlight w:val="none"/>
                <w:lang w:val="en-US" w:eastAsia="zh-CN"/>
              </w:rPr>
            </w:pPr>
            <w:r>
              <w:rPr>
                <w:rFonts w:hint="eastAsia"/>
                <w:sz w:val="24"/>
                <w:szCs w:val="24"/>
                <w:highlight w:val="none"/>
                <w:lang w:val="en-US" w:eastAsia="zh-CN"/>
              </w:rPr>
              <w:t>注：以中标通知书或合同协议书签订日期为准，投标文件中需附加盖公章的中标通知书或合同协议书的原件扫描件，没有不得分。</w:t>
            </w:r>
          </w:p>
          <w:p w14:paraId="64C75F53">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2、投标人所投“成品油流通大数据服务平台”软件开发商应具备成品油领域相关的专利及软件著作权证书，每提供一项得0.5分，最多得2分；</w:t>
            </w:r>
          </w:p>
          <w:p w14:paraId="0DE1CEF6">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3、投标人所提供加油机品牌具备 GB/T 9081-2023《加油机型式评价报告》、型式批准证书、防爆合格证及防爆电气设备（安装、维护、修理）能力认定证书，全部提供得2分，缺项不得分。</w:t>
            </w:r>
          </w:p>
          <w:p w14:paraId="24E8131F">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4、投标人所提供的场景化监控设备具有中国网络安全审查技术与认证中心颁发的《</w:t>
            </w:r>
            <w:bookmarkStart w:id="182" w:name="OLE_LINK9"/>
            <w:r>
              <w:rPr>
                <w:rFonts w:hint="eastAsia" w:ascii="宋体" w:hAnsi="宋体" w:cs="宋体"/>
                <w:b w:val="0"/>
                <w:bCs w:val="0"/>
                <w:color w:val="auto"/>
                <w:sz w:val="24"/>
                <w:highlight w:val="none"/>
                <w:lang w:val="en-US" w:eastAsia="zh-CN"/>
              </w:rPr>
              <w:t>信息安全服务资质</w:t>
            </w:r>
            <w:bookmarkEnd w:id="182"/>
            <w:r>
              <w:rPr>
                <w:rFonts w:hint="eastAsia" w:ascii="宋体" w:hAnsi="宋体" w:cs="宋体"/>
                <w:b w:val="0"/>
                <w:bCs w:val="0"/>
                <w:color w:val="auto"/>
                <w:sz w:val="24"/>
                <w:highlight w:val="none"/>
                <w:lang w:val="en-US" w:eastAsia="zh-CN"/>
              </w:rPr>
              <w:t>认证证书》，一级得2分，二级得1分，其他不得分（须提供证书复印件并加盖制造厂家公章）。</w:t>
            </w:r>
          </w:p>
        </w:tc>
      </w:tr>
      <w:tr w14:paraId="33A5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42" w:type="dxa"/>
            <w:vMerge w:val="continue"/>
            <w:tcMar>
              <w:left w:w="57" w:type="dxa"/>
              <w:right w:w="57" w:type="dxa"/>
            </w:tcMar>
            <w:vAlign w:val="center"/>
          </w:tcPr>
          <w:p w14:paraId="04C87D32">
            <w:pPr>
              <w:pStyle w:val="30"/>
              <w:spacing w:before="0" w:beforeAutospacing="0" w:after="0" w:afterAutospacing="0" w:line="360" w:lineRule="auto"/>
              <w:jc w:val="center"/>
              <w:rPr>
                <w:rFonts w:hint="eastAsia" w:ascii="宋体" w:hAnsi="宋体" w:eastAsia="宋体" w:cs="宋体"/>
                <w:color w:val="auto"/>
                <w:highlight w:val="none"/>
              </w:rPr>
            </w:pPr>
            <w:bookmarkStart w:id="183" w:name="_Toc5071"/>
            <w:bookmarkStart w:id="184" w:name="_Toc380053214"/>
            <w:bookmarkStart w:id="185" w:name="_Toc16158"/>
            <w:bookmarkStart w:id="186" w:name="_Toc16749"/>
            <w:bookmarkStart w:id="187" w:name="_Toc251767413"/>
            <w:bookmarkStart w:id="188" w:name="_Toc528051240"/>
            <w:bookmarkStart w:id="189" w:name="_Toc234"/>
            <w:bookmarkStart w:id="190" w:name="_Toc528057101"/>
            <w:bookmarkStart w:id="191" w:name="_Toc24882"/>
            <w:bookmarkStart w:id="192" w:name="_Toc524622324"/>
            <w:bookmarkStart w:id="193" w:name="_Toc14116"/>
            <w:bookmarkStart w:id="194" w:name="_Toc14466"/>
            <w:bookmarkStart w:id="195" w:name="_Toc23672"/>
            <w:bookmarkStart w:id="196" w:name="_Toc32099"/>
            <w:bookmarkStart w:id="197" w:name="_Toc12713"/>
            <w:bookmarkStart w:id="198" w:name="_Toc191983638"/>
          </w:p>
        </w:tc>
        <w:tc>
          <w:tcPr>
            <w:tcW w:w="1157" w:type="dxa"/>
            <w:vMerge w:val="continue"/>
            <w:tcMar>
              <w:left w:w="57" w:type="dxa"/>
              <w:right w:w="57" w:type="dxa"/>
            </w:tcMar>
            <w:vAlign w:val="center"/>
          </w:tcPr>
          <w:p w14:paraId="4A43E840">
            <w:pPr>
              <w:spacing w:line="360" w:lineRule="auto"/>
              <w:jc w:val="center"/>
              <w:rPr>
                <w:rFonts w:hint="eastAsia" w:ascii="宋体" w:hAnsi="宋体" w:eastAsia="宋体" w:cs="宋体"/>
                <w:color w:val="auto"/>
                <w:sz w:val="24"/>
                <w:highlight w:val="none"/>
              </w:rPr>
            </w:pPr>
          </w:p>
        </w:tc>
        <w:tc>
          <w:tcPr>
            <w:tcW w:w="1292" w:type="dxa"/>
            <w:tcMar>
              <w:left w:w="57" w:type="dxa"/>
              <w:right w:w="57" w:type="dxa"/>
            </w:tcMar>
            <w:vAlign w:val="center"/>
          </w:tcPr>
          <w:p w14:paraId="15D2741E">
            <w:pPr>
              <w:adjustRightInd w:val="0"/>
              <w:snapToGrid w:val="0"/>
              <w:spacing w:line="400" w:lineRule="exact"/>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独立第三方检验认证</w:t>
            </w:r>
          </w:p>
          <w:p w14:paraId="7B295716">
            <w:pPr>
              <w:adjustRightInd w:val="0"/>
              <w:snapToGrid w:val="0"/>
              <w:spacing w:line="400" w:lineRule="exact"/>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（0-</w:t>
            </w:r>
            <w:r>
              <w:rPr>
                <w:rFonts w:hint="eastAsia" w:ascii="宋体" w:hAnsi="宋体" w:cs="宋体"/>
                <w:color w:val="auto"/>
                <w:spacing w:val="1"/>
                <w:kern w:val="0"/>
                <w:sz w:val="24"/>
                <w:szCs w:val="24"/>
                <w:highlight w:val="none"/>
                <w:lang w:val="en-US" w:eastAsia="zh-CN"/>
              </w:rPr>
              <w:t>4</w:t>
            </w:r>
            <w:r>
              <w:rPr>
                <w:rFonts w:hint="eastAsia" w:ascii="宋体" w:hAnsi="宋体" w:cs="宋体"/>
                <w:color w:val="auto"/>
                <w:spacing w:val="1"/>
                <w:kern w:val="0"/>
                <w:sz w:val="24"/>
                <w:szCs w:val="24"/>
                <w:highlight w:val="none"/>
              </w:rPr>
              <w:t>分）</w:t>
            </w:r>
          </w:p>
        </w:tc>
        <w:tc>
          <w:tcPr>
            <w:tcW w:w="6167" w:type="dxa"/>
            <w:tcMar>
              <w:left w:w="57" w:type="dxa"/>
              <w:right w:w="57" w:type="dxa"/>
            </w:tcMar>
            <w:vAlign w:val="center"/>
          </w:tcPr>
          <w:p w14:paraId="46003E05">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投标人能够引入独立第三方检验认证机构对提供数据服务的合规能力进行符合性鉴定；</w:t>
            </w:r>
          </w:p>
          <w:p w14:paraId="536C9ABB">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第三方检验认证机构具备足够规模，上级公司在全国各省均设有分支机构，能在2小时内做出服务响应，按要求提供相关凭证材料得4分；</w:t>
            </w:r>
          </w:p>
          <w:p w14:paraId="2585161D">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第三方检验认证机构规模仅能达到在本省设有机构，但仍可以对该项目进行符合性鉴定的，按要求提供相关凭证材料得2分；</w:t>
            </w:r>
          </w:p>
        </w:tc>
      </w:tr>
      <w:tr w14:paraId="264C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42" w:type="dxa"/>
            <w:tcMar>
              <w:left w:w="57" w:type="dxa"/>
              <w:right w:w="57" w:type="dxa"/>
            </w:tcMar>
            <w:vAlign w:val="center"/>
          </w:tcPr>
          <w:p w14:paraId="65FAA332">
            <w:pPr>
              <w:pStyle w:val="30"/>
              <w:spacing w:before="0" w:beforeAutospacing="0" w:after="0" w:afterAutospacing="0" w:line="360" w:lineRule="auto"/>
              <w:jc w:val="center"/>
              <w:rPr>
                <w:rFonts w:hint="eastAsia" w:ascii="宋体" w:hAnsi="宋体" w:eastAsia="宋体" w:cs="宋体"/>
                <w:color w:val="auto"/>
                <w:highlight w:val="none"/>
              </w:rPr>
            </w:pPr>
          </w:p>
        </w:tc>
        <w:tc>
          <w:tcPr>
            <w:tcW w:w="1157" w:type="dxa"/>
            <w:tcMar>
              <w:left w:w="57" w:type="dxa"/>
              <w:right w:w="57" w:type="dxa"/>
            </w:tcMar>
            <w:vAlign w:val="center"/>
          </w:tcPr>
          <w:p w14:paraId="2521519A">
            <w:pPr>
              <w:spacing w:line="360" w:lineRule="auto"/>
              <w:jc w:val="center"/>
              <w:rPr>
                <w:rFonts w:hint="eastAsia" w:ascii="宋体" w:hAnsi="宋体" w:eastAsia="宋体" w:cs="宋体"/>
                <w:color w:val="auto"/>
                <w:sz w:val="24"/>
                <w:highlight w:val="none"/>
              </w:rPr>
            </w:pPr>
          </w:p>
        </w:tc>
        <w:tc>
          <w:tcPr>
            <w:tcW w:w="1292" w:type="dxa"/>
            <w:tcMar>
              <w:left w:w="57" w:type="dxa"/>
              <w:right w:w="57" w:type="dxa"/>
            </w:tcMar>
            <w:vAlign w:val="center"/>
          </w:tcPr>
          <w:p w14:paraId="74745988">
            <w:pPr>
              <w:snapToGrid w:val="0"/>
              <w:spacing w:line="36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售后服务承诺及技术保证措施</w:t>
            </w:r>
          </w:p>
          <w:p w14:paraId="205F4AC4">
            <w:pPr>
              <w:snapToGrid w:val="0"/>
              <w:spacing w:line="360" w:lineRule="auto"/>
              <w:jc w:val="center"/>
              <w:rPr>
                <w:rFonts w:hint="eastAsia" w:ascii="宋体" w:hAnsi="宋体" w:cs="宋体"/>
                <w:color w:val="auto"/>
                <w:spacing w:val="1"/>
                <w:kern w:val="0"/>
                <w:sz w:val="24"/>
                <w:szCs w:val="24"/>
                <w:highlight w:val="none"/>
              </w:rPr>
            </w:pPr>
            <w:r>
              <w:rPr>
                <w:rFonts w:hint="default" w:ascii="宋体" w:hAnsi="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4</w:t>
            </w:r>
            <w:r>
              <w:rPr>
                <w:rFonts w:hint="default" w:ascii="宋体" w:hAnsi="宋体" w:cs="宋体"/>
                <w:color w:val="auto"/>
                <w:kern w:val="0"/>
                <w:sz w:val="24"/>
                <w:highlight w:val="none"/>
                <w:lang w:val="en-US" w:eastAsia="zh-CN"/>
              </w:rPr>
              <w:t>分）</w:t>
            </w:r>
          </w:p>
        </w:tc>
        <w:tc>
          <w:tcPr>
            <w:tcW w:w="6167" w:type="dxa"/>
            <w:tcMar>
              <w:left w:w="57" w:type="dxa"/>
              <w:right w:w="57" w:type="dxa"/>
            </w:tcMar>
            <w:vAlign w:val="center"/>
          </w:tcPr>
          <w:p w14:paraId="4A897F13">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服务承诺及技术保证措施全面满足本项目要求，内容针对性强、细则明确、可操作性强，各项保障机制完善，能充分实现服务目标，得4分；</w:t>
            </w:r>
          </w:p>
          <w:p w14:paraId="36AF1D33">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服务承诺及技术保证措施基本满足本项目要求，内容针对性较强、可操作性较好，保障机制较为完善，得2分；</w:t>
            </w:r>
          </w:p>
          <w:p w14:paraId="36BFD802">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服务承诺及技术保证措施仅部分满足本项目要求，内容针对性和可操作性一般，保障机制不够完善，得1分；</w:t>
            </w:r>
          </w:p>
          <w:p w14:paraId="484E2528">
            <w:pPr>
              <w:numPr>
                <w:ilvl w:val="0"/>
                <w:numId w:val="0"/>
              </w:numPr>
              <w:spacing w:line="480" w:lineRule="atLeast"/>
              <w:ind w:left="0" w:leftChars="0" w:firstLine="0" w:firstLineChars="0"/>
              <w:rPr>
                <w:rFonts w:hint="eastAsia" w:ascii="宋体" w:hAnsi="宋体" w:cs="宋体"/>
                <w:b w:val="0"/>
                <w:bCs w:val="0"/>
                <w:color w:val="auto"/>
                <w:sz w:val="24"/>
                <w:highlight w:val="green"/>
                <w:lang w:val="en-US" w:eastAsia="zh-CN"/>
              </w:rPr>
            </w:pPr>
            <w:r>
              <w:rPr>
                <w:rFonts w:hint="eastAsia" w:ascii="宋体" w:hAnsi="宋体" w:cs="宋体"/>
                <w:b w:val="0"/>
                <w:bCs w:val="0"/>
                <w:color w:val="auto"/>
                <w:sz w:val="24"/>
                <w:highlight w:val="none"/>
                <w:lang w:val="en-US" w:eastAsia="zh-CN"/>
              </w:rPr>
              <w:t>未提供售后服务承诺及技术保证措施的投标人不得分。</w:t>
            </w:r>
          </w:p>
        </w:tc>
      </w:tr>
      <w:tr w14:paraId="02C5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458" w:type="dxa"/>
            <w:gridSpan w:val="4"/>
            <w:tcMar>
              <w:left w:w="57" w:type="dxa"/>
              <w:right w:w="57" w:type="dxa"/>
            </w:tcMar>
            <w:vAlign w:val="center"/>
          </w:tcPr>
          <w:p w14:paraId="3E8717E5">
            <w:pPr>
              <w:spacing w:line="360" w:lineRule="auto"/>
              <w:rPr>
                <w:rFonts w:hint="default" w:eastAsia="宋体" w:cs="Times New Roman"/>
                <w:b/>
                <w:bCs/>
                <w:color w:val="auto"/>
                <w:sz w:val="24"/>
                <w:highlight w:val="none"/>
                <w:lang w:val="en-US" w:eastAsia="zh-CN"/>
              </w:rPr>
            </w:pPr>
            <w:r>
              <w:rPr>
                <w:rFonts w:hint="eastAsia" w:cs="Times New Roman"/>
                <w:b/>
                <w:bCs/>
                <w:color w:val="auto"/>
                <w:sz w:val="24"/>
                <w:highlight w:val="none"/>
                <w:lang w:val="en-US" w:eastAsia="zh-CN"/>
              </w:rPr>
              <w:t>注：以上评分标准要求提供相关证明材料的，供应商未提供的不得分。</w:t>
            </w:r>
          </w:p>
        </w:tc>
      </w:tr>
    </w:tbl>
    <w:p w14:paraId="084BBD2B">
      <w:pPr>
        <w:pStyle w:val="3"/>
        <w:tabs>
          <w:tab w:val="left" w:pos="425"/>
        </w:tabs>
        <w:spacing w:before="0" w:after="0" w:line="500" w:lineRule="exact"/>
        <w:outlineLvl w:val="9"/>
        <w:rPr>
          <w:rFonts w:hint="eastAsia" w:ascii="宋体" w:hAnsi="宋体" w:eastAsia="宋体" w:cs="宋体"/>
          <w:color w:val="auto"/>
          <w:sz w:val="24"/>
          <w:szCs w:val="24"/>
          <w:highlight w:val="none"/>
        </w:rPr>
      </w:pPr>
    </w:p>
    <w:p w14:paraId="7AB0C077">
      <w:pPr>
        <w:pStyle w:val="3"/>
        <w:tabs>
          <w:tab w:val="left" w:pos="425"/>
        </w:tabs>
        <w:spacing w:before="0" w:after="0" w:line="500" w:lineRule="exact"/>
        <w:rPr>
          <w:rFonts w:hint="eastAsia" w:ascii="宋体" w:hAnsi="宋体" w:eastAsia="宋体" w:cs="宋体"/>
          <w:color w:val="auto"/>
          <w:sz w:val="24"/>
          <w:szCs w:val="24"/>
          <w:highlight w:val="none"/>
        </w:rPr>
      </w:pPr>
      <w:bookmarkStart w:id="199" w:name="_Toc1031"/>
      <w:r>
        <w:rPr>
          <w:rFonts w:hint="eastAsia" w:ascii="宋体" w:hAnsi="宋体" w:eastAsia="宋体" w:cs="宋体"/>
          <w:color w:val="auto"/>
          <w:sz w:val="24"/>
          <w:szCs w:val="24"/>
          <w:highlight w:val="none"/>
        </w:rPr>
        <w:t>1.评标方法</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FC2BDF2">
      <w:pPr>
        <w:spacing w:line="500" w:lineRule="exact"/>
        <w:ind w:firstLine="480" w:firstLineChars="200"/>
        <w:rPr>
          <w:rFonts w:hint="eastAsia" w:ascii="宋体" w:hAnsi="宋体" w:eastAsia="宋体" w:cs="宋体"/>
          <w:color w:val="auto"/>
          <w:sz w:val="24"/>
          <w:highlight w:val="none"/>
        </w:rPr>
      </w:pPr>
      <w:bookmarkStart w:id="200" w:name="_Toc251767414"/>
      <w:bookmarkStart w:id="201" w:name="_Toc27118"/>
      <w:bookmarkStart w:id="202" w:name="_Toc191983639"/>
      <w:r>
        <w:rPr>
          <w:rFonts w:hint="eastAsia" w:ascii="宋体" w:hAnsi="宋体" w:eastAsia="宋体" w:cs="宋体"/>
          <w:color w:val="auto"/>
          <w:sz w:val="24"/>
          <w:highlight w:val="none"/>
        </w:rPr>
        <w:t>本次评标采用综合评分法。评标委员会对满足招标文件实质性要求的投标文件，按照本章第2.2款规定的评分标准进行打分，并按得分由高到低顺序推荐3名中标候选人，但投标报价低于其成本的除外。综合评分相等时，以投标报价低的优先；投标报价也相等的，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自行确定。</w:t>
      </w:r>
    </w:p>
    <w:p w14:paraId="1FA2F8D1">
      <w:pPr>
        <w:pStyle w:val="3"/>
        <w:tabs>
          <w:tab w:val="left" w:pos="425"/>
        </w:tabs>
        <w:spacing w:before="0" w:after="0" w:line="500" w:lineRule="exact"/>
        <w:ind w:left="-425" w:firstLine="482" w:firstLineChars="200"/>
        <w:rPr>
          <w:rFonts w:hint="eastAsia" w:ascii="宋体" w:hAnsi="宋体" w:eastAsia="宋体" w:cs="宋体"/>
          <w:color w:val="auto"/>
          <w:sz w:val="24"/>
          <w:szCs w:val="24"/>
          <w:highlight w:val="none"/>
        </w:rPr>
      </w:pPr>
      <w:bookmarkStart w:id="203" w:name="_Toc15552"/>
      <w:bookmarkStart w:id="204" w:name="_Toc2845"/>
      <w:bookmarkStart w:id="205" w:name="_Toc524622325"/>
      <w:bookmarkStart w:id="206" w:name="_Toc11275"/>
      <w:bookmarkStart w:id="207" w:name="_Toc528057102"/>
      <w:bookmarkStart w:id="208" w:name="_Toc380053215"/>
      <w:bookmarkStart w:id="209" w:name="_Toc24231"/>
      <w:bookmarkStart w:id="210" w:name="_Toc31611"/>
      <w:bookmarkStart w:id="211" w:name="_Toc268"/>
      <w:bookmarkStart w:id="212" w:name="_Toc4468"/>
      <w:bookmarkStart w:id="213" w:name="_Toc16860"/>
      <w:bookmarkStart w:id="214" w:name="_Toc528051241"/>
      <w:bookmarkStart w:id="215" w:name="_Toc24053"/>
      <w:bookmarkStart w:id="216" w:name="_Toc15172"/>
      <w:r>
        <w:rPr>
          <w:rFonts w:hint="eastAsia" w:ascii="宋体" w:hAnsi="宋体" w:eastAsia="宋体" w:cs="宋体"/>
          <w:color w:val="auto"/>
          <w:sz w:val="24"/>
          <w:szCs w:val="24"/>
          <w:highlight w:val="none"/>
        </w:rPr>
        <w:t>2.评审标准</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9C2A025">
      <w:pPr>
        <w:spacing w:line="500" w:lineRule="exact"/>
        <w:ind w:left="-170" w:firstLine="241" w:firstLineChar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2.1初步评审标准</w:t>
      </w:r>
    </w:p>
    <w:p w14:paraId="0D8FA93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开标结束后，由采购人</w:t>
      </w:r>
      <w:r>
        <w:rPr>
          <w:rFonts w:hint="eastAsia" w:ascii="宋体" w:hAnsi="宋体" w:cs="宋体"/>
          <w:color w:val="auto"/>
          <w:sz w:val="24"/>
          <w:highlight w:val="none"/>
          <w:lang w:val="en-US" w:eastAsia="zh-CN"/>
        </w:rPr>
        <w:t>和采购代理机构共同</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进行</w:t>
      </w:r>
      <w:r>
        <w:rPr>
          <w:rFonts w:hint="eastAsia" w:ascii="宋体" w:hAnsi="宋体" w:eastAsia="宋体" w:cs="宋体"/>
          <w:color w:val="auto"/>
          <w:sz w:val="24"/>
          <w:highlight w:val="none"/>
        </w:rPr>
        <w:t>资格审查。合格</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不足3家的，不得</w:t>
      </w:r>
      <w:r>
        <w:rPr>
          <w:rFonts w:hint="eastAsia" w:ascii="宋体" w:hAnsi="宋体" w:cs="宋体"/>
          <w:color w:val="auto"/>
          <w:sz w:val="24"/>
          <w:highlight w:val="none"/>
          <w:lang w:val="en-US" w:eastAsia="zh-CN"/>
        </w:rPr>
        <w:t>进入详细评审</w:t>
      </w:r>
      <w:r>
        <w:rPr>
          <w:rFonts w:hint="eastAsia" w:ascii="宋体" w:hAnsi="宋体" w:eastAsia="宋体" w:cs="宋体"/>
          <w:color w:val="auto"/>
          <w:sz w:val="24"/>
          <w:highlight w:val="none"/>
        </w:rPr>
        <w:t>。</w:t>
      </w:r>
    </w:p>
    <w:p w14:paraId="0A05CEA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形式评审标准：见评标办法前附表。</w:t>
      </w:r>
    </w:p>
    <w:p w14:paraId="74CB0CF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资格评审标准：见评标办法前附表。</w:t>
      </w:r>
    </w:p>
    <w:p w14:paraId="50746D2E">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响应性评审标准：见评标办法前附表。</w:t>
      </w:r>
    </w:p>
    <w:p w14:paraId="5DB064CA">
      <w:pPr>
        <w:spacing w:line="500" w:lineRule="exact"/>
        <w:ind w:left="-170"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2.2分值构成与评分标准</w:t>
      </w:r>
      <w:bookmarkStart w:id="217" w:name="_Toc12945"/>
      <w:bookmarkStart w:id="218" w:name="_Toc251767415"/>
      <w:bookmarkStart w:id="219" w:name="_Toc191983640"/>
    </w:p>
    <w:p w14:paraId="28216A5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 分值构成</w:t>
      </w:r>
    </w:p>
    <w:p w14:paraId="171BB0B6">
      <w:pPr>
        <w:spacing w:line="500" w:lineRule="exact"/>
        <w:ind w:firstLine="240" w:firstLineChars="100"/>
        <w:rPr>
          <w:rFonts w:hint="eastAsia" w:ascii="宋体" w:hAnsi="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）投标报价：见</w:t>
      </w:r>
      <w:r>
        <w:rPr>
          <w:rFonts w:hint="eastAsia" w:ascii="宋体" w:hAnsi="宋体" w:cs="宋体"/>
          <w:color w:val="auto"/>
          <w:sz w:val="24"/>
          <w:highlight w:val="none"/>
          <w:lang w:val="en-US" w:eastAsia="zh-CN"/>
        </w:rPr>
        <w:t>2.2详细评审</w:t>
      </w:r>
      <w:r>
        <w:rPr>
          <w:rFonts w:hint="eastAsia" w:ascii="宋体" w:hAnsi="宋体" w:cs="宋体"/>
          <w:color w:val="auto"/>
          <w:sz w:val="24"/>
          <w:highlight w:val="none"/>
          <w:lang w:eastAsia="zh-CN"/>
        </w:rPr>
        <w:t>；</w:t>
      </w:r>
    </w:p>
    <w:p w14:paraId="5FDE843F">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w:t>
      </w:r>
      <w:r>
        <w:rPr>
          <w:rFonts w:hint="eastAsia" w:ascii="宋体" w:hAnsi="宋体" w:cs="宋体"/>
          <w:color w:val="auto"/>
          <w:sz w:val="24"/>
          <w:highlight w:val="none"/>
          <w:lang w:val="en-US" w:eastAsia="zh-CN"/>
        </w:rPr>
        <w:t>标准</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2.2详细评审</w:t>
      </w:r>
      <w:r>
        <w:rPr>
          <w:rFonts w:hint="eastAsia" w:ascii="宋体" w:hAnsi="宋体" w:eastAsia="宋体" w:cs="宋体"/>
          <w:color w:val="auto"/>
          <w:sz w:val="24"/>
          <w:highlight w:val="none"/>
        </w:rPr>
        <w:t>；</w:t>
      </w:r>
    </w:p>
    <w:p w14:paraId="34EBD7D9">
      <w:pPr>
        <w:spacing w:line="500" w:lineRule="exact"/>
        <w:ind w:firstLine="240" w:firstLineChars="100"/>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）综合</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w:t>
      </w:r>
      <w:r>
        <w:rPr>
          <w:rFonts w:hint="eastAsia" w:ascii="宋体" w:hAnsi="宋体" w:cs="宋体"/>
          <w:color w:val="auto"/>
          <w:sz w:val="24"/>
          <w:highlight w:val="none"/>
          <w:lang w:val="en-US" w:eastAsia="zh-CN"/>
        </w:rPr>
        <w:t>标准</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2.2详细评审</w:t>
      </w:r>
      <w:r>
        <w:rPr>
          <w:rFonts w:hint="eastAsia" w:ascii="宋体" w:hAnsi="宋体" w:cs="宋体"/>
          <w:color w:val="auto"/>
          <w:sz w:val="24"/>
          <w:highlight w:val="none"/>
          <w:lang w:eastAsia="zh-CN"/>
        </w:rPr>
        <w:t>。</w:t>
      </w:r>
    </w:p>
    <w:p w14:paraId="08E1E209">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评分标准</w:t>
      </w:r>
    </w:p>
    <w:p w14:paraId="4C79054F">
      <w:pPr>
        <w:spacing w:line="500" w:lineRule="exact"/>
        <w:ind w:firstLine="240" w:firstLineChars="100"/>
        <w:rPr>
          <w:rFonts w:hint="eastAsia" w:ascii="宋体" w:hAnsi="宋体" w:cs="宋体"/>
          <w:color w:val="auto"/>
          <w:sz w:val="24"/>
          <w:highlight w:val="none"/>
          <w:lang w:eastAsia="zh-CN"/>
        </w:rPr>
      </w:pPr>
      <w:bookmarkStart w:id="220" w:name="_Toc32717"/>
      <w:bookmarkStart w:id="221" w:name="_Toc31315"/>
      <w:bookmarkStart w:id="222" w:name="_Toc15162"/>
      <w:bookmarkStart w:id="223" w:name="_Toc27895"/>
      <w:bookmarkStart w:id="224" w:name="_Toc11960"/>
      <w:bookmarkStart w:id="225" w:name="_Toc380053216"/>
      <w:bookmarkStart w:id="226" w:name="_Toc12521"/>
      <w:bookmarkStart w:id="227" w:name="_Toc4342"/>
      <w:bookmarkStart w:id="228" w:name="_Toc21299"/>
      <w:bookmarkStart w:id="229" w:name="_Toc528051242"/>
      <w:bookmarkStart w:id="230" w:name="_Toc528057103"/>
      <w:bookmarkStart w:id="231" w:name="_Toc32697"/>
      <w:bookmarkStart w:id="232" w:name="_Toc524622326"/>
      <w:bookmarkStart w:id="233" w:name="_Toc7394"/>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）投标报价：见</w:t>
      </w:r>
      <w:r>
        <w:rPr>
          <w:rFonts w:hint="eastAsia" w:ascii="宋体" w:hAnsi="宋体" w:cs="宋体"/>
          <w:color w:val="auto"/>
          <w:sz w:val="24"/>
          <w:highlight w:val="none"/>
          <w:lang w:val="en-US" w:eastAsia="zh-CN"/>
        </w:rPr>
        <w:t>2.2详细评审</w:t>
      </w:r>
      <w:r>
        <w:rPr>
          <w:rFonts w:hint="eastAsia" w:ascii="宋体" w:hAnsi="宋体" w:cs="宋体"/>
          <w:color w:val="auto"/>
          <w:sz w:val="24"/>
          <w:highlight w:val="none"/>
          <w:lang w:eastAsia="zh-CN"/>
        </w:rPr>
        <w:t>；</w:t>
      </w:r>
    </w:p>
    <w:p w14:paraId="0AC7652A">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w:t>
      </w:r>
      <w:r>
        <w:rPr>
          <w:rFonts w:hint="eastAsia" w:ascii="宋体" w:hAnsi="宋体" w:cs="宋体"/>
          <w:color w:val="auto"/>
          <w:sz w:val="24"/>
          <w:highlight w:val="none"/>
          <w:lang w:val="en-US" w:eastAsia="zh-CN"/>
        </w:rPr>
        <w:t>标准</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2.2详细评审</w:t>
      </w:r>
      <w:r>
        <w:rPr>
          <w:rFonts w:hint="eastAsia" w:ascii="宋体" w:hAnsi="宋体" w:eastAsia="宋体" w:cs="宋体"/>
          <w:color w:val="auto"/>
          <w:sz w:val="24"/>
          <w:highlight w:val="none"/>
        </w:rPr>
        <w:t>；</w:t>
      </w:r>
    </w:p>
    <w:p w14:paraId="62FDCEC8">
      <w:pPr>
        <w:spacing w:line="500" w:lineRule="exact"/>
        <w:ind w:firstLine="240" w:firstLineChars="100"/>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）综合</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评分</w:t>
      </w:r>
      <w:r>
        <w:rPr>
          <w:rFonts w:hint="eastAsia" w:ascii="宋体" w:hAnsi="宋体" w:cs="宋体"/>
          <w:color w:val="auto"/>
          <w:sz w:val="24"/>
          <w:highlight w:val="none"/>
          <w:lang w:val="en-US" w:eastAsia="zh-CN"/>
        </w:rPr>
        <w:t>标准</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2.2详细评审</w:t>
      </w:r>
      <w:r>
        <w:rPr>
          <w:rFonts w:hint="eastAsia" w:ascii="宋体" w:hAnsi="宋体" w:cs="宋体"/>
          <w:color w:val="auto"/>
          <w:sz w:val="24"/>
          <w:highlight w:val="none"/>
          <w:lang w:eastAsia="zh-CN"/>
        </w:rPr>
        <w:t>。</w:t>
      </w:r>
    </w:p>
    <w:p w14:paraId="0124A311">
      <w:pPr>
        <w:pStyle w:val="3"/>
        <w:tabs>
          <w:tab w:val="left" w:pos="425"/>
        </w:tabs>
        <w:spacing w:before="0" w:after="0" w:line="500" w:lineRule="exact"/>
        <w:ind w:left="-425"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BC63D79">
      <w:pPr>
        <w:spacing w:line="500" w:lineRule="exact"/>
        <w:ind w:left="-17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3.1初步评审</w:t>
      </w:r>
    </w:p>
    <w:p w14:paraId="11FE9CCD">
      <w:pPr>
        <w:spacing w:line="500" w:lineRule="exact"/>
        <w:ind w:left="-17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3.1.1 评标委员会依据本章第2.1款规定的评审标准对投标文件进行初步评审，</w:t>
      </w:r>
      <w:r>
        <w:rPr>
          <w:rFonts w:hint="eastAsia" w:ascii="宋体" w:hAnsi="宋体" w:eastAsia="宋体" w:cs="宋体"/>
          <w:color w:val="auto"/>
          <w:kern w:val="0"/>
          <w:sz w:val="24"/>
          <w:highlight w:val="none"/>
        </w:rPr>
        <w:t xml:space="preserve">有一项不符合评审标准的，其投标将被否决。 </w:t>
      </w:r>
    </w:p>
    <w:p w14:paraId="1922DA26">
      <w:pPr>
        <w:spacing w:line="500" w:lineRule="exact"/>
        <w:ind w:left="-17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3.1.2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有以下情形之一的，其投标将被否决：</w:t>
      </w:r>
    </w:p>
    <w:p w14:paraId="33415838">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（1）第二章“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须知”第1.4.3 项规定的任何一种情形的；</w:t>
      </w:r>
    </w:p>
    <w:p w14:paraId="06B243C8">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（2）串通投标或弄虚作假或有其他违法行为的；</w:t>
      </w:r>
    </w:p>
    <w:p w14:paraId="3B75D5DA">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（3）不按评标委员会要求澄清、说明或补正的；</w:t>
      </w:r>
    </w:p>
    <w:p w14:paraId="0DBF614F">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（4）投标报价超出</w:t>
      </w:r>
      <w:r>
        <w:rPr>
          <w:rFonts w:hint="eastAsia" w:ascii="宋体" w:hAnsi="宋体" w:cs="宋体"/>
          <w:color w:val="auto"/>
          <w:sz w:val="24"/>
          <w:highlight w:val="none"/>
          <w:lang w:eastAsia="zh-CN"/>
        </w:rPr>
        <w:t>采购控制价</w:t>
      </w:r>
      <w:r>
        <w:rPr>
          <w:rFonts w:hint="eastAsia" w:ascii="宋体" w:hAnsi="宋体" w:eastAsia="宋体" w:cs="宋体"/>
          <w:color w:val="auto"/>
          <w:sz w:val="24"/>
          <w:highlight w:val="none"/>
        </w:rPr>
        <w:t>的；</w:t>
      </w:r>
    </w:p>
    <w:p w14:paraId="685E6DD7">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（5）投标文件未按规定的格式填写，内容不全或关键字迹模糊、无法辨认的；</w:t>
      </w:r>
    </w:p>
    <w:p w14:paraId="6CD89633">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一个标段递交两份或多份内容不同的投标文件，或在一份投标文件中对同一招标项目报有两个或多个报价，且未声明哪一个有效的；</w:t>
      </w:r>
    </w:p>
    <w:p w14:paraId="1588881B">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（7）不符合招标文件中规定的其它实质性要求的；</w:t>
      </w:r>
    </w:p>
    <w:p w14:paraId="0F514784">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（8）投标文件附有</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不能接受的条件的。</w:t>
      </w:r>
    </w:p>
    <w:p w14:paraId="27AA50A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3.1.3 投标报价有算术错误的，评标委员会按以下原则对投标报价进行修正，修正的价格经</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确认后具有约束力。</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不接受修正价格的，其投标文件将被否决。</w:t>
      </w:r>
    </w:p>
    <w:p w14:paraId="28602494">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投标文件中的大写金额与小写金额不一致的，以大写金额为准；</w:t>
      </w:r>
    </w:p>
    <w:p w14:paraId="7911F7F0">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总价金额与依据单价计算出的结果不一致的，以单价金额为准修正总价，但单价金额小数点有明显错误的除外。</w:t>
      </w:r>
    </w:p>
    <w:p w14:paraId="6BFB1857">
      <w:pPr>
        <w:tabs>
          <w:tab w:val="left" w:pos="840"/>
        </w:tabs>
        <w:spacing w:line="5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3.2详细评审</w:t>
      </w:r>
    </w:p>
    <w:p w14:paraId="594C7829">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3.2.1 评标委员会按本章第2.2款规定的量化因素和分值进行打分，并计算出综合得分。</w:t>
      </w:r>
    </w:p>
    <w:p w14:paraId="6F62EC43">
      <w:pPr>
        <w:tabs>
          <w:tab w:val="left" w:pos="840"/>
        </w:tabs>
        <w:spacing w:line="500" w:lineRule="exact"/>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3.2.2 评分分值计算保留小数点后两位，小数点后第三位“四舍五入”</w:t>
      </w:r>
      <w:r>
        <w:rPr>
          <w:rFonts w:hint="eastAsia" w:ascii="宋体" w:hAnsi="宋体" w:cs="宋体"/>
          <w:color w:val="auto"/>
          <w:sz w:val="24"/>
          <w:highlight w:val="none"/>
          <w:lang w:eastAsia="zh-CN"/>
        </w:rPr>
        <w:t>；</w:t>
      </w:r>
    </w:p>
    <w:p w14:paraId="2BE88C4E">
      <w:pPr>
        <w:tabs>
          <w:tab w:val="left" w:pos="840"/>
        </w:tabs>
        <w:spacing w:line="500" w:lineRule="exact"/>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3.2.3 </w:t>
      </w:r>
      <w:r>
        <w:rPr>
          <w:rFonts w:hint="eastAsia" w:ascii="宋体" w:hAnsi="宋体" w:cs="宋体"/>
          <w:color w:val="auto"/>
          <w:sz w:val="24"/>
          <w:highlight w:val="none"/>
          <w:lang w:eastAsia="zh-CN"/>
        </w:rPr>
        <w:t>评标委员会完成对</w:t>
      </w:r>
      <w:r>
        <w:rPr>
          <w:rFonts w:hint="eastAsia" w:ascii="宋体" w:hAnsi="宋体" w:eastAsia="宋体" w:cs="宋体"/>
          <w:color w:val="auto"/>
          <w:sz w:val="24"/>
          <w:highlight w:val="none"/>
        </w:rPr>
        <w:t>投标报价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技术</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和</w:t>
      </w:r>
      <w:r>
        <w:rPr>
          <w:rFonts w:hint="eastAsia" w:ascii="宋体" w:hAnsi="宋体" w:eastAsia="宋体" w:cs="宋体"/>
          <w:color w:val="auto"/>
          <w:sz w:val="24"/>
          <w:highlight w:val="none"/>
        </w:rPr>
        <w:t>综合</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汇总后，取平均值作为该供应商的最终得分。</w:t>
      </w:r>
    </w:p>
    <w:p w14:paraId="63C1DC41">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评标委员会发现</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的报价明显低于其他投标报价，或者在设有标底时明显低于标底，使得其投标报价可能低于其个别成本的，应当要求该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作出说明并提供相应的证明材料。</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不能合理说明或者不能提供相应证明材料的，由评标委员会认定该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以低于成本报价竞标，其投标文件将被否决。</w:t>
      </w:r>
    </w:p>
    <w:p w14:paraId="3AE03098">
      <w:pPr>
        <w:tabs>
          <w:tab w:val="left" w:pos="840"/>
        </w:tabs>
        <w:spacing w:line="5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3.3投标文件的澄清和补正</w:t>
      </w:r>
    </w:p>
    <w:p w14:paraId="4D326D5B">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3.3.1 在评标过程中，评标委员会可以要求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对所提交投标文件中不明确的内容进行澄清或说明，或者对细微偏差进行补正。评标委员会不接受</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主动提出的澄清、说明或补正。</w:t>
      </w:r>
    </w:p>
    <w:p w14:paraId="5AF8F915">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3.3.2 澄清、说明和补正不得改变投标文件的实质性内容（算术性错误修正的除外）。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的澄清、说明和补正属于投标文件的组成部分。</w:t>
      </w:r>
    </w:p>
    <w:p w14:paraId="7BEB3C3B">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3.3.3 评标委员会对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提交的澄清、说明或补正有疑问的，可以要求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进一步澄清、说明或补正，直至满足评标委员会的要求。</w:t>
      </w:r>
    </w:p>
    <w:p w14:paraId="713CAF1A">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3.3.4</w:t>
      </w:r>
      <w:r>
        <w:rPr>
          <w:rFonts w:hint="eastAsia" w:ascii="宋体" w:hAnsi="宋体" w:eastAsia="宋体" w:cs="宋体"/>
          <w:color w:val="auto"/>
          <w:sz w:val="24"/>
          <w:highlight w:val="none"/>
        </w:rPr>
        <w:t>评标时，评标委员会对电子化投标文件有质疑的，将通过电子化交易系统对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发起质疑，在监督人员的监督下，</w:t>
      </w:r>
      <w:r>
        <w:rPr>
          <w:rFonts w:hint="eastAsia" w:ascii="宋体" w:hAnsi="宋体" w:eastAsia="宋体" w:cs="宋体"/>
          <w:color w:val="auto"/>
          <w:sz w:val="24"/>
          <w:highlight w:val="none"/>
          <w:lang w:val="en-US" w:eastAsia="zh-CN"/>
        </w:rPr>
        <w:t>由采购代理机构</w:t>
      </w:r>
      <w:r>
        <w:rPr>
          <w:rFonts w:hint="eastAsia" w:ascii="宋体" w:hAnsi="宋体" w:eastAsia="宋体" w:cs="宋体"/>
          <w:color w:val="auto"/>
          <w:sz w:val="24"/>
          <w:highlight w:val="none"/>
        </w:rPr>
        <w:t>用免提模式致电需要答复的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对质疑进行回复。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的回复文件必须以经过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和其法定代表人签章的PDF格式文件为准，并通过电子化交易系统提交至评标委员会。</w:t>
      </w:r>
    </w:p>
    <w:p w14:paraId="01540527">
      <w:pPr>
        <w:tabs>
          <w:tab w:val="left" w:pos="840"/>
        </w:tabs>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3.3.5</w:t>
      </w:r>
      <w:r>
        <w:rPr>
          <w:rFonts w:hint="eastAsia" w:ascii="宋体" w:hAnsi="宋体" w:eastAsia="宋体" w:cs="宋体"/>
          <w:color w:val="auto"/>
          <w:sz w:val="24"/>
          <w:highlight w:val="none"/>
        </w:rPr>
        <w:t>电子化交易系统</w:t>
      </w:r>
      <w:r>
        <w:rPr>
          <w:rFonts w:hint="eastAsia" w:ascii="宋体" w:hAnsi="宋体" w:eastAsia="宋体" w:cs="宋体"/>
          <w:color w:val="auto"/>
          <w:sz w:val="24"/>
          <w:highlight w:val="none"/>
          <w:lang w:val="en-US" w:eastAsia="zh-CN"/>
        </w:rPr>
        <w:t>的质疑</w:t>
      </w:r>
      <w:r>
        <w:rPr>
          <w:rFonts w:hint="eastAsia" w:ascii="宋体" w:hAnsi="宋体" w:eastAsia="宋体" w:cs="宋体"/>
          <w:color w:val="auto"/>
          <w:sz w:val="24"/>
          <w:highlight w:val="none"/>
        </w:rPr>
        <w:t>回复</w:t>
      </w:r>
      <w:r>
        <w:rPr>
          <w:rFonts w:hint="eastAsia" w:ascii="宋体" w:hAnsi="宋体" w:eastAsia="宋体" w:cs="宋体"/>
          <w:color w:val="auto"/>
          <w:sz w:val="24"/>
          <w:highlight w:val="none"/>
          <w:lang w:val="en-US" w:eastAsia="zh-CN"/>
        </w:rPr>
        <w:t>时间已过</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未回复的</w:t>
      </w:r>
      <w:r>
        <w:rPr>
          <w:rFonts w:hint="eastAsia" w:ascii="宋体" w:hAnsi="宋体" w:eastAsia="宋体" w:cs="宋体"/>
          <w:color w:val="auto"/>
          <w:sz w:val="24"/>
          <w:highlight w:val="none"/>
        </w:rPr>
        <w:t>，视为放弃回复，评标委员会将自行对需要回复的内容进行认定。</w:t>
      </w:r>
    </w:p>
    <w:p w14:paraId="3C3048B3">
      <w:pPr>
        <w:tabs>
          <w:tab w:val="left" w:pos="840"/>
        </w:tabs>
        <w:spacing w:line="5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3.4评标结果</w:t>
      </w:r>
    </w:p>
    <w:p w14:paraId="734361D0">
      <w:pPr>
        <w:tabs>
          <w:tab w:val="left" w:pos="840"/>
        </w:tabs>
        <w:spacing w:line="500" w:lineRule="exact"/>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3.4.1 评标委员会按照得分由高到低的顺序推荐中标候选人，并标明排序。</w:t>
      </w:r>
    </w:p>
    <w:p w14:paraId="69DF6F0E">
      <w:pPr>
        <w:tabs>
          <w:tab w:val="left" w:pos="840"/>
        </w:tabs>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kern w:val="0"/>
          <w:sz w:val="24"/>
          <w:highlight w:val="none"/>
        </w:rPr>
        <w:t>3.4.2 评标委员会完成评标后，应当向</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提交评标报告。</w:t>
      </w:r>
    </w:p>
    <w:p w14:paraId="7C274BAC">
      <w:pPr>
        <w:jc w:val="center"/>
        <w:rPr>
          <w:rFonts w:hint="eastAsia" w:ascii="宋体" w:hAnsi="宋体" w:eastAsia="宋体" w:cs="宋体"/>
          <w:b/>
          <w:bCs/>
          <w:color w:val="auto"/>
          <w:sz w:val="32"/>
          <w:szCs w:val="32"/>
          <w:highlight w:val="none"/>
        </w:rPr>
      </w:pPr>
      <w:bookmarkStart w:id="234" w:name="_Toc505093173"/>
    </w:p>
    <w:p w14:paraId="045503BE">
      <w:pPr>
        <w:jc w:val="both"/>
        <w:outlineLvl w:val="0"/>
        <w:rPr>
          <w:rFonts w:hint="eastAsia" w:ascii="宋体" w:hAnsi="宋体" w:eastAsia="宋体" w:cs="宋体"/>
          <w:b/>
          <w:bCs/>
          <w:color w:val="auto"/>
          <w:sz w:val="32"/>
          <w:szCs w:val="32"/>
          <w:highlight w:val="none"/>
        </w:rPr>
      </w:pPr>
      <w:bookmarkStart w:id="235" w:name="_Toc9717"/>
      <w:bookmarkStart w:id="236" w:name="_Toc6383"/>
      <w:bookmarkStart w:id="237" w:name="_Toc15217"/>
    </w:p>
    <w:p w14:paraId="42363024">
      <w:pPr>
        <w:jc w:val="both"/>
        <w:outlineLvl w:val="0"/>
        <w:rPr>
          <w:rFonts w:hint="eastAsia" w:ascii="宋体" w:hAnsi="宋体" w:eastAsia="宋体" w:cs="宋体"/>
          <w:b/>
          <w:bCs/>
          <w:color w:val="auto"/>
          <w:sz w:val="32"/>
          <w:szCs w:val="32"/>
          <w:highlight w:val="none"/>
        </w:rPr>
      </w:pPr>
    </w:p>
    <w:p w14:paraId="4BCC6242">
      <w:pPr>
        <w:jc w:val="both"/>
        <w:outlineLvl w:val="0"/>
        <w:rPr>
          <w:rFonts w:hint="eastAsia" w:ascii="宋体" w:hAnsi="宋体" w:eastAsia="宋体" w:cs="宋体"/>
          <w:b/>
          <w:bCs/>
          <w:color w:val="auto"/>
          <w:sz w:val="32"/>
          <w:szCs w:val="32"/>
          <w:highlight w:val="none"/>
        </w:rPr>
      </w:pPr>
    </w:p>
    <w:p w14:paraId="6835A907">
      <w:pPr>
        <w:jc w:val="both"/>
        <w:outlineLvl w:val="0"/>
        <w:rPr>
          <w:rFonts w:hint="eastAsia" w:ascii="宋体" w:hAnsi="宋体" w:eastAsia="宋体" w:cs="宋体"/>
          <w:b/>
          <w:bCs/>
          <w:color w:val="auto"/>
          <w:sz w:val="32"/>
          <w:szCs w:val="32"/>
          <w:highlight w:val="none"/>
        </w:rPr>
      </w:pPr>
    </w:p>
    <w:p w14:paraId="22F294B2">
      <w:pPr>
        <w:jc w:val="both"/>
        <w:outlineLvl w:val="0"/>
        <w:rPr>
          <w:rFonts w:hint="eastAsia" w:ascii="宋体" w:hAnsi="宋体" w:eastAsia="宋体" w:cs="宋体"/>
          <w:b/>
          <w:bCs/>
          <w:color w:val="auto"/>
          <w:sz w:val="32"/>
          <w:szCs w:val="32"/>
          <w:highlight w:val="none"/>
        </w:rPr>
      </w:pPr>
    </w:p>
    <w:p w14:paraId="10DA1E4C">
      <w:pPr>
        <w:jc w:val="center"/>
        <w:outlineLvl w:val="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章  合同条款及格式</w:t>
      </w:r>
      <w:bookmarkEnd w:id="235"/>
      <w:bookmarkEnd w:id="236"/>
      <w:bookmarkEnd w:id="237"/>
    </w:p>
    <w:bookmarkEnd w:id="234"/>
    <w:p w14:paraId="1341BE64">
      <w:pPr>
        <w:snapToGrid w:val="0"/>
        <w:spacing w:line="450" w:lineRule="exact"/>
        <w:ind w:firstLine="482" w:firstLineChars="200"/>
        <w:jc w:val="both"/>
        <w:outlineLvl w:val="1"/>
        <w:rPr>
          <w:rFonts w:hint="eastAsia" w:ascii="宋体" w:hAnsi="宋体" w:eastAsia="宋体" w:cs="宋体"/>
          <w:color w:val="auto"/>
          <w:kern w:val="0"/>
          <w:sz w:val="24"/>
          <w:highlight w:val="none"/>
        </w:rPr>
      </w:pPr>
      <w:bookmarkStart w:id="238" w:name="_Toc24784"/>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val="en-US" w:eastAsia="zh-CN"/>
        </w:rPr>
        <w:t>签订合同时，甲乙双方</w:t>
      </w:r>
      <w:r>
        <w:rPr>
          <w:rFonts w:hint="eastAsia" w:ascii="宋体" w:hAnsi="宋体" w:eastAsia="宋体" w:cs="宋体"/>
          <w:b/>
          <w:bCs/>
          <w:color w:val="auto"/>
          <w:kern w:val="0"/>
          <w:sz w:val="24"/>
          <w:highlight w:val="none"/>
        </w:rPr>
        <w:t>可根据采购项目的实际情况增减条款和内容</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但不得改变招标文件和中标文件的实质性内容。</w:t>
      </w:r>
      <w:r>
        <w:rPr>
          <w:rFonts w:hint="eastAsia" w:ascii="宋体" w:hAnsi="宋体" w:eastAsia="宋体" w:cs="宋体"/>
          <w:b/>
          <w:bCs/>
          <w:color w:val="auto"/>
          <w:kern w:val="0"/>
          <w:sz w:val="24"/>
          <w:highlight w:val="none"/>
        </w:rPr>
        <w:t>）</w:t>
      </w:r>
      <w:bookmarkEnd w:id="238"/>
    </w:p>
    <w:p w14:paraId="3F6CE22B">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p>
    <w:p w14:paraId="10A90283">
      <w:pPr>
        <w:spacing w:line="360" w:lineRule="auto"/>
        <w:rPr>
          <w:rFonts w:hint="eastAsia" w:ascii="宋体" w:hAnsi="宋体"/>
          <w:sz w:val="24"/>
        </w:rPr>
      </w:pPr>
      <w:bookmarkStart w:id="239" w:name="_Toc22226"/>
      <w:r>
        <w:rPr>
          <w:rFonts w:hint="eastAsia" w:ascii="宋体" w:hAnsi="宋体"/>
          <w:sz w:val="24"/>
        </w:rPr>
        <w:t xml:space="preserve">项目名称：                 </w:t>
      </w:r>
      <w:r>
        <w:rPr>
          <w:rFonts w:hint="eastAsia" w:ascii="宋体" w:hAnsi="宋体"/>
          <w:sz w:val="24"/>
        </w:rPr>
        <w:tab/>
      </w:r>
      <w:r>
        <w:rPr>
          <w:rFonts w:hint="eastAsia" w:ascii="宋体" w:hAnsi="宋体"/>
          <w:sz w:val="24"/>
        </w:rPr>
        <w:t xml:space="preserve">     </w:t>
      </w:r>
    </w:p>
    <w:p w14:paraId="347F4A7C">
      <w:pPr>
        <w:spacing w:line="360" w:lineRule="auto"/>
        <w:rPr>
          <w:rFonts w:hint="eastAsia" w:ascii="宋体" w:hAnsi="宋体"/>
          <w:sz w:val="24"/>
        </w:rPr>
      </w:pPr>
      <w:r>
        <w:rPr>
          <w:rFonts w:hint="eastAsia" w:ascii="宋体" w:hAnsi="宋体"/>
          <w:sz w:val="24"/>
        </w:rPr>
        <w:t>项目编号：</w:t>
      </w:r>
    </w:p>
    <w:p w14:paraId="6DF3A390">
      <w:pPr>
        <w:spacing w:line="360" w:lineRule="auto"/>
        <w:rPr>
          <w:rFonts w:hint="eastAsia" w:ascii="宋体" w:hAnsi="宋体"/>
          <w:sz w:val="24"/>
        </w:rPr>
      </w:pPr>
      <w:r>
        <w:rPr>
          <w:rFonts w:hint="eastAsia" w:ascii="宋体" w:hAnsi="宋体"/>
          <w:sz w:val="24"/>
        </w:rPr>
        <w:t>甲方：（采购人）</w:t>
      </w:r>
      <w:r>
        <w:rPr>
          <w:rFonts w:hint="eastAsia" w:ascii="宋体" w:hAnsi="宋体"/>
          <w:sz w:val="24"/>
        </w:rPr>
        <w:tab/>
      </w:r>
      <w:r>
        <w:rPr>
          <w:rFonts w:hint="eastAsia" w:ascii="宋体" w:hAnsi="宋体"/>
          <w:sz w:val="24"/>
        </w:rPr>
        <w:t xml:space="preserve">                </w:t>
      </w:r>
    </w:p>
    <w:p w14:paraId="6CE6E8A3">
      <w:pPr>
        <w:spacing w:line="360" w:lineRule="auto"/>
        <w:rPr>
          <w:rFonts w:hint="eastAsia" w:ascii="宋体" w:hAnsi="宋体"/>
          <w:sz w:val="24"/>
        </w:rPr>
      </w:pPr>
      <w:r>
        <w:rPr>
          <w:rFonts w:hint="eastAsia" w:ascii="宋体" w:hAnsi="宋体"/>
          <w:sz w:val="24"/>
        </w:rPr>
        <w:t>乙方：（中标人）</w:t>
      </w:r>
    </w:p>
    <w:p w14:paraId="42DAD7DC">
      <w:pPr>
        <w:spacing w:line="360" w:lineRule="auto"/>
        <w:jc w:val="left"/>
        <w:rPr>
          <w:rFonts w:hint="eastAsia" w:ascii="宋体" w:hAnsi="宋体" w:cs="宋体"/>
          <w:bCs/>
          <w:sz w:val="24"/>
          <w:u w:val="single"/>
        </w:rPr>
      </w:pPr>
      <w:r>
        <w:rPr>
          <w:rFonts w:hint="eastAsia" w:ascii="宋体" w:hAnsi="宋体"/>
          <w:sz w:val="24"/>
        </w:rPr>
        <w:t>甲、乙双方根据《中华人民共和国政府采购法》、《中华人民共和国民法典》等法律法规的规定，按照</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（项目名称）的评标结果签订本合同。</w:t>
      </w:r>
    </w:p>
    <w:p w14:paraId="4EAE28BE">
      <w:pPr>
        <w:pStyle w:val="62"/>
        <w:numPr>
          <w:ilvl w:val="0"/>
          <w:numId w:val="3"/>
        </w:numPr>
        <w:spacing w:line="360" w:lineRule="auto"/>
        <w:rPr>
          <w:rFonts w:hint="eastAsia" w:ascii="宋体" w:hAnsi="宋体"/>
          <w:b/>
          <w:bCs/>
          <w:sz w:val="24"/>
        </w:rPr>
      </w:pPr>
      <w:r>
        <w:rPr>
          <w:rFonts w:hint="eastAsia" w:ascii="宋体" w:hAnsi="宋体"/>
          <w:b/>
          <w:bCs/>
          <w:sz w:val="24"/>
        </w:rPr>
        <w:t>服务内容：</w:t>
      </w:r>
    </w:p>
    <w:p w14:paraId="2BBCC146">
      <w:pPr>
        <w:numPr>
          <w:ilvl w:val="0"/>
          <w:numId w:val="0"/>
        </w:numPr>
        <w:spacing w:line="490" w:lineRule="exact"/>
        <w:ind w:leftChars="228"/>
        <w:rPr>
          <w:rFonts w:hint="default" w:asciiTheme="minorEastAsia" w:hAnsiTheme="minorEastAsia" w:eastAsiaTheme="minorEastAsia" w:cstheme="minorEastAsia"/>
          <w:color w:val="auto"/>
          <w:sz w:val="24"/>
          <w:highlight w:val="green"/>
          <w:lang w:val="en-US" w:eastAsia="zh-CN"/>
        </w:rPr>
      </w:pPr>
      <w:r>
        <w:rPr>
          <w:rFonts w:hint="eastAsia" w:ascii="宋体" w:hAnsi="宋体" w:cs="宋体"/>
          <w:color w:val="auto"/>
          <w:sz w:val="24"/>
          <w:highlight w:val="none"/>
          <w:lang w:val="en-US" w:eastAsia="zh-CN"/>
        </w:rPr>
        <w:t>本项目</w:t>
      </w:r>
      <w:r>
        <w:rPr>
          <w:rFonts w:hint="eastAsia" w:asciiTheme="minorEastAsia" w:hAnsiTheme="minorEastAsia" w:eastAsiaTheme="minorEastAsia" w:cstheme="minorEastAsia"/>
          <w:color w:val="auto"/>
          <w:sz w:val="24"/>
          <w:highlight w:val="none"/>
          <w:lang w:val="en-US" w:eastAsia="zh-CN"/>
        </w:rPr>
        <w:t>针对三门峡市城乡一体化示范区辖区内的13家加油站，</w:t>
      </w:r>
      <w:r>
        <w:rPr>
          <w:rFonts w:hint="eastAsia" w:ascii="宋体" w:hAnsi="宋体"/>
          <w:sz w:val="24"/>
          <w:highlight w:val="none"/>
        </w:rPr>
        <w:t>提供成品油监管平台服务，以数字化监管替代传统监管模式，强化科技治税赋能效能，精准破解成品油行业隐瞒销售、偷税漏税等监管难题，有效遏制各类违法违规行为，实现监管数据可查、流程可追、风险可控。同时，以数据驱动优化监管策略，筑牢行业监管与税收征管协同共治根基，营造公平竞争、规范有序的市场环境，</w:t>
      </w:r>
      <w:r>
        <w:rPr>
          <w:rFonts w:hint="eastAsia" w:ascii="宋体" w:hAnsi="宋体"/>
          <w:sz w:val="24"/>
          <w:highlight w:val="none"/>
          <w:lang w:val="en-US" w:eastAsia="zh-CN"/>
        </w:rPr>
        <w:t>确保税收征管准确透明，为</w:t>
      </w:r>
      <w:r>
        <w:rPr>
          <w:rFonts w:hint="eastAsia" w:ascii="宋体" w:hAnsi="宋体"/>
          <w:sz w:val="24"/>
          <w:highlight w:val="none"/>
        </w:rPr>
        <w:t>示范区成品油流通行业高质量发展提供坚实的数字化服务支撑与保障。（</w:t>
      </w:r>
      <w:r>
        <w:rPr>
          <w:rFonts w:ascii="宋体" w:hAnsi="宋体"/>
          <w:sz w:val="24"/>
          <w:highlight w:val="none"/>
        </w:rPr>
        <w:t>具体内容见招标文件中“第</w:t>
      </w:r>
      <w:r>
        <w:rPr>
          <w:rFonts w:hint="eastAsia" w:ascii="宋体" w:hAnsi="宋体"/>
          <w:sz w:val="24"/>
          <w:highlight w:val="none"/>
        </w:rPr>
        <w:t>五</w:t>
      </w:r>
      <w:r>
        <w:rPr>
          <w:rFonts w:ascii="宋体" w:hAnsi="宋体"/>
          <w:sz w:val="24"/>
          <w:highlight w:val="none"/>
        </w:rPr>
        <w:t>章</w:t>
      </w:r>
      <w:r>
        <w:rPr>
          <w:rFonts w:hint="eastAsia" w:ascii="宋体" w:hAnsi="宋体"/>
          <w:sz w:val="24"/>
          <w:highlight w:val="none"/>
        </w:rPr>
        <w:t>服务内容及要求</w:t>
      </w:r>
      <w:r>
        <w:rPr>
          <w:rFonts w:ascii="宋体" w:hAnsi="宋体"/>
          <w:sz w:val="24"/>
          <w:highlight w:val="none"/>
        </w:rPr>
        <w:t xml:space="preserve"> ”</w:t>
      </w:r>
      <w:r>
        <w:rPr>
          <w:rFonts w:hint="eastAsia" w:ascii="宋体" w:hAnsi="宋体"/>
          <w:sz w:val="24"/>
          <w:highlight w:val="none"/>
        </w:rPr>
        <w:t>）。</w:t>
      </w:r>
      <w:r>
        <w:rPr>
          <w:rFonts w:hint="eastAsia" w:asciiTheme="minorEastAsia" w:hAnsiTheme="minorEastAsia" w:eastAsiaTheme="minorEastAsia" w:cstheme="minorEastAsia"/>
          <w:color w:val="auto"/>
          <w:sz w:val="24"/>
          <w:highlight w:val="none"/>
          <w:lang w:val="en-US" w:eastAsia="zh-CN"/>
        </w:rPr>
        <w:t xml:space="preserve">  </w:t>
      </w:r>
    </w:p>
    <w:p w14:paraId="35FCB591">
      <w:pPr>
        <w:pStyle w:val="62"/>
        <w:numPr>
          <w:ilvl w:val="0"/>
          <w:numId w:val="3"/>
        </w:numPr>
        <w:spacing w:line="360" w:lineRule="auto"/>
        <w:rPr>
          <w:rFonts w:hint="eastAsia" w:ascii="宋体" w:hAnsi="宋体"/>
          <w:sz w:val="24"/>
          <w:highlight w:val="none"/>
          <w:u w:val="single"/>
        </w:rPr>
      </w:pPr>
      <w:r>
        <w:rPr>
          <w:rFonts w:hint="eastAsia" w:ascii="宋体" w:hAnsi="宋体"/>
          <w:b/>
          <w:bCs/>
          <w:sz w:val="24"/>
          <w:highlight w:val="none"/>
        </w:rPr>
        <w:t>服务期限：</w:t>
      </w:r>
      <w:r>
        <w:rPr>
          <w:rFonts w:hint="eastAsia" w:ascii="宋体" w:hAnsi="宋体"/>
          <w:b/>
          <w:bCs/>
          <w:sz w:val="24"/>
          <w:highlight w:val="none"/>
          <w:u w:val="single"/>
          <w:lang w:val="en-US" w:eastAsia="zh-CN"/>
        </w:rPr>
        <w:t xml:space="preserve">     </w:t>
      </w:r>
    </w:p>
    <w:p w14:paraId="3B4888DB">
      <w:pPr>
        <w:pStyle w:val="62"/>
        <w:numPr>
          <w:ilvl w:val="0"/>
          <w:numId w:val="3"/>
        </w:numPr>
        <w:spacing w:line="360" w:lineRule="auto"/>
        <w:rPr>
          <w:rFonts w:hint="eastAsia" w:ascii="宋体" w:hAnsi="宋体"/>
          <w:b/>
          <w:bCs/>
          <w:color w:val="000000" w:themeColor="text1"/>
          <w:sz w:val="24"/>
          <w:u w:val="single"/>
          <w14:textFill>
            <w14:solidFill>
              <w14:schemeClr w14:val="tx1"/>
            </w14:solidFill>
          </w14:textFill>
        </w:rPr>
      </w:pPr>
      <w:r>
        <w:rPr>
          <w:rFonts w:hint="eastAsia" w:ascii="宋体" w:hAnsi="宋体"/>
          <w:b/>
          <w:bCs/>
          <w:sz w:val="24"/>
        </w:rPr>
        <w:t>服务地点：</w:t>
      </w:r>
      <w:r>
        <w:rPr>
          <w:rFonts w:hint="eastAsia" w:ascii="宋体" w:hAnsi="宋体"/>
          <w:sz w:val="24"/>
          <w:u w:val="single"/>
          <w:lang w:val="en-US" w:eastAsia="zh-CN"/>
        </w:rPr>
        <w:t xml:space="preserve">     </w:t>
      </w:r>
    </w:p>
    <w:p w14:paraId="032EFF0D">
      <w:pPr>
        <w:pStyle w:val="62"/>
        <w:numPr>
          <w:ilvl w:val="0"/>
          <w:numId w:val="3"/>
        </w:num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合同金额及付款方案</w:t>
      </w:r>
    </w:p>
    <w:p w14:paraId="1B1C4F47">
      <w:pPr>
        <w:pStyle w:val="62"/>
        <w:numPr>
          <w:ilvl w:val="1"/>
          <w:numId w:val="3"/>
        </w:numPr>
        <w:spacing w:line="360" w:lineRule="auto"/>
        <w:rPr>
          <w:rFonts w:hint="eastAsia" w:ascii="宋体" w:hAnsi="宋体"/>
          <w:b/>
          <w:bCs/>
          <w:sz w:val="24"/>
        </w:rPr>
      </w:pPr>
      <w:r>
        <w:rPr>
          <w:rFonts w:hint="eastAsia" w:ascii="宋体" w:hAnsi="宋体"/>
          <w:b/>
          <w:bCs/>
          <w:sz w:val="24"/>
        </w:rPr>
        <w:t>合同金额：</w:t>
      </w:r>
      <w:r>
        <w:rPr>
          <w:rFonts w:hint="eastAsia" w:ascii="宋体" w:hAnsi="宋体"/>
          <w:b/>
          <w:bCs/>
          <w:sz w:val="24"/>
          <w:u w:val="single"/>
        </w:rPr>
        <w:t xml:space="preserve">          </w:t>
      </w:r>
    </w:p>
    <w:p w14:paraId="54345365">
      <w:pPr>
        <w:pStyle w:val="62"/>
        <w:numPr>
          <w:ilvl w:val="1"/>
          <w:numId w:val="3"/>
        </w:numPr>
        <w:spacing w:line="360" w:lineRule="auto"/>
        <w:rPr>
          <w:rFonts w:hint="eastAsia" w:ascii="宋体" w:hAnsi="宋体"/>
          <w:b/>
          <w:bCs/>
          <w:sz w:val="24"/>
        </w:rPr>
      </w:pPr>
      <w:r>
        <w:rPr>
          <w:rFonts w:hint="eastAsia" w:ascii="宋体" w:hAnsi="宋体"/>
          <w:b/>
          <w:bCs/>
          <w:sz w:val="24"/>
        </w:rPr>
        <w:t>付款方案</w:t>
      </w:r>
    </w:p>
    <w:p w14:paraId="1742F0FB">
      <w:pPr>
        <w:pStyle w:val="62"/>
        <w:numPr>
          <w:ilvl w:val="0"/>
          <w:numId w:val="4"/>
        </w:numPr>
        <w:spacing w:line="360" w:lineRule="auto"/>
        <w:ind w:leftChars="200" w:firstLine="240" w:firstLineChars="100"/>
        <w:rPr>
          <w:rFonts w:hint="default" w:ascii="宋体" w:hAnsi="宋体" w:cs="Arial"/>
          <w:sz w:val="24"/>
          <w:highlight w:val="none"/>
          <w:u w:val="none"/>
          <w:lang w:val="en-US" w:eastAsia="zh-CN"/>
        </w:rPr>
      </w:pPr>
      <w:r>
        <w:rPr>
          <w:rFonts w:hint="eastAsia" w:ascii="宋体" w:hAnsi="宋体" w:cs="Arial"/>
          <w:sz w:val="24"/>
          <w:highlight w:val="none"/>
          <w:lang w:val="en-US" w:eastAsia="zh-CN"/>
        </w:rPr>
        <w:t>付款方式：</w:t>
      </w:r>
      <w:r>
        <w:rPr>
          <w:rFonts w:hint="eastAsia" w:ascii="宋体" w:hAnsi="宋体" w:cs="Arial"/>
          <w:sz w:val="24"/>
          <w:highlight w:val="none"/>
          <w:u w:val="single"/>
          <w:lang w:val="en-US" w:eastAsia="zh-CN"/>
        </w:rPr>
        <w:t xml:space="preserve">              </w:t>
      </w:r>
      <w:r>
        <w:rPr>
          <w:rFonts w:hint="eastAsia" w:ascii="宋体" w:hAnsi="宋体" w:cs="Arial"/>
          <w:sz w:val="24"/>
          <w:highlight w:val="none"/>
          <w:u w:val="none"/>
          <w:lang w:val="en-US" w:eastAsia="zh-CN"/>
        </w:rPr>
        <w:t>（最终结算金额以甲方结算审计金额为准）</w:t>
      </w:r>
    </w:p>
    <w:p w14:paraId="7C79E164">
      <w:pPr>
        <w:pStyle w:val="62"/>
        <w:numPr>
          <w:ilvl w:val="0"/>
          <w:numId w:val="0"/>
        </w:numPr>
        <w:spacing w:line="360" w:lineRule="auto"/>
        <w:ind w:leftChars="200" w:firstLine="240" w:firstLineChars="100"/>
        <w:rPr>
          <w:rFonts w:hint="eastAsia" w:ascii="宋体" w:hAnsi="宋体"/>
          <w:sz w:val="24"/>
        </w:rPr>
      </w:pPr>
      <w:r>
        <w:rPr>
          <w:rFonts w:hint="eastAsia" w:ascii="宋体" w:hAnsi="宋体" w:cs="Arial"/>
          <w:sz w:val="24"/>
        </w:rPr>
        <w:t>2. 服务期限内产生的运营维护费用包括但不限于</w:t>
      </w:r>
      <w:bookmarkStart w:id="240" w:name="OLE_LINK13"/>
      <w:r>
        <w:rPr>
          <w:rFonts w:hint="eastAsia" w:ascii="宋体" w:hAnsi="宋体" w:cs="Arial"/>
          <w:sz w:val="24"/>
        </w:rPr>
        <w:t>平台运营费用、软件迭代升级费用、</w:t>
      </w:r>
      <w:r>
        <w:rPr>
          <w:rFonts w:hint="eastAsia" w:ascii="宋体" w:hAnsi="宋体"/>
          <w:sz w:val="24"/>
        </w:rPr>
        <w:t>实施集成费用、</w:t>
      </w:r>
      <w:r>
        <w:rPr>
          <w:rFonts w:hint="eastAsia" w:ascii="宋体" w:hAnsi="宋体" w:cs="Arial"/>
          <w:sz w:val="24"/>
        </w:rPr>
        <w:t>设备巡检维护费用、数据运维治理费用、检验检测费用、科技治税咨询服务费用、培训支持费用、网络专线及云资源使用费用等均由中标方全额承担。</w:t>
      </w:r>
    </w:p>
    <w:bookmarkEnd w:id="240"/>
    <w:p w14:paraId="0D47AFC4">
      <w:pPr>
        <w:pStyle w:val="62"/>
        <w:numPr>
          <w:ilvl w:val="0"/>
          <w:numId w:val="3"/>
        </w:numPr>
        <w:spacing w:line="360" w:lineRule="auto"/>
        <w:rPr>
          <w:rFonts w:hint="eastAsia" w:ascii="宋体" w:hAnsi="宋体"/>
          <w:b/>
          <w:bCs/>
          <w:sz w:val="24"/>
        </w:rPr>
      </w:pPr>
      <w:r>
        <w:rPr>
          <w:rFonts w:hint="eastAsia" w:ascii="宋体" w:hAnsi="宋体"/>
          <w:b/>
          <w:bCs/>
          <w:sz w:val="24"/>
        </w:rPr>
        <w:t>税费</w:t>
      </w:r>
    </w:p>
    <w:p w14:paraId="7D61C6A8">
      <w:pPr>
        <w:spacing w:line="360" w:lineRule="auto"/>
        <w:ind w:firstLine="480" w:firstLineChars="200"/>
        <w:rPr>
          <w:rFonts w:hint="eastAsia" w:ascii="宋体" w:hAnsi="宋体"/>
          <w:sz w:val="24"/>
        </w:rPr>
      </w:pPr>
      <w:r>
        <w:rPr>
          <w:rFonts w:hint="eastAsia" w:ascii="宋体" w:hAnsi="宋体"/>
          <w:sz w:val="24"/>
        </w:rPr>
        <w:t>本合同执行中相关的一切税费均由乙方负担。</w:t>
      </w:r>
    </w:p>
    <w:p w14:paraId="11230FD1">
      <w:pPr>
        <w:pStyle w:val="62"/>
        <w:numPr>
          <w:ilvl w:val="0"/>
          <w:numId w:val="3"/>
        </w:numPr>
        <w:spacing w:line="360" w:lineRule="auto"/>
        <w:rPr>
          <w:rFonts w:hint="eastAsia" w:ascii="宋体" w:hAnsi="宋体"/>
          <w:b/>
          <w:bCs/>
          <w:sz w:val="24"/>
        </w:rPr>
      </w:pPr>
      <w:r>
        <w:rPr>
          <w:rFonts w:hint="eastAsia" w:ascii="宋体" w:hAnsi="宋体"/>
          <w:b/>
          <w:bCs/>
          <w:sz w:val="24"/>
        </w:rPr>
        <w:t>技术资料</w:t>
      </w:r>
    </w:p>
    <w:p w14:paraId="518767D0">
      <w:pPr>
        <w:spacing w:line="360" w:lineRule="auto"/>
        <w:ind w:firstLine="480" w:firstLineChars="200"/>
        <w:rPr>
          <w:rFonts w:hint="eastAsia" w:ascii="宋体" w:hAnsi="宋体"/>
          <w:sz w:val="24"/>
        </w:rPr>
      </w:pPr>
      <w:r>
        <w:rPr>
          <w:rFonts w:hint="eastAsia" w:ascii="宋体" w:hAnsi="宋体"/>
          <w:sz w:val="24"/>
        </w:rPr>
        <w:t>没有甲方事先书面同意，乙方不得将由甲方提供的有关合同或任何合同条文、等资料提供给与履行本合同无关的任何其他人。须提供承诺书，承诺书作为响应文件的一部分。</w:t>
      </w:r>
    </w:p>
    <w:p w14:paraId="50978608">
      <w:pPr>
        <w:pStyle w:val="62"/>
        <w:numPr>
          <w:ilvl w:val="0"/>
          <w:numId w:val="3"/>
        </w:numPr>
        <w:spacing w:line="360" w:lineRule="auto"/>
        <w:rPr>
          <w:rFonts w:hint="eastAsia" w:ascii="宋体" w:hAnsi="宋体"/>
          <w:b/>
          <w:bCs/>
          <w:sz w:val="24"/>
        </w:rPr>
      </w:pPr>
      <w:r>
        <w:rPr>
          <w:rFonts w:hint="eastAsia" w:ascii="宋体" w:hAnsi="宋体"/>
          <w:b/>
          <w:bCs/>
          <w:sz w:val="24"/>
        </w:rPr>
        <w:t>知识产权</w:t>
      </w:r>
    </w:p>
    <w:p w14:paraId="2A6BE095">
      <w:pPr>
        <w:spacing w:line="360" w:lineRule="auto"/>
        <w:ind w:firstLine="480" w:firstLineChars="200"/>
        <w:rPr>
          <w:rFonts w:hint="eastAsia" w:ascii="宋体" w:hAnsi="宋体"/>
          <w:sz w:val="24"/>
        </w:rPr>
      </w:pPr>
      <w:r>
        <w:rPr>
          <w:rFonts w:hint="eastAsia" w:ascii="宋体" w:hAnsi="宋体"/>
          <w:sz w:val="24"/>
        </w:rPr>
        <w:t>乙方保证所提供的货物或其任何一部分均不会侵犯任何第三方的知识产权。</w:t>
      </w:r>
    </w:p>
    <w:p w14:paraId="5677A595">
      <w:pPr>
        <w:pStyle w:val="62"/>
        <w:numPr>
          <w:ilvl w:val="0"/>
          <w:numId w:val="3"/>
        </w:numPr>
        <w:spacing w:line="360" w:lineRule="auto"/>
        <w:rPr>
          <w:rFonts w:hint="eastAsia" w:ascii="宋体" w:hAnsi="宋体"/>
          <w:b/>
          <w:bCs/>
          <w:sz w:val="24"/>
        </w:rPr>
      </w:pPr>
      <w:r>
        <w:rPr>
          <w:rFonts w:hint="eastAsia" w:ascii="宋体" w:hAnsi="宋体"/>
          <w:b/>
          <w:bCs/>
          <w:sz w:val="24"/>
        </w:rPr>
        <w:t>无产权瑕疵条款</w:t>
      </w:r>
    </w:p>
    <w:p w14:paraId="2EC6FFB0">
      <w:pPr>
        <w:spacing w:line="360" w:lineRule="auto"/>
        <w:ind w:firstLine="480" w:firstLineChars="200"/>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14:paraId="1FC8E218">
      <w:pPr>
        <w:pStyle w:val="62"/>
        <w:numPr>
          <w:ilvl w:val="0"/>
          <w:numId w:val="3"/>
        </w:numPr>
        <w:spacing w:line="360" w:lineRule="auto"/>
        <w:rPr>
          <w:rFonts w:hint="eastAsia" w:ascii="宋体" w:hAnsi="宋体"/>
          <w:b/>
          <w:bCs/>
          <w:sz w:val="24"/>
        </w:rPr>
      </w:pPr>
      <w:r>
        <w:rPr>
          <w:rFonts w:hint="eastAsia" w:ascii="宋体" w:hAnsi="宋体"/>
          <w:b/>
          <w:bCs/>
          <w:sz w:val="24"/>
        </w:rPr>
        <w:t>履约保证金</w:t>
      </w:r>
    </w:p>
    <w:p w14:paraId="63F6ED8A">
      <w:pPr>
        <w:spacing w:line="360" w:lineRule="auto"/>
        <w:rPr>
          <w:rFonts w:hint="eastAsia" w:ascii="宋体" w:hAnsi="宋体"/>
          <w:sz w:val="24"/>
        </w:rPr>
      </w:pPr>
      <w:r>
        <w:rPr>
          <w:rFonts w:hint="eastAsia" w:ascii="宋体" w:hAnsi="宋体"/>
          <w:sz w:val="24"/>
        </w:rPr>
        <w:t>无</w:t>
      </w:r>
    </w:p>
    <w:p w14:paraId="60C46437">
      <w:pPr>
        <w:pStyle w:val="62"/>
        <w:numPr>
          <w:ilvl w:val="0"/>
          <w:numId w:val="3"/>
        </w:numPr>
        <w:spacing w:line="360" w:lineRule="auto"/>
        <w:rPr>
          <w:rFonts w:hint="eastAsia" w:ascii="宋体" w:hAnsi="宋体"/>
          <w:b/>
          <w:bCs/>
          <w:sz w:val="24"/>
        </w:rPr>
      </w:pPr>
      <w:r>
        <w:rPr>
          <w:rFonts w:hint="eastAsia" w:ascii="宋体" w:hAnsi="宋体"/>
          <w:b/>
          <w:bCs/>
          <w:sz w:val="24"/>
        </w:rPr>
        <w:t>转包或分包</w:t>
      </w:r>
    </w:p>
    <w:p w14:paraId="5F097197">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本合同范围的服务乙方不得以任何方式和形式进行转包和分包。</w:t>
      </w:r>
    </w:p>
    <w:p w14:paraId="71197D05">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乙方如有转包和分包的行为，甲方有权给予终止合同。</w:t>
      </w:r>
    </w:p>
    <w:p w14:paraId="4BB18A04">
      <w:pPr>
        <w:pStyle w:val="62"/>
        <w:numPr>
          <w:ilvl w:val="0"/>
          <w:numId w:val="3"/>
        </w:numPr>
        <w:spacing w:line="360" w:lineRule="auto"/>
        <w:rPr>
          <w:rFonts w:hint="eastAsia" w:ascii="宋体" w:hAnsi="宋体"/>
          <w:b/>
          <w:bCs/>
          <w:sz w:val="24"/>
        </w:rPr>
      </w:pPr>
      <w:r>
        <w:rPr>
          <w:rFonts w:hint="eastAsia" w:ascii="宋体" w:hAnsi="宋体"/>
          <w:b/>
          <w:bCs/>
          <w:sz w:val="24"/>
        </w:rPr>
        <w:t>质量保证</w:t>
      </w:r>
    </w:p>
    <w:p w14:paraId="03286936">
      <w:pPr>
        <w:spacing w:line="360" w:lineRule="auto"/>
        <w:ind w:firstLine="480" w:firstLineChars="200"/>
        <w:rPr>
          <w:rFonts w:hint="eastAsia" w:ascii="宋体" w:hAnsi="宋体"/>
          <w:sz w:val="24"/>
        </w:rPr>
      </w:pPr>
      <w:r>
        <w:rPr>
          <w:rFonts w:hint="eastAsia" w:ascii="宋体" w:hAnsi="宋体"/>
          <w:sz w:val="24"/>
        </w:rPr>
        <w:t>乙方应提供优质服务，保证质量标准，且不能低于合同规定要求。须提供承诺书，承诺书作为响应文件的一部分。</w:t>
      </w:r>
    </w:p>
    <w:p w14:paraId="2136729E">
      <w:pPr>
        <w:pStyle w:val="62"/>
        <w:numPr>
          <w:ilvl w:val="0"/>
          <w:numId w:val="3"/>
        </w:numPr>
        <w:spacing w:line="360" w:lineRule="auto"/>
        <w:rPr>
          <w:rFonts w:hint="eastAsia" w:ascii="宋体" w:hAnsi="宋体"/>
          <w:b/>
          <w:bCs/>
          <w:sz w:val="24"/>
        </w:rPr>
      </w:pPr>
      <w:r>
        <w:rPr>
          <w:rFonts w:hint="eastAsia" w:ascii="宋体" w:hAnsi="宋体"/>
          <w:b/>
          <w:bCs/>
          <w:sz w:val="24"/>
        </w:rPr>
        <w:t>验收</w:t>
      </w:r>
    </w:p>
    <w:p w14:paraId="3153DD61">
      <w:pPr>
        <w:spacing w:line="360" w:lineRule="auto"/>
        <w:ind w:firstLine="480" w:firstLineChars="200"/>
        <w:rPr>
          <w:rFonts w:hint="eastAsia" w:ascii="宋体" w:hAnsi="宋体"/>
          <w:sz w:val="24"/>
        </w:rPr>
      </w:pPr>
      <w:r>
        <w:rPr>
          <w:rFonts w:hint="eastAsia" w:ascii="宋体" w:hAnsi="宋体"/>
          <w:sz w:val="24"/>
        </w:rPr>
        <w:t>验收严格按照招标文件和投标文件规定的标准进行验收。</w:t>
      </w:r>
    </w:p>
    <w:p w14:paraId="7F36D5FC">
      <w:pPr>
        <w:pStyle w:val="62"/>
        <w:numPr>
          <w:ilvl w:val="0"/>
          <w:numId w:val="3"/>
        </w:numPr>
        <w:spacing w:line="360" w:lineRule="auto"/>
        <w:rPr>
          <w:rFonts w:hint="eastAsia" w:ascii="宋体" w:hAnsi="宋体"/>
          <w:b/>
          <w:bCs/>
          <w:sz w:val="24"/>
        </w:rPr>
      </w:pPr>
      <w:r>
        <w:rPr>
          <w:rFonts w:hint="eastAsia" w:ascii="宋体" w:hAnsi="宋体"/>
          <w:b/>
          <w:bCs/>
          <w:sz w:val="24"/>
        </w:rPr>
        <w:t>甲方的权利和义务</w:t>
      </w:r>
    </w:p>
    <w:p w14:paraId="36F99D69">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甲方有权对合同规定范围内乙方的服务行为进行监督和检查，拥有监管权。有权定期核对乙方提供服务所配备的人员数量等。对乙方未按照合同履行的部分有权下达整改通知书，并要求乙方限期整改。</w:t>
      </w:r>
    </w:p>
    <w:p w14:paraId="40B3F56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甲方有权依据双方签订的考评办法对乙方提供的服务进行定期考评。当考评结果未达到标准时，有权依据考评办法约定的数额进行罚款。</w:t>
      </w:r>
    </w:p>
    <w:p w14:paraId="26118C24">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负责检查监督乙方管理工作的实施及制度的执行情况。</w:t>
      </w:r>
    </w:p>
    <w:p w14:paraId="7522A3DA">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国家法律、法规所规定由甲方承担的其它责任。</w:t>
      </w:r>
    </w:p>
    <w:p w14:paraId="23550FFD">
      <w:pPr>
        <w:pStyle w:val="62"/>
        <w:numPr>
          <w:ilvl w:val="0"/>
          <w:numId w:val="3"/>
        </w:numPr>
        <w:spacing w:line="360" w:lineRule="auto"/>
        <w:rPr>
          <w:rFonts w:hint="eastAsia" w:ascii="宋体" w:hAnsi="宋体"/>
          <w:b/>
          <w:bCs/>
          <w:sz w:val="24"/>
        </w:rPr>
      </w:pPr>
      <w:r>
        <w:rPr>
          <w:rFonts w:hint="eastAsia" w:ascii="宋体" w:hAnsi="宋体"/>
          <w:b/>
          <w:bCs/>
          <w:sz w:val="24"/>
        </w:rPr>
        <w:t>乙方的权利和义务</w:t>
      </w:r>
    </w:p>
    <w:p w14:paraId="1BE2380D">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对本合同规定的委托服务范围内的项目享有管理权及服务义务。</w:t>
      </w:r>
    </w:p>
    <w:p w14:paraId="29155D7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对甲方下达整改通知书及时配合处理。</w:t>
      </w:r>
    </w:p>
    <w:p w14:paraId="0CCCC1B4">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接受项目行业管理部门及政府有关部门的指导，接受甲方的监督。</w:t>
      </w:r>
    </w:p>
    <w:p w14:paraId="2B383FAD">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国家法律、法规所规定由乙方承担的其它责任。</w:t>
      </w:r>
    </w:p>
    <w:p w14:paraId="7960C0D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 xml:space="preserve">乙方应积极探索数据共享新技术，推动信息数据共享，全面提升大数据分析研判能力；协同远程监管、移动监管、预警防控等为特征的非现场监管，为甲方提供辖区内相关成品油流通管理数据。 </w:t>
      </w:r>
    </w:p>
    <w:p w14:paraId="219826DE">
      <w:pPr>
        <w:pStyle w:val="62"/>
        <w:numPr>
          <w:ilvl w:val="1"/>
          <w:numId w:val="3"/>
        </w:numPr>
        <w:spacing w:line="360" w:lineRule="auto"/>
        <w:ind w:left="0" w:firstLine="480" w:firstLineChars="200"/>
        <w:rPr>
          <w:rFonts w:hint="eastAsia" w:ascii="宋体" w:hAnsi="宋体"/>
          <w:color w:val="auto"/>
          <w:sz w:val="24"/>
        </w:rPr>
      </w:pPr>
      <w:r>
        <w:rPr>
          <w:rFonts w:hint="eastAsia" w:ascii="宋体" w:hAnsi="宋体"/>
          <w:sz w:val="24"/>
        </w:rPr>
        <w:t>乙方建立完善加油机防作弊技术，研究长效机制，充分利用区块链、大数据等方式加强对加油站的智慧监管，保障加油机全生命周期内软硬件的安全保护和通讯数据的安全，有效提升加油机防作弊、防篡改的能力，实现关键部件全生命周期内的身份识别及溯源</w:t>
      </w:r>
      <w:r>
        <w:rPr>
          <w:rFonts w:hint="eastAsia" w:ascii="宋体" w:hAnsi="宋体"/>
          <w:sz w:val="24"/>
          <w:lang w:eastAsia="zh-CN"/>
        </w:rPr>
        <w:t>，</w:t>
      </w:r>
      <w:r>
        <w:rPr>
          <w:rFonts w:hint="eastAsia" w:ascii="宋体" w:hAnsi="宋体"/>
          <w:color w:val="auto"/>
          <w:sz w:val="24"/>
          <w:lang w:val="en-US" w:eastAsia="zh-CN"/>
        </w:rPr>
        <w:t>显著增加区级税收总量</w:t>
      </w:r>
      <w:r>
        <w:rPr>
          <w:rFonts w:hint="eastAsia" w:ascii="宋体" w:hAnsi="宋体"/>
          <w:color w:val="auto"/>
          <w:sz w:val="24"/>
        </w:rPr>
        <w:t>。</w:t>
      </w:r>
    </w:p>
    <w:p w14:paraId="14FE37E4">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乙方应根据甲方提供的标准和要求，开发、升级相关业务系统，建立和健全相关的数据运维服务保障体系。</w:t>
      </w:r>
    </w:p>
    <w:p w14:paraId="01A81207">
      <w:pPr>
        <w:pStyle w:val="62"/>
        <w:numPr>
          <w:ilvl w:val="1"/>
          <w:numId w:val="3"/>
        </w:numPr>
        <w:spacing w:line="360" w:lineRule="auto"/>
        <w:ind w:left="0" w:firstLine="480" w:firstLineChars="200"/>
        <w:rPr>
          <w:rFonts w:hint="eastAsia" w:ascii="宋体" w:hAnsi="宋体"/>
          <w:sz w:val="24"/>
          <w:highlight w:val="none"/>
        </w:rPr>
      </w:pPr>
      <w:r>
        <w:rPr>
          <w:rFonts w:hint="eastAsia" w:ascii="宋体" w:hAnsi="宋体" w:eastAsia="宋体" w:cs="Times New Roman"/>
          <w:sz w:val="24"/>
          <w:highlight w:val="none"/>
          <w:lang w:val="en-US" w:eastAsia="zh-CN"/>
        </w:rPr>
        <w:t>服务期满后，</w:t>
      </w:r>
      <w:r>
        <w:rPr>
          <w:rFonts w:hint="eastAsia" w:ascii="宋体" w:hAnsi="宋体" w:cs="Times New Roman"/>
          <w:sz w:val="24"/>
          <w:highlight w:val="none"/>
          <w:lang w:val="en-US" w:eastAsia="zh-CN"/>
        </w:rPr>
        <w:t>乙方</w:t>
      </w:r>
      <w:r>
        <w:rPr>
          <w:rFonts w:hint="eastAsia" w:ascii="宋体" w:hAnsi="宋体" w:eastAsia="宋体" w:cs="Times New Roman"/>
          <w:sz w:val="24"/>
          <w:highlight w:val="none"/>
          <w:lang w:val="en-US" w:eastAsia="zh-CN"/>
        </w:rPr>
        <w:t>须按投标文件中所提供的为完成该服务项目的服务清单（含配套的硬件、软件等）向</w:t>
      </w:r>
      <w:r>
        <w:rPr>
          <w:rFonts w:hint="eastAsia" w:ascii="宋体" w:hAnsi="宋体" w:cs="Times New Roman"/>
          <w:sz w:val="24"/>
          <w:highlight w:val="none"/>
          <w:lang w:val="en-US" w:eastAsia="zh-CN"/>
        </w:rPr>
        <w:t>甲方</w:t>
      </w:r>
      <w:r>
        <w:rPr>
          <w:rFonts w:hint="eastAsia" w:ascii="宋体" w:hAnsi="宋体" w:eastAsia="宋体" w:cs="Times New Roman"/>
          <w:sz w:val="24"/>
          <w:highlight w:val="none"/>
          <w:lang w:val="en-US" w:eastAsia="zh-CN"/>
        </w:rPr>
        <w:t>进行移交。</w:t>
      </w:r>
    </w:p>
    <w:p w14:paraId="6CD7860C">
      <w:pPr>
        <w:pStyle w:val="62"/>
        <w:numPr>
          <w:ilvl w:val="0"/>
          <w:numId w:val="3"/>
        </w:numPr>
        <w:spacing w:line="360" w:lineRule="auto"/>
        <w:rPr>
          <w:rFonts w:hint="eastAsia" w:ascii="宋体" w:hAnsi="宋体"/>
          <w:b/>
          <w:bCs/>
          <w:sz w:val="24"/>
        </w:rPr>
      </w:pPr>
      <w:r>
        <w:rPr>
          <w:rFonts w:hint="eastAsia" w:ascii="宋体" w:hAnsi="宋体"/>
          <w:b/>
          <w:bCs/>
          <w:sz w:val="24"/>
        </w:rPr>
        <w:t>违约责任</w:t>
      </w:r>
    </w:p>
    <w:p w14:paraId="1BD439D0">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甲乙双方必须遵守本合同并执行合同中的各项规定，保证本合同的正常履行。</w:t>
      </w:r>
    </w:p>
    <w:p w14:paraId="0CCBDC2E">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ADE99BC">
      <w:pPr>
        <w:pStyle w:val="62"/>
        <w:numPr>
          <w:ilvl w:val="0"/>
          <w:numId w:val="3"/>
        </w:numPr>
        <w:spacing w:line="360" w:lineRule="auto"/>
        <w:rPr>
          <w:rFonts w:hint="eastAsia" w:ascii="宋体" w:hAnsi="宋体"/>
          <w:b/>
          <w:bCs/>
          <w:sz w:val="24"/>
        </w:rPr>
      </w:pPr>
      <w:r>
        <w:rPr>
          <w:rFonts w:hint="eastAsia" w:ascii="宋体" w:hAnsi="宋体"/>
          <w:b/>
          <w:bCs/>
          <w:sz w:val="24"/>
        </w:rPr>
        <w:t>不可抗力事件处理</w:t>
      </w:r>
    </w:p>
    <w:p w14:paraId="3BC56CD3">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545CBCB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EC498C4">
      <w:pPr>
        <w:pStyle w:val="62"/>
        <w:numPr>
          <w:ilvl w:val="0"/>
          <w:numId w:val="3"/>
        </w:numPr>
        <w:spacing w:line="360" w:lineRule="auto"/>
        <w:rPr>
          <w:rFonts w:hint="eastAsia" w:ascii="宋体" w:hAnsi="宋体"/>
          <w:b/>
          <w:bCs/>
          <w:sz w:val="24"/>
        </w:rPr>
      </w:pPr>
      <w:r>
        <w:rPr>
          <w:rFonts w:hint="eastAsia" w:ascii="宋体" w:hAnsi="宋体"/>
          <w:b/>
          <w:bCs/>
          <w:sz w:val="24"/>
        </w:rPr>
        <w:t>合同纠纷处理</w:t>
      </w:r>
    </w:p>
    <w:p w14:paraId="1650B333">
      <w:pPr>
        <w:spacing w:line="360" w:lineRule="auto"/>
        <w:ind w:firstLine="480" w:firstLineChars="200"/>
        <w:rPr>
          <w:rFonts w:hint="eastAsia" w:ascii="宋体" w:hAnsi="宋体"/>
          <w:sz w:val="24"/>
        </w:rPr>
      </w:pPr>
      <w:r>
        <w:rPr>
          <w:rFonts w:hint="eastAsia" w:ascii="宋体" w:hAnsi="宋体"/>
          <w:sz w:val="24"/>
        </w:rPr>
        <w:t>因本合同或与本合同有关的一切事项发生争议，由双方友好协商解决。协商不成的，任何一方均可选择以下方式解决：</w:t>
      </w:r>
    </w:p>
    <w:p w14:paraId="5E6024E3">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向甲方所在地仲裁委员会申请仲裁。</w:t>
      </w:r>
    </w:p>
    <w:p w14:paraId="1BF2D093">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向合同签订地人民法院提起诉讼。</w:t>
      </w:r>
    </w:p>
    <w:p w14:paraId="5F706637">
      <w:pPr>
        <w:pStyle w:val="62"/>
        <w:numPr>
          <w:ilvl w:val="0"/>
          <w:numId w:val="3"/>
        </w:numPr>
        <w:spacing w:line="360" w:lineRule="auto"/>
        <w:rPr>
          <w:rFonts w:hint="eastAsia" w:ascii="宋体" w:hAnsi="宋体"/>
          <w:b/>
          <w:bCs/>
          <w:sz w:val="24"/>
        </w:rPr>
      </w:pPr>
      <w:r>
        <w:rPr>
          <w:rFonts w:hint="eastAsia" w:ascii="宋体" w:hAnsi="宋体"/>
          <w:b/>
          <w:bCs/>
          <w:sz w:val="24"/>
        </w:rPr>
        <w:t>违约解除合同</w:t>
      </w:r>
    </w:p>
    <w:p w14:paraId="07838910">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违反本合同第 10 条的规定的。</w:t>
      </w:r>
    </w:p>
    <w:p w14:paraId="524B088E">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乙方未能履行合同规定的其它主要义务的。</w:t>
      </w:r>
    </w:p>
    <w:p w14:paraId="18473BDF">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在本合同履行过程中有腐败和欺诈行为的。</w:t>
      </w:r>
    </w:p>
    <w:p w14:paraId="6C247E2E">
      <w:pPr>
        <w:pStyle w:val="62"/>
        <w:numPr>
          <w:ilvl w:val="0"/>
          <w:numId w:val="3"/>
        </w:numPr>
        <w:spacing w:line="360" w:lineRule="auto"/>
        <w:rPr>
          <w:rFonts w:hint="eastAsia" w:ascii="宋体" w:hAnsi="宋体"/>
          <w:b/>
          <w:bCs/>
          <w:sz w:val="24"/>
        </w:rPr>
      </w:pPr>
      <w:r>
        <w:rPr>
          <w:rFonts w:hint="eastAsia" w:ascii="宋体" w:hAnsi="宋体"/>
          <w:b/>
          <w:bCs/>
          <w:sz w:val="24"/>
        </w:rPr>
        <w:t>其他约定</w:t>
      </w:r>
    </w:p>
    <w:p w14:paraId="02D9D01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本采购项目的招标文件、中标人的投标文件以及相关的澄清确认函（如果有的话）均为本合同不可分割的一部分，与本合同具有同等法律效力。</w:t>
      </w:r>
    </w:p>
    <w:p w14:paraId="5600D399">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本合同未尽事宜，双方另行补充。</w:t>
      </w:r>
    </w:p>
    <w:p w14:paraId="6D3EC441">
      <w:pPr>
        <w:pStyle w:val="62"/>
        <w:numPr>
          <w:ilvl w:val="1"/>
          <w:numId w:val="3"/>
        </w:numPr>
        <w:spacing w:line="360" w:lineRule="auto"/>
        <w:ind w:left="0" w:firstLine="480" w:firstLineChars="200"/>
        <w:rPr>
          <w:rFonts w:hint="eastAsia" w:ascii="宋体" w:hAnsi="宋体"/>
          <w:sz w:val="24"/>
        </w:rPr>
      </w:pPr>
      <w:r>
        <w:rPr>
          <w:rFonts w:hint="eastAsia" w:ascii="宋体" w:hAnsi="宋体"/>
          <w:sz w:val="24"/>
        </w:rPr>
        <w:t>本合同正本一式</w:t>
      </w:r>
      <w:r>
        <w:rPr>
          <w:rFonts w:hint="eastAsia" w:ascii="宋体" w:hAnsi="宋体"/>
          <w:sz w:val="24"/>
          <w:u w:val="single"/>
        </w:rPr>
        <w:t xml:space="preserve">    </w:t>
      </w:r>
      <w:r>
        <w:rPr>
          <w:rFonts w:hint="eastAsia" w:ascii="宋体" w:hAnsi="宋体"/>
          <w:sz w:val="24"/>
        </w:rPr>
        <w:t xml:space="preserve">份，具有同等法律效力，甲、乙双方各执 </w:t>
      </w:r>
      <w:r>
        <w:rPr>
          <w:rFonts w:hint="eastAsia" w:ascii="宋体" w:hAnsi="宋体"/>
          <w:sz w:val="24"/>
          <w:u w:val="single"/>
        </w:rPr>
        <w:t xml:space="preserve">   </w:t>
      </w:r>
      <w:r>
        <w:rPr>
          <w:rFonts w:hint="eastAsia" w:ascii="宋体" w:hAnsi="宋体"/>
          <w:sz w:val="24"/>
        </w:rPr>
        <w:t>份。</w:t>
      </w:r>
    </w:p>
    <w:p w14:paraId="64156689">
      <w:pPr>
        <w:spacing w:before="240" w:line="360" w:lineRule="auto"/>
        <w:ind w:firstLine="240" w:firstLineChars="100"/>
        <w:rPr>
          <w:rFonts w:hint="eastAsia" w:ascii="宋体" w:hAnsi="宋体"/>
          <w:sz w:val="24"/>
        </w:rPr>
      </w:pPr>
      <w:r>
        <w:rPr>
          <w:rFonts w:hint="eastAsia" w:ascii="宋体" w:hAnsi="宋体"/>
          <w:sz w:val="24"/>
        </w:rPr>
        <w:t>甲</w:t>
      </w:r>
      <w:r>
        <w:rPr>
          <w:rFonts w:hint="eastAsia" w:ascii="宋体" w:hAnsi="宋体"/>
          <w:sz w:val="24"/>
        </w:rPr>
        <w:tab/>
      </w:r>
      <w:r>
        <w:rPr>
          <w:rFonts w:hint="eastAsia" w:ascii="宋体" w:hAnsi="宋体"/>
          <w:sz w:val="24"/>
        </w:rPr>
        <w:t>方：</w:t>
      </w:r>
      <w:r>
        <w:rPr>
          <w:rFonts w:hint="eastAsia" w:ascii="宋体" w:hAnsi="宋体"/>
          <w:sz w:val="24"/>
        </w:rPr>
        <w:tab/>
      </w:r>
      <w:r>
        <w:rPr>
          <w:rFonts w:hint="eastAsia" w:ascii="宋体" w:hAnsi="宋体"/>
          <w:sz w:val="24"/>
        </w:rPr>
        <w:t xml:space="preserve">                                  乙</w:t>
      </w:r>
      <w:r>
        <w:rPr>
          <w:rFonts w:hint="eastAsia" w:ascii="宋体" w:hAnsi="宋体"/>
          <w:sz w:val="24"/>
        </w:rPr>
        <w:tab/>
      </w:r>
      <w:r>
        <w:rPr>
          <w:rFonts w:hint="eastAsia" w:ascii="宋体" w:hAnsi="宋体"/>
          <w:sz w:val="24"/>
        </w:rPr>
        <w:t>方：</w:t>
      </w:r>
    </w:p>
    <w:p w14:paraId="3FF4B562">
      <w:pPr>
        <w:spacing w:before="240" w:line="360" w:lineRule="auto"/>
        <w:ind w:firstLine="240" w:firstLineChars="100"/>
        <w:rPr>
          <w:rFonts w:hint="eastAsia" w:ascii="宋体" w:hAnsi="宋体"/>
          <w:sz w:val="24"/>
        </w:rPr>
      </w:pPr>
      <w:r>
        <w:rPr>
          <w:rFonts w:hint="eastAsia" w:ascii="宋体" w:hAnsi="宋体"/>
          <w:sz w:val="24"/>
        </w:rPr>
        <w:t>单位地址：</w:t>
      </w:r>
      <w:r>
        <w:rPr>
          <w:rFonts w:hint="eastAsia" w:ascii="宋体" w:hAnsi="宋体"/>
          <w:sz w:val="24"/>
        </w:rPr>
        <w:tab/>
      </w:r>
      <w:r>
        <w:rPr>
          <w:rFonts w:hint="eastAsia" w:ascii="宋体" w:hAnsi="宋体"/>
          <w:sz w:val="24"/>
        </w:rPr>
        <w:t xml:space="preserve">                                  单位地址：</w:t>
      </w:r>
    </w:p>
    <w:p w14:paraId="3F0658CD">
      <w:pPr>
        <w:spacing w:before="240" w:line="360" w:lineRule="auto"/>
        <w:ind w:firstLine="240" w:firstLineChars="100"/>
        <w:rPr>
          <w:rFonts w:hint="eastAsia" w:ascii="宋体" w:hAnsi="宋体"/>
          <w:sz w:val="24"/>
        </w:rPr>
      </w:pPr>
      <w:r>
        <w:rPr>
          <w:rFonts w:hint="eastAsia" w:ascii="宋体" w:hAnsi="宋体"/>
          <w:sz w:val="24"/>
        </w:rPr>
        <w:t>法定代表人：</w:t>
      </w:r>
      <w:r>
        <w:rPr>
          <w:rFonts w:hint="eastAsia" w:ascii="宋体" w:hAnsi="宋体"/>
          <w:sz w:val="24"/>
        </w:rPr>
        <w:tab/>
      </w:r>
      <w:r>
        <w:rPr>
          <w:rFonts w:hint="eastAsia" w:ascii="宋体" w:hAnsi="宋体"/>
          <w:sz w:val="24"/>
        </w:rPr>
        <w:t xml:space="preserve">                               法定代表人：</w:t>
      </w:r>
    </w:p>
    <w:p w14:paraId="54CF6A40">
      <w:pPr>
        <w:spacing w:before="240" w:line="360" w:lineRule="auto"/>
        <w:ind w:firstLine="240" w:firstLineChars="100"/>
        <w:rPr>
          <w:rFonts w:hint="eastAsia" w:ascii="宋体" w:hAnsi="宋体"/>
          <w:sz w:val="24"/>
        </w:rPr>
      </w:pPr>
      <w:r>
        <w:rPr>
          <w:rFonts w:hint="eastAsia" w:ascii="宋体" w:hAnsi="宋体"/>
          <w:sz w:val="24"/>
        </w:rPr>
        <w:t>委托代理人：</w:t>
      </w:r>
      <w:r>
        <w:rPr>
          <w:rFonts w:hint="eastAsia" w:ascii="宋体" w:hAnsi="宋体"/>
          <w:sz w:val="24"/>
        </w:rPr>
        <w:tab/>
      </w:r>
      <w:r>
        <w:rPr>
          <w:rFonts w:hint="eastAsia" w:ascii="宋体" w:hAnsi="宋体"/>
          <w:sz w:val="24"/>
        </w:rPr>
        <w:t xml:space="preserve">                               委托代理人：</w:t>
      </w:r>
    </w:p>
    <w:p w14:paraId="73587528">
      <w:pPr>
        <w:spacing w:before="240" w:line="360" w:lineRule="auto"/>
        <w:ind w:firstLine="240" w:firstLineChars="100"/>
        <w:rPr>
          <w:rFonts w:hint="eastAsia" w:ascii="宋体" w:hAnsi="宋体"/>
          <w:sz w:val="24"/>
        </w:rPr>
      </w:pPr>
      <w:r>
        <w:rPr>
          <w:rFonts w:hint="eastAsia" w:ascii="宋体" w:hAnsi="宋体"/>
          <w:sz w:val="24"/>
        </w:rPr>
        <w:t>电</w:t>
      </w:r>
      <w:r>
        <w:rPr>
          <w:rFonts w:hint="eastAsia" w:ascii="宋体" w:hAnsi="宋体"/>
          <w:sz w:val="24"/>
        </w:rPr>
        <w:tab/>
      </w:r>
      <w:r>
        <w:rPr>
          <w:rFonts w:hint="eastAsia" w:ascii="宋体" w:hAnsi="宋体"/>
          <w:sz w:val="24"/>
        </w:rPr>
        <w:t>话：</w:t>
      </w:r>
      <w:r>
        <w:rPr>
          <w:rFonts w:hint="eastAsia" w:ascii="宋体" w:hAnsi="宋体"/>
          <w:sz w:val="24"/>
        </w:rPr>
        <w:tab/>
      </w:r>
      <w:r>
        <w:rPr>
          <w:rFonts w:hint="eastAsia" w:ascii="宋体" w:hAnsi="宋体"/>
          <w:sz w:val="24"/>
        </w:rPr>
        <w:t xml:space="preserve">                                   电</w:t>
      </w:r>
      <w:r>
        <w:rPr>
          <w:rFonts w:hint="eastAsia" w:ascii="宋体" w:hAnsi="宋体"/>
          <w:sz w:val="24"/>
        </w:rPr>
        <w:tab/>
      </w:r>
      <w:r>
        <w:rPr>
          <w:rFonts w:hint="eastAsia" w:ascii="宋体" w:hAnsi="宋体"/>
          <w:sz w:val="24"/>
        </w:rPr>
        <w:t>话：</w:t>
      </w:r>
    </w:p>
    <w:p w14:paraId="041F41AC">
      <w:pPr>
        <w:spacing w:before="240" w:line="360" w:lineRule="auto"/>
        <w:ind w:firstLine="240" w:firstLineChars="100"/>
        <w:rPr>
          <w:rFonts w:hint="eastAsia" w:ascii="宋体" w:hAnsi="宋体"/>
          <w:sz w:val="24"/>
        </w:rPr>
      </w:pPr>
    </w:p>
    <w:p w14:paraId="33285520">
      <w:pPr>
        <w:spacing w:line="360" w:lineRule="auto"/>
        <w:ind w:firstLine="480" w:firstLineChars="200"/>
        <w:jc w:val="right"/>
        <w:rPr>
          <w:rFonts w:hint="eastAsia" w:ascii="宋体" w:hAnsi="宋体"/>
          <w:sz w:val="24"/>
        </w:rPr>
      </w:pPr>
      <w:r>
        <w:rPr>
          <w:rFonts w:hint="eastAsia" w:ascii="宋体" w:hAnsi="宋体"/>
          <w:sz w:val="24"/>
        </w:rPr>
        <w:t>签订日期：</w:t>
      </w:r>
      <w:r>
        <w:rPr>
          <w:rFonts w:hint="eastAsia" w:ascii="宋体" w:hAnsi="宋体"/>
          <w:sz w:val="24"/>
        </w:rPr>
        <w:tab/>
      </w:r>
      <w:r>
        <w:rPr>
          <w:rFonts w:hint="eastAsia" w:ascii="宋体" w:hAnsi="宋体"/>
          <w:sz w:val="24"/>
        </w:rPr>
        <w:t>年</w:t>
      </w:r>
      <w:r>
        <w:rPr>
          <w:rFonts w:hint="eastAsia" w:ascii="宋体" w:hAnsi="宋体"/>
          <w:sz w:val="24"/>
        </w:rPr>
        <w:tab/>
      </w:r>
      <w:r>
        <w:rPr>
          <w:rFonts w:hint="eastAsia" w:ascii="宋体" w:hAnsi="宋体"/>
          <w:sz w:val="24"/>
        </w:rPr>
        <w:t xml:space="preserve">    月      日</w:t>
      </w:r>
    </w:p>
    <w:p w14:paraId="79947DFE">
      <w:pPr>
        <w:widowControl/>
        <w:jc w:val="left"/>
        <w:rPr>
          <w:rFonts w:hint="eastAsia" w:ascii="宋体" w:hAnsi="宋体" w:cs="宋体"/>
          <w:b/>
          <w:bCs/>
          <w:color w:val="auto"/>
          <w:sz w:val="32"/>
          <w:szCs w:val="32"/>
          <w:highlight w:val="none"/>
          <w:lang w:val="en-US" w:eastAsia="zh-CN"/>
        </w:rPr>
      </w:pPr>
    </w:p>
    <w:p w14:paraId="2A7B2536">
      <w:pPr>
        <w:widowControl/>
        <w:jc w:val="left"/>
        <w:rPr>
          <w:rFonts w:hint="eastAsia" w:ascii="宋体" w:hAnsi="宋体" w:cs="宋体"/>
          <w:b/>
          <w:bCs/>
          <w:color w:val="auto"/>
          <w:sz w:val="32"/>
          <w:szCs w:val="32"/>
          <w:highlight w:val="none"/>
          <w:lang w:val="en-US" w:eastAsia="zh-CN"/>
        </w:rPr>
      </w:pPr>
    </w:p>
    <w:p w14:paraId="0D466386">
      <w:pPr>
        <w:widowControl/>
        <w:jc w:val="left"/>
        <w:rPr>
          <w:rFonts w:hint="eastAsia" w:ascii="宋体" w:hAnsi="宋体" w:cs="宋体"/>
          <w:b/>
          <w:bCs/>
          <w:color w:val="auto"/>
          <w:sz w:val="32"/>
          <w:szCs w:val="32"/>
          <w:highlight w:val="none"/>
          <w:lang w:val="en-US" w:eastAsia="zh-CN"/>
        </w:rPr>
      </w:pPr>
    </w:p>
    <w:p w14:paraId="32810795">
      <w:pPr>
        <w:widowControl/>
        <w:jc w:val="left"/>
        <w:rPr>
          <w:rFonts w:hint="eastAsia" w:ascii="宋体" w:hAnsi="宋体" w:cs="宋体"/>
          <w:b/>
          <w:bCs/>
          <w:color w:val="auto"/>
          <w:sz w:val="32"/>
          <w:szCs w:val="32"/>
          <w:highlight w:val="none"/>
          <w:lang w:val="en-US" w:eastAsia="zh-CN"/>
        </w:rPr>
      </w:pPr>
    </w:p>
    <w:p w14:paraId="68F55AD9">
      <w:pPr>
        <w:numPr>
          <w:ilvl w:val="0"/>
          <w:numId w:val="0"/>
        </w:numPr>
        <w:jc w:val="both"/>
        <w:outlineLvl w:val="0"/>
        <w:rPr>
          <w:rFonts w:hint="eastAsia" w:ascii="宋体" w:hAnsi="宋体" w:cs="宋体"/>
          <w:b/>
          <w:bCs/>
          <w:color w:val="auto"/>
          <w:sz w:val="32"/>
          <w:szCs w:val="32"/>
          <w:highlight w:val="none"/>
          <w:lang w:val="en-US" w:eastAsia="zh-CN"/>
        </w:rPr>
      </w:pPr>
    </w:p>
    <w:p w14:paraId="78377B5E">
      <w:pPr>
        <w:jc w:val="center"/>
        <w:outlineLvl w:val="0"/>
        <w:rPr>
          <w:rFonts w:hint="default" w:ascii="宋体" w:hAnsi="宋体" w:eastAsia="宋体" w:cs="宋体"/>
          <w:b/>
          <w:bCs/>
          <w:color w:val="auto"/>
          <w:sz w:val="32"/>
          <w:szCs w:val="32"/>
          <w:highlight w:val="none"/>
          <w:lang w:val="en-US" w:eastAsia="zh-CN"/>
        </w:rPr>
      </w:pPr>
      <w:bookmarkStart w:id="241" w:name="OLE_LINK6"/>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章 </w:t>
      </w:r>
      <w:r>
        <w:rPr>
          <w:rFonts w:hint="eastAsia" w:ascii="宋体" w:hAnsi="宋体" w:cs="宋体"/>
          <w:b/>
          <w:bCs/>
          <w:color w:val="auto"/>
          <w:sz w:val="32"/>
          <w:szCs w:val="32"/>
          <w:highlight w:val="none"/>
          <w:lang w:val="en-US" w:eastAsia="zh-CN"/>
        </w:rPr>
        <w:t>服务内容及要求</w:t>
      </w:r>
    </w:p>
    <w:p w14:paraId="1624DE54">
      <w:pPr>
        <w:pStyle w:val="62"/>
        <w:numPr>
          <w:ilvl w:val="0"/>
          <w:numId w:val="0"/>
        </w:numPr>
        <w:spacing w:line="360" w:lineRule="auto"/>
        <w:ind w:leftChars="200"/>
        <w:rPr>
          <w:rFonts w:hint="eastAsia" w:ascii="宋体" w:hAnsi="宋体"/>
          <w:sz w:val="28"/>
          <w:szCs w:val="28"/>
        </w:rPr>
      </w:pPr>
    </w:p>
    <w:bookmarkEnd w:id="241"/>
    <w:p w14:paraId="017DB2B0">
      <w:pPr>
        <w:numPr>
          <w:ilvl w:val="0"/>
          <w:numId w:val="5"/>
        </w:numPr>
        <w:spacing w:line="360" w:lineRule="auto"/>
        <w:ind w:firstLine="480" w:firstLineChars="200"/>
        <w:rPr>
          <w:rFonts w:hint="eastAsia" w:ascii="宋体" w:hAnsi="宋体"/>
          <w:sz w:val="24"/>
          <w:lang w:val="en-US" w:eastAsia="zh-CN"/>
        </w:rPr>
      </w:pPr>
      <w:r>
        <w:rPr>
          <w:rFonts w:hint="eastAsia" w:ascii="宋体" w:hAnsi="宋体"/>
          <w:sz w:val="24"/>
        </w:rPr>
        <w:t>项目</w:t>
      </w:r>
      <w:r>
        <w:rPr>
          <w:rFonts w:hint="eastAsia" w:ascii="宋体" w:hAnsi="宋体"/>
          <w:sz w:val="24"/>
          <w:lang w:val="en-US" w:eastAsia="zh-CN"/>
        </w:rPr>
        <w:t>概况</w:t>
      </w:r>
    </w:p>
    <w:p w14:paraId="76B7A6B5">
      <w:pPr>
        <w:numPr>
          <w:ilvl w:val="0"/>
          <w:numId w:val="0"/>
        </w:numPr>
        <w:spacing w:line="360" w:lineRule="auto"/>
        <w:ind w:firstLine="480" w:firstLineChars="200"/>
        <w:rPr>
          <w:rFonts w:hint="eastAsia" w:ascii="宋体" w:hAnsi="宋体"/>
          <w:sz w:val="24"/>
        </w:rPr>
      </w:pPr>
      <w:r>
        <w:rPr>
          <w:rFonts w:hint="eastAsia" w:ascii="宋体" w:hAnsi="宋体"/>
          <w:sz w:val="24"/>
        </w:rPr>
        <w:t>为落实国务院办公厅《关于推动成品油流通高质量发展的意见》（国办发〔2025〕5号）文件精神，规范三门峡市城乡一体化示范区成品油市场秩序，提升数字化监管与协同共治能力，拟通过专业的成品油流通大数据平台运营服务，依托大数据、物联网等技术，构建覆盖批发、仓储、运输、零售全链条的可追溯动态监管体系，以数字化手段破解行业监管难题，有效遏制隐瞒销售、偷税漏税等违法违规行为，从而营造公平有序的市场环境，推动我区成品油流通行业高质量发展。</w:t>
      </w:r>
    </w:p>
    <w:p w14:paraId="31DADB50">
      <w:pPr>
        <w:spacing w:line="360" w:lineRule="auto"/>
        <w:ind w:firstLine="480" w:firstLineChars="200"/>
        <w:rPr>
          <w:rFonts w:hint="eastAsia" w:ascii="宋体" w:hAnsi="宋体" w:eastAsia="宋体"/>
          <w:sz w:val="24"/>
          <w:lang w:eastAsia="zh-CN"/>
        </w:rPr>
      </w:pPr>
      <w:r>
        <w:rPr>
          <w:rFonts w:hint="eastAsia" w:ascii="宋体" w:hAnsi="宋体"/>
          <w:sz w:val="24"/>
        </w:rPr>
        <w:t>二、</w:t>
      </w:r>
      <w:r>
        <w:rPr>
          <w:rFonts w:hint="eastAsia" w:ascii="宋体" w:hAnsi="宋体"/>
          <w:sz w:val="24"/>
          <w:lang w:val="en-US" w:eastAsia="zh-CN"/>
        </w:rPr>
        <w:t>采购内容</w:t>
      </w:r>
    </w:p>
    <w:p w14:paraId="6B57A5BB">
      <w:pPr>
        <w:numPr>
          <w:ilvl w:val="0"/>
          <w:numId w:val="0"/>
        </w:numPr>
        <w:spacing w:line="490" w:lineRule="exact"/>
        <w:ind w:leftChars="228"/>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color w:val="auto"/>
          <w:sz w:val="24"/>
          <w:highlight w:val="none"/>
          <w:lang w:val="en-US" w:eastAsia="zh-CN"/>
        </w:rPr>
        <w:t>本项目</w:t>
      </w:r>
      <w:r>
        <w:rPr>
          <w:rFonts w:hint="eastAsia" w:asciiTheme="minorEastAsia" w:hAnsiTheme="minorEastAsia" w:eastAsiaTheme="minorEastAsia" w:cstheme="minorEastAsia"/>
          <w:color w:val="auto"/>
          <w:sz w:val="24"/>
          <w:highlight w:val="none"/>
          <w:lang w:val="en-US" w:eastAsia="zh-CN"/>
        </w:rPr>
        <w:t>针对三门峡市城乡一体化示范区辖区内的13家加油站，</w:t>
      </w:r>
      <w:r>
        <w:rPr>
          <w:rFonts w:hint="eastAsia" w:ascii="宋体" w:hAnsi="宋体"/>
          <w:sz w:val="24"/>
          <w:highlight w:val="none"/>
        </w:rPr>
        <w:t>提供成品油监管平台服务，以数字化监管替代传统监管模式，强化科技治税赋能效能，精准破解成品油行业隐瞒销售、偷税漏税等监管难题，有效遏制各类违法违规行为，实现监管数据可查、流程可追、风险可控。同时，以数据驱动优化监管策略，筑牢行业监管与税收征管协同共治根基，营造公平竞争、规范有序的市场环境，</w:t>
      </w:r>
      <w:r>
        <w:rPr>
          <w:rFonts w:hint="eastAsia" w:ascii="宋体" w:hAnsi="宋体"/>
          <w:sz w:val="24"/>
          <w:highlight w:val="none"/>
          <w:lang w:val="en-US" w:eastAsia="zh-CN"/>
        </w:rPr>
        <w:t>确保税收征管准确透明，为</w:t>
      </w:r>
      <w:r>
        <w:rPr>
          <w:rFonts w:hint="eastAsia" w:ascii="宋体" w:hAnsi="宋体"/>
          <w:sz w:val="24"/>
          <w:highlight w:val="none"/>
        </w:rPr>
        <w:t>示范区成品油流通行业高质量发展提供坚实的数字化服务支撑与保障。（</w:t>
      </w:r>
      <w:r>
        <w:rPr>
          <w:rFonts w:ascii="宋体" w:hAnsi="宋体"/>
          <w:sz w:val="24"/>
          <w:highlight w:val="none"/>
        </w:rPr>
        <w:t>具体内容见招标文件中“第</w:t>
      </w:r>
      <w:r>
        <w:rPr>
          <w:rFonts w:hint="eastAsia" w:ascii="宋体" w:hAnsi="宋体"/>
          <w:sz w:val="24"/>
          <w:highlight w:val="none"/>
        </w:rPr>
        <w:t>五</w:t>
      </w:r>
      <w:r>
        <w:rPr>
          <w:rFonts w:ascii="宋体" w:hAnsi="宋体"/>
          <w:sz w:val="24"/>
          <w:highlight w:val="none"/>
        </w:rPr>
        <w:t>章</w:t>
      </w:r>
      <w:r>
        <w:rPr>
          <w:rFonts w:hint="eastAsia" w:ascii="宋体" w:hAnsi="宋体"/>
          <w:sz w:val="24"/>
          <w:highlight w:val="none"/>
        </w:rPr>
        <w:t>服务内容及要求</w:t>
      </w:r>
      <w:r>
        <w:rPr>
          <w:rFonts w:ascii="宋体" w:hAnsi="宋体"/>
          <w:sz w:val="24"/>
          <w:highlight w:val="none"/>
        </w:rPr>
        <w:t xml:space="preserve"> ”</w:t>
      </w:r>
      <w:r>
        <w:rPr>
          <w:rFonts w:hint="eastAsia" w:ascii="宋体" w:hAnsi="宋体"/>
          <w:sz w:val="24"/>
          <w:highlight w:val="none"/>
        </w:rPr>
        <w:t>）。</w:t>
      </w:r>
      <w:r>
        <w:rPr>
          <w:rFonts w:hint="eastAsia" w:asciiTheme="minorEastAsia" w:hAnsiTheme="minorEastAsia" w:eastAsiaTheme="minorEastAsia" w:cstheme="minorEastAsia"/>
          <w:color w:val="auto"/>
          <w:sz w:val="24"/>
          <w:highlight w:val="none"/>
          <w:lang w:val="en-US" w:eastAsia="zh-CN"/>
        </w:rPr>
        <w:t xml:space="preserve"> </w:t>
      </w:r>
    </w:p>
    <w:p w14:paraId="0101C7DA">
      <w:pPr>
        <w:spacing w:line="360" w:lineRule="auto"/>
        <w:ind w:firstLine="480" w:firstLineChars="200"/>
        <w:rPr>
          <w:rFonts w:hint="eastAsia" w:ascii="宋体" w:hAnsi="宋体"/>
          <w:sz w:val="24"/>
        </w:rPr>
      </w:pPr>
      <w:r>
        <w:rPr>
          <w:rFonts w:hint="eastAsia" w:ascii="宋体" w:hAnsi="宋体"/>
          <w:sz w:val="24"/>
        </w:rPr>
        <w:t>三、服务范围及核心需求</w:t>
      </w:r>
    </w:p>
    <w:p w14:paraId="648D602F">
      <w:pPr>
        <w:spacing w:line="360" w:lineRule="auto"/>
        <w:ind w:firstLine="480" w:firstLineChars="200"/>
        <w:rPr>
          <w:rFonts w:hint="eastAsia" w:ascii="宋体" w:hAnsi="宋体"/>
          <w:sz w:val="24"/>
        </w:rPr>
      </w:pPr>
      <w:r>
        <w:rPr>
          <w:rFonts w:hint="eastAsia" w:ascii="宋体" w:hAnsi="宋体"/>
          <w:sz w:val="24"/>
        </w:rPr>
        <w:t>（一）数据采集服务</w:t>
      </w:r>
    </w:p>
    <w:p w14:paraId="28EDFA3A">
      <w:pPr>
        <w:spacing w:line="360" w:lineRule="auto"/>
        <w:ind w:firstLine="480" w:firstLineChars="200"/>
        <w:rPr>
          <w:rFonts w:hint="eastAsia" w:ascii="宋体" w:hAnsi="宋体"/>
          <w:sz w:val="24"/>
        </w:rPr>
      </w:pPr>
      <w:r>
        <w:rPr>
          <w:rFonts w:hint="eastAsia" w:ascii="宋体" w:hAnsi="宋体"/>
          <w:sz w:val="24"/>
        </w:rPr>
        <w:t>1、基础数据采集服务：提供快速便捷配置采集零售站点基础信息服务能力，包括加油站点名称、地址、经营资质编号、经营范围、辅助终端设备信息等；</w:t>
      </w:r>
    </w:p>
    <w:p w14:paraId="081DD0BC">
      <w:pPr>
        <w:spacing w:line="360" w:lineRule="auto"/>
        <w:ind w:firstLine="480" w:firstLineChars="200"/>
        <w:rPr>
          <w:rFonts w:hint="eastAsia" w:ascii="宋体" w:hAnsi="宋体"/>
          <w:sz w:val="24"/>
        </w:rPr>
      </w:pPr>
      <w:r>
        <w:rPr>
          <w:rFonts w:hint="eastAsia" w:ascii="宋体" w:hAnsi="宋体"/>
          <w:sz w:val="24"/>
        </w:rPr>
        <w:t>2、核心业务数据采集服务：提供具备快速对接获取辖区内所有成品油零售站点加油机法定口的交易数据服务能力，实时采集加油枪交易明细（含交易时间、油品标号、加油量、单价、交易金额等）、油机运行参数（在线状态等）、每日进销存台账（期初库存、当日进货量、当日销售量、期末库存等）核心数据，确保每笔交易数据可追溯、可核验，直接支撑隐瞒销售、偷税漏税等违法违规行为的精准排查；</w:t>
      </w:r>
    </w:p>
    <w:p w14:paraId="6A43BBAF">
      <w:pPr>
        <w:spacing w:line="360" w:lineRule="auto"/>
        <w:ind w:firstLine="480" w:firstLineChars="200"/>
        <w:rPr>
          <w:rFonts w:hint="eastAsia" w:ascii="宋体" w:hAnsi="宋体"/>
          <w:sz w:val="24"/>
        </w:rPr>
      </w:pPr>
      <w:r>
        <w:rPr>
          <w:rFonts w:hint="eastAsia" w:ascii="宋体" w:hAnsi="宋体"/>
          <w:sz w:val="24"/>
        </w:rPr>
        <w:t>3、购销存台账数据采集服务：提供加油站购销存台账数据采集服务，为加油站提供标准化购销存台账数据采集服务，支持油站实时上传日常经营全量台账数据，涵盖期初库存、当日分标号油品进货量（含供应商信息、进货单据编号等）、当日分时段销售量、期末库存等关键要素；</w:t>
      </w:r>
    </w:p>
    <w:p w14:paraId="7D073B53">
      <w:pPr>
        <w:spacing w:line="360" w:lineRule="auto"/>
        <w:ind w:firstLine="480" w:firstLineChars="200"/>
        <w:rPr>
          <w:rFonts w:hint="eastAsia" w:ascii="宋体" w:hAnsi="宋体"/>
          <w:sz w:val="24"/>
        </w:rPr>
      </w:pPr>
      <w:r>
        <w:rPr>
          <w:rFonts w:hint="eastAsia" w:ascii="宋体" w:hAnsi="宋体"/>
          <w:sz w:val="24"/>
        </w:rPr>
        <w:t>4、库存动态数据采集服务：针对辖区内成品油加油站油罐，在不依赖外在终端设备的前提下，依托自研进销存动态自平衡算法，能够实时计算油罐动态库存量；</w:t>
      </w:r>
    </w:p>
    <w:p w14:paraId="7AC4EF20">
      <w:pPr>
        <w:spacing w:line="360" w:lineRule="auto"/>
        <w:ind w:firstLine="480" w:firstLineChars="200"/>
        <w:rPr>
          <w:rFonts w:hint="eastAsia" w:ascii="宋体" w:hAnsi="宋体"/>
          <w:sz w:val="24"/>
        </w:rPr>
      </w:pPr>
      <w:r>
        <w:rPr>
          <w:rFonts w:hint="eastAsia" w:ascii="宋体" w:hAnsi="宋体"/>
          <w:sz w:val="24"/>
        </w:rPr>
        <w:t>5、政府主管部门权威数据采集服务：具备交通部门、市场监管部门、税务部门的专业化互联互通能力，在获得相关部门合规授权及数据使用许可的前提下，可实时采集辖区内权威核心数据，包括油罐车电子货运单、车辆轨迹数据，新国标加油机法定接口交易数据，以及发票开具、纳税申报等涉税数据；</w:t>
      </w:r>
    </w:p>
    <w:p w14:paraId="099C8EE8">
      <w:pPr>
        <w:spacing w:line="360" w:lineRule="auto"/>
        <w:ind w:firstLine="480" w:firstLineChars="200"/>
        <w:rPr>
          <w:rFonts w:hint="eastAsia" w:ascii="宋体" w:hAnsi="宋体"/>
          <w:sz w:val="24"/>
        </w:rPr>
      </w:pPr>
      <w:r>
        <w:rPr>
          <w:rFonts w:hint="eastAsia" w:ascii="宋体" w:hAnsi="宋体"/>
          <w:sz w:val="24"/>
        </w:rPr>
        <w:t>（二）智能预警服务</w:t>
      </w:r>
    </w:p>
    <w:p w14:paraId="3F2FA81F">
      <w:pPr>
        <w:spacing w:line="360" w:lineRule="auto"/>
        <w:ind w:firstLine="480" w:firstLineChars="200"/>
        <w:rPr>
          <w:rFonts w:hint="eastAsia" w:ascii="宋体" w:hAnsi="宋体"/>
          <w:sz w:val="24"/>
        </w:rPr>
      </w:pPr>
      <w:r>
        <w:rPr>
          <w:rFonts w:hint="eastAsia" w:ascii="宋体" w:hAnsi="宋体"/>
          <w:sz w:val="24"/>
        </w:rPr>
        <w:t>依托多维度全链条数据采集体系，提供后台精准算法建模与数据分析服务能力，搭建加油站智能化预警服务模块，实现对加油站经营及关联环节异常情况的自动化识别、精准化预警与可视化推送，为当地政府管理部门开展执法检查、精准监管提供科学、可靠的决策依据与数据支撑。</w:t>
      </w:r>
    </w:p>
    <w:p w14:paraId="30B9A5F1">
      <w:pPr>
        <w:spacing w:line="360" w:lineRule="auto"/>
        <w:ind w:firstLine="480" w:firstLineChars="200"/>
        <w:rPr>
          <w:rFonts w:hint="eastAsia" w:ascii="宋体" w:hAnsi="宋体"/>
          <w:sz w:val="24"/>
        </w:rPr>
      </w:pPr>
      <w:r>
        <w:rPr>
          <w:rFonts w:hint="eastAsia" w:ascii="宋体" w:hAnsi="宋体"/>
          <w:sz w:val="24"/>
        </w:rPr>
        <w:t>具体预警场景至少涵盖四大类：一是站外销售异常预警，通过比对销售发票数据、卸油区视频、购销存台账与动态库存数据等，精准识别疑似站外销售行为；二是库存异常预警，基于进销存动态自平衡算法推演结果，对库存骤增骤减、损耗量超出行业合理标准、库存与交易数据长期不匹配等异常情况实时预警；三是油罐车轨迹异常预警，联动交通部权威轨迹数据与电子货运单信息，对车辆偏离备案路线、非法停留、装卸油点位与单据不符等违规轨迹动态捕捉并预警；四是涉税异常预警，融合发票开具、纳税申报等涉税数据与全链条业务数据，精准识别虚开发票、申报数据与实际经营数据脱节、偷税漏税等涉税风险，实现风险隐患早发现、早提醒、早处置，筑牢成品油行业合规经营防线。</w:t>
      </w:r>
    </w:p>
    <w:p w14:paraId="13E134B9">
      <w:pPr>
        <w:spacing w:line="360" w:lineRule="auto"/>
        <w:ind w:firstLine="480" w:firstLineChars="200"/>
        <w:rPr>
          <w:rFonts w:hint="eastAsia" w:ascii="宋体" w:hAnsi="宋体"/>
          <w:sz w:val="24"/>
        </w:rPr>
      </w:pPr>
      <w:r>
        <w:rPr>
          <w:rFonts w:hint="eastAsia" w:ascii="宋体" w:hAnsi="宋体"/>
          <w:sz w:val="24"/>
        </w:rPr>
        <w:t>（三）智能算税服务</w:t>
      </w:r>
    </w:p>
    <w:p w14:paraId="2D68A51B">
      <w:pPr>
        <w:spacing w:line="360" w:lineRule="auto"/>
        <w:ind w:firstLine="480" w:firstLineChars="200"/>
        <w:rPr>
          <w:rFonts w:hint="eastAsia" w:ascii="宋体" w:hAnsi="宋体"/>
          <w:sz w:val="24"/>
        </w:rPr>
      </w:pPr>
      <w:r>
        <w:rPr>
          <w:rFonts w:hint="eastAsia" w:ascii="宋体" w:hAnsi="宋体"/>
          <w:sz w:val="24"/>
        </w:rPr>
        <w:t>提供全链条数据采集成果与后台智能算法服务，紧扣成品油行业科技治税需求，提供一站式智能算税服务，打通“数据采集-智能核算-申报同步”闭环，为加油站减负、为税务征管赋能。核心服务包括：一是智能算税，基于交易明细、发票、库存等全量数据自动核算各税种应纳税额，精准适配行业税收政策，校验计算逻辑、规避人为误差，保障计税合规准确；二是申报表底稿生成，根据算税结果自动生成标准化申报表底稿，支持在线核对修改，提升申报准备效率；三是行业税负比对，构建行业税负基准模型，比对单站与行业平均、同类型主体税负差异，标注异常并分析原因；四是税务系统互联，在合规授权前提下与税务征管系统无缝对接，实现申报表自动上传、涉税数据双向同步，确保数据同步延迟≤24小时，全程留痕可追溯，助力“以数治税”落地。</w:t>
      </w:r>
    </w:p>
    <w:p w14:paraId="01378A79">
      <w:pPr>
        <w:spacing w:line="360" w:lineRule="auto"/>
        <w:ind w:firstLine="480" w:firstLineChars="200"/>
        <w:rPr>
          <w:rFonts w:hint="eastAsia" w:ascii="宋体" w:hAnsi="宋体"/>
          <w:sz w:val="24"/>
        </w:rPr>
      </w:pPr>
      <w:r>
        <w:rPr>
          <w:rFonts w:hint="eastAsia" w:ascii="宋体" w:hAnsi="宋体"/>
          <w:sz w:val="24"/>
        </w:rPr>
        <w:t>（四）决策支撑服务</w:t>
      </w:r>
    </w:p>
    <w:p w14:paraId="31EA429C">
      <w:pPr>
        <w:spacing w:line="360" w:lineRule="auto"/>
        <w:ind w:firstLine="480" w:firstLineChars="200"/>
        <w:rPr>
          <w:rFonts w:hint="eastAsia" w:ascii="宋体" w:hAnsi="宋体"/>
          <w:sz w:val="24"/>
        </w:rPr>
      </w:pPr>
      <w:r>
        <w:rPr>
          <w:rFonts w:hint="eastAsia" w:ascii="宋体" w:hAnsi="宋体"/>
          <w:sz w:val="24"/>
        </w:rPr>
        <w:t>提供行业垂直模型分析服务，对成品油流通全流程数据开展深度大数据研判，构建“数据分析-模型推演-决策赋能”服务体系，为企业经营、政府行业治理、行业发展转型提供精准化、差异化数据决策支撑。针对企业端，通过分析销量波动、客户结构、库存周转等数据，输出经营优化建议，助力加油站提升运营效率、规避经营风险；针对政府端，基于全辖区行业数据，研判市场秩序、税收征管、合规经营等态势，为加油站行业监管、政策制定、执法部署提供数据依据，强化治理效能；针对行业转型，结合宏观政策与行业动态数据，分析业态发展趋势、供需变化规律，为成品油行业绿色转型、数字化升级、高质量发展提供前瞻性决策参考，推动行业整体提质增效。</w:t>
      </w:r>
    </w:p>
    <w:p w14:paraId="06AB52B4">
      <w:pPr>
        <w:spacing w:line="360" w:lineRule="auto"/>
        <w:ind w:firstLine="480" w:firstLineChars="200"/>
        <w:rPr>
          <w:rFonts w:hint="eastAsia" w:ascii="宋体" w:hAnsi="宋体"/>
          <w:sz w:val="24"/>
        </w:rPr>
      </w:pPr>
      <w:r>
        <w:rPr>
          <w:rFonts w:hint="eastAsia" w:ascii="宋体" w:hAnsi="宋体"/>
          <w:sz w:val="24"/>
        </w:rPr>
        <w:t>（五）数据采集合规要求</w:t>
      </w:r>
    </w:p>
    <w:p w14:paraId="49244923">
      <w:pPr>
        <w:spacing w:line="360" w:lineRule="auto"/>
        <w:ind w:firstLine="480" w:firstLineChars="200"/>
        <w:rPr>
          <w:rFonts w:hint="eastAsia" w:ascii="宋体" w:hAnsi="宋体"/>
          <w:sz w:val="24"/>
        </w:rPr>
      </w:pPr>
      <w:r>
        <w:rPr>
          <w:rFonts w:hint="eastAsia" w:ascii="宋体" w:hAnsi="宋体"/>
          <w:sz w:val="24"/>
        </w:rPr>
        <w:t>为保障采购人合法权益，确保加油机交易数据的防篡改能力，并保障数据具备可信度与公信力，投标人承诺并能够引入独立第三方检验认证机构对提供数据服务的合规能力进行鉴定。</w:t>
      </w:r>
    </w:p>
    <w:p w14:paraId="72D2C0E0">
      <w:pPr>
        <w:spacing w:line="360" w:lineRule="auto"/>
        <w:ind w:firstLine="480" w:firstLineChars="200"/>
        <w:rPr>
          <w:rFonts w:hint="eastAsia" w:ascii="宋体" w:hAnsi="宋体"/>
          <w:sz w:val="24"/>
        </w:rPr>
      </w:pPr>
      <w:r>
        <w:rPr>
          <w:rFonts w:hint="eastAsia" w:ascii="宋体" w:hAnsi="宋体"/>
          <w:sz w:val="24"/>
        </w:rPr>
        <w:t>（六）配套终端设备要求</w:t>
      </w:r>
    </w:p>
    <w:p w14:paraId="12499D55">
      <w:pPr>
        <w:spacing w:line="360" w:lineRule="auto"/>
        <w:ind w:firstLine="480" w:firstLineChars="200"/>
        <w:rPr>
          <w:rFonts w:hint="eastAsia" w:ascii="宋体" w:hAnsi="宋体"/>
          <w:sz w:val="24"/>
        </w:rPr>
      </w:pPr>
      <w:r>
        <w:rPr>
          <w:rFonts w:hint="eastAsia" w:ascii="宋体" w:hAnsi="宋体"/>
          <w:sz w:val="24"/>
        </w:rPr>
        <w:t>为保障本次项目全链条监管与科技治税目标落地，支撑数据采集、智能预警、智能算税及决策支撑等核心服务高效运转，需配套提供一批符合行业标准、运行稳定合规的终端设备。所有设备均作为服务落地的基础支撑载体，以“适配核心服务、保障数据精准、满足监管要求”为核心配置原则，不追求高端冗余配置，重点强化与平台服务的兼容性、数据传输安全性及场景适配性，核心设备及要求如下：</w:t>
      </w:r>
    </w:p>
    <w:p w14:paraId="345EAB62">
      <w:pPr>
        <w:spacing w:line="360" w:lineRule="auto"/>
        <w:ind w:firstLine="480" w:firstLineChars="200"/>
        <w:rPr>
          <w:rFonts w:hint="eastAsia" w:ascii="宋体" w:hAnsi="宋体"/>
          <w:sz w:val="24"/>
        </w:rPr>
      </w:pPr>
      <w:r>
        <w:rPr>
          <w:rFonts w:hint="eastAsia" w:ascii="宋体" w:hAnsi="宋体"/>
          <w:sz w:val="24"/>
        </w:rPr>
        <w:t>1.</w:t>
      </w:r>
      <w:bookmarkStart w:id="242" w:name="OLE_LINK14"/>
      <w:r>
        <w:rPr>
          <w:rFonts w:hint="eastAsia" w:ascii="宋体" w:hAnsi="宋体"/>
          <w:sz w:val="24"/>
        </w:rPr>
        <w:t>符合GB/T 9081-2023</w:t>
      </w:r>
      <w:bookmarkEnd w:id="242"/>
      <w:r>
        <w:rPr>
          <w:rFonts w:hint="eastAsia" w:ascii="宋体" w:hAnsi="宋体"/>
          <w:sz w:val="24"/>
        </w:rPr>
        <w:t>标准的加油机：根据实际需求为辖区内加油站配置符合GB/T 9081-2023标准的加油机，设备需具备法定数据采集接口，可精准抓取每笔交易原始数据（含油品标号、加油量、单价、金额等），支持与平台系统实时联动上传。</w:t>
      </w:r>
    </w:p>
    <w:p w14:paraId="05AF6C9A">
      <w:pPr>
        <w:spacing w:line="360" w:lineRule="auto"/>
        <w:ind w:firstLine="480" w:firstLineChars="200"/>
        <w:rPr>
          <w:rFonts w:hint="eastAsia" w:ascii="宋体" w:hAnsi="宋体"/>
          <w:sz w:val="24"/>
        </w:rPr>
      </w:pPr>
      <w:r>
        <w:rPr>
          <w:rFonts w:hint="eastAsia" w:ascii="宋体" w:hAnsi="宋体"/>
          <w:sz w:val="24"/>
        </w:rPr>
        <w:t>2.</w:t>
      </w:r>
      <w:bookmarkStart w:id="243" w:name="OLE_LINK10"/>
      <w:r>
        <w:rPr>
          <w:rFonts w:hint="eastAsia" w:ascii="宋体" w:hAnsi="宋体"/>
          <w:sz w:val="24"/>
        </w:rPr>
        <w:t>场景化监控设备</w:t>
      </w:r>
      <w:bookmarkEnd w:id="243"/>
      <w:r>
        <w:rPr>
          <w:rFonts w:hint="eastAsia" w:ascii="宋体" w:hAnsi="宋体"/>
          <w:sz w:val="24"/>
        </w:rPr>
        <w:t>：配套部署覆盖加油站加油区、储油区、油罐车装卸油点位的监控设备，具备高清成像、实时录制、异常行为捕捉及视频数据本地缓存功能，可与平台预警模块联动，对疑似站外销售、违规装卸油等异常场景进行画面留存，为执法核查提供可视化依据；设备需适配成品油经营场所抗干扰要求，确保在复杂场景下稳定运行，同步支撑辅助监管数据采集服务。</w:t>
      </w:r>
    </w:p>
    <w:p w14:paraId="6CAE3266">
      <w:pPr>
        <w:spacing w:line="360" w:lineRule="auto"/>
        <w:ind w:firstLine="480" w:firstLineChars="200"/>
        <w:rPr>
          <w:rFonts w:hint="eastAsia" w:ascii="宋体" w:hAnsi="宋体"/>
          <w:sz w:val="24"/>
        </w:rPr>
      </w:pPr>
      <w:r>
        <w:rPr>
          <w:rFonts w:hint="eastAsia" w:ascii="宋体" w:hAnsi="宋体"/>
          <w:sz w:val="24"/>
        </w:rPr>
        <w:t>3.边缘存算一体机：配置边缘存算一体机设备，部署于加油站及核心节点，具备本地数据存储、实时计算及边缘分析能力。可实现监控视频等多源数据的本地汇聚与缓存，支持断网补传功能，保障极端情况下数据不丢失。</w:t>
      </w:r>
    </w:p>
    <w:p w14:paraId="54ABB4AD">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其他需要配套的硬件设备。</w:t>
      </w:r>
    </w:p>
    <w:p w14:paraId="1E6FD1E0">
      <w:pPr>
        <w:spacing w:line="360" w:lineRule="auto"/>
        <w:ind w:firstLine="480" w:firstLineChars="200"/>
        <w:rPr>
          <w:rFonts w:hint="eastAsia" w:ascii="宋体" w:hAnsi="宋体"/>
          <w:b/>
          <w:bCs/>
          <w:sz w:val="32"/>
          <w:szCs w:val="32"/>
        </w:rPr>
      </w:pPr>
      <w:r>
        <w:rPr>
          <w:rFonts w:hint="eastAsia" w:ascii="宋体" w:hAnsi="宋体"/>
          <w:sz w:val="24"/>
          <w:lang w:val="en-US" w:eastAsia="zh-CN"/>
        </w:rPr>
        <w:t>四</w:t>
      </w:r>
      <w:r>
        <w:rPr>
          <w:rFonts w:hint="eastAsia" w:ascii="宋体" w:hAnsi="宋体"/>
          <w:sz w:val="24"/>
        </w:rPr>
        <w:t>、其他要求：</w:t>
      </w:r>
    </w:p>
    <w:p w14:paraId="264AC12D">
      <w:pPr>
        <w:pStyle w:val="62"/>
        <w:spacing w:line="360" w:lineRule="auto"/>
        <w:ind w:left="0"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本项目要求</w:t>
      </w:r>
      <w:r>
        <w:rPr>
          <w:rFonts w:ascii="宋体" w:hAnsi="宋体"/>
          <w:sz w:val="24"/>
        </w:rPr>
        <w:t>中标服务商须承担</w:t>
      </w:r>
      <w:r>
        <w:rPr>
          <w:rFonts w:hint="eastAsia" w:ascii="宋体" w:hAnsi="宋体" w:cs="宋体"/>
          <w:bCs/>
          <w:sz w:val="24"/>
        </w:rPr>
        <w:t>成品油流通大数据平台购买</w:t>
      </w:r>
      <w:r>
        <w:rPr>
          <w:rFonts w:hint="eastAsia" w:ascii="宋体" w:hAnsi="宋体" w:cs="宋体"/>
          <w:bCs/>
          <w:color w:val="auto"/>
          <w:sz w:val="24"/>
          <w:lang w:val="en-US" w:eastAsia="zh-CN"/>
        </w:rPr>
        <w:t>建设</w:t>
      </w:r>
      <w:r>
        <w:rPr>
          <w:rFonts w:hint="eastAsia" w:ascii="宋体" w:hAnsi="宋体" w:cs="宋体"/>
          <w:bCs/>
          <w:sz w:val="24"/>
        </w:rPr>
        <w:t>服务项目</w:t>
      </w:r>
      <w:r>
        <w:rPr>
          <w:rFonts w:ascii="宋体" w:hAnsi="宋体"/>
          <w:sz w:val="24"/>
        </w:rPr>
        <w:t>全部建设与运营成本。服务商需承诺在三门峡市设立专职本地化服务团队，与采购人建立协同工作机制，共同推进</w:t>
      </w:r>
      <w:r>
        <w:rPr>
          <w:rFonts w:hint="eastAsia" w:ascii="宋体" w:hAnsi="宋体"/>
          <w:sz w:val="24"/>
        </w:rPr>
        <w:t>科技</w:t>
      </w:r>
      <w:r>
        <w:rPr>
          <w:rFonts w:ascii="宋体" w:hAnsi="宋体"/>
          <w:sz w:val="24"/>
        </w:rPr>
        <w:t>治税相关服务目标的实现，保障平台长期稳定运行并达成既定治理效能。项目验收合格后，服务商须依据合同约定提供运营及技术服务，具体包括</w:t>
      </w:r>
      <w:r>
        <w:rPr>
          <w:rFonts w:hint="eastAsia" w:ascii="宋体" w:hAnsi="宋体"/>
          <w:sz w:val="24"/>
        </w:rPr>
        <w:t>但不限于</w:t>
      </w:r>
      <w:r>
        <w:rPr>
          <w:rFonts w:ascii="宋体" w:hAnsi="宋体"/>
          <w:sz w:val="24"/>
        </w:rPr>
        <w:t>平台持续运营、软件功能迭代升级、</w:t>
      </w:r>
      <w:r>
        <w:rPr>
          <w:rFonts w:hint="eastAsia" w:ascii="宋体" w:hAnsi="宋体"/>
          <w:sz w:val="24"/>
        </w:rPr>
        <w:t>实施集成服务、设备巡检维护</w:t>
      </w:r>
      <w:r>
        <w:rPr>
          <w:rFonts w:ascii="宋体" w:hAnsi="宋体"/>
          <w:sz w:val="24"/>
        </w:rPr>
        <w:t>、数据运维治理</w:t>
      </w:r>
      <w:r>
        <w:rPr>
          <w:rFonts w:hint="eastAsia" w:ascii="宋体" w:hAnsi="宋体"/>
          <w:sz w:val="24"/>
        </w:rPr>
        <w:t>、相关检验检测、科技治税咨询服务及培训支持。</w:t>
      </w:r>
    </w:p>
    <w:p w14:paraId="10534013">
      <w:pPr>
        <w:pStyle w:val="62"/>
        <w:spacing w:line="360" w:lineRule="auto"/>
        <w:ind w:left="0" w:firstLine="480" w:firstLineChars="200"/>
        <w:rPr>
          <w:rFonts w:hint="eastAsia" w:ascii="宋体" w:hAnsi="宋体"/>
          <w:color w:val="auto"/>
          <w:sz w:val="24"/>
          <w:highlight w:val="none"/>
        </w:rPr>
      </w:pPr>
      <w:r>
        <w:rPr>
          <w:rFonts w:hint="eastAsia" w:ascii="宋体" w:hAnsi="宋体" w:cs="Arial"/>
          <w:color w:val="auto"/>
          <w:sz w:val="24"/>
          <w:highlight w:val="none"/>
        </w:rPr>
        <w:t>2.</w:t>
      </w:r>
      <w:r>
        <w:rPr>
          <w:rFonts w:hint="eastAsia" w:ascii="宋体" w:hAnsi="宋体"/>
          <w:color w:val="auto"/>
          <w:sz w:val="24"/>
          <w:highlight w:val="none"/>
        </w:rPr>
        <w:t>本项目</w:t>
      </w:r>
      <w:r>
        <w:rPr>
          <w:rFonts w:hint="eastAsia" w:ascii="宋体" w:hAnsi="宋体" w:cs="Arial"/>
          <w:color w:val="auto"/>
          <w:sz w:val="24"/>
          <w:highlight w:val="none"/>
          <w:lang w:val="en-US" w:eastAsia="zh-CN"/>
        </w:rPr>
        <w:t>服务期满之内（以及服务期满之后）产生的</w:t>
      </w:r>
      <w:r>
        <w:rPr>
          <w:rFonts w:hint="eastAsia" w:ascii="宋体" w:hAnsi="宋体" w:cs="Arial"/>
          <w:color w:val="auto"/>
          <w:sz w:val="24"/>
          <w:highlight w:val="none"/>
        </w:rPr>
        <w:t>运营维护费用包括但不限于平台运营费用、软件迭代升级费用、</w:t>
      </w:r>
      <w:r>
        <w:rPr>
          <w:rFonts w:hint="eastAsia" w:ascii="宋体" w:hAnsi="宋体"/>
          <w:color w:val="auto"/>
          <w:sz w:val="24"/>
          <w:highlight w:val="none"/>
        </w:rPr>
        <w:t>实施集成费用、</w:t>
      </w:r>
      <w:r>
        <w:rPr>
          <w:rFonts w:hint="eastAsia" w:ascii="宋体" w:hAnsi="宋体" w:cs="Arial"/>
          <w:color w:val="auto"/>
          <w:sz w:val="24"/>
          <w:highlight w:val="none"/>
        </w:rPr>
        <w:t>设备巡检维护费用、数据运维治理费用、检验检测费用、科技治税咨询服务费用、培训支持费用、网络专线及云资源使用费用等均由中标方全额承担。</w:t>
      </w:r>
    </w:p>
    <w:p w14:paraId="130A2683">
      <w:pPr>
        <w:pStyle w:val="62"/>
        <w:spacing w:line="360" w:lineRule="auto"/>
        <w:rPr>
          <w:rFonts w:hint="default" w:ascii="宋体" w:hAnsi="宋体" w:eastAsia="宋体" w:cs="Times New Roman"/>
          <w:sz w:val="24"/>
          <w:highlight w:val="green"/>
          <w:lang w:val="en-US" w:eastAsia="zh-CN"/>
        </w:rPr>
      </w:pPr>
      <w:r>
        <w:rPr>
          <w:rFonts w:hint="eastAsia" w:ascii="宋体" w:hAnsi="宋体" w:eastAsia="宋体" w:cs="Times New Roman"/>
          <w:color w:val="auto"/>
          <w:sz w:val="24"/>
          <w:highlight w:val="none"/>
          <w:lang w:val="en-US" w:eastAsia="zh-CN"/>
        </w:rPr>
        <w:t xml:space="preserve"> 2.1服务期满后，中标服务商须按投标文件中所提供的为完成该服务项目的服务清单（含配套的硬件、软件等）向招标人进行移交。</w:t>
      </w:r>
    </w:p>
    <w:p w14:paraId="2315D95B">
      <w:pPr>
        <w:pStyle w:val="62"/>
        <w:spacing w:line="360" w:lineRule="auto"/>
        <w:ind w:left="0" w:firstLine="480" w:firstLineChars="200"/>
        <w:rPr>
          <w:rFonts w:hint="eastAsia" w:ascii="宋体" w:hAnsi="宋体" w:eastAsia="宋体" w:cs="Times New Roman"/>
          <w:sz w:val="24"/>
          <w:highlight w:val="green"/>
          <w:lang w:val="en-US" w:eastAsia="zh-CN"/>
        </w:rPr>
      </w:pPr>
    </w:p>
    <w:p w14:paraId="1A3381BA">
      <w:pPr>
        <w:pStyle w:val="62"/>
        <w:spacing w:line="360" w:lineRule="auto"/>
        <w:ind w:left="0" w:firstLine="480" w:firstLineChars="200"/>
        <w:rPr>
          <w:rFonts w:hint="eastAsia" w:ascii="宋体" w:hAnsi="宋体" w:eastAsia="宋体" w:cs="Times New Roman"/>
          <w:sz w:val="24"/>
          <w:lang w:val="en-US" w:eastAsia="zh-CN"/>
        </w:rPr>
      </w:pPr>
    </w:p>
    <w:p w14:paraId="36FD7CA9">
      <w:pPr>
        <w:jc w:val="both"/>
        <w:outlineLvl w:val="0"/>
        <w:rPr>
          <w:rFonts w:hint="eastAsia" w:ascii="宋体" w:hAnsi="宋体" w:eastAsia="宋体" w:cs="宋体"/>
          <w:b/>
          <w:bCs/>
          <w:color w:val="auto"/>
          <w:sz w:val="32"/>
          <w:szCs w:val="32"/>
          <w:highlight w:val="none"/>
        </w:rPr>
      </w:pPr>
    </w:p>
    <w:p w14:paraId="6E7930C6">
      <w:pPr>
        <w:jc w:val="both"/>
        <w:outlineLvl w:val="0"/>
        <w:rPr>
          <w:rFonts w:hint="eastAsia" w:ascii="宋体" w:hAnsi="宋体" w:eastAsia="宋体" w:cs="宋体"/>
          <w:b/>
          <w:bCs/>
          <w:color w:val="auto"/>
          <w:sz w:val="32"/>
          <w:szCs w:val="32"/>
          <w:highlight w:val="none"/>
        </w:rPr>
      </w:pPr>
    </w:p>
    <w:p w14:paraId="7BCED2FC">
      <w:pPr>
        <w:jc w:val="both"/>
        <w:outlineLvl w:val="0"/>
        <w:rPr>
          <w:rFonts w:hint="eastAsia" w:ascii="宋体" w:hAnsi="宋体" w:eastAsia="宋体" w:cs="宋体"/>
          <w:b/>
          <w:bCs/>
          <w:color w:val="auto"/>
          <w:sz w:val="32"/>
          <w:szCs w:val="32"/>
          <w:highlight w:val="none"/>
        </w:rPr>
      </w:pPr>
    </w:p>
    <w:p w14:paraId="37397C92">
      <w:pPr>
        <w:jc w:val="both"/>
        <w:outlineLvl w:val="0"/>
        <w:rPr>
          <w:rFonts w:hint="eastAsia" w:ascii="宋体" w:hAnsi="宋体" w:eastAsia="宋体" w:cs="宋体"/>
          <w:b/>
          <w:bCs/>
          <w:color w:val="auto"/>
          <w:sz w:val="32"/>
          <w:szCs w:val="32"/>
          <w:highlight w:val="none"/>
        </w:rPr>
      </w:pPr>
    </w:p>
    <w:p w14:paraId="2F381F8A">
      <w:pPr>
        <w:jc w:val="both"/>
        <w:outlineLvl w:val="0"/>
        <w:rPr>
          <w:rFonts w:hint="eastAsia" w:ascii="宋体" w:hAnsi="宋体" w:eastAsia="宋体" w:cs="宋体"/>
          <w:b/>
          <w:bCs/>
          <w:color w:val="auto"/>
          <w:sz w:val="32"/>
          <w:szCs w:val="32"/>
          <w:highlight w:val="none"/>
        </w:rPr>
      </w:pPr>
    </w:p>
    <w:p w14:paraId="2E215604">
      <w:pPr>
        <w:jc w:val="both"/>
        <w:outlineLvl w:val="0"/>
        <w:rPr>
          <w:rFonts w:hint="eastAsia" w:ascii="宋体" w:hAnsi="宋体" w:eastAsia="宋体" w:cs="宋体"/>
          <w:b/>
          <w:bCs/>
          <w:color w:val="auto"/>
          <w:sz w:val="32"/>
          <w:szCs w:val="32"/>
          <w:highlight w:val="none"/>
        </w:rPr>
      </w:pPr>
    </w:p>
    <w:p w14:paraId="4E69FB94">
      <w:pPr>
        <w:jc w:val="both"/>
        <w:outlineLvl w:val="0"/>
        <w:rPr>
          <w:rFonts w:hint="eastAsia" w:ascii="宋体" w:hAnsi="宋体" w:eastAsia="宋体" w:cs="宋体"/>
          <w:b/>
          <w:bCs/>
          <w:color w:val="auto"/>
          <w:sz w:val="32"/>
          <w:szCs w:val="32"/>
          <w:highlight w:val="none"/>
        </w:rPr>
      </w:pPr>
    </w:p>
    <w:p w14:paraId="1E3B20E6">
      <w:pPr>
        <w:numPr>
          <w:ilvl w:val="0"/>
          <w:numId w:val="0"/>
        </w:numPr>
        <w:jc w:val="both"/>
        <w:outlineLvl w:val="0"/>
        <w:rPr>
          <w:rFonts w:hint="eastAsia" w:ascii="宋体" w:hAnsi="宋体" w:cs="宋体"/>
          <w:b/>
          <w:bCs/>
          <w:color w:val="auto"/>
          <w:sz w:val="32"/>
          <w:szCs w:val="32"/>
          <w:highlight w:val="none"/>
          <w:lang w:val="en-US" w:eastAsia="zh-CN"/>
        </w:rPr>
      </w:pPr>
    </w:p>
    <w:p w14:paraId="3B2F118B">
      <w:pPr>
        <w:jc w:val="center"/>
        <w:outlineLvl w:val="0"/>
        <w:rPr>
          <w:rFonts w:hint="eastAsia" w:ascii="宋体" w:hAnsi="宋体" w:eastAsia="宋体" w:cs="宋体"/>
          <w:b/>
          <w:bCs/>
          <w:color w:val="auto"/>
          <w:sz w:val="32"/>
          <w:szCs w:val="32"/>
          <w:highlight w:val="none"/>
        </w:rPr>
      </w:pPr>
      <w:bookmarkStart w:id="244" w:name="_Toc16658"/>
      <w:bookmarkStart w:id="245" w:name="_Toc18200"/>
      <w:r>
        <w:rPr>
          <w:rFonts w:hint="eastAsia" w:ascii="宋体" w:hAnsi="宋体" w:eastAsia="宋体" w:cs="宋体"/>
          <w:b/>
          <w:bCs/>
          <w:color w:val="auto"/>
          <w:sz w:val="32"/>
          <w:szCs w:val="32"/>
          <w:highlight w:val="none"/>
        </w:rPr>
        <w:t>第六章 投标文件格式</w:t>
      </w:r>
      <w:bookmarkEnd w:id="239"/>
      <w:bookmarkEnd w:id="244"/>
      <w:bookmarkEnd w:id="245"/>
    </w:p>
    <w:p w14:paraId="648D1774">
      <w:pPr>
        <w:rPr>
          <w:rFonts w:hint="eastAsia" w:ascii="宋体" w:hAnsi="宋体" w:eastAsia="宋体" w:cs="宋体"/>
          <w:color w:val="auto"/>
          <w:highlight w:val="none"/>
        </w:rPr>
      </w:pPr>
    </w:p>
    <w:p w14:paraId="52D82A6D">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（项目名称）</w:t>
      </w:r>
    </w:p>
    <w:p w14:paraId="74167DCF">
      <w:pPr>
        <w:jc w:val="center"/>
        <w:rPr>
          <w:rFonts w:hint="eastAsia" w:ascii="宋体" w:hAnsi="宋体" w:eastAsia="宋体" w:cs="宋体"/>
          <w:b/>
          <w:bCs/>
          <w:color w:val="auto"/>
          <w:sz w:val="32"/>
          <w:szCs w:val="32"/>
          <w:highlight w:val="none"/>
        </w:rPr>
      </w:pPr>
    </w:p>
    <w:p w14:paraId="245E0A44">
      <w:pPr>
        <w:jc w:val="center"/>
        <w:rPr>
          <w:rFonts w:hint="eastAsia" w:ascii="宋体" w:hAnsi="宋体" w:eastAsia="宋体" w:cs="宋体"/>
          <w:b/>
          <w:bCs/>
          <w:color w:val="auto"/>
          <w:sz w:val="32"/>
          <w:szCs w:val="32"/>
          <w:highlight w:val="none"/>
        </w:rPr>
      </w:pPr>
    </w:p>
    <w:p w14:paraId="6230EFB2">
      <w:pPr>
        <w:jc w:val="center"/>
        <w:rPr>
          <w:rFonts w:hint="eastAsia"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投标文件</w:t>
      </w:r>
    </w:p>
    <w:p w14:paraId="2DB29202">
      <w:pPr>
        <w:jc w:val="center"/>
        <w:rPr>
          <w:rFonts w:hint="eastAsia" w:ascii="宋体" w:hAnsi="宋体" w:eastAsia="宋体" w:cs="宋体"/>
          <w:color w:val="auto"/>
          <w:highlight w:val="none"/>
        </w:rPr>
      </w:pPr>
    </w:p>
    <w:p w14:paraId="4107676D">
      <w:pPr>
        <w:jc w:val="center"/>
        <w:rPr>
          <w:rFonts w:hint="eastAsia" w:ascii="宋体" w:hAnsi="宋体" w:eastAsia="宋体" w:cs="宋体"/>
          <w:color w:val="auto"/>
          <w:highlight w:val="none"/>
        </w:rPr>
      </w:pPr>
    </w:p>
    <w:p w14:paraId="206947F5">
      <w:pPr>
        <w:jc w:val="center"/>
        <w:rPr>
          <w:rFonts w:hint="eastAsia" w:ascii="宋体" w:hAnsi="宋体" w:eastAsia="宋体" w:cs="宋体"/>
          <w:color w:val="auto"/>
          <w:highlight w:val="none"/>
        </w:rPr>
      </w:pPr>
    </w:p>
    <w:p w14:paraId="094FF264">
      <w:pPr>
        <w:ind w:firstLine="3120" w:firstLineChars="13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p>
    <w:p w14:paraId="3EB14C1E">
      <w:pPr>
        <w:jc w:val="center"/>
        <w:rPr>
          <w:rFonts w:hint="eastAsia" w:ascii="宋体" w:hAnsi="宋体" w:eastAsia="宋体" w:cs="宋体"/>
          <w:color w:val="auto"/>
          <w:highlight w:val="none"/>
        </w:rPr>
      </w:pPr>
    </w:p>
    <w:p w14:paraId="34D66951">
      <w:pPr>
        <w:jc w:val="center"/>
        <w:rPr>
          <w:rFonts w:hint="eastAsia" w:ascii="宋体" w:hAnsi="宋体" w:eastAsia="宋体" w:cs="宋体"/>
          <w:color w:val="auto"/>
          <w:highlight w:val="none"/>
        </w:rPr>
      </w:pPr>
    </w:p>
    <w:p w14:paraId="1DEB8857">
      <w:pPr>
        <w:jc w:val="center"/>
        <w:rPr>
          <w:rFonts w:hint="eastAsia" w:ascii="宋体" w:hAnsi="宋体" w:eastAsia="宋体" w:cs="宋体"/>
          <w:color w:val="auto"/>
          <w:highlight w:val="none"/>
        </w:rPr>
      </w:pPr>
    </w:p>
    <w:p w14:paraId="45B26CD8">
      <w:pPr>
        <w:jc w:val="center"/>
        <w:rPr>
          <w:rFonts w:hint="eastAsia" w:ascii="宋体" w:hAnsi="宋体" w:eastAsia="宋体" w:cs="宋体"/>
          <w:color w:val="auto"/>
          <w:highlight w:val="none"/>
        </w:rPr>
      </w:pPr>
    </w:p>
    <w:p w14:paraId="64289E5E">
      <w:pPr>
        <w:jc w:val="center"/>
        <w:rPr>
          <w:rFonts w:hint="eastAsia" w:ascii="宋体" w:hAnsi="宋体" w:eastAsia="宋体" w:cs="宋体"/>
          <w:color w:val="auto"/>
          <w:highlight w:val="none"/>
        </w:rPr>
      </w:pPr>
    </w:p>
    <w:p w14:paraId="277964EA">
      <w:pPr>
        <w:jc w:val="center"/>
        <w:rPr>
          <w:rFonts w:hint="eastAsia" w:ascii="宋体" w:hAnsi="宋体" w:eastAsia="宋体" w:cs="宋体"/>
          <w:color w:val="auto"/>
          <w:highlight w:val="none"/>
        </w:rPr>
      </w:pPr>
    </w:p>
    <w:p w14:paraId="1C924337">
      <w:pPr>
        <w:jc w:val="center"/>
        <w:rPr>
          <w:rFonts w:hint="eastAsia" w:ascii="宋体" w:hAnsi="宋体" w:eastAsia="宋体" w:cs="宋体"/>
          <w:color w:val="auto"/>
          <w:highlight w:val="none"/>
        </w:rPr>
      </w:pPr>
    </w:p>
    <w:p w14:paraId="048001DD">
      <w:pPr>
        <w:jc w:val="center"/>
        <w:rPr>
          <w:rFonts w:hint="eastAsia" w:ascii="宋体" w:hAnsi="宋体" w:eastAsia="宋体" w:cs="宋体"/>
          <w:color w:val="auto"/>
          <w:highlight w:val="none"/>
        </w:rPr>
      </w:pPr>
    </w:p>
    <w:p w14:paraId="22AE9204">
      <w:pPr>
        <w:jc w:val="center"/>
        <w:rPr>
          <w:rFonts w:hint="eastAsia" w:ascii="宋体" w:hAnsi="宋体" w:eastAsia="宋体" w:cs="宋体"/>
          <w:color w:val="auto"/>
          <w:highlight w:val="none"/>
        </w:rPr>
      </w:pPr>
    </w:p>
    <w:p w14:paraId="1AECA0B8">
      <w:pPr>
        <w:jc w:val="center"/>
        <w:rPr>
          <w:rFonts w:hint="eastAsia" w:ascii="宋体" w:hAnsi="宋体" w:eastAsia="宋体" w:cs="宋体"/>
          <w:color w:val="auto"/>
          <w:highlight w:val="none"/>
        </w:rPr>
      </w:pPr>
    </w:p>
    <w:p w14:paraId="6F22CB80">
      <w:pPr>
        <w:jc w:val="both"/>
        <w:rPr>
          <w:rFonts w:hint="eastAsia" w:ascii="宋体" w:hAnsi="宋体" w:eastAsia="宋体" w:cs="宋体"/>
          <w:color w:val="auto"/>
          <w:highlight w:val="none"/>
        </w:rPr>
      </w:pPr>
    </w:p>
    <w:p w14:paraId="269E4515">
      <w:pPr>
        <w:spacing w:line="360" w:lineRule="auto"/>
        <w:jc w:val="both"/>
        <w:rPr>
          <w:rFonts w:hint="eastAsia" w:ascii="宋体" w:hAnsi="宋体" w:eastAsia="宋体" w:cs="宋体"/>
          <w:color w:val="auto"/>
          <w:sz w:val="28"/>
          <w:szCs w:val="28"/>
          <w:highlight w:val="none"/>
        </w:rPr>
      </w:pPr>
    </w:p>
    <w:p w14:paraId="6996D8C0">
      <w:pPr>
        <w:spacing w:line="360" w:lineRule="auto"/>
        <w:jc w:val="center"/>
        <w:rPr>
          <w:rFonts w:hint="eastAsia" w:ascii="宋体" w:hAnsi="宋体" w:eastAsia="宋体" w:cs="宋体"/>
          <w:color w:val="auto"/>
          <w:sz w:val="28"/>
          <w:szCs w:val="28"/>
          <w:highlight w:val="none"/>
        </w:rPr>
      </w:pPr>
    </w:p>
    <w:p w14:paraId="6F947BDE">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56BB2F21">
      <w:pPr>
        <w:spacing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246" w:name="_Toc18302"/>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bookmarkEnd w:id="246"/>
    </w:p>
    <w:p w14:paraId="096D77A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月     日</w:t>
      </w:r>
    </w:p>
    <w:p w14:paraId="2676D1FD">
      <w:pPr>
        <w:pStyle w:val="20"/>
        <w:rPr>
          <w:rFonts w:hint="eastAsia" w:ascii="宋体" w:hAnsi="宋体" w:eastAsia="宋体" w:cs="宋体"/>
          <w:color w:val="auto"/>
          <w:highlight w:val="none"/>
        </w:rPr>
      </w:pPr>
    </w:p>
    <w:p w14:paraId="7ABD88C6">
      <w:pPr>
        <w:rPr>
          <w:rFonts w:hint="eastAsia" w:ascii="宋体" w:hAnsi="宋体" w:eastAsia="宋体" w:cs="宋体"/>
          <w:b/>
          <w:bCs/>
          <w:color w:val="auto"/>
          <w:highlight w:val="none"/>
        </w:rPr>
      </w:pPr>
    </w:p>
    <w:p w14:paraId="2DD1BFC8">
      <w:pPr>
        <w:pStyle w:val="21"/>
        <w:rPr>
          <w:rFonts w:hint="default"/>
          <w:highlight w:val="none"/>
          <w:lang w:val="en-US" w:eastAsia="zh-CN"/>
        </w:rPr>
      </w:pPr>
      <w:bookmarkStart w:id="247" w:name="_Toc505093192"/>
    </w:p>
    <w:p w14:paraId="7F3BB667">
      <w:pPr>
        <w:pStyle w:val="4"/>
        <w:jc w:val="center"/>
        <w:outlineLvl w:val="9"/>
        <w:rPr>
          <w:rFonts w:hint="eastAsia" w:ascii="宋体" w:hAnsi="宋体" w:eastAsia="宋体" w:cs="宋体"/>
          <w:color w:val="auto"/>
          <w:highlight w:val="none"/>
        </w:rPr>
      </w:pPr>
      <w:bookmarkStart w:id="248" w:name="_Toc10624"/>
      <w:bookmarkStart w:id="249" w:name="_Toc17574"/>
      <w:bookmarkStart w:id="250" w:name="_Toc15933"/>
      <w:bookmarkStart w:id="251" w:name="_Toc8551"/>
    </w:p>
    <w:p w14:paraId="64371A1B">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目  录</w:t>
      </w:r>
      <w:bookmarkEnd w:id="247"/>
      <w:bookmarkEnd w:id="248"/>
      <w:bookmarkEnd w:id="249"/>
      <w:bookmarkEnd w:id="250"/>
      <w:bookmarkEnd w:id="251"/>
    </w:p>
    <w:p w14:paraId="46D08AEF">
      <w:pPr>
        <w:rPr>
          <w:rFonts w:hint="eastAsia" w:ascii="宋体" w:hAnsi="宋体" w:eastAsia="宋体" w:cs="宋体"/>
          <w:color w:val="auto"/>
          <w:sz w:val="24"/>
          <w:highlight w:val="none"/>
        </w:rPr>
      </w:pPr>
    </w:p>
    <w:p w14:paraId="5BFB4705">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一、投标函及投标函附录</w:t>
      </w:r>
    </w:p>
    <w:p w14:paraId="122206BC">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二、法定代表人身份证明</w:t>
      </w:r>
    </w:p>
    <w:p w14:paraId="08BA96C9">
      <w:pP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三、授权委托书</w:t>
      </w:r>
      <w:r>
        <w:rPr>
          <w:rFonts w:hint="eastAsia" w:ascii="宋体" w:hAnsi="宋体" w:cs="宋体"/>
          <w:color w:val="auto"/>
          <w:sz w:val="28"/>
          <w:szCs w:val="36"/>
          <w:highlight w:val="none"/>
          <w:lang w:val="en-US" w:eastAsia="zh-CN"/>
        </w:rPr>
        <w:t>（若有）</w:t>
      </w:r>
    </w:p>
    <w:p w14:paraId="69150F12">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四</w:t>
      </w:r>
      <w:r>
        <w:rPr>
          <w:rFonts w:hint="eastAsia" w:ascii="宋体" w:hAnsi="宋体" w:eastAsia="宋体" w:cs="宋体"/>
          <w:color w:val="auto"/>
          <w:sz w:val="28"/>
          <w:szCs w:val="36"/>
          <w:highlight w:val="none"/>
        </w:rPr>
        <w:t>、资格审查资料</w:t>
      </w:r>
    </w:p>
    <w:p w14:paraId="27F16914">
      <w:pP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五</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lang w:val="en-US" w:eastAsia="zh-CN"/>
        </w:rPr>
        <w:t>企业业绩</w:t>
      </w:r>
    </w:p>
    <w:p w14:paraId="4259199D">
      <w:pP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六</w:t>
      </w:r>
      <w:r>
        <w:rPr>
          <w:rFonts w:hint="eastAsia" w:ascii="宋体" w:hAnsi="宋体" w:eastAsia="宋体" w:cs="宋体"/>
          <w:color w:val="auto"/>
          <w:sz w:val="28"/>
          <w:szCs w:val="36"/>
          <w:highlight w:val="none"/>
        </w:rPr>
        <w:t>、</w:t>
      </w:r>
      <w:r>
        <w:rPr>
          <w:rFonts w:hint="eastAsia" w:ascii="宋体" w:hAnsi="宋体" w:cs="宋体"/>
          <w:color w:val="auto"/>
          <w:sz w:val="28"/>
          <w:szCs w:val="36"/>
          <w:highlight w:val="none"/>
          <w:lang w:val="en-US" w:eastAsia="zh-CN"/>
        </w:rPr>
        <w:t>技术和服务</w:t>
      </w:r>
      <w:r>
        <w:rPr>
          <w:rFonts w:hint="eastAsia" w:ascii="宋体" w:hAnsi="宋体" w:eastAsia="宋体" w:cs="宋体"/>
          <w:color w:val="auto"/>
          <w:sz w:val="28"/>
          <w:szCs w:val="36"/>
          <w:highlight w:val="none"/>
          <w:lang w:val="en-US" w:eastAsia="zh-CN"/>
        </w:rPr>
        <w:t>方案</w:t>
      </w:r>
    </w:p>
    <w:p w14:paraId="20ECA3C8">
      <w:pPr>
        <w:rPr>
          <w:rFonts w:hint="eastAsia" w:ascii="宋体" w:hAnsi="宋体" w:eastAsia="宋体" w:cs="宋体"/>
          <w:color w:val="auto"/>
          <w:sz w:val="28"/>
          <w:szCs w:val="36"/>
          <w:highlight w:val="none"/>
        </w:rPr>
      </w:pPr>
      <w:r>
        <w:rPr>
          <w:rFonts w:hint="eastAsia" w:ascii="宋体" w:hAnsi="宋体" w:cs="宋体"/>
          <w:color w:val="auto"/>
          <w:sz w:val="28"/>
          <w:szCs w:val="36"/>
          <w:highlight w:val="none"/>
          <w:lang w:val="en-US" w:eastAsia="zh-CN"/>
        </w:rPr>
        <w:t>七</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供应商</w:t>
      </w:r>
      <w:r>
        <w:rPr>
          <w:rFonts w:hint="eastAsia" w:ascii="宋体" w:hAnsi="宋体" w:eastAsia="宋体" w:cs="宋体"/>
          <w:color w:val="auto"/>
          <w:sz w:val="28"/>
          <w:szCs w:val="36"/>
          <w:highlight w:val="none"/>
          <w:lang w:val="en-US" w:eastAsia="zh-CN"/>
        </w:rPr>
        <w:t>认为</w:t>
      </w:r>
      <w:r>
        <w:rPr>
          <w:rFonts w:hint="eastAsia" w:ascii="宋体" w:hAnsi="宋体" w:eastAsia="宋体" w:cs="宋体"/>
          <w:color w:val="auto"/>
          <w:sz w:val="28"/>
          <w:szCs w:val="36"/>
          <w:highlight w:val="none"/>
        </w:rPr>
        <w:t>可提交的其他资料</w:t>
      </w:r>
    </w:p>
    <w:p w14:paraId="58331BE1">
      <w:pPr>
        <w:rPr>
          <w:rFonts w:hint="eastAsia" w:ascii="宋体" w:hAnsi="宋体" w:eastAsia="宋体" w:cs="宋体"/>
          <w:color w:val="auto"/>
          <w:highlight w:val="none"/>
        </w:rPr>
      </w:pPr>
    </w:p>
    <w:p w14:paraId="4E5A55C8">
      <w:pPr>
        <w:rPr>
          <w:rFonts w:hint="eastAsia" w:ascii="宋体" w:hAnsi="宋体" w:eastAsia="宋体" w:cs="宋体"/>
          <w:color w:val="auto"/>
          <w:highlight w:val="none"/>
        </w:rPr>
      </w:pPr>
    </w:p>
    <w:p w14:paraId="380298B7">
      <w:pPr>
        <w:spacing w:line="360" w:lineRule="auto"/>
        <w:rPr>
          <w:rFonts w:hint="eastAsia" w:ascii="宋体" w:hAnsi="宋体" w:eastAsia="宋体" w:cs="宋体"/>
          <w:color w:val="auto"/>
          <w:sz w:val="24"/>
          <w:highlight w:val="none"/>
          <w:u w:val="single"/>
          <w:lang w:val="en-US" w:eastAsia="zh-CN"/>
        </w:rPr>
      </w:pPr>
    </w:p>
    <w:p w14:paraId="1295F978">
      <w:pPr>
        <w:spacing w:line="360" w:lineRule="auto"/>
        <w:rPr>
          <w:rFonts w:hint="eastAsia" w:ascii="宋体" w:hAnsi="宋体" w:eastAsia="宋体" w:cs="宋体"/>
          <w:color w:val="auto"/>
          <w:sz w:val="24"/>
          <w:highlight w:val="none"/>
          <w:u w:val="single"/>
        </w:rPr>
      </w:pPr>
    </w:p>
    <w:p w14:paraId="6B319C27">
      <w:pPr>
        <w:spacing w:line="360" w:lineRule="auto"/>
        <w:rPr>
          <w:rFonts w:hint="eastAsia" w:ascii="宋体" w:hAnsi="宋体" w:eastAsia="宋体" w:cs="宋体"/>
          <w:color w:val="auto"/>
          <w:sz w:val="24"/>
          <w:highlight w:val="none"/>
          <w:u w:val="single"/>
        </w:rPr>
      </w:pPr>
    </w:p>
    <w:p w14:paraId="08A2A4AA">
      <w:pPr>
        <w:spacing w:line="360" w:lineRule="auto"/>
        <w:rPr>
          <w:rFonts w:hint="eastAsia" w:ascii="宋体" w:hAnsi="宋体" w:eastAsia="宋体" w:cs="宋体"/>
          <w:color w:val="auto"/>
          <w:sz w:val="24"/>
          <w:highlight w:val="none"/>
          <w:u w:val="single"/>
        </w:rPr>
      </w:pPr>
    </w:p>
    <w:p w14:paraId="366479DE">
      <w:pPr>
        <w:spacing w:line="360" w:lineRule="auto"/>
        <w:rPr>
          <w:rFonts w:hint="eastAsia" w:ascii="宋体" w:hAnsi="宋体" w:eastAsia="宋体" w:cs="宋体"/>
          <w:color w:val="auto"/>
          <w:sz w:val="24"/>
          <w:highlight w:val="none"/>
          <w:u w:val="single"/>
        </w:rPr>
      </w:pPr>
    </w:p>
    <w:p w14:paraId="53E09CBF">
      <w:pPr>
        <w:spacing w:line="360" w:lineRule="auto"/>
        <w:rPr>
          <w:rFonts w:hint="eastAsia" w:ascii="宋体" w:hAnsi="宋体" w:eastAsia="宋体" w:cs="宋体"/>
          <w:color w:val="auto"/>
          <w:sz w:val="24"/>
          <w:highlight w:val="none"/>
          <w:u w:val="single"/>
        </w:rPr>
      </w:pPr>
    </w:p>
    <w:p w14:paraId="3DAC8DA0">
      <w:pPr>
        <w:spacing w:line="360" w:lineRule="auto"/>
        <w:rPr>
          <w:rFonts w:hint="eastAsia" w:ascii="宋体" w:hAnsi="宋体" w:eastAsia="宋体" w:cs="宋体"/>
          <w:color w:val="auto"/>
          <w:sz w:val="24"/>
          <w:highlight w:val="none"/>
          <w:u w:val="single"/>
        </w:rPr>
      </w:pPr>
    </w:p>
    <w:p w14:paraId="5681C8C5">
      <w:pPr>
        <w:pStyle w:val="100"/>
        <w:ind w:firstLine="120"/>
        <w:jc w:val="center"/>
        <w:rPr>
          <w:rFonts w:hint="eastAsia" w:ascii="宋体" w:hAnsi="宋体" w:eastAsia="宋体" w:cs="宋体"/>
          <w:color w:val="auto"/>
          <w:sz w:val="24"/>
          <w:szCs w:val="24"/>
          <w:highlight w:val="none"/>
        </w:rPr>
      </w:pPr>
    </w:p>
    <w:p w14:paraId="557D5B43">
      <w:pPr>
        <w:pStyle w:val="4"/>
        <w:spacing w:before="0" w:after="0" w:line="360" w:lineRule="auto"/>
        <w:jc w:val="center"/>
        <w:outlineLvl w:val="1"/>
        <w:rPr>
          <w:rFonts w:hint="eastAsia" w:ascii="宋体" w:hAnsi="宋体" w:eastAsia="宋体" w:cs="宋体"/>
          <w:color w:val="auto"/>
          <w:sz w:val="32"/>
          <w:szCs w:val="28"/>
          <w:highlight w:val="none"/>
        </w:rPr>
      </w:pPr>
    </w:p>
    <w:p w14:paraId="366AEF3C">
      <w:pPr>
        <w:pStyle w:val="4"/>
        <w:rPr>
          <w:rFonts w:hint="eastAsia"/>
          <w:highlight w:val="none"/>
        </w:rPr>
      </w:pPr>
    </w:p>
    <w:p w14:paraId="3BC382FA">
      <w:pPr>
        <w:rPr>
          <w:rFonts w:hint="eastAsia"/>
        </w:rPr>
      </w:pPr>
    </w:p>
    <w:p w14:paraId="01CF9980">
      <w:pPr>
        <w:rPr>
          <w:rFonts w:hint="eastAsia"/>
        </w:rPr>
      </w:pPr>
    </w:p>
    <w:p w14:paraId="671CD066">
      <w:pPr>
        <w:pStyle w:val="4"/>
        <w:spacing w:before="0" w:after="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32"/>
          <w:szCs w:val="28"/>
          <w:highlight w:val="none"/>
        </w:rPr>
        <w:t>一、投标函及投标函附录</w:t>
      </w:r>
    </w:p>
    <w:p w14:paraId="5894B327">
      <w:pPr>
        <w:pStyle w:val="100"/>
        <w:ind w:firstLine="120"/>
        <w:jc w:val="center"/>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（一）投标函</w:t>
      </w:r>
    </w:p>
    <w:p w14:paraId="604E85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6CA341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文件的全部内容，投标报价（大写）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val="en-US" w:eastAsia="zh-CN"/>
        </w:rPr>
        <w:t>元</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质量要求</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rPr>
        <w:t>按招标文件的要求提供本次</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内</w:t>
      </w:r>
      <w:r>
        <w:rPr>
          <w:rFonts w:hint="eastAsia" w:ascii="宋体" w:hAnsi="宋体" w:cs="宋体"/>
          <w:color w:val="auto"/>
          <w:sz w:val="24"/>
          <w:highlight w:val="none"/>
          <w:lang w:val="en-US" w:eastAsia="zh-CN"/>
        </w:rPr>
        <w:t>容</w:t>
      </w:r>
      <w:r>
        <w:rPr>
          <w:rFonts w:hint="eastAsia" w:ascii="宋体" w:hAnsi="宋体" w:eastAsia="宋体" w:cs="宋体"/>
          <w:color w:val="auto"/>
          <w:sz w:val="24"/>
          <w:highlight w:val="none"/>
        </w:rPr>
        <w:t>的全部</w:t>
      </w:r>
      <w:r>
        <w:rPr>
          <w:rFonts w:hint="eastAsia" w:ascii="宋体" w:hAnsi="宋体" w:cs="宋体"/>
          <w:color w:val="auto"/>
          <w:sz w:val="24"/>
          <w:highlight w:val="none"/>
          <w:lang w:val="en-US" w:eastAsia="zh-CN"/>
        </w:rPr>
        <w:t>硬件</w:t>
      </w:r>
      <w:r>
        <w:rPr>
          <w:rFonts w:hint="eastAsia" w:ascii="宋体" w:hAnsi="宋体" w:eastAsia="宋体" w:cs="宋体"/>
          <w:color w:val="auto"/>
          <w:sz w:val="24"/>
          <w:highlight w:val="none"/>
        </w:rPr>
        <w:t>和</w:t>
      </w:r>
      <w:r>
        <w:rPr>
          <w:rFonts w:hint="eastAsia" w:ascii="宋体" w:hAnsi="宋体" w:cs="宋体"/>
          <w:color w:val="auto"/>
          <w:sz w:val="24"/>
          <w:highlight w:val="none"/>
          <w:lang w:val="en-US" w:eastAsia="zh-CN"/>
        </w:rPr>
        <w:t>软件</w:t>
      </w:r>
      <w:r>
        <w:rPr>
          <w:rFonts w:hint="eastAsia" w:ascii="宋体" w:hAnsi="宋体" w:eastAsia="宋体" w:cs="宋体"/>
          <w:color w:val="auto"/>
          <w:sz w:val="24"/>
          <w:highlight w:val="none"/>
        </w:rPr>
        <w:t>系统安装调试服务。</w:t>
      </w:r>
    </w:p>
    <w:p w14:paraId="38D356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2.我方的投标文件包括下列内容：</w:t>
      </w:r>
    </w:p>
    <w:p w14:paraId="11204E1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投标函及投标函附录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法定代表人身份证明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授权委托书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若有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资格审查资料</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企业业绩；（6）技术和服务方案</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（7）供应商</w:t>
      </w:r>
      <w:r>
        <w:rPr>
          <w:rFonts w:hint="eastAsia" w:ascii="宋体" w:hAnsi="宋体" w:eastAsia="宋体" w:cs="宋体"/>
          <w:color w:val="auto"/>
          <w:sz w:val="24"/>
          <w:highlight w:val="none"/>
          <w:lang w:val="en-US" w:eastAsia="zh-CN"/>
        </w:rPr>
        <w:t>认为</w:t>
      </w:r>
      <w:r>
        <w:rPr>
          <w:rFonts w:hint="eastAsia" w:ascii="宋体" w:hAnsi="宋体" w:eastAsia="宋体" w:cs="宋体"/>
          <w:color w:val="auto"/>
          <w:sz w:val="24"/>
          <w:highlight w:val="none"/>
          <w:lang w:eastAsia="zh-CN"/>
        </w:rPr>
        <w:t>可提交的其他资料。</w:t>
      </w:r>
    </w:p>
    <w:p w14:paraId="1C42D8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投标文件的上述组成部分如存在内容不一致的，以投标函为准。</w:t>
      </w:r>
    </w:p>
    <w:p w14:paraId="71729E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3．我方承诺在招标文件规定的投标有效期内不撤销投标文件。</w:t>
      </w:r>
    </w:p>
    <w:p w14:paraId="3FCF7E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336EA1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（1）在收到中标通知书后，在中标通知书规定的期限内与你方签订合同；</w:t>
      </w:r>
    </w:p>
    <w:p w14:paraId="68529B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（2）在签订合同时不向你方提出附加条件；</w:t>
      </w:r>
    </w:p>
    <w:p w14:paraId="1CA322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）在合同约定的期限内完成合同规定的全部义务。</w:t>
      </w:r>
    </w:p>
    <w:p w14:paraId="44784D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5．我方在此声明，所递交的投标文件及有关资料内容完整、真实和准确，且不存在第二章“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须知”第1.4.3项规定的任何一种情形。</w:t>
      </w:r>
    </w:p>
    <w:p w14:paraId="15D3948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我方愿按招标文件规定向招标代理机构足额交纳招标代理服务费。</w:t>
      </w:r>
    </w:p>
    <w:p w14:paraId="6CAABB2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14:paraId="58757A46">
      <w:pPr>
        <w:spacing w:line="360" w:lineRule="auto"/>
        <w:jc w:val="right"/>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2E970E9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34768A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5F3877A2">
      <w:pPr>
        <w:spacing w:line="360" w:lineRule="auto"/>
        <w:jc w:val="center"/>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联系人： </w:t>
      </w:r>
      <w:r>
        <w:rPr>
          <w:rFonts w:hint="eastAsia" w:ascii="宋体" w:hAnsi="宋体" w:eastAsia="宋体" w:cs="宋体"/>
          <w:color w:val="auto"/>
          <w:sz w:val="24"/>
          <w:highlight w:val="none"/>
          <w:u w:val="single"/>
          <w:lang w:val="en-US" w:eastAsia="zh-CN"/>
        </w:rPr>
        <w:t xml:space="preserve">                         </w:t>
      </w:r>
    </w:p>
    <w:p w14:paraId="5AB888FE">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3070F4B5">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F097E3D">
      <w:pPr>
        <w:pStyle w:val="100"/>
        <w:ind w:firstLine="0" w:firstLineChars="0"/>
        <w:jc w:val="both"/>
        <w:rPr>
          <w:rFonts w:hint="eastAsia" w:ascii="宋体" w:hAnsi="宋体" w:eastAsia="宋体" w:cs="宋体"/>
          <w:color w:val="auto"/>
          <w:sz w:val="24"/>
          <w:szCs w:val="24"/>
          <w:highlight w:val="none"/>
        </w:rPr>
      </w:pPr>
    </w:p>
    <w:p w14:paraId="79BB5200">
      <w:pPr>
        <w:pStyle w:val="100"/>
        <w:ind w:firstLine="0" w:firstLineChars="0"/>
        <w:jc w:val="center"/>
        <w:rPr>
          <w:rFonts w:hint="eastAsia" w:ascii="宋体" w:hAnsi="宋体" w:eastAsia="宋体" w:cs="宋体"/>
          <w:color w:val="auto"/>
          <w:sz w:val="24"/>
          <w:szCs w:val="24"/>
          <w:highlight w:val="none"/>
        </w:rPr>
      </w:pPr>
    </w:p>
    <w:p w14:paraId="1CB623B1">
      <w:pPr>
        <w:rPr>
          <w:rFonts w:hint="eastAsia"/>
        </w:rPr>
      </w:pPr>
    </w:p>
    <w:p w14:paraId="64800069">
      <w:pPr>
        <w:pStyle w:val="10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（二）投标函附录</w:t>
      </w:r>
    </w:p>
    <w:tbl>
      <w:tblPr>
        <w:tblStyle w:val="45"/>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5836"/>
      </w:tblGrid>
      <w:tr w14:paraId="5D06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906" w:type="dxa"/>
            <w:vAlign w:val="center"/>
          </w:tcPr>
          <w:p w14:paraId="4BDD6D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836" w:type="dxa"/>
            <w:vAlign w:val="center"/>
          </w:tcPr>
          <w:p w14:paraId="4E3F6569">
            <w:pPr>
              <w:spacing w:line="360" w:lineRule="auto"/>
              <w:outlineLvl w:val="9"/>
              <w:rPr>
                <w:rFonts w:hint="eastAsia" w:ascii="宋体" w:hAnsi="宋体" w:eastAsia="宋体" w:cs="宋体"/>
                <w:bCs/>
                <w:color w:val="auto"/>
                <w:sz w:val="24"/>
                <w:highlight w:val="none"/>
              </w:rPr>
            </w:pPr>
          </w:p>
        </w:tc>
      </w:tr>
      <w:tr w14:paraId="267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6" w:type="dxa"/>
            <w:vAlign w:val="center"/>
          </w:tcPr>
          <w:p w14:paraId="5A64E432">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p>
        </w:tc>
        <w:tc>
          <w:tcPr>
            <w:tcW w:w="5836" w:type="dxa"/>
            <w:vAlign w:val="center"/>
          </w:tcPr>
          <w:p w14:paraId="09077D7A">
            <w:pPr>
              <w:spacing w:line="360" w:lineRule="auto"/>
              <w:rPr>
                <w:rFonts w:hint="eastAsia" w:ascii="宋体" w:hAnsi="宋体" w:eastAsia="宋体" w:cs="宋体"/>
                <w:color w:val="auto"/>
                <w:sz w:val="24"/>
                <w:highlight w:val="none"/>
              </w:rPr>
            </w:pPr>
          </w:p>
        </w:tc>
      </w:tr>
      <w:tr w14:paraId="1E23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2906" w:type="dxa"/>
            <w:vAlign w:val="center"/>
          </w:tcPr>
          <w:p w14:paraId="3DDBA1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5836" w:type="dxa"/>
            <w:vAlign w:val="center"/>
          </w:tcPr>
          <w:p w14:paraId="6FD2F3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p w14:paraId="16D2EF6D">
            <w:pPr>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val="en-US" w:eastAsia="zh-CN"/>
              </w:rPr>
              <w:t>元</w:t>
            </w:r>
          </w:p>
        </w:tc>
      </w:tr>
      <w:tr w14:paraId="5B11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906" w:type="dxa"/>
            <w:vAlign w:val="center"/>
          </w:tcPr>
          <w:p w14:paraId="726C37EF">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投标内容</w:t>
            </w:r>
          </w:p>
        </w:tc>
        <w:tc>
          <w:tcPr>
            <w:tcW w:w="5836" w:type="dxa"/>
            <w:vAlign w:val="center"/>
          </w:tcPr>
          <w:p w14:paraId="7C6409F0">
            <w:pPr>
              <w:spacing w:line="360" w:lineRule="auto"/>
              <w:rPr>
                <w:rFonts w:hint="eastAsia" w:ascii="宋体" w:hAnsi="宋体" w:eastAsia="宋体" w:cs="宋体"/>
                <w:color w:val="auto"/>
                <w:sz w:val="24"/>
                <w:highlight w:val="none"/>
              </w:rPr>
            </w:pPr>
          </w:p>
        </w:tc>
      </w:tr>
      <w:tr w14:paraId="2AEB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906" w:type="dxa"/>
            <w:vAlign w:val="center"/>
          </w:tcPr>
          <w:p w14:paraId="43C6DBC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服务期限</w:t>
            </w:r>
          </w:p>
        </w:tc>
        <w:tc>
          <w:tcPr>
            <w:tcW w:w="5836" w:type="dxa"/>
            <w:vAlign w:val="center"/>
          </w:tcPr>
          <w:p w14:paraId="5F673719">
            <w:pPr>
              <w:spacing w:line="360" w:lineRule="auto"/>
              <w:rPr>
                <w:rFonts w:hint="eastAsia" w:ascii="宋体" w:hAnsi="宋体" w:eastAsia="宋体" w:cs="宋体"/>
                <w:color w:val="auto"/>
                <w:sz w:val="24"/>
                <w:highlight w:val="none"/>
              </w:rPr>
            </w:pPr>
          </w:p>
        </w:tc>
      </w:tr>
      <w:tr w14:paraId="72F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906" w:type="dxa"/>
            <w:vAlign w:val="center"/>
          </w:tcPr>
          <w:p w14:paraId="6EBA35B0">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质量要求</w:t>
            </w:r>
          </w:p>
        </w:tc>
        <w:tc>
          <w:tcPr>
            <w:tcW w:w="5836" w:type="dxa"/>
            <w:vAlign w:val="center"/>
          </w:tcPr>
          <w:p w14:paraId="5A5461C9">
            <w:pPr>
              <w:spacing w:line="360" w:lineRule="auto"/>
              <w:rPr>
                <w:rFonts w:hint="eastAsia" w:ascii="宋体" w:hAnsi="宋体" w:eastAsia="宋体" w:cs="宋体"/>
                <w:color w:val="auto"/>
                <w:sz w:val="24"/>
                <w:highlight w:val="none"/>
              </w:rPr>
            </w:pPr>
          </w:p>
        </w:tc>
      </w:tr>
      <w:tr w14:paraId="59EB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06" w:type="dxa"/>
            <w:vAlign w:val="center"/>
          </w:tcPr>
          <w:p w14:paraId="22643FF0">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服务地点</w:t>
            </w:r>
          </w:p>
        </w:tc>
        <w:tc>
          <w:tcPr>
            <w:tcW w:w="5836" w:type="dxa"/>
            <w:vAlign w:val="center"/>
          </w:tcPr>
          <w:p w14:paraId="4DB7CE99">
            <w:pPr>
              <w:spacing w:line="360" w:lineRule="auto"/>
              <w:rPr>
                <w:rFonts w:hint="eastAsia" w:ascii="宋体" w:hAnsi="宋体" w:eastAsia="宋体" w:cs="宋体"/>
                <w:color w:val="auto"/>
                <w:sz w:val="24"/>
                <w:highlight w:val="none"/>
              </w:rPr>
            </w:pPr>
          </w:p>
        </w:tc>
      </w:tr>
      <w:tr w14:paraId="3131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06" w:type="dxa"/>
            <w:vAlign w:val="center"/>
          </w:tcPr>
          <w:p w14:paraId="27E47A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836" w:type="dxa"/>
            <w:vAlign w:val="center"/>
          </w:tcPr>
          <w:p w14:paraId="0385E21B">
            <w:pPr>
              <w:spacing w:line="360" w:lineRule="auto"/>
              <w:rPr>
                <w:rFonts w:hint="eastAsia" w:ascii="宋体" w:hAnsi="宋体" w:eastAsia="宋体" w:cs="宋体"/>
                <w:color w:val="auto"/>
                <w:sz w:val="24"/>
                <w:highlight w:val="none"/>
              </w:rPr>
            </w:pPr>
          </w:p>
        </w:tc>
      </w:tr>
      <w:tr w14:paraId="1CB4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906" w:type="dxa"/>
            <w:vAlign w:val="center"/>
          </w:tcPr>
          <w:p w14:paraId="2703DD60">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其他内容</w:t>
            </w:r>
          </w:p>
        </w:tc>
        <w:tc>
          <w:tcPr>
            <w:tcW w:w="5836" w:type="dxa"/>
            <w:vAlign w:val="center"/>
          </w:tcPr>
          <w:p w14:paraId="2F127F28">
            <w:pPr>
              <w:pStyle w:val="28"/>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（可另附页）</w:t>
            </w:r>
          </w:p>
        </w:tc>
      </w:tr>
    </w:tbl>
    <w:p w14:paraId="1EEA9C1A">
      <w:pPr>
        <w:spacing w:line="360" w:lineRule="auto"/>
        <w:jc w:val="both"/>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注：</w:t>
      </w:r>
      <w:r>
        <w:rPr>
          <w:rFonts w:hint="eastAsia" w:ascii="宋体" w:hAnsi="宋体" w:eastAsia="宋体" w:cs="宋体"/>
          <w:b/>
          <w:bCs/>
          <w:color w:val="auto"/>
          <w:sz w:val="24"/>
          <w:highlight w:val="none"/>
        </w:rPr>
        <w:t>以上报价应与“</w:t>
      </w:r>
      <w:r>
        <w:rPr>
          <w:rFonts w:hint="eastAsia" w:ascii="宋体" w:hAnsi="宋体" w:cs="宋体"/>
          <w:b/>
          <w:bCs/>
          <w:color w:val="auto"/>
          <w:sz w:val="24"/>
          <w:highlight w:val="none"/>
          <w:lang w:val="en-US" w:eastAsia="zh-CN"/>
        </w:rPr>
        <w:t>服务清单</w:t>
      </w:r>
      <w:r>
        <w:rPr>
          <w:rFonts w:hint="eastAsia" w:ascii="宋体" w:hAnsi="宋体" w:eastAsia="宋体" w:cs="宋体"/>
          <w:b/>
          <w:bCs/>
          <w:color w:val="auto"/>
          <w:sz w:val="24"/>
          <w:highlight w:val="none"/>
        </w:rPr>
        <w:t>”中的总报价相一致。</w:t>
      </w:r>
    </w:p>
    <w:p w14:paraId="255F2965">
      <w:pPr>
        <w:spacing w:line="360" w:lineRule="auto"/>
        <w:jc w:val="right"/>
        <w:rPr>
          <w:rFonts w:hint="eastAsia" w:ascii="宋体" w:hAnsi="宋体" w:eastAsia="宋体" w:cs="宋体"/>
          <w:color w:val="auto"/>
          <w:sz w:val="24"/>
          <w:highlight w:val="none"/>
        </w:rPr>
      </w:pPr>
    </w:p>
    <w:p w14:paraId="05C05659">
      <w:pPr>
        <w:spacing w:line="360" w:lineRule="auto"/>
        <w:jc w:val="right"/>
        <w:rPr>
          <w:rFonts w:hint="eastAsia" w:ascii="宋体" w:hAnsi="宋体" w:eastAsia="宋体" w:cs="宋体"/>
          <w:color w:val="auto"/>
          <w:sz w:val="24"/>
          <w:highlight w:val="none"/>
        </w:rPr>
      </w:pPr>
    </w:p>
    <w:p w14:paraId="6B39F924">
      <w:pPr>
        <w:spacing w:line="360" w:lineRule="auto"/>
        <w:jc w:val="right"/>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3213D124">
      <w:pPr>
        <w:spacing w:line="360" w:lineRule="auto"/>
        <w:jc w:val="right"/>
        <w:rPr>
          <w:rFonts w:hint="eastAsia" w:ascii="宋体" w:hAnsi="宋体" w:eastAsia="宋体" w:cs="宋体"/>
          <w:color w:val="auto"/>
          <w:sz w:val="24"/>
          <w:highlight w:val="none"/>
        </w:rPr>
      </w:pPr>
    </w:p>
    <w:p w14:paraId="66EB39B8">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70A71321">
      <w:pPr>
        <w:spacing w:line="360" w:lineRule="auto"/>
        <w:jc w:val="right"/>
        <w:rPr>
          <w:rFonts w:hint="eastAsia" w:ascii="宋体" w:hAnsi="宋体" w:eastAsia="宋体" w:cs="宋体"/>
          <w:color w:val="auto"/>
          <w:sz w:val="24"/>
          <w:highlight w:val="none"/>
        </w:rPr>
      </w:pPr>
    </w:p>
    <w:p w14:paraId="6BA91922">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     月    日</w:t>
      </w:r>
      <w:bookmarkStart w:id="252" w:name="_Toc505093194"/>
    </w:p>
    <w:p w14:paraId="64C74009">
      <w:pPr>
        <w:pStyle w:val="100"/>
        <w:ind w:firstLine="0" w:firstLineChars="0"/>
        <w:jc w:val="center"/>
        <w:rPr>
          <w:rFonts w:hint="eastAsia" w:ascii="宋体" w:hAnsi="宋体" w:eastAsia="宋体" w:cs="宋体"/>
          <w:b/>
          <w:bCs/>
          <w:color w:val="auto"/>
          <w:sz w:val="24"/>
          <w:szCs w:val="24"/>
          <w:highlight w:val="none"/>
          <w:lang w:eastAsia="zh-CN"/>
        </w:rPr>
      </w:pPr>
    </w:p>
    <w:p w14:paraId="60AD3575">
      <w:pPr>
        <w:rPr>
          <w:rFonts w:hint="eastAsia" w:ascii="宋体" w:hAnsi="宋体" w:eastAsia="宋体" w:cs="宋体"/>
          <w:b/>
          <w:bCs/>
          <w:color w:val="auto"/>
          <w:sz w:val="24"/>
          <w:szCs w:val="24"/>
          <w:highlight w:val="none"/>
          <w:lang w:eastAsia="zh-CN"/>
        </w:rPr>
      </w:pPr>
    </w:p>
    <w:p w14:paraId="283FA2D8">
      <w:pPr>
        <w:rPr>
          <w:rFonts w:hint="eastAsia" w:ascii="宋体" w:hAnsi="宋体" w:eastAsia="宋体" w:cs="宋体"/>
          <w:b/>
          <w:bCs/>
          <w:color w:val="auto"/>
          <w:sz w:val="24"/>
          <w:szCs w:val="24"/>
          <w:highlight w:val="none"/>
          <w:lang w:eastAsia="zh-CN"/>
        </w:rPr>
      </w:pPr>
    </w:p>
    <w:p w14:paraId="2E6A0C5B">
      <w:pPr>
        <w:pStyle w:val="100"/>
        <w:ind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（三）服务清单</w:t>
      </w:r>
    </w:p>
    <w:p w14:paraId="4B59D810">
      <w:pPr>
        <w:widowControl w:val="0"/>
        <w:numPr>
          <w:ilvl w:val="0"/>
          <w:numId w:val="0"/>
        </w:numPr>
        <w:jc w:val="center"/>
        <w:rPr>
          <w:rFonts w:hint="default"/>
          <w:highlight w:val="none"/>
          <w:lang w:val="en-US" w:eastAsia="zh-CN"/>
        </w:rPr>
      </w:pPr>
      <w:r>
        <w:rPr>
          <w:rFonts w:hint="eastAsia"/>
          <w:highlight w:val="none"/>
          <w:lang w:val="en-US" w:eastAsia="zh-CN"/>
        </w:rPr>
        <w:t>（格式自拟）</w:t>
      </w:r>
    </w:p>
    <w:bookmarkEnd w:id="252"/>
    <w:p w14:paraId="161D1D1D">
      <w:pPr>
        <w:spacing w:line="360" w:lineRule="auto"/>
        <w:rPr>
          <w:rFonts w:hint="eastAsia" w:ascii="宋体" w:hAnsi="宋体" w:eastAsia="宋体" w:cs="宋体"/>
          <w:color w:val="auto"/>
          <w:sz w:val="24"/>
          <w:highlight w:val="none"/>
        </w:rPr>
      </w:pPr>
    </w:p>
    <w:p w14:paraId="63D703F4">
      <w:pPr>
        <w:spacing w:line="360" w:lineRule="auto"/>
        <w:rPr>
          <w:rFonts w:hint="eastAsia" w:ascii="宋体" w:hAnsi="宋体" w:eastAsia="宋体" w:cs="宋体"/>
          <w:color w:val="auto"/>
          <w:sz w:val="24"/>
          <w:highlight w:val="none"/>
        </w:rPr>
      </w:pPr>
    </w:p>
    <w:p w14:paraId="34270C18">
      <w:pPr>
        <w:spacing w:line="360" w:lineRule="auto"/>
        <w:rPr>
          <w:rFonts w:hint="eastAsia" w:ascii="宋体" w:hAnsi="宋体" w:eastAsia="宋体" w:cs="宋体"/>
          <w:color w:val="auto"/>
          <w:sz w:val="24"/>
          <w:highlight w:val="none"/>
        </w:rPr>
      </w:pPr>
    </w:p>
    <w:p w14:paraId="76014DE7">
      <w:pPr>
        <w:spacing w:line="360" w:lineRule="auto"/>
        <w:rPr>
          <w:rFonts w:hint="eastAsia" w:ascii="宋体" w:hAnsi="宋体" w:eastAsia="宋体" w:cs="宋体"/>
          <w:color w:val="auto"/>
          <w:sz w:val="24"/>
          <w:highlight w:val="none"/>
        </w:rPr>
      </w:pPr>
    </w:p>
    <w:p w14:paraId="59FA08E1">
      <w:pPr>
        <w:spacing w:line="360" w:lineRule="auto"/>
        <w:rPr>
          <w:rFonts w:hint="eastAsia" w:ascii="宋体" w:hAnsi="宋体" w:eastAsia="宋体" w:cs="宋体"/>
          <w:color w:val="auto"/>
          <w:sz w:val="24"/>
          <w:highlight w:val="none"/>
        </w:rPr>
      </w:pPr>
    </w:p>
    <w:p w14:paraId="52F09144">
      <w:pPr>
        <w:spacing w:line="360" w:lineRule="auto"/>
        <w:rPr>
          <w:rFonts w:hint="eastAsia" w:ascii="宋体" w:hAnsi="宋体" w:eastAsia="宋体" w:cs="宋体"/>
          <w:color w:val="auto"/>
          <w:sz w:val="24"/>
          <w:highlight w:val="none"/>
        </w:rPr>
      </w:pPr>
    </w:p>
    <w:p w14:paraId="08ED882E">
      <w:pPr>
        <w:spacing w:line="360" w:lineRule="auto"/>
        <w:rPr>
          <w:rFonts w:hint="eastAsia" w:ascii="宋体" w:hAnsi="宋体" w:eastAsia="宋体" w:cs="宋体"/>
          <w:color w:val="auto"/>
          <w:sz w:val="24"/>
          <w:highlight w:val="none"/>
        </w:rPr>
      </w:pPr>
    </w:p>
    <w:p w14:paraId="0994186B">
      <w:pPr>
        <w:spacing w:line="360" w:lineRule="auto"/>
        <w:rPr>
          <w:rFonts w:hint="eastAsia" w:ascii="宋体" w:hAnsi="宋体" w:eastAsia="宋体" w:cs="宋体"/>
          <w:color w:val="auto"/>
          <w:sz w:val="24"/>
          <w:highlight w:val="none"/>
        </w:rPr>
      </w:pPr>
    </w:p>
    <w:p w14:paraId="6CDE63AB">
      <w:pPr>
        <w:spacing w:line="360" w:lineRule="auto"/>
        <w:rPr>
          <w:rFonts w:hint="eastAsia" w:ascii="宋体" w:hAnsi="宋体" w:eastAsia="宋体" w:cs="宋体"/>
          <w:color w:val="auto"/>
          <w:sz w:val="24"/>
          <w:highlight w:val="none"/>
        </w:rPr>
      </w:pPr>
    </w:p>
    <w:p w14:paraId="49812A6E">
      <w:pPr>
        <w:spacing w:line="360" w:lineRule="auto"/>
        <w:rPr>
          <w:rFonts w:hint="eastAsia" w:ascii="宋体" w:hAnsi="宋体" w:eastAsia="宋体" w:cs="宋体"/>
          <w:color w:val="auto"/>
          <w:sz w:val="24"/>
          <w:highlight w:val="none"/>
        </w:rPr>
      </w:pPr>
    </w:p>
    <w:p w14:paraId="007B6521">
      <w:pPr>
        <w:spacing w:line="360" w:lineRule="auto"/>
        <w:rPr>
          <w:rFonts w:hint="eastAsia" w:ascii="宋体" w:hAnsi="宋体" w:eastAsia="宋体" w:cs="宋体"/>
          <w:color w:val="auto"/>
          <w:sz w:val="24"/>
          <w:highlight w:val="none"/>
        </w:rPr>
      </w:pPr>
    </w:p>
    <w:p w14:paraId="64135B83">
      <w:pPr>
        <w:spacing w:line="360" w:lineRule="auto"/>
        <w:rPr>
          <w:rFonts w:hint="eastAsia" w:ascii="宋体" w:hAnsi="宋体" w:eastAsia="宋体" w:cs="宋体"/>
          <w:color w:val="auto"/>
          <w:sz w:val="24"/>
          <w:highlight w:val="none"/>
        </w:rPr>
      </w:pPr>
    </w:p>
    <w:p w14:paraId="6B14801D">
      <w:pPr>
        <w:spacing w:line="360" w:lineRule="auto"/>
        <w:rPr>
          <w:rFonts w:hint="eastAsia" w:ascii="宋体" w:hAnsi="宋体" w:eastAsia="宋体" w:cs="宋体"/>
          <w:color w:val="auto"/>
          <w:sz w:val="24"/>
          <w:highlight w:val="none"/>
        </w:rPr>
      </w:pPr>
    </w:p>
    <w:p w14:paraId="6126D3ED">
      <w:pPr>
        <w:spacing w:line="360" w:lineRule="auto"/>
        <w:rPr>
          <w:rFonts w:hint="eastAsia" w:ascii="宋体" w:hAnsi="宋体" w:eastAsia="宋体" w:cs="宋体"/>
          <w:color w:val="auto"/>
          <w:sz w:val="24"/>
          <w:highlight w:val="none"/>
        </w:rPr>
      </w:pPr>
    </w:p>
    <w:p w14:paraId="1E326B48">
      <w:pPr>
        <w:spacing w:line="360" w:lineRule="auto"/>
        <w:rPr>
          <w:rFonts w:hint="eastAsia" w:ascii="宋体" w:hAnsi="宋体" w:eastAsia="宋体" w:cs="宋体"/>
          <w:color w:val="auto"/>
          <w:sz w:val="24"/>
          <w:highlight w:val="none"/>
        </w:rPr>
      </w:pPr>
    </w:p>
    <w:p w14:paraId="4034904B">
      <w:pPr>
        <w:pStyle w:val="4"/>
        <w:spacing w:before="0" w:after="0" w:line="360" w:lineRule="auto"/>
        <w:jc w:val="left"/>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aps w:val="0"/>
          <w:spacing w:val="0"/>
          <w:kern w:val="2"/>
          <w:sz w:val="24"/>
          <w:szCs w:val="24"/>
          <w:highlight w:val="none"/>
          <w:lang w:val="en-US" w:eastAsia="zh-CN" w:bidi="ar-SA"/>
        </w:rPr>
        <w:t>注：</w:t>
      </w:r>
      <w:bookmarkStart w:id="253" w:name="_Toc10318"/>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的投标报价必须包含</w:t>
      </w:r>
      <w:r>
        <w:rPr>
          <w:rFonts w:hint="eastAsia" w:ascii="宋体" w:hAnsi="宋体" w:cs="宋体"/>
          <w:b/>
          <w:bCs/>
          <w:color w:val="auto"/>
          <w:sz w:val="24"/>
          <w:szCs w:val="24"/>
          <w:highlight w:val="none"/>
          <w:lang w:val="en-US" w:eastAsia="zh-CN"/>
        </w:rPr>
        <w:t>本服务项目所产生的设备</w:t>
      </w:r>
      <w:r>
        <w:rPr>
          <w:rFonts w:hint="eastAsia" w:ascii="宋体" w:hAnsi="宋体" w:eastAsia="宋体" w:cs="宋体"/>
          <w:b/>
          <w:bCs/>
          <w:color w:val="auto"/>
          <w:sz w:val="24"/>
          <w:szCs w:val="24"/>
          <w:highlight w:val="none"/>
          <w:lang w:val="en-US" w:eastAsia="zh-CN"/>
        </w:rPr>
        <w:t>货款、标准附件、备品备件、专用工具、人工费、服务费、包装费、运输费、装卸费、保险费、采购保管、系统安装调试费、设备维护、检测验收费、税金、培训费、数据运维（包含系统升级）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利润、售后服务等各项与此项目有关的一切费用。 </w:t>
      </w:r>
    </w:p>
    <w:p w14:paraId="2C626633">
      <w:pPr>
        <w:pStyle w:val="4"/>
        <w:spacing w:before="0" w:after="0" w:line="360" w:lineRule="auto"/>
        <w:jc w:val="right"/>
        <w:outlineLvl w:val="9"/>
        <w:rPr>
          <w:rFonts w:hint="eastAsia" w:ascii="宋体" w:hAnsi="宋体" w:cs="宋体"/>
          <w:caps w:val="0"/>
          <w:spacing w:val="0"/>
          <w:sz w:val="28"/>
          <w:szCs w:val="28"/>
          <w:highlight w:val="none"/>
          <w:lang w:val="en-US" w:eastAsia="zh-CN"/>
        </w:rPr>
      </w:pPr>
    </w:p>
    <w:p w14:paraId="06BF050B">
      <w:pPr>
        <w:spacing w:line="360" w:lineRule="auto"/>
        <w:jc w:val="right"/>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2D4EA619">
      <w:pPr>
        <w:spacing w:line="360" w:lineRule="auto"/>
        <w:jc w:val="both"/>
        <w:rPr>
          <w:rFonts w:hint="eastAsia" w:ascii="宋体" w:hAnsi="宋体" w:eastAsia="宋体" w:cs="宋体"/>
          <w:color w:val="auto"/>
          <w:sz w:val="24"/>
          <w:highlight w:val="none"/>
        </w:rPr>
      </w:pPr>
    </w:p>
    <w:p w14:paraId="7DBFBDFD">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rPr>
        <w:t>）</w:t>
      </w:r>
    </w:p>
    <w:p w14:paraId="0ADE0AE4">
      <w:pPr>
        <w:spacing w:line="360" w:lineRule="auto"/>
        <w:jc w:val="right"/>
        <w:rPr>
          <w:rFonts w:hint="eastAsia" w:ascii="宋体" w:hAnsi="宋体" w:eastAsia="宋体" w:cs="宋体"/>
          <w:color w:val="auto"/>
          <w:sz w:val="24"/>
          <w:highlight w:val="none"/>
        </w:rPr>
      </w:pPr>
    </w:p>
    <w:p w14:paraId="2E280C8C">
      <w:pPr>
        <w:spacing w:line="360" w:lineRule="auto"/>
        <w:jc w:val="center"/>
        <w:rPr>
          <w:rFonts w:hint="eastAsia" w:ascii="宋体" w:hAnsi="宋体" w:eastAsia="宋体" w:cs="宋体"/>
          <w:color w:val="auto"/>
          <w:sz w:val="24"/>
          <w:highlight w:val="none"/>
        </w:rPr>
      </w:pPr>
    </w:p>
    <w:p w14:paraId="0D9BF0C1">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6D6B4FE9">
      <w:pPr>
        <w:spacing w:line="360" w:lineRule="auto"/>
        <w:jc w:val="center"/>
        <w:rPr>
          <w:rFonts w:hint="eastAsia" w:ascii="宋体" w:hAnsi="宋体" w:eastAsia="宋体" w:cs="宋体"/>
          <w:color w:val="auto"/>
          <w:sz w:val="24"/>
          <w:highlight w:val="none"/>
        </w:rPr>
      </w:pPr>
    </w:p>
    <w:p w14:paraId="6C47F7BC">
      <w:pPr>
        <w:pStyle w:val="4"/>
        <w:spacing w:before="0" w:after="0" w:line="360" w:lineRule="auto"/>
        <w:jc w:val="center"/>
        <w:outlineLvl w:val="1"/>
        <w:rPr>
          <w:rFonts w:hint="eastAsia"/>
          <w:color w:val="auto"/>
          <w:sz w:val="36"/>
          <w:szCs w:val="36"/>
          <w:highlight w:val="none"/>
        </w:rPr>
      </w:pPr>
      <w:r>
        <w:rPr>
          <w:rFonts w:hint="eastAsia" w:ascii="宋体" w:hAnsi="宋体" w:eastAsia="宋体" w:cs="宋体"/>
          <w:color w:val="auto"/>
          <w:sz w:val="32"/>
          <w:szCs w:val="28"/>
          <w:highlight w:val="none"/>
        </w:rPr>
        <w:t>二、法定代表人身份证明</w:t>
      </w:r>
      <w:bookmarkEnd w:id="253"/>
    </w:p>
    <w:p w14:paraId="14DE2AC0">
      <w:pPr>
        <w:spacing w:line="360" w:lineRule="auto"/>
        <w:rPr>
          <w:rFonts w:hint="eastAsia" w:ascii="宋体" w:hAnsi="宋体" w:eastAsia="宋体" w:cs="宋体"/>
          <w:color w:val="auto"/>
          <w:sz w:val="24"/>
          <w:highlight w:val="none"/>
        </w:rPr>
      </w:pPr>
    </w:p>
    <w:p w14:paraId="79F50D58">
      <w:pPr>
        <w:widowControl/>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bidi="ar"/>
        </w:rPr>
        <w:t>供应商</w:t>
      </w:r>
      <w:r>
        <w:rPr>
          <w:rFonts w:hint="eastAsia" w:ascii="宋体" w:hAnsi="宋体" w:eastAsia="宋体" w:cs="宋体"/>
          <w:color w:val="auto"/>
          <w:kern w:val="0"/>
          <w:sz w:val="24"/>
          <w:highlight w:val="none"/>
          <w:lang w:bidi="ar"/>
        </w:rPr>
        <w:t xml:space="preserve">名称： </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6666C1E8">
      <w:pPr>
        <w:widowControl/>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单位性质：</w:t>
      </w:r>
      <w:r>
        <w:rPr>
          <w:rFonts w:hint="eastAsia" w:ascii="宋体" w:hAnsi="宋体" w:eastAsia="宋体" w:cs="宋体"/>
          <w:color w:val="auto"/>
          <w:kern w:val="0"/>
          <w:sz w:val="24"/>
          <w:highlight w:val="none"/>
          <w:u w:val="single"/>
          <w:lang w:bidi="ar"/>
        </w:rPr>
        <w:t xml:space="preserve">                       </w:t>
      </w:r>
    </w:p>
    <w:p w14:paraId="6E9574E2">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地址：</w:t>
      </w:r>
      <w:r>
        <w:rPr>
          <w:rFonts w:hint="eastAsia" w:ascii="宋体" w:hAnsi="宋体" w:eastAsia="宋体" w:cs="宋体"/>
          <w:color w:val="auto"/>
          <w:kern w:val="0"/>
          <w:sz w:val="24"/>
          <w:highlight w:val="none"/>
          <w:u w:val="single"/>
          <w:lang w:bidi="ar"/>
        </w:rPr>
        <w:t xml:space="preserve">                           </w:t>
      </w:r>
    </w:p>
    <w:p w14:paraId="23235C61">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成立时间：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p>
    <w:p w14:paraId="71265F14">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经营期限：</w:t>
      </w:r>
      <w:r>
        <w:rPr>
          <w:rFonts w:hint="eastAsia" w:ascii="宋体" w:hAnsi="宋体" w:eastAsia="宋体" w:cs="宋体"/>
          <w:color w:val="auto"/>
          <w:kern w:val="0"/>
          <w:sz w:val="24"/>
          <w:highlight w:val="none"/>
          <w:u w:val="single"/>
          <w:lang w:bidi="ar"/>
        </w:rPr>
        <w:t xml:space="preserve">            </w:t>
      </w:r>
    </w:p>
    <w:p w14:paraId="575182FE">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姓名：</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性别：</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年龄：</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职务：</w:t>
      </w:r>
      <w:r>
        <w:rPr>
          <w:rFonts w:hint="eastAsia" w:ascii="宋体" w:hAnsi="宋体" w:eastAsia="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u w:val="single"/>
          <w:lang w:bidi="ar"/>
        </w:rPr>
        <w:t xml:space="preserve">  </w:t>
      </w:r>
    </w:p>
    <w:p w14:paraId="65AD9004">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系</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w:t>
      </w:r>
      <w:r>
        <w:rPr>
          <w:rFonts w:hint="eastAsia" w:ascii="宋体" w:hAnsi="宋体" w:cs="宋体"/>
          <w:color w:val="auto"/>
          <w:kern w:val="0"/>
          <w:sz w:val="24"/>
          <w:highlight w:val="none"/>
          <w:lang w:eastAsia="zh-CN" w:bidi="ar"/>
        </w:rPr>
        <w:t>供应商</w:t>
      </w:r>
      <w:r>
        <w:rPr>
          <w:rFonts w:hint="eastAsia" w:ascii="宋体" w:hAnsi="宋体" w:eastAsia="宋体" w:cs="宋体"/>
          <w:color w:val="auto"/>
          <w:kern w:val="0"/>
          <w:sz w:val="24"/>
          <w:highlight w:val="none"/>
          <w:lang w:bidi="ar"/>
        </w:rPr>
        <w:t>名称）的法定代表人。</w:t>
      </w:r>
    </w:p>
    <w:p w14:paraId="082BE4D5">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w:t>
      </w:r>
    </w:p>
    <w:p w14:paraId="3B6111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60A854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法定代表人身份证</w:t>
      </w:r>
      <w:r>
        <w:rPr>
          <w:rFonts w:hint="eastAsia" w:ascii="宋体" w:hAnsi="宋体" w:cs="宋体"/>
          <w:color w:val="auto"/>
          <w:sz w:val="24"/>
          <w:highlight w:val="none"/>
          <w:lang w:val="en-US" w:eastAsia="zh-CN"/>
        </w:rPr>
        <w:t>的原件</w:t>
      </w:r>
      <w:r>
        <w:rPr>
          <w:rFonts w:hint="eastAsia" w:ascii="宋体" w:hAnsi="宋体" w:eastAsia="宋体" w:cs="宋体"/>
          <w:color w:val="auto"/>
          <w:sz w:val="24"/>
          <w:highlight w:val="none"/>
        </w:rPr>
        <w:t>扫描件。</w:t>
      </w:r>
    </w:p>
    <w:p w14:paraId="3936E62D">
      <w:pPr>
        <w:spacing w:line="360" w:lineRule="auto"/>
        <w:rPr>
          <w:rFonts w:hint="eastAsia" w:ascii="宋体" w:hAnsi="宋体" w:eastAsia="宋体" w:cs="宋体"/>
          <w:color w:val="auto"/>
          <w:sz w:val="24"/>
          <w:highlight w:val="none"/>
        </w:rPr>
      </w:pPr>
    </w:p>
    <w:p w14:paraId="5D78460D">
      <w:pPr>
        <w:spacing w:line="360" w:lineRule="auto"/>
        <w:rPr>
          <w:rFonts w:hint="eastAsia" w:ascii="宋体" w:hAnsi="宋体" w:eastAsia="宋体" w:cs="宋体"/>
          <w:color w:val="auto"/>
          <w:sz w:val="24"/>
          <w:highlight w:val="none"/>
        </w:rPr>
      </w:pPr>
    </w:p>
    <w:p w14:paraId="04AEC24C">
      <w:pPr>
        <w:spacing w:line="360" w:lineRule="auto"/>
        <w:rPr>
          <w:rFonts w:hint="eastAsia" w:ascii="宋体" w:hAnsi="宋体" w:eastAsia="宋体" w:cs="宋体"/>
          <w:color w:val="auto"/>
          <w:sz w:val="24"/>
          <w:highlight w:val="none"/>
        </w:rPr>
      </w:pPr>
    </w:p>
    <w:p w14:paraId="0B42E205">
      <w:pPr>
        <w:spacing w:line="360" w:lineRule="auto"/>
        <w:rPr>
          <w:rFonts w:hint="eastAsia" w:ascii="宋体" w:hAnsi="宋体" w:eastAsia="宋体" w:cs="宋体"/>
          <w:color w:val="auto"/>
          <w:sz w:val="24"/>
          <w:highlight w:val="none"/>
        </w:rPr>
      </w:pPr>
    </w:p>
    <w:p w14:paraId="07C8C505">
      <w:pPr>
        <w:spacing w:line="360" w:lineRule="auto"/>
        <w:jc w:val="right"/>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671D9B5E">
      <w:pPr>
        <w:spacing w:line="360" w:lineRule="auto"/>
        <w:jc w:val="right"/>
        <w:rPr>
          <w:rFonts w:hint="eastAsia" w:ascii="宋体" w:hAnsi="宋体" w:eastAsia="宋体" w:cs="宋体"/>
          <w:color w:val="auto"/>
          <w:sz w:val="24"/>
          <w:highlight w:val="none"/>
        </w:rPr>
      </w:pPr>
    </w:p>
    <w:p w14:paraId="47972C30">
      <w:pPr>
        <w:spacing w:line="360" w:lineRule="auto"/>
        <w:jc w:val="right"/>
        <w:rPr>
          <w:rFonts w:hint="eastAsia" w:ascii="宋体" w:hAnsi="宋体" w:eastAsia="宋体" w:cs="宋体"/>
          <w:color w:val="auto"/>
          <w:sz w:val="24"/>
          <w:highlight w:val="none"/>
        </w:rPr>
      </w:pPr>
    </w:p>
    <w:p w14:paraId="52CDD0B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rPr>
        <w:t>）</w:t>
      </w:r>
    </w:p>
    <w:p w14:paraId="5869F229">
      <w:pPr>
        <w:spacing w:line="360" w:lineRule="auto"/>
        <w:jc w:val="right"/>
        <w:rPr>
          <w:rFonts w:hint="eastAsia" w:ascii="宋体" w:hAnsi="宋体" w:eastAsia="宋体" w:cs="宋体"/>
          <w:color w:val="auto"/>
          <w:sz w:val="24"/>
          <w:highlight w:val="none"/>
        </w:rPr>
      </w:pPr>
    </w:p>
    <w:p w14:paraId="0283FB2A">
      <w:pPr>
        <w:spacing w:line="360" w:lineRule="auto"/>
        <w:jc w:val="right"/>
        <w:rPr>
          <w:rFonts w:hint="eastAsia" w:ascii="宋体" w:hAnsi="宋体" w:eastAsia="宋体" w:cs="宋体"/>
          <w:color w:val="auto"/>
          <w:sz w:val="24"/>
          <w:highlight w:val="none"/>
        </w:rPr>
      </w:pPr>
    </w:p>
    <w:p w14:paraId="1E2CA38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49B972">
      <w:pPr>
        <w:spacing w:line="360" w:lineRule="auto"/>
        <w:rPr>
          <w:rFonts w:hint="eastAsia" w:ascii="宋体" w:hAnsi="宋体" w:eastAsia="宋体" w:cs="宋体"/>
          <w:color w:val="auto"/>
          <w:sz w:val="24"/>
          <w:highlight w:val="none"/>
        </w:rPr>
      </w:pPr>
    </w:p>
    <w:p w14:paraId="29DD7C1C">
      <w:pPr>
        <w:spacing w:line="360" w:lineRule="auto"/>
        <w:rPr>
          <w:rFonts w:hint="eastAsia" w:ascii="宋体" w:hAnsi="宋体" w:eastAsia="宋体" w:cs="宋体"/>
          <w:color w:val="auto"/>
          <w:sz w:val="24"/>
          <w:highlight w:val="none"/>
        </w:rPr>
      </w:pPr>
    </w:p>
    <w:p w14:paraId="1F690A59">
      <w:pPr>
        <w:spacing w:line="360" w:lineRule="auto"/>
        <w:rPr>
          <w:rFonts w:hint="eastAsia" w:ascii="宋体" w:hAnsi="宋体" w:eastAsia="宋体" w:cs="宋体"/>
          <w:color w:val="auto"/>
          <w:sz w:val="24"/>
          <w:highlight w:val="none"/>
        </w:rPr>
      </w:pPr>
    </w:p>
    <w:p w14:paraId="78CDD0C4">
      <w:pPr>
        <w:spacing w:line="360" w:lineRule="auto"/>
        <w:rPr>
          <w:rFonts w:hint="eastAsia" w:ascii="宋体" w:hAnsi="宋体" w:eastAsia="宋体" w:cs="宋体"/>
          <w:color w:val="auto"/>
          <w:sz w:val="24"/>
          <w:highlight w:val="none"/>
        </w:rPr>
      </w:pPr>
    </w:p>
    <w:p w14:paraId="5A6517DE">
      <w:pPr>
        <w:spacing w:line="360" w:lineRule="auto"/>
        <w:ind w:firstLine="480" w:firstLineChars="200"/>
        <w:rPr>
          <w:rFonts w:hint="eastAsia" w:ascii="宋体" w:hAnsi="宋体" w:eastAsia="宋体" w:cs="宋体"/>
          <w:color w:val="auto"/>
          <w:sz w:val="24"/>
          <w:highlight w:val="none"/>
        </w:rPr>
      </w:pPr>
    </w:p>
    <w:p w14:paraId="4CC75446">
      <w:pPr>
        <w:pStyle w:val="4"/>
        <w:spacing w:before="0" w:after="0" w:line="360" w:lineRule="auto"/>
        <w:jc w:val="center"/>
        <w:outlineLvl w:val="1"/>
        <w:rPr>
          <w:rFonts w:hint="default" w:ascii="宋体" w:hAnsi="宋体" w:eastAsia="宋体" w:cs="宋体"/>
          <w:color w:val="auto"/>
          <w:sz w:val="32"/>
          <w:szCs w:val="28"/>
          <w:highlight w:val="none"/>
          <w:lang w:val="en-US" w:eastAsia="zh-CN"/>
        </w:rPr>
      </w:pPr>
      <w:r>
        <w:rPr>
          <w:rFonts w:hint="eastAsia" w:ascii="宋体" w:hAnsi="宋体" w:eastAsia="宋体" w:cs="宋体"/>
          <w:color w:val="auto"/>
          <w:sz w:val="32"/>
          <w:szCs w:val="28"/>
          <w:highlight w:val="none"/>
          <w:lang w:val="en-US" w:eastAsia="zh-CN"/>
        </w:rPr>
        <w:t>三、授权委托书</w:t>
      </w:r>
      <w:r>
        <w:rPr>
          <w:rFonts w:hint="eastAsia" w:ascii="宋体" w:hAnsi="宋体" w:cs="宋体"/>
          <w:color w:val="auto"/>
          <w:sz w:val="32"/>
          <w:szCs w:val="28"/>
          <w:highlight w:val="none"/>
          <w:lang w:val="en-US" w:eastAsia="zh-CN"/>
        </w:rPr>
        <w:t>（若有）</w:t>
      </w:r>
    </w:p>
    <w:p w14:paraId="5D02BB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（姓名）为我方代理人。代理人根据授权，以我方名义签署、澄清确认、递交、撤回、修改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项目投标文件、签订合同和处理有关事宜，其法律后果由我方承担。</w:t>
      </w:r>
    </w:p>
    <w:p w14:paraId="438C37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53DB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r>
        <w:rPr>
          <w:rFonts w:hint="eastAsia" w:ascii="宋体" w:hAnsi="宋体" w:eastAsia="宋体" w:cs="宋体"/>
          <w:color w:val="auto"/>
          <w:sz w:val="24"/>
          <w:highlight w:val="none"/>
        </w:rPr>
        <w:tab/>
      </w:r>
    </w:p>
    <w:p w14:paraId="2C169D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A18E6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w:t>
      </w:r>
      <w:r>
        <w:rPr>
          <w:rFonts w:hint="eastAsia" w:ascii="宋体" w:hAnsi="宋体" w:cs="宋体"/>
          <w:color w:val="auto"/>
          <w:sz w:val="24"/>
          <w:highlight w:val="none"/>
          <w:lang w:val="en-US" w:eastAsia="zh-CN"/>
        </w:rPr>
        <w:t>的原件扫描件</w:t>
      </w:r>
      <w:r>
        <w:rPr>
          <w:rFonts w:hint="eastAsia" w:ascii="宋体" w:hAnsi="宋体" w:eastAsia="宋体" w:cs="宋体"/>
          <w:color w:val="auto"/>
          <w:sz w:val="24"/>
          <w:highlight w:val="none"/>
        </w:rPr>
        <w:t>。</w:t>
      </w:r>
    </w:p>
    <w:p w14:paraId="14ED99FD">
      <w:pPr>
        <w:spacing w:line="360" w:lineRule="auto"/>
        <w:rPr>
          <w:rFonts w:hint="eastAsia" w:ascii="宋体" w:hAnsi="宋体" w:eastAsia="宋体" w:cs="宋体"/>
          <w:color w:val="auto"/>
          <w:sz w:val="24"/>
          <w:highlight w:val="none"/>
        </w:rPr>
      </w:pPr>
    </w:p>
    <w:p w14:paraId="6F4AE97A">
      <w:pPr>
        <w:spacing w:line="360" w:lineRule="auto"/>
        <w:jc w:val="right"/>
        <w:rPr>
          <w:rFonts w:hint="eastAsia" w:ascii="宋体" w:hAnsi="宋体" w:eastAsia="宋体" w:cs="宋体"/>
          <w:color w:val="auto"/>
          <w:sz w:val="24"/>
          <w:highlight w:val="none"/>
        </w:rPr>
      </w:pPr>
    </w:p>
    <w:p w14:paraId="12C9B33C">
      <w:pPr>
        <w:spacing w:line="360" w:lineRule="auto"/>
        <w:ind w:firstLine="2400" w:firstLineChars="10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4B0C8997">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w:t>
      </w:r>
      <w:r>
        <w:rPr>
          <w:rFonts w:hint="eastAsia" w:ascii="宋体" w:hAnsi="宋体" w:eastAsia="宋体" w:cs="宋体"/>
          <w:color w:val="auto"/>
          <w:sz w:val="24"/>
          <w:highlight w:val="none"/>
        </w:rPr>
        <w:t>）</w:t>
      </w:r>
    </w:p>
    <w:p w14:paraId="61E62D98">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D2006B2">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（签字或法定代表人签章）            </w:t>
      </w:r>
    </w:p>
    <w:p w14:paraId="59C86458">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35816E7">
      <w:pPr>
        <w:spacing w:line="360" w:lineRule="auto"/>
        <w:ind w:left="2400" w:hanging="2400" w:hangingChars="10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委托人联系电话：</w:t>
      </w:r>
      <w:r>
        <w:rPr>
          <w:rFonts w:hint="eastAsia" w:ascii="宋体" w:hAnsi="宋体" w:eastAsia="宋体" w:cs="宋体"/>
          <w:color w:val="auto"/>
          <w:sz w:val="24"/>
          <w:highlight w:val="none"/>
          <w:u w:val="single"/>
        </w:rPr>
        <w:t xml:space="preserve">                               </w:t>
      </w:r>
    </w:p>
    <w:p w14:paraId="1F247378">
      <w:pPr>
        <w:spacing w:line="360" w:lineRule="auto"/>
        <w:ind w:left="2400" w:hanging="2400" w:hangingChars="10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31A9EE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F349664">
      <w:pPr>
        <w:pStyle w:val="43"/>
        <w:rPr>
          <w:rFonts w:hint="eastAsia" w:ascii="宋体" w:hAnsi="宋体" w:eastAsia="宋体" w:cs="宋体"/>
          <w:color w:val="auto"/>
          <w:highlight w:val="none"/>
        </w:rPr>
      </w:pPr>
    </w:p>
    <w:p w14:paraId="39E894D9">
      <w:pPr>
        <w:pStyle w:val="44"/>
        <w:rPr>
          <w:rFonts w:hint="eastAsia" w:ascii="宋体" w:hAnsi="宋体" w:eastAsia="宋体" w:cs="宋体"/>
          <w:color w:val="auto"/>
          <w:highlight w:val="none"/>
        </w:rPr>
      </w:pPr>
    </w:p>
    <w:p w14:paraId="53CA8DE2">
      <w:pPr>
        <w:widowControl/>
        <w:adjustRightIn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注：1、因投标文件中授权委托书授权代理人无法手写签字，可以以印刷体代替（印刷体为电脑打出的字体）或者法定代表人电子签章代替。</w:t>
      </w:r>
    </w:p>
    <w:p w14:paraId="7064244B">
      <w:pPr>
        <w:spacing w:line="360" w:lineRule="auto"/>
        <w:rPr>
          <w:rFonts w:hint="eastAsia" w:ascii="宋体" w:hAnsi="宋体" w:eastAsia="宋体" w:cs="宋体"/>
          <w:b/>
          <w:bCs/>
          <w:strike w:val="0"/>
          <w:dstrike w:val="0"/>
          <w:color w:val="auto"/>
          <w:sz w:val="24"/>
          <w:highlight w:val="none"/>
        </w:rPr>
      </w:pPr>
      <w:r>
        <w:rPr>
          <w:rFonts w:hint="eastAsia" w:ascii="宋体" w:hAnsi="宋体" w:eastAsia="宋体" w:cs="宋体"/>
          <w:b/>
          <w:bCs/>
          <w:strike w:val="0"/>
          <w:dstrike w:val="0"/>
          <w:color w:val="auto"/>
          <w:sz w:val="24"/>
          <w:highlight w:val="none"/>
        </w:rPr>
        <w:t xml:space="preserve">    2、如为法定代表人参与投标，无委托代理人的，投标文件中可以删除此授权委托书。</w:t>
      </w:r>
    </w:p>
    <w:p w14:paraId="26C0A77C">
      <w:pPr>
        <w:spacing w:line="360" w:lineRule="auto"/>
        <w:jc w:val="center"/>
        <w:rPr>
          <w:rFonts w:hint="eastAsia" w:ascii="宋体" w:hAnsi="宋体" w:eastAsia="宋体" w:cs="宋体"/>
          <w:b/>
          <w:bCs/>
          <w:color w:val="auto"/>
          <w:sz w:val="24"/>
          <w:highlight w:val="none"/>
        </w:rPr>
      </w:pPr>
      <w:bookmarkStart w:id="254" w:name="_Toc505093197"/>
    </w:p>
    <w:p w14:paraId="690C8CB8">
      <w:pPr>
        <w:jc w:val="center"/>
        <w:outlineLvl w:val="9"/>
        <w:rPr>
          <w:rFonts w:hint="eastAsia" w:ascii="宋体" w:hAnsi="宋体" w:eastAsia="宋体" w:cs="宋体"/>
          <w:b/>
          <w:bCs/>
          <w:color w:val="auto"/>
          <w:sz w:val="28"/>
          <w:highlight w:val="none"/>
        </w:rPr>
      </w:pPr>
      <w:bookmarkStart w:id="255" w:name="_Toc32636"/>
    </w:p>
    <w:bookmarkEnd w:id="254"/>
    <w:bookmarkEnd w:id="255"/>
    <w:p w14:paraId="0489CA99">
      <w:pPr>
        <w:spacing w:line="360" w:lineRule="auto"/>
        <w:jc w:val="center"/>
        <w:outlineLvl w:val="9"/>
        <w:rPr>
          <w:rStyle w:val="71"/>
          <w:rFonts w:hint="eastAsia" w:ascii="宋体" w:hAnsi="宋体" w:cs="宋体"/>
          <w:color w:val="auto"/>
          <w:sz w:val="32"/>
          <w:szCs w:val="36"/>
          <w:highlight w:val="none"/>
          <w:lang w:val="en-US" w:eastAsia="zh-CN"/>
        </w:rPr>
      </w:pPr>
      <w:bookmarkStart w:id="256" w:name="_Toc505093199"/>
      <w:bookmarkStart w:id="257" w:name="_Toc1668"/>
    </w:p>
    <w:p w14:paraId="4857891E">
      <w:pPr>
        <w:spacing w:line="360" w:lineRule="auto"/>
        <w:jc w:val="center"/>
        <w:outlineLvl w:val="9"/>
        <w:rPr>
          <w:rStyle w:val="71"/>
          <w:rFonts w:hint="eastAsia" w:ascii="宋体" w:hAnsi="宋体" w:cs="宋体"/>
          <w:color w:val="auto"/>
          <w:sz w:val="32"/>
          <w:szCs w:val="36"/>
          <w:highlight w:val="none"/>
          <w:lang w:val="en-US" w:eastAsia="zh-CN"/>
        </w:rPr>
      </w:pPr>
    </w:p>
    <w:p w14:paraId="343A77C8">
      <w:pPr>
        <w:spacing w:line="360" w:lineRule="auto"/>
        <w:jc w:val="center"/>
        <w:outlineLvl w:val="1"/>
        <w:rPr>
          <w:rFonts w:hint="eastAsia" w:ascii="宋体" w:hAnsi="宋体" w:eastAsia="宋体" w:cs="宋体"/>
          <w:color w:val="auto"/>
          <w:sz w:val="32"/>
          <w:szCs w:val="28"/>
          <w:highlight w:val="none"/>
        </w:rPr>
      </w:pPr>
      <w:r>
        <w:rPr>
          <w:rStyle w:val="71"/>
          <w:rFonts w:hint="eastAsia" w:ascii="宋体" w:hAnsi="宋体" w:cs="宋体"/>
          <w:color w:val="auto"/>
          <w:sz w:val="32"/>
          <w:szCs w:val="36"/>
          <w:highlight w:val="none"/>
          <w:lang w:val="en-US" w:eastAsia="zh-CN"/>
        </w:rPr>
        <w:t>四</w:t>
      </w:r>
      <w:r>
        <w:rPr>
          <w:rStyle w:val="71"/>
          <w:rFonts w:hint="eastAsia" w:ascii="宋体" w:hAnsi="宋体" w:eastAsia="宋体" w:cs="宋体"/>
          <w:color w:val="auto"/>
          <w:sz w:val="32"/>
          <w:szCs w:val="36"/>
          <w:highlight w:val="none"/>
        </w:rPr>
        <w:t>、资格审查资料</w:t>
      </w:r>
      <w:bookmarkEnd w:id="256"/>
      <w:bookmarkEnd w:id="257"/>
    </w:p>
    <w:p w14:paraId="6264A4E8">
      <w:pPr>
        <w:spacing w:line="360" w:lineRule="auto"/>
        <w:ind w:firstLine="120" w:firstLineChars="50"/>
        <w:jc w:val="center"/>
        <w:rPr>
          <w:rFonts w:hint="eastAsia" w:ascii="宋体" w:hAnsi="宋体" w:eastAsia="宋体" w:cs="宋体"/>
          <w:color w:val="auto"/>
          <w:sz w:val="24"/>
          <w:highlight w:val="none"/>
        </w:rPr>
      </w:pPr>
      <w:r>
        <w:rPr>
          <w:rStyle w:val="99"/>
          <w:rFonts w:hint="eastAsia" w:ascii="宋体" w:hAnsi="宋体" w:eastAsia="宋体" w:cs="宋体"/>
          <w:color w:val="auto"/>
          <w:sz w:val="24"/>
          <w:szCs w:val="24"/>
          <w:highlight w:val="none"/>
        </w:rPr>
        <w:t>（一）基本情况表</w:t>
      </w:r>
    </w:p>
    <w:tbl>
      <w:tblPr>
        <w:tblStyle w:val="4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992"/>
        <w:gridCol w:w="2167"/>
        <w:gridCol w:w="1290"/>
        <w:gridCol w:w="2126"/>
      </w:tblGrid>
      <w:tr w14:paraId="28B5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9" w:type="dxa"/>
            <w:vAlign w:val="center"/>
          </w:tcPr>
          <w:p w14:paraId="3CDBEDB8">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p>
        </w:tc>
        <w:tc>
          <w:tcPr>
            <w:tcW w:w="6575" w:type="dxa"/>
            <w:gridSpan w:val="4"/>
            <w:vAlign w:val="center"/>
          </w:tcPr>
          <w:p w14:paraId="21C8751F">
            <w:pPr>
              <w:spacing w:line="360" w:lineRule="auto"/>
              <w:jc w:val="center"/>
              <w:rPr>
                <w:rFonts w:hint="eastAsia" w:ascii="宋体" w:hAnsi="宋体" w:eastAsia="宋体" w:cs="宋体"/>
                <w:color w:val="auto"/>
                <w:w w:val="98"/>
                <w:sz w:val="24"/>
                <w:highlight w:val="none"/>
              </w:rPr>
            </w:pPr>
          </w:p>
        </w:tc>
      </w:tr>
      <w:tr w14:paraId="2F3F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9" w:type="dxa"/>
            <w:vAlign w:val="center"/>
          </w:tcPr>
          <w:p w14:paraId="235B1F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159" w:type="dxa"/>
            <w:gridSpan w:val="2"/>
            <w:vAlign w:val="center"/>
          </w:tcPr>
          <w:p w14:paraId="329297AB">
            <w:pPr>
              <w:spacing w:line="360" w:lineRule="auto"/>
              <w:jc w:val="center"/>
              <w:rPr>
                <w:rFonts w:hint="eastAsia" w:ascii="宋体" w:hAnsi="宋体" w:eastAsia="宋体" w:cs="宋体"/>
                <w:color w:val="auto"/>
                <w:sz w:val="24"/>
                <w:highlight w:val="none"/>
              </w:rPr>
            </w:pPr>
          </w:p>
        </w:tc>
        <w:tc>
          <w:tcPr>
            <w:tcW w:w="1290" w:type="dxa"/>
            <w:vAlign w:val="center"/>
          </w:tcPr>
          <w:p w14:paraId="5250F45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126" w:type="dxa"/>
            <w:vAlign w:val="center"/>
          </w:tcPr>
          <w:p w14:paraId="11C35A38">
            <w:pPr>
              <w:spacing w:line="360" w:lineRule="auto"/>
              <w:jc w:val="center"/>
              <w:rPr>
                <w:rFonts w:hint="eastAsia" w:ascii="宋体" w:hAnsi="宋体" w:eastAsia="宋体" w:cs="宋体"/>
                <w:color w:val="auto"/>
                <w:sz w:val="24"/>
                <w:highlight w:val="none"/>
              </w:rPr>
            </w:pPr>
          </w:p>
        </w:tc>
      </w:tr>
      <w:tr w14:paraId="34F4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9" w:type="dxa"/>
            <w:vMerge w:val="restart"/>
            <w:vAlign w:val="center"/>
          </w:tcPr>
          <w:p w14:paraId="46DBF4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992" w:type="dxa"/>
            <w:vAlign w:val="center"/>
          </w:tcPr>
          <w:p w14:paraId="39DAE8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67" w:type="dxa"/>
            <w:vAlign w:val="center"/>
          </w:tcPr>
          <w:p w14:paraId="3996CBD5">
            <w:pPr>
              <w:spacing w:line="360" w:lineRule="auto"/>
              <w:jc w:val="center"/>
              <w:rPr>
                <w:rFonts w:hint="eastAsia" w:ascii="宋体" w:hAnsi="宋体" w:eastAsia="宋体" w:cs="宋体"/>
                <w:color w:val="auto"/>
                <w:sz w:val="24"/>
                <w:highlight w:val="none"/>
              </w:rPr>
            </w:pPr>
          </w:p>
        </w:tc>
        <w:tc>
          <w:tcPr>
            <w:tcW w:w="1290" w:type="dxa"/>
            <w:vAlign w:val="center"/>
          </w:tcPr>
          <w:p w14:paraId="36D84415">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联系方式</w:t>
            </w:r>
          </w:p>
        </w:tc>
        <w:tc>
          <w:tcPr>
            <w:tcW w:w="2126" w:type="dxa"/>
            <w:vAlign w:val="center"/>
          </w:tcPr>
          <w:p w14:paraId="64C8953C">
            <w:pPr>
              <w:spacing w:line="360" w:lineRule="auto"/>
              <w:jc w:val="center"/>
              <w:rPr>
                <w:rFonts w:hint="eastAsia" w:ascii="宋体" w:hAnsi="宋体" w:eastAsia="宋体" w:cs="宋体"/>
                <w:color w:val="auto"/>
                <w:sz w:val="24"/>
                <w:highlight w:val="none"/>
              </w:rPr>
            </w:pPr>
          </w:p>
        </w:tc>
      </w:tr>
      <w:tr w14:paraId="587B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9" w:type="dxa"/>
            <w:vMerge w:val="continue"/>
            <w:vAlign w:val="center"/>
          </w:tcPr>
          <w:p w14:paraId="335F00C8">
            <w:pPr>
              <w:spacing w:line="360" w:lineRule="auto"/>
              <w:jc w:val="center"/>
              <w:rPr>
                <w:rFonts w:hint="eastAsia" w:ascii="宋体" w:hAnsi="宋体" w:eastAsia="宋体" w:cs="宋体"/>
                <w:color w:val="auto"/>
                <w:sz w:val="24"/>
                <w:highlight w:val="none"/>
              </w:rPr>
            </w:pPr>
          </w:p>
        </w:tc>
        <w:tc>
          <w:tcPr>
            <w:tcW w:w="992" w:type="dxa"/>
            <w:vAlign w:val="center"/>
          </w:tcPr>
          <w:p w14:paraId="0E82BE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67" w:type="dxa"/>
            <w:vAlign w:val="center"/>
          </w:tcPr>
          <w:p w14:paraId="6971BFEB">
            <w:pPr>
              <w:spacing w:line="360" w:lineRule="auto"/>
              <w:jc w:val="center"/>
              <w:rPr>
                <w:rFonts w:hint="eastAsia" w:ascii="宋体" w:hAnsi="宋体" w:eastAsia="宋体" w:cs="宋体"/>
                <w:color w:val="auto"/>
                <w:sz w:val="24"/>
                <w:highlight w:val="none"/>
              </w:rPr>
            </w:pPr>
          </w:p>
        </w:tc>
        <w:tc>
          <w:tcPr>
            <w:tcW w:w="1290" w:type="dxa"/>
            <w:vAlign w:val="center"/>
          </w:tcPr>
          <w:p w14:paraId="2DA980C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126" w:type="dxa"/>
            <w:vAlign w:val="center"/>
          </w:tcPr>
          <w:p w14:paraId="7472BE3D">
            <w:pPr>
              <w:spacing w:line="360" w:lineRule="auto"/>
              <w:jc w:val="center"/>
              <w:rPr>
                <w:rFonts w:hint="eastAsia" w:ascii="宋体" w:hAnsi="宋体" w:eastAsia="宋体" w:cs="宋体"/>
                <w:color w:val="auto"/>
                <w:sz w:val="24"/>
                <w:highlight w:val="none"/>
              </w:rPr>
            </w:pPr>
          </w:p>
        </w:tc>
      </w:tr>
      <w:tr w14:paraId="658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269" w:type="dxa"/>
            <w:vAlign w:val="center"/>
          </w:tcPr>
          <w:p w14:paraId="719857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992" w:type="dxa"/>
            <w:vAlign w:val="center"/>
          </w:tcPr>
          <w:p w14:paraId="515326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65FA7A57">
            <w:pPr>
              <w:spacing w:line="360" w:lineRule="auto"/>
              <w:jc w:val="center"/>
              <w:rPr>
                <w:rFonts w:hint="eastAsia" w:ascii="宋体" w:hAnsi="宋体" w:eastAsia="宋体" w:cs="宋体"/>
                <w:color w:val="auto"/>
                <w:sz w:val="24"/>
                <w:highlight w:val="none"/>
              </w:rPr>
            </w:pPr>
          </w:p>
        </w:tc>
        <w:tc>
          <w:tcPr>
            <w:tcW w:w="1290" w:type="dxa"/>
            <w:vAlign w:val="center"/>
          </w:tcPr>
          <w:p w14:paraId="0C87D0F1">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61153812">
            <w:pPr>
              <w:spacing w:line="360" w:lineRule="auto"/>
              <w:jc w:val="center"/>
              <w:rPr>
                <w:rFonts w:hint="eastAsia" w:ascii="宋体" w:hAnsi="宋体" w:eastAsia="宋体" w:cs="宋体"/>
                <w:color w:val="auto"/>
                <w:w w:val="98"/>
                <w:sz w:val="24"/>
                <w:highlight w:val="none"/>
              </w:rPr>
            </w:pPr>
          </w:p>
        </w:tc>
      </w:tr>
      <w:tr w14:paraId="0283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69" w:type="dxa"/>
            <w:vAlign w:val="center"/>
          </w:tcPr>
          <w:p w14:paraId="42B1B915">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负责人</w:t>
            </w:r>
          </w:p>
        </w:tc>
        <w:tc>
          <w:tcPr>
            <w:tcW w:w="992" w:type="dxa"/>
            <w:vAlign w:val="center"/>
          </w:tcPr>
          <w:p w14:paraId="282AF8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7FF198CE">
            <w:pPr>
              <w:spacing w:line="360" w:lineRule="auto"/>
              <w:jc w:val="center"/>
              <w:rPr>
                <w:rFonts w:hint="eastAsia" w:ascii="宋体" w:hAnsi="宋体" w:eastAsia="宋体" w:cs="宋体"/>
                <w:color w:val="auto"/>
                <w:sz w:val="24"/>
                <w:highlight w:val="none"/>
              </w:rPr>
            </w:pPr>
          </w:p>
        </w:tc>
        <w:tc>
          <w:tcPr>
            <w:tcW w:w="1290" w:type="dxa"/>
            <w:vAlign w:val="center"/>
          </w:tcPr>
          <w:p w14:paraId="39141BC9">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77ABB68E">
            <w:pPr>
              <w:spacing w:line="360" w:lineRule="auto"/>
              <w:jc w:val="center"/>
              <w:rPr>
                <w:rFonts w:hint="eastAsia" w:ascii="宋体" w:hAnsi="宋体" w:eastAsia="宋体" w:cs="宋体"/>
                <w:color w:val="auto"/>
                <w:w w:val="98"/>
                <w:sz w:val="24"/>
                <w:highlight w:val="none"/>
              </w:rPr>
            </w:pPr>
          </w:p>
        </w:tc>
      </w:tr>
      <w:tr w14:paraId="24A5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69" w:type="dxa"/>
            <w:vAlign w:val="center"/>
          </w:tcPr>
          <w:p w14:paraId="66E6C7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3159" w:type="dxa"/>
            <w:gridSpan w:val="2"/>
            <w:vAlign w:val="center"/>
          </w:tcPr>
          <w:p w14:paraId="6CEB61A5">
            <w:pPr>
              <w:spacing w:line="360" w:lineRule="auto"/>
              <w:jc w:val="center"/>
              <w:rPr>
                <w:rFonts w:hint="eastAsia" w:ascii="宋体" w:hAnsi="宋体" w:eastAsia="宋体" w:cs="宋体"/>
                <w:color w:val="auto"/>
                <w:sz w:val="24"/>
                <w:highlight w:val="none"/>
              </w:rPr>
            </w:pPr>
          </w:p>
        </w:tc>
        <w:tc>
          <w:tcPr>
            <w:tcW w:w="3416" w:type="dxa"/>
            <w:gridSpan w:val="2"/>
            <w:vAlign w:val="center"/>
          </w:tcPr>
          <w:p w14:paraId="01957C08">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4F0E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69" w:type="dxa"/>
            <w:vAlign w:val="center"/>
          </w:tcPr>
          <w:p w14:paraId="056901A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575" w:type="dxa"/>
            <w:gridSpan w:val="4"/>
            <w:vAlign w:val="center"/>
          </w:tcPr>
          <w:p w14:paraId="5E399AB0">
            <w:pPr>
              <w:spacing w:line="360" w:lineRule="auto"/>
              <w:jc w:val="center"/>
              <w:rPr>
                <w:rFonts w:hint="eastAsia" w:ascii="宋体" w:hAnsi="宋体" w:eastAsia="宋体" w:cs="宋体"/>
                <w:color w:val="auto"/>
                <w:w w:val="98"/>
                <w:sz w:val="24"/>
                <w:highlight w:val="none"/>
              </w:rPr>
            </w:pPr>
          </w:p>
        </w:tc>
      </w:tr>
      <w:tr w14:paraId="6373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69" w:type="dxa"/>
            <w:vAlign w:val="center"/>
          </w:tcPr>
          <w:p w14:paraId="3410522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6575" w:type="dxa"/>
            <w:gridSpan w:val="4"/>
            <w:vAlign w:val="center"/>
          </w:tcPr>
          <w:p w14:paraId="6FC36868">
            <w:pPr>
              <w:spacing w:line="360" w:lineRule="auto"/>
              <w:jc w:val="center"/>
              <w:rPr>
                <w:rFonts w:hint="eastAsia" w:ascii="宋体" w:hAnsi="宋体" w:eastAsia="宋体" w:cs="宋体"/>
                <w:color w:val="auto"/>
                <w:w w:val="98"/>
                <w:sz w:val="24"/>
                <w:highlight w:val="none"/>
              </w:rPr>
            </w:pPr>
          </w:p>
        </w:tc>
      </w:tr>
      <w:tr w14:paraId="0363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69" w:type="dxa"/>
            <w:vAlign w:val="center"/>
          </w:tcPr>
          <w:p w14:paraId="1D721F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6575" w:type="dxa"/>
            <w:gridSpan w:val="4"/>
            <w:vAlign w:val="center"/>
          </w:tcPr>
          <w:p w14:paraId="4F8D24B0">
            <w:pPr>
              <w:spacing w:line="360" w:lineRule="auto"/>
              <w:jc w:val="center"/>
              <w:rPr>
                <w:rFonts w:hint="eastAsia" w:ascii="宋体" w:hAnsi="宋体" w:eastAsia="宋体" w:cs="宋体"/>
                <w:color w:val="auto"/>
                <w:w w:val="98"/>
                <w:sz w:val="24"/>
                <w:highlight w:val="none"/>
              </w:rPr>
            </w:pPr>
          </w:p>
        </w:tc>
      </w:tr>
      <w:tr w14:paraId="129D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9" w:type="dxa"/>
            <w:vAlign w:val="center"/>
          </w:tcPr>
          <w:p w14:paraId="356AD3E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基本账户银行账号</w:t>
            </w:r>
          </w:p>
        </w:tc>
        <w:tc>
          <w:tcPr>
            <w:tcW w:w="6575" w:type="dxa"/>
            <w:gridSpan w:val="4"/>
            <w:vAlign w:val="center"/>
          </w:tcPr>
          <w:p w14:paraId="015BBE93">
            <w:pPr>
              <w:spacing w:line="360" w:lineRule="auto"/>
              <w:jc w:val="center"/>
              <w:rPr>
                <w:rFonts w:hint="eastAsia" w:ascii="宋体" w:hAnsi="宋体" w:eastAsia="宋体" w:cs="宋体"/>
                <w:color w:val="auto"/>
                <w:w w:val="98"/>
                <w:sz w:val="24"/>
                <w:highlight w:val="none"/>
              </w:rPr>
            </w:pPr>
          </w:p>
        </w:tc>
      </w:tr>
      <w:tr w14:paraId="2A4F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2269" w:type="dxa"/>
            <w:vAlign w:val="center"/>
          </w:tcPr>
          <w:p w14:paraId="7D0F85AD">
            <w:pPr>
              <w:shd w:val="clear" w:color="auto" w:fill="auto"/>
              <w:autoSpaceDE w:val="0"/>
              <w:autoSpaceDN w:val="0"/>
              <w:adjustRightInd w:val="0"/>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组织结构</w:t>
            </w:r>
            <w:r>
              <w:rPr>
                <w:rFonts w:hint="eastAsia" w:ascii="宋体" w:hAnsi="宋体" w:cs="宋体"/>
                <w:color w:val="auto"/>
                <w:sz w:val="24"/>
                <w:highlight w:val="none"/>
                <w:lang w:val="en-US" w:eastAsia="zh-CN"/>
              </w:rPr>
              <w:t>类型</w:t>
            </w:r>
          </w:p>
        </w:tc>
        <w:tc>
          <w:tcPr>
            <w:tcW w:w="6575" w:type="dxa"/>
            <w:gridSpan w:val="4"/>
            <w:vAlign w:val="center"/>
          </w:tcPr>
          <w:p w14:paraId="41E2233F">
            <w:pPr>
              <w:shd w:val="clear" w:color="auto" w:fill="auto"/>
              <w:autoSpaceDE w:val="0"/>
              <w:autoSpaceDN w:val="0"/>
              <w:adjustRightInd w:val="0"/>
              <w:spacing w:line="440" w:lineRule="exact"/>
              <w:rPr>
                <w:rFonts w:hint="eastAsia" w:ascii="宋体" w:hAnsi="宋体" w:eastAsia="宋体" w:cs="宋体"/>
                <w:color w:val="auto"/>
                <w:w w:val="98"/>
                <w:sz w:val="24"/>
                <w:highlight w:val="none"/>
              </w:rPr>
            </w:pPr>
          </w:p>
        </w:tc>
      </w:tr>
      <w:tr w14:paraId="61C9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269" w:type="dxa"/>
            <w:vAlign w:val="center"/>
          </w:tcPr>
          <w:p w14:paraId="534D81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575" w:type="dxa"/>
            <w:gridSpan w:val="4"/>
            <w:vAlign w:val="center"/>
          </w:tcPr>
          <w:p w14:paraId="21B3B96F">
            <w:pPr>
              <w:spacing w:line="360" w:lineRule="auto"/>
              <w:jc w:val="center"/>
              <w:rPr>
                <w:rFonts w:hint="eastAsia" w:ascii="宋体" w:hAnsi="宋体" w:eastAsia="宋体" w:cs="宋体"/>
                <w:color w:val="auto"/>
                <w:w w:val="98"/>
                <w:sz w:val="24"/>
                <w:highlight w:val="none"/>
              </w:rPr>
            </w:pPr>
          </w:p>
        </w:tc>
      </w:tr>
      <w:tr w14:paraId="37B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69" w:type="dxa"/>
            <w:vAlign w:val="center"/>
          </w:tcPr>
          <w:p w14:paraId="1E1B11F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575" w:type="dxa"/>
            <w:gridSpan w:val="4"/>
            <w:vAlign w:val="center"/>
          </w:tcPr>
          <w:p w14:paraId="2352CC2E">
            <w:pPr>
              <w:spacing w:line="360" w:lineRule="auto"/>
              <w:jc w:val="center"/>
              <w:rPr>
                <w:rFonts w:hint="eastAsia" w:ascii="宋体" w:hAnsi="宋体" w:eastAsia="宋体" w:cs="宋体"/>
                <w:color w:val="auto"/>
                <w:w w:val="98"/>
                <w:sz w:val="24"/>
                <w:highlight w:val="none"/>
              </w:rPr>
            </w:pPr>
          </w:p>
        </w:tc>
      </w:tr>
    </w:tbl>
    <w:p w14:paraId="4E31086C">
      <w:pPr>
        <w:adjustRightInd w:val="0"/>
        <w:snapToGrid w:val="0"/>
        <w:spacing w:line="360" w:lineRule="auto"/>
        <w:rPr>
          <w:rFonts w:hint="default" w:ascii="宋体" w:hAnsi="宋体" w:eastAsia="宋体" w:cs="宋体"/>
          <w:b/>
          <w:bCs/>
          <w:color w:val="auto"/>
          <w:spacing w:val="4"/>
          <w:sz w:val="22"/>
          <w:szCs w:val="22"/>
          <w:highlight w:val="none"/>
          <w:lang w:val="en-US" w:eastAsia="zh-CN"/>
        </w:rPr>
      </w:pPr>
      <w:r>
        <w:rPr>
          <w:rFonts w:hint="eastAsia" w:ascii="宋体" w:hAnsi="宋体" w:eastAsia="宋体" w:cs="宋体"/>
          <w:b/>
          <w:bCs/>
          <w:color w:val="auto"/>
          <w:spacing w:val="4"/>
          <w:sz w:val="22"/>
          <w:szCs w:val="22"/>
          <w:highlight w:val="none"/>
          <w:lang w:val="en-US" w:eastAsia="zh-CN"/>
        </w:rPr>
        <w:t>注：后附资格审查资料，</w:t>
      </w:r>
      <w:r>
        <w:rPr>
          <w:rFonts w:hint="eastAsia" w:ascii="宋体" w:hAnsi="宋体" w:cs="宋体"/>
          <w:b/>
          <w:bCs/>
          <w:color w:val="auto"/>
          <w:spacing w:val="4"/>
          <w:sz w:val="22"/>
          <w:szCs w:val="22"/>
          <w:highlight w:val="none"/>
          <w:lang w:val="en-US" w:eastAsia="zh-CN"/>
        </w:rPr>
        <w:t>详见第二章供应商须知前附表1.4.1，</w:t>
      </w:r>
      <w:r>
        <w:rPr>
          <w:rFonts w:hint="eastAsia" w:ascii="宋体" w:hAnsi="宋体" w:eastAsia="宋体" w:cs="宋体"/>
          <w:b/>
          <w:bCs/>
          <w:color w:val="auto"/>
          <w:spacing w:val="4"/>
          <w:sz w:val="22"/>
          <w:szCs w:val="22"/>
          <w:highlight w:val="none"/>
          <w:lang w:val="en-US" w:eastAsia="zh-CN"/>
        </w:rPr>
        <w:t>格式自拟。</w:t>
      </w:r>
    </w:p>
    <w:p w14:paraId="431787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CA06ECD">
      <w:pPr>
        <w:pStyle w:val="100"/>
        <w:ind w:firstLine="141"/>
        <w:jc w:val="center"/>
        <w:outlineLvl w:val="1"/>
        <w:rPr>
          <w:rFonts w:hint="eastAsia" w:ascii="宋体" w:hAnsi="宋体" w:eastAsia="宋体" w:cs="宋体"/>
          <w:b/>
          <w:color w:val="auto"/>
          <w:sz w:val="32"/>
          <w:szCs w:val="28"/>
          <w:highlight w:val="none"/>
          <w:lang w:val="en-US" w:eastAsia="zh-CN"/>
        </w:rPr>
      </w:pPr>
      <w:bookmarkStart w:id="258" w:name="_Toc7894"/>
      <w:r>
        <w:rPr>
          <w:rFonts w:hint="eastAsia" w:ascii="宋体" w:hAnsi="宋体" w:eastAsia="宋体" w:cs="宋体"/>
          <w:b/>
          <w:color w:val="auto"/>
          <w:sz w:val="32"/>
          <w:szCs w:val="28"/>
          <w:highlight w:val="none"/>
          <w:lang w:val="en-US" w:eastAsia="zh-CN"/>
        </w:rPr>
        <w:t>五</w:t>
      </w:r>
      <w:r>
        <w:rPr>
          <w:rFonts w:hint="eastAsia" w:ascii="宋体" w:hAnsi="宋体" w:eastAsia="宋体" w:cs="宋体"/>
          <w:b/>
          <w:color w:val="auto"/>
          <w:sz w:val="32"/>
          <w:szCs w:val="28"/>
          <w:highlight w:val="none"/>
        </w:rPr>
        <w:t>、</w:t>
      </w:r>
      <w:bookmarkEnd w:id="258"/>
      <w:r>
        <w:rPr>
          <w:rFonts w:hint="eastAsia" w:ascii="宋体" w:hAnsi="宋体" w:eastAsia="宋体" w:cs="宋体"/>
          <w:b/>
          <w:color w:val="auto"/>
          <w:sz w:val="32"/>
          <w:szCs w:val="28"/>
          <w:highlight w:val="none"/>
          <w:lang w:val="en-US" w:eastAsia="zh-CN"/>
        </w:rPr>
        <w:t>企业业绩</w:t>
      </w:r>
    </w:p>
    <w:p w14:paraId="1A8F8738">
      <w:pPr>
        <w:pStyle w:val="100"/>
        <w:ind w:firstLine="141"/>
        <w:jc w:val="center"/>
        <w:outlineLvl w:val="1"/>
        <w:rPr>
          <w:rFonts w:hint="default" w:ascii="宋体" w:hAnsi="宋体" w:eastAsia="宋体" w:cs="宋体"/>
          <w:b/>
          <w:color w:val="auto"/>
          <w:sz w:val="32"/>
          <w:szCs w:val="28"/>
          <w:highlight w:val="none"/>
          <w:lang w:val="en-US" w:eastAsia="zh-CN"/>
        </w:rPr>
      </w:pPr>
      <w:r>
        <w:rPr>
          <w:rFonts w:hint="eastAsia" w:ascii="宋体" w:hAnsi="宋体" w:cs="仿宋"/>
          <w:b w:val="0"/>
          <w:bCs w:val="0"/>
          <w:color w:val="auto"/>
          <w:kern w:val="2"/>
          <w:sz w:val="28"/>
          <w:szCs w:val="28"/>
          <w:highlight w:val="none"/>
          <w:u w:color="000000"/>
          <w:lang w:val="en-US" w:eastAsia="zh-CN" w:bidi="ar-SA"/>
        </w:rPr>
        <w:t>2023</w:t>
      </w:r>
      <w:r>
        <w:rPr>
          <w:rFonts w:hint="eastAsia" w:ascii="宋体" w:hAnsi="宋体" w:eastAsia="宋体" w:cs="仿宋"/>
          <w:b w:val="0"/>
          <w:bCs w:val="0"/>
          <w:color w:val="auto"/>
          <w:kern w:val="2"/>
          <w:sz w:val="28"/>
          <w:szCs w:val="28"/>
          <w:highlight w:val="none"/>
          <w:u w:color="000000"/>
          <w:lang w:val="en-US" w:eastAsia="zh-CN" w:bidi="ar-SA"/>
        </w:rPr>
        <w:t>年以来完成的类似项目情况表</w:t>
      </w:r>
    </w:p>
    <w:tbl>
      <w:tblPr>
        <w:tblStyle w:val="163"/>
        <w:tblW w:w="8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2"/>
        <w:gridCol w:w="5988"/>
      </w:tblGrid>
      <w:tr w14:paraId="4D76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002" w:type="dxa"/>
            <w:vAlign w:val="top"/>
          </w:tcPr>
          <w:p w14:paraId="43DAC090">
            <w:pPr>
              <w:spacing w:before="225" w:line="220"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tc>
        <w:tc>
          <w:tcPr>
            <w:tcW w:w="5988" w:type="dxa"/>
            <w:vAlign w:val="top"/>
          </w:tcPr>
          <w:p w14:paraId="1C869A09">
            <w:pPr>
              <w:jc w:val="center"/>
              <w:rPr>
                <w:rFonts w:ascii="Arial"/>
                <w:color w:val="auto"/>
                <w:sz w:val="21"/>
                <w:highlight w:val="none"/>
              </w:rPr>
            </w:pPr>
          </w:p>
        </w:tc>
      </w:tr>
      <w:tr w14:paraId="3937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20AFE072">
            <w:pPr>
              <w:spacing w:before="201" w:line="220" w:lineRule="auto"/>
              <w:jc w:val="center"/>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项目所在地</w:t>
            </w:r>
          </w:p>
        </w:tc>
        <w:tc>
          <w:tcPr>
            <w:tcW w:w="5988" w:type="dxa"/>
            <w:vAlign w:val="top"/>
          </w:tcPr>
          <w:p w14:paraId="09D75ED5">
            <w:pPr>
              <w:jc w:val="center"/>
              <w:rPr>
                <w:rFonts w:ascii="Arial"/>
                <w:color w:val="auto"/>
                <w:sz w:val="21"/>
                <w:highlight w:val="none"/>
              </w:rPr>
            </w:pPr>
          </w:p>
        </w:tc>
      </w:tr>
      <w:tr w14:paraId="47AF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475692E4">
            <w:pPr>
              <w:spacing w:before="202"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名称</w:t>
            </w:r>
          </w:p>
        </w:tc>
        <w:tc>
          <w:tcPr>
            <w:tcW w:w="5988" w:type="dxa"/>
            <w:vAlign w:val="top"/>
          </w:tcPr>
          <w:p w14:paraId="0A5E816E">
            <w:pPr>
              <w:jc w:val="center"/>
              <w:rPr>
                <w:rFonts w:ascii="Arial"/>
                <w:color w:val="auto"/>
                <w:sz w:val="21"/>
                <w:highlight w:val="none"/>
              </w:rPr>
            </w:pPr>
          </w:p>
        </w:tc>
      </w:tr>
      <w:tr w14:paraId="0C1A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F8F8407">
            <w:pPr>
              <w:spacing w:before="203"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地址</w:t>
            </w:r>
          </w:p>
        </w:tc>
        <w:tc>
          <w:tcPr>
            <w:tcW w:w="5988" w:type="dxa"/>
            <w:vAlign w:val="top"/>
          </w:tcPr>
          <w:p w14:paraId="79D22D7B">
            <w:pPr>
              <w:jc w:val="center"/>
              <w:rPr>
                <w:rFonts w:ascii="Arial"/>
                <w:color w:val="auto"/>
                <w:sz w:val="21"/>
                <w:highlight w:val="none"/>
              </w:rPr>
            </w:pPr>
          </w:p>
        </w:tc>
      </w:tr>
      <w:tr w14:paraId="4924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342E259B">
            <w:pPr>
              <w:spacing w:before="204"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电话</w:t>
            </w:r>
          </w:p>
        </w:tc>
        <w:tc>
          <w:tcPr>
            <w:tcW w:w="5988" w:type="dxa"/>
            <w:vAlign w:val="top"/>
          </w:tcPr>
          <w:p w14:paraId="2308A71A">
            <w:pPr>
              <w:jc w:val="center"/>
              <w:rPr>
                <w:rFonts w:ascii="Arial"/>
                <w:color w:val="auto"/>
                <w:sz w:val="21"/>
                <w:highlight w:val="none"/>
              </w:rPr>
            </w:pPr>
          </w:p>
        </w:tc>
      </w:tr>
      <w:tr w14:paraId="7DE9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85AF465">
            <w:pPr>
              <w:spacing w:before="202" w:line="218"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合同价格</w:t>
            </w:r>
          </w:p>
        </w:tc>
        <w:tc>
          <w:tcPr>
            <w:tcW w:w="5988" w:type="dxa"/>
            <w:vAlign w:val="top"/>
          </w:tcPr>
          <w:p w14:paraId="6FAE1E57">
            <w:pPr>
              <w:jc w:val="center"/>
              <w:rPr>
                <w:rFonts w:ascii="Arial"/>
                <w:color w:val="auto"/>
                <w:sz w:val="21"/>
                <w:highlight w:val="none"/>
              </w:rPr>
            </w:pPr>
          </w:p>
        </w:tc>
      </w:tr>
      <w:tr w14:paraId="05DB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0D783E2">
            <w:pPr>
              <w:spacing w:before="206" w:line="22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合同签订日期</w:t>
            </w:r>
          </w:p>
        </w:tc>
        <w:tc>
          <w:tcPr>
            <w:tcW w:w="5988" w:type="dxa"/>
            <w:vAlign w:val="top"/>
          </w:tcPr>
          <w:p w14:paraId="4614CE23">
            <w:pPr>
              <w:spacing w:before="156" w:line="232" w:lineRule="auto"/>
              <w:ind w:left="1822"/>
              <w:jc w:val="center"/>
              <w:rPr>
                <w:rFonts w:ascii="宋体" w:hAnsi="宋体" w:eastAsia="宋体" w:cs="宋体"/>
                <w:color w:val="auto"/>
                <w:sz w:val="24"/>
                <w:szCs w:val="24"/>
                <w:highlight w:val="none"/>
              </w:rPr>
            </w:pPr>
          </w:p>
        </w:tc>
      </w:tr>
      <w:tr w14:paraId="64CC2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3307A128">
            <w:pPr>
              <w:spacing w:before="206" w:line="22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lang w:val="en-US" w:eastAsia="zh-CN"/>
              </w:rPr>
              <w:t>合同履行期限</w:t>
            </w:r>
          </w:p>
        </w:tc>
        <w:tc>
          <w:tcPr>
            <w:tcW w:w="5988" w:type="dxa"/>
            <w:vAlign w:val="top"/>
          </w:tcPr>
          <w:p w14:paraId="5E0878C8">
            <w:pPr>
              <w:spacing w:before="156" w:line="232" w:lineRule="auto"/>
              <w:ind w:left="1822"/>
              <w:jc w:val="center"/>
              <w:rPr>
                <w:rFonts w:ascii="宋体" w:hAnsi="宋体" w:eastAsia="宋体" w:cs="宋体"/>
                <w:color w:val="auto"/>
                <w:sz w:val="24"/>
                <w:szCs w:val="24"/>
                <w:highlight w:val="none"/>
              </w:rPr>
            </w:pPr>
          </w:p>
        </w:tc>
      </w:tr>
      <w:tr w14:paraId="75A6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6" w:hRule="atLeast"/>
        </w:trPr>
        <w:tc>
          <w:tcPr>
            <w:tcW w:w="3002" w:type="dxa"/>
            <w:vAlign w:val="top"/>
          </w:tcPr>
          <w:p w14:paraId="279C8F6F">
            <w:pPr>
              <w:spacing w:line="260" w:lineRule="auto"/>
              <w:jc w:val="center"/>
              <w:rPr>
                <w:rFonts w:ascii="Arial"/>
                <w:color w:val="auto"/>
                <w:sz w:val="21"/>
                <w:highlight w:val="none"/>
              </w:rPr>
            </w:pPr>
          </w:p>
          <w:p w14:paraId="518F198B">
            <w:pPr>
              <w:spacing w:line="260" w:lineRule="auto"/>
              <w:jc w:val="center"/>
              <w:rPr>
                <w:rFonts w:ascii="Arial"/>
                <w:color w:val="auto"/>
                <w:sz w:val="21"/>
                <w:highlight w:val="none"/>
              </w:rPr>
            </w:pPr>
          </w:p>
          <w:p w14:paraId="0EE636FA">
            <w:pPr>
              <w:spacing w:line="260" w:lineRule="auto"/>
              <w:jc w:val="center"/>
              <w:rPr>
                <w:rFonts w:ascii="Arial"/>
                <w:color w:val="auto"/>
                <w:sz w:val="21"/>
                <w:highlight w:val="none"/>
              </w:rPr>
            </w:pPr>
          </w:p>
          <w:p w14:paraId="1CDB93D1">
            <w:pPr>
              <w:spacing w:line="260" w:lineRule="auto"/>
              <w:jc w:val="center"/>
              <w:rPr>
                <w:rFonts w:ascii="Arial"/>
                <w:color w:val="auto"/>
                <w:sz w:val="21"/>
                <w:highlight w:val="none"/>
              </w:rPr>
            </w:pPr>
          </w:p>
          <w:p w14:paraId="34B2A02A">
            <w:pPr>
              <w:spacing w:before="78" w:line="219"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采购内容</w:t>
            </w:r>
          </w:p>
        </w:tc>
        <w:tc>
          <w:tcPr>
            <w:tcW w:w="5988" w:type="dxa"/>
            <w:vAlign w:val="top"/>
          </w:tcPr>
          <w:p w14:paraId="3F2B4B8F">
            <w:pPr>
              <w:jc w:val="center"/>
              <w:rPr>
                <w:rFonts w:ascii="Arial"/>
                <w:color w:val="auto"/>
                <w:sz w:val="21"/>
                <w:highlight w:val="none"/>
              </w:rPr>
            </w:pPr>
          </w:p>
        </w:tc>
      </w:tr>
      <w:tr w14:paraId="6493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002" w:type="dxa"/>
            <w:vAlign w:val="top"/>
          </w:tcPr>
          <w:p w14:paraId="7AD28C48">
            <w:pPr>
              <w:spacing w:before="211" w:line="221" w:lineRule="auto"/>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备注</w:t>
            </w:r>
          </w:p>
        </w:tc>
        <w:tc>
          <w:tcPr>
            <w:tcW w:w="5988" w:type="dxa"/>
            <w:vAlign w:val="top"/>
          </w:tcPr>
          <w:p w14:paraId="6573D1AB">
            <w:pPr>
              <w:jc w:val="center"/>
              <w:rPr>
                <w:rFonts w:ascii="Arial"/>
                <w:color w:val="auto"/>
                <w:sz w:val="21"/>
                <w:highlight w:val="none"/>
              </w:rPr>
            </w:pPr>
          </w:p>
        </w:tc>
      </w:tr>
    </w:tbl>
    <w:p w14:paraId="33A455F1">
      <w:pPr>
        <w:adjustRightInd w:val="0"/>
        <w:snapToGrid w:val="0"/>
        <w:spacing w:line="360" w:lineRule="auto"/>
        <w:rPr>
          <w:rFonts w:ascii="宋体" w:hAnsi="宋体" w:cs="宋体"/>
          <w:b/>
          <w:color w:val="auto"/>
          <w:sz w:val="24"/>
          <w:highlight w:val="none"/>
        </w:rPr>
      </w:pPr>
      <w:r>
        <w:rPr>
          <w:rFonts w:hint="eastAsia" w:ascii="宋体" w:hAnsi="宋体" w:eastAsia="宋体" w:cs="宋体"/>
          <w:b/>
          <w:bCs/>
          <w:color w:val="auto"/>
          <w:spacing w:val="4"/>
          <w:sz w:val="22"/>
          <w:szCs w:val="22"/>
          <w:highlight w:val="none"/>
          <w:lang w:val="en-US" w:eastAsia="zh-CN"/>
        </w:rPr>
        <w:t>注</w:t>
      </w:r>
      <w:r>
        <w:rPr>
          <w:rFonts w:ascii="宋体" w:hAnsi="宋体" w:eastAsia="宋体" w:cs="宋体"/>
          <w:b/>
          <w:bCs/>
          <w:color w:val="auto"/>
          <w:spacing w:val="4"/>
          <w:sz w:val="22"/>
          <w:szCs w:val="22"/>
          <w:highlight w:val="none"/>
        </w:rPr>
        <w:t>：</w:t>
      </w:r>
      <w:r>
        <w:rPr>
          <w:rFonts w:hint="eastAsia" w:ascii="宋体" w:hAnsi="宋体" w:eastAsia="宋体" w:cs="宋体"/>
          <w:b/>
          <w:bCs/>
          <w:color w:val="auto"/>
          <w:spacing w:val="4"/>
          <w:sz w:val="22"/>
          <w:szCs w:val="22"/>
          <w:highlight w:val="none"/>
          <w:lang w:val="en-US" w:eastAsia="zh-CN"/>
        </w:rPr>
        <w:t>一个表格填写1份业绩，表格后附</w:t>
      </w:r>
      <w:r>
        <w:rPr>
          <w:rFonts w:ascii="宋体" w:hAnsi="宋体" w:eastAsia="宋体" w:cs="宋体"/>
          <w:b/>
          <w:bCs/>
          <w:color w:val="auto"/>
          <w:spacing w:val="4"/>
          <w:sz w:val="22"/>
          <w:szCs w:val="22"/>
          <w:highlight w:val="none"/>
        </w:rPr>
        <w:t>合同协议书</w:t>
      </w:r>
      <w:r>
        <w:rPr>
          <w:rFonts w:hint="eastAsia" w:ascii="宋体" w:hAnsi="宋体" w:cs="宋体"/>
          <w:b/>
          <w:bCs/>
          <w:color w:val="auto"/>
          <w:spacing w:val="4"/>
          <w:sz w:val="22"/>
          <w:szCs w:val="22"/>
          <w:highlight w:val="none"/>
          <w:lang w:val="en-US" w:eastAsia="zh-CN"/>
        </w:rPr>
        <w:t>或</w:t>
      </w:r>
      <w:r>
        <w:rPr>
          <w:rFonts w:ascii="宋体" w:hAnsi="宋体" w:eastAsia="宋体" w:cs="宋体"/>
          <w:b/>
          <w:bCs/>
          <w:color w:val="auto"/>
          <w:spacing w:val="4"/>
          <w:sz w:val="22"/>
          <w:szCs w:val="22"/>
          <w:highlight w:val="none"/>
        </w:rPr>
        <w:t>中标通知书</w:t>
      </w:r>
      <w:r>
        <w:rPr>
          <w:rFonts w:hint="eastAsia" w:ascii="宋体" w:hAnsi="宋体" w:cs="宋体"/>
          <w:b/>
          <w:bCs/>
          <w:color w:val="auto"/>
          <w:spacing w:val="4"/>
          <w:sz w:val="22"/>
          <w:szCs w:val="22"/>
          <w:highlight w:val="none"/>
          <w:lang w:val="en-US" w:eastAsia="zh-CN"/>
        </w:rPr>
        <w:t>原件扫描件</w:t>
      </w:r>
      <w:r>
        <w:rPr>
          <w:rFonts w:ascii="宋体" w:hAnsi="宋体" w:eastAsia="宋体" w:cs="宋体"/>
          <w:b/>
          <w:bCs/>
          <w:color w:val="auto"/>
          <w:spacing w:val="4"/>
          <w:sz w:val="22"/>
          <w:szCs w:val="22"/>
          <w:highlight w:val="none"/>
        </w:rPr>
        <w:t>。</w:t>
      </w:r>
    </w:p>
    <w:p w14:paraId="5752727F">
      <w:pPr>
        <w:adjustRightInd w:val="0"/>
        <w:snapToGrid w:val="0"/>
        <w:spacing w:line="500" w:lineRule="exact"/>
        <w:jc w:val="center"/>
        <w:rPr>
          <w:rFonts w:ascii="宋体" w:hAnsi="宋体" w:cs="宋体"/>
          <w:b/>
          <w:color w:val="auto"/>
          <w:sz w:val="24"/>
          <w:highlight w:val="none"/>
        </w:rPr>
      </w:pPr>
    </w:p>
    <w:p w14:paraId="6EE03121">
      <w:pPr>
        <w:adjustRightInd w:val="0"/>
        <w:snapToGrid w:val="0"/>
        <w:spacing w:line="500" w:lineRule="exact"/>
        <w:jc w:val="center"/>
        <w:rPr>
          <w:rFonts w:hint="eastAsia" w:ascii="宋体" w:hAnsi="宋体" w:cs="宋体"/>
          <w:b/>
          <w:color w:val="auto"/>
          <w:sz w:val="24"/>
          <w:highlight w:val="none"/>
        </w:rPr>
      </w:pPr>
    </w:p>
    <w:p w14:paraId="6D6EDB27">
      <w:pPr>
        <w:autoSpaceDE w:val="0"/>
        <w:autoSpaceDN w:val="0"/>
        <w:adjustRightInd w:val="0"/>
        <w:snapToGrid w:val="0"/>
        <w:spacing w:line="360" w:lineRule="auto"/>
        <w:ind w:firstLine="720" w:firstLineChars="300"/>
        <w:jc w:val="right"/>
        <w:rPr>
          <w:rFonts w:ascii="宋体" w:hAnsi="宋体" w:cs="宋体"/>
          <w:color w:val="auto"/>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none"/>
          <w:lang w:eastAsia="zh-CN"/>
        </w:rPr>
        <w:t>签章</w:t>
      </w: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single"/>
        </w:rPr>
        <w:t xml:space="preserve">   </w:t>
      </w:r>
    </w:p>
    <w:p w14:paraId="3B59496C">
      <w:pPr>
        <w:autoSpaceDE w:val="0"/>
        <w:autoSpaceDN w:val="0"/>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5884D26">
      <w:pPr>
        <w:adjustRightInd w:val="0"/>
        <w:snapToGrid w:val="0"/>
        <w:spacing w:line="360" w:lineRule="auto"/>
        <w:ind w:left="944" w:hanging="944" w:hangingChars="392"/>
        <w:rPr>
          <w:rFonts w:ascii="宋体" w:hAnsi="宋体" w:cs="宋体"/>
          <w:b/>
          <w:color w:val="auto"/>
          <w:sz w:val="24"/>
          <w:highlight w:val="none"/>
        </w:rPr>
      </w:pPr>
    </w:p>
    <w:p w14:paraId="0E00B8B8">
      <w:pPr>
        <w:adjustRightInd w:val="0"/>
        <w:snapToGrid w:val="0"/>
        <w:spacing w:line="360" w:lineRule="auto"/>
        <w:rPr>
          <w:rFonts w:ascii="宋体" w:hAnsi="宋体" w:cs="宋体"/>
          <w:b/>
          <w:color w:val="auto"/>
          <w:sz w:val="24"/>
          <w:highlight w:val="none"/>
        </w:rPr>
      </w:pPr>
    </w:p>
    <w:p w14:paraId="0BD62DBA">
      <w:pPr>
        <w:adjustRightInd w:val="0"/>
        <w:snapToGrid w:val="0"/>
        <w:spacing w:line="500" w:lineRule="exact"/>
        <w:jc w:val="both"/>
        <w:rPr>
          <w:rFonts w:ascii="宋体" w:hAnsi="宋体" w:cs="宋体"/>
          <w:b/>
          <w:color w:val="auto"/>
          <w:sz w:val="24"/>
          <w:highlight w:val="none"/>
        </w:rPr>
      </w:pPr>
    </w:p>
    <w:p w14:paraId="262F5988">
      <w:pPr>
        <w:adjustRightInd w:val="0"/>
        <w:snapToGrid w:val="0"/>
        <w:spacing w:line="500" w:lineRule="exact"/>
        <w:jc w:val="left"/>
        <w:rPr>
          <w:rFonts w:ascii="宋体" w:hAnsi="宋体" w:cs="宋体"/>
          <w:b w:val="0"/>
          <w:bCs/>
          <w:color w:val="auto"/>
          <w:sz w:val="24"/>
          <w:highlight w:val="none"/>
        </w:rPr>
      </w:pPr>
    </w:p>
    <w:p w14:paraId="2C177B52">
      <w:pPr>
        <w:pStyle w:val="100"/>
        <w:ind w:firstLine="103" w:firstLineChars="43"/>
        <w:rPr>
          <w:rFonts w:hint="eastAsia" w:ascii="宋体" w:hAnsi="宋体" w:eastAsia="宋体" w:cs="宋体"/>
          <w:color w:val="auto"/>
          <w:sz w:val="24"/>
          <w:szCs w:val="24"/>
          <w:highlight w:val="none"/>
        </w:rPr>
      </w:pPr>
    </w:p>
    <w:p w14:paraId="24B060AE">
      <w:pPr>
        <w:pStyle w:val="4"/>
        <w:spacing w:before="0" w:after="0" w:line="360" w:lineRule="auto"/>
        <w:jc w:val="center"/>
        <w:outlineLvl w:val="1"/>
        <w:rPr>
          <w:rFonts w:hint="default" w:ascii="宋体" w:hAnsi="宋体" w:eastAsia="宋体" w:cs="宋体"/>
          <w:color w:val="auto"/>
          <w:sz w:val="32"/>
          <w:szCs w:val="28"/>
          <w:highlight w:val="none"/>
          <w:lang w:val="en-US" w:eastAsia="zh-CN"/>
        </w:rPr>
      </w:pPr>
      <w:r>
        <w:rPr>
          <w:rFonts w:hint="eastAsia" w:ascii="宋体" w:hAnsi="宋体" w:eastAsia="宋体" w:cs="宋体"/>
          <w:color w:val="auto"/>
          <w:sz w:val="28"/>
          <w:szCs w:val="36"/>
          <w:highlight w:val="none"/>
          <w:lang w:val="en-US" w:eastAsia="zh-CN"/>
        </w:rPr>
        <w:t xml:space="preserve"> </w:t>
      </w:r>
      <w:r>
        <w:rPr>
          <w:rFonts w:hint="eastAsia" w:ascii="宋体" w:hAnsi="宋体" w:cs="宋体"/>
          <w:color w:val="auto"/>
          <w:sz w:val="32"/>
          <w:szCs w:val="28"/>
          <w:highlight w:val="none"/>
          <w:lang w:val="en-US" w:eastAsia="zh-CN"/>
        </w:rPr>
        <w:t>六</w:t>
      </w:r>
      <w:r>
        <w:rPr>
          <w:rFonts w:hint="eastAsia" w:ascii="宋体" w:hAnsi="宋体" w:eastAsia="宋体" w:cs="宋体"/>
          <w:color w:val="auto"/>
          <w:sz w:val="32"/>
          <w:szCs w:val="28"/>
          <w:highlight w:val="none"/>
        </w:rPr>
        <w:t>、</w:t>
      </w:r>
      <w:r>
        <w:rPr>
          <w:rFonts w:hint="eastAsia" w:ascii="宋体" w:hAnsi="宋体" w:cs="宋体"/>
          <w:color w:val="auto"/>
          <w:sz w:val="32"/>
          <w:szCs w:val="28"/>
          <w:highlight w:val="none"/>
          <w:lang w:val="en-US" w:eastAsia="zh-CN"/>
        </w:rPr>
        <w:t>技术和服务方案</w:t>
      </w:r>
    </w:p>
    <w:p w14:paraId="201321AD">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格式自拟，并清晰阐述。</w:t>
      </w:r>
    </w:p>
    <w:p w14:paraId="5B5BED84">
      <w:pPr>
        <w:spacing w:line="360" w:lineRule="auto"/>
        <w:rPr>
          <w:rFonts w:hint="eastAsia" w:ascii="宋体" w:hAnsi="宋体" w:eastAsia="宋体" w:cs="宋体"/>
          <w:color w:val="auto"/>
          <w:sz w:val="24"/>
          <w:highlight w:val="none"/>
        </w:rPr>
      </w:pPr>
    </w:p>
    <w:p w14:paraId="7826CEB7">
      <w:pPr>
        <w:spacing w:line="360" w:lineRule="auto"/>
        <w:rPr>
          <w:rFonts w:hint="eastAsia" w:ascii="宋体" w:hAnsi="宋体" w:eastAsia="宋体" w:cs="宋体"/>
          <w:color w:val="auto"/>
          <w:sz w:val="24"/>
          <w:highlight w:val="none"/>
        </w:rPr>
      </w:pPr>
    </w:p>
    <w:p w14:paraId="61528720">
      <w:pPr>
        <w:spacing w:line="360" w:lineRule="auto"/>
        <w:rPr>
          <w:rFonts w:hint="eastAsia" w:ascii="宋体" w:hAnsi="宋体" w:eastAsia="宋体" w:cs="宋体"/>
          <w:color w:val="auto"/>
          <w:sz w:val="24"/>
          <w:highlight w:val="none"/>
        </w:rPr>
      </w:pPr>
    </w:p>
    <w:p w14:paraId="63C304D1">
      <w:pPr>
        <w:spacing w:line="360" w:lineRule="auto"/>
        <w:rPr>
          <w:rFonts w:hint="eastAsia" w:ascii="宋体" w:hAnsi="宋体" w:eastAsia="宋体" w:cs="宋体"/>
          <w:color w:val="auto"/>
          <w:sz w:val="24"/>
          <w:highlight w:val="none"/>
        </w:rPr>
      </w:pPr>
    </w:p>
    <w:p w14:paraId="6C4D62E0">
      <w:pPr>
        <w:spacing w:line="360" w:lineRule="auto"/>
        <w:rPr>
          <w:rFonts w:hint="eastAsia" w:ascii="宋体" w:hAnsi="宋体" w:eastAsia="宋体" w:cs="宋体"/>
          <w:color w:val="auto"/>
          <w:sz w:val="24"/>
          <w:highlight w:val="none"/>
        </w:rPr>
      </w:pPr>
    </w:p>
    <w:p w14:paraId="042B390C">
      <w:pPr>
        <w:spacing w:line="360" w:lineRule="auto"/>
        <w:rPr>
          <w:rFonts w:hint="eastAsia" w:ascii="宋体" w:hAnsi="宋体" w:eastAsia="宋体" w:cs="宋体"/>
          <w:color w:val="auto"/>
          <w:sz w:val="24"/>
          <w:highlight w:val="none"/>
        </w:rPr>
      </w:pPr>
    </w:p>
    <w:p w14:paraId="5BB95A8E">
      <w:pPr>
        <w:pStyle w:val="43"/>
        <w:rPr>
          <w:rFonts w:hint="eastAsia"/>
          <w:color w:val="auto"/>
          <w:highlight w:val="none"/>
        </w:rPr>
      </w:pPr>
      <w:r>
        <w:rPr>
          <w:rFonts w:hint="eastAsia" w:ascii="宋体" w:hAnsi="宋体" w:eastAsia="宋体" w:cs="宋体"/>
          <w:color w:val="auto"/>
          <w:sz w:val="24"/>
          <w:highlight w:val="none"/>
        </w:rPr>
        <w:br w:type="page"/>
      </w:r>
    </w:p>
    <w:p w14:paraId="51990FCE">
      <w:pPr>
        <w:numPr>
          <w:ilvl w:val="0"/>
          <w:numId w:val="0"/>
        </w:num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七、供应商认为</w:t>
      </w:r>
      <w:r>
        <w:rPr>
          <w:rFonts w:hint="eastAsia" w:ascii="宋体" w:hAnsi="宋体" w:cs="宋体"/>
          <w:b/>
          <w:bCs/>
          <w:color w:val="auto"/>
          <w:sz w:val="32"/>
          <w:szCs w:val="32"/>
          <w:highlight w:val="none"/>
        </w:rPr>
        <w:t>可提交的其他资料</w:t>
      </w:r>
    </w:p>
    <w:p w14:paraId="0AD02B3C">
      <w:pPr>
        <w:jc w:val="both"/>
        <w:outlineLvl w:val="0"/>
        <w:rPr>
          <w:rFonts w:hint="eastAsia" w:ascii="宋体" w:hAnsi="宋体" w:eastAsia="宋体" w:cs="宋体"/>
          <w:color w:val="auto"/>
          <w:sz w:val="24"/>
          <w:szCs w:val="24"/>
          <w:highlight w:val="none"/>
          <w:lang w:val="en-US" w:eastAsia="zh-CN"/>
        </w:rPr>
      </w:pPr>
      <w:bookmarkStart w:id="259" w:name="_Toc22069"/>
      <w:r>
        <w:rPr>
          <w:rFonts w:hint="eastAsia" w:ascii="宋体" w:hAnsi="宋体" w:cs="宋体"/>
          <w:color w:val="auto"/>
          <w:sz w:val="24"/>
          <w:szCs w:val="24"/>
          <w:highlight w:val="none"/>
          <w:lang w:val="en-US" w:eastAsia="zh-CN"/>
        </w:rPr>
        <w:t>供应商可根据招标文件中评标标准和采购内容及技术要求，提交有利于投标的相关资料，格式自拟</w:t>
      </w:r>
      <w:bookmarkEnd w:id="259"/>
      <w:r>
        <w:rPr>
          <w:rFonts w:hint="eastAsia" w:ascii="宋体" w:hAnsi="宋体" w:cs="宋体"/>
          <w:color w:val="auto"/>
          <w:sz w:val="24"/>
          <w:szCs w:val="24"/>
          <w:highlight w:val="none"/>
          <w:lang w:val="en-US" w:eastAsia="zh-CN"/>
        </w:rPr>
        <w:t>。</w:t>
      </w:r>
    </w:p>
    <w:p w14:paraId="1E4A75C9">
      <w:pPr>
        <w:pStyle w:val="62"/>
        <w:numPr>
          <w:ilvl w:val="0"/>
          <w:numId w:val="0"/>
        </w:numPr>
        <w:rPr>
          <w:rFonts w:hint="eastAsia"/>
          <w:highlight w:val="none"/>
        </w:rPr>
      </w:pPr>
    </w:p>
    <w:p w14:paraId="7730D36F">
      <w:pPr>
        <w:pStyle w:val="62"/>
        <w:numPr>
          <w:ilvl w:val="0"/>
          <w:numId w:val="0"/>
        </w:numPr>
        <w:rPr>
          <w:rFonts w:hint="eastAsia"/>
          <w:highlight w:val="none"/>
        </w:rPr>
      </w:pPr>
    </w:p>
    <w:p w14:paraId="2990F3F9">
      <w:pPr>
        <w:pStyle w:val="62"/>
        <w:numPr>
          <w:ilvl w:val="0"/>
          <w:numId w:val="0"/>
        </w:numPr>
        <w:rPr>
          <w:rFonts w:hint="eastAsia"/>
          <w:highlight w:val="none"/>
        </w:rPr>
      </w:pPr>
    </w:p>
    <w:p w14:paraId="6F288193">
      <w:pPr>
        <w:pStyle w:val="62"/>
        <w:numPr>
          <w:ilvl w:val="0"/>
          <w:numId w:val="0"/>
        </w:numPr>
        <w:rPr>
          <w:rFonts w:hint="eastAsia"/>
          <w:highlight w:val="none"/>
        </w:rPr>
      </w:pPr>
    </w:p>
    <w:p w14:paraId="64A8D0E1">
      <w:pPr>
        <w:pStyle w:val="62"/>
        <w:numPr>
          <w:ilvl w:val="0"/>
          <w:numId w:val="0"/>
        </w:numPr>
        <w:rPr>
          <w:rFonts w:hint="eastAsia"/>
          <w:highlight w:val="none"/>
        </w:rPr>
      </w:pPr>
    </w:p>
    <w:p w14:paraId="26EBCA81">
      <w:pPr>
        <w:pStyle w:val="62"/>
        <w:numPr>
          <w:ilvl w:val="0"/>
          <w:numId w:val="0"/>
        </w:numPr>
        <w:rPr>
          <w:rFonts w:hint="eastAsia"/>
          <w:highlight w:val="none"/>
        </w:rPr>
      </w:pPr>
    </w:p>
    <w:p w14:paraId="5142A963">
      <w:pPr>
        <w:pStyle w:val="62"/>
        <w:numPr>
          <w:ilvl w:val="0"/>
          <w:numId w:val="0"/>
        </w:numPr>
        <w:rPr>
          <w:rFonts w:hint="eastAsia"/>
          <w:highlight w:val="none"/>
        </w:rPr>
      </w:pPr>
    </w:p>
    <w:p w14:paraId="53694F57">
      <w:pPr>
        <w:pStyle w:val="62"/>
        <w:numPr>
          <w:ilvl w:val="0"/>
          <w:numId w:val="0"/>
        </w:numPr>
        <w:rPr>
          <w:rFonts w:hint="eastAsia"/>
          <w:highlight w:val="none"/>
        </w:rPr>
      </w:pPr>
    </w:p>
    <w:p w14:paraId="639D0B4E">
      <w:pPr>
        <w:pStyle w:val="62"/>
        <w:numPr>
          <w:ilvl w:val="0"/>
          <w:numId w:val="0"/>
        </w:numPr>
        <w:rPr>
          <w:rFonts w:hint="eastAsia"/>
          <w:highlight w:val="none"/>
        </w:rPr>
      </w:pPr>
    </w:p>
    <w:p w14:paraId="7D2850FE">
      <w:pPr>
        <w:pStyle w:val="62"/>
        <w:numPr>
          <w:ilvl w:val="0"/>
          <w:numId w:val="0"/>
        </w:numPr>
        <w:rPr>
          <w:rFonts w:hint="eastAsia"/>
          <w:highlight w:val="none"/>
        </w:rPr>
      </w:pPr>
    </w:p>
    <w:p w14:paraId="4267A0B0">
      <w:pPr>
        <w:pStyle w:val="62"/>
        <w:numPr>
          <w:ilvl w:val="0"/>
          <w:numId w:val="0"/>
        </w:numPr>
        <w:rPr>
          <w:rFonts w:hint="eastAsia"/>
          <w:highlight w:val="none"/>
        </w:rPr>
      </w:pPr>
    </w:p>
    <w:p w14:paraId="2350E396">
      <w:pPr>
        <w:pStyle w:val="62"/>
        <w:numPr>
          <w:ilvl w:val="0"/>
          <w:numId w:val="0"/>
        </w:numPr>
        <w:rPr>
          <w:rFonts w:hint="eastAsia"/>
          <w:highlight w:val="none"/>
        </w:rPr>
      </w:pPr>
    </w:p>
    <w:p w14:paraId="45C34A4C">
      <w:pPr>
        <w:pStyle w:val="62"/>
        <w:numPr>
          <w:ilvl w:val="0"/>
          <w:numId w:val="0"/>
        </w:numPr>
        <w:rPr>
          <w:rFonts w:hint="eastAsia"/>
          <w:highlight w:val="none"/>
        </w:rPr>
      </w:pPr>
    </w:p>
    <w:p w14:paraId="6D4ABCDD">
      <w:pPr>
        <w:pStyle w:val="62"/>
        <w:numPr>
          <w:ilvl w:val="0"/>
          <w:numId w:val="0"/>
        </w:numPr>
        <w:rPr>
          <w:rFonts w:hint="eastAsia"/>
          <w:highlight w:val="none"/>
        </w:rPr>
      </w:pPr>
    </w:p>
    <w:p w14:paraId="1335154A">
      <w:pPr>
        <w:pStyle w:val="62"/>
        <w:numPr>
          <w:ilvl w:val="0"/>
          <w:numId w:val="0"/>
        </w:numPr>
        <w:rPr>
          <w:rFonts w:hint="eastAsia"/>
          <w:highlight w:val="none"/>
        </w:rPr>
      </w:pPr>
    </w:p>
    <w:p w14:paraId="717C4680">
      <w:pPr>
        <w:pStyle w:val="62"/>
        <w:numPr>
          <w:ilvl w:val="0"/>
          <w:numId w:val="0"/>
        </w:numPr>
        <w:rPr>
          <w:rFonts w:hint="eastAsia"/>
          <w:highlight w:val="none"/>
        </w:rPr>
      </w:pPr>
    </w:p>
    <w:p w14:paraId="687E96F2">
      <w:pPr>
        <w:pStyle w:val="62"/>
        <w:numPr>
          <w:ilvl w:val="0"/>
          <w:numId w:val="0"/>
        </w:numPr>
        <w:rPr>
          <w:rFonts w:hint="eastAsia"/>
          <w:highlight w:val="none"/>
        </w:rPr>
      </w:pPr>
    </w:p>
    <w:p w14:paraId="3512F01B">
      <w:pPr>
        <w:pStyle w:val="62"/>
        <w:numPr>
          <w:ilvl w:val="0"/>
          <w:numId w:val="0"/>
        </w:numPr>
        <w:rPr>
          <w:rFonts w:hint="eastAsia"/>
          <w:highlight w:val="none"/>
        </w:rPr>
      </w:pPr>
    </w:p>
    <w:p w14:paraId="19E1BB2A">
      <w:pPr>
        <w:pStyle w:val="62"/>
        <w:numPr>
          <w:ilvl w:val="0"/>
          <w:numId w:val="0"/>
        </w:numPr>
        <w:rPr>
          <w:rFonts w:hint="eastAsia"/>
          <w:highlight w:val="none"/>
        </w:rPr>
      </w:pPr>
    </w:p>
    <w:p w14:paraId="489C239D">
      <w:pPr>
        <w:pStyle w:val="62"/>
        <w:numPr>
          <w:ilvl w:val="0"/>
          <w:numId w:val="0"/>
        </w:numPr>
        <w:rPr>
          <w:rFonts w:hint="eastAsia"/>
          <w:highlight w:val="none"/>
        </w:rPr>
      </w:pPr>
    </w:p>
    <w:p w14:paraId="3044211C">
      <w:pPr>
        <w:pStyle w:val="62"/>
        <w:numPr>
          <w:ilvl w:val="0"/>
          <w:numId w:val="0"/>
        </w:numPr>
        <w:rPr>
          <w:rFonts w:hint="eastAsia"/>
          <w:highlight w:val="none"/>
        </w:rPr>
      </w:pPr>
    </w:p>
    <w:p w14:paraId="3E0FED7B">
      <w:pPr>
        <w:pStyle w:val="62"/>
        <w:numPr>
          <w:ilvl w:val="0"/>
          <w:numId w:val="0"/>
        </w:numPr>
        <w:rPr>
          <w:rFonts w:hint="eastAsia"/>
          <w:highlight w:val="none"/>
        </w:rPr>
      </w:pPr>
    </w:p>
    <w:p w14:paraId="23418F40">
      <w:pPr>
        <w:pStyle w:val="62"/>
        <w:numPr>
          <w:ilvl w:val="0"/>
          <w:numId w:val="0"/>
        </w:numPr>
        <w:rPr>
          <w:rFonts w:hint="eastAsia"/>
          <w:highlight w:val="none"/>
        </w:rPr>
      </w:pPr>
    </w:p>
    <w:p w14:paraId="615F0CD8">
      <w:pPr>
        <w:pStyle w:val="62"/>
        <w:numPr>
          <w:ilvl w:val="0"/>
          <w:numId w:val="0"/>
        </w:numPr>
        <w:rPr>
          <w:rFonts w:hint="eastAsia"/>
          <w:highlight w:val="none"/>
        </w:rPr>
      </w:pPr>
    </w:p>
    <w:p w14:paraId="57D6CA1D">
      <w:pPr>
        <w:pStyle w:val="62"/>
        <w:numPr>
          <w:ilvl w:val="0"/>
          <w:numId w:val="0"/>
        </w:numPr>
        <w:rPr>
          <w:rFonts w:hint="eastAsia"/>
          <w:highlight w:val="none"/>
        </w:rPr>
      </w:pPr>
    </w:p>
    <w:p w14:paraId="2BAB5BE3">
      <w:pPr>
        <w:pStyle w:val="62"/>
        <w:numPr>
          <w:ilvl w:val="0"/>
          <w:numId w:val="0"/>
        </w:numPr>
        <w:rPr>
          <w:rFonts w:hint="eastAsia"/>
          <w:highlight w:val="none"/>
        </w:rPr>
      </w:pPr>
    </w:p>
    <w:p w14:paraId="49DA4C19">
      <w:pPr>
        <w:pStyle w:val="62"/>
        <w:numPr>
          <w:ilvl w:val="0"/>
          <w:numId w:val="0"/>
        </w:numPr>
        <w:rPr>
          <w:rFonts w:hint="eastAsia"/>
          <w:highlight w:val="none"/>
        </w:rPr>
      </w:pPr>
    </w:p>
    <w:p w14:paraId="664929F9">
      <w:pPr>
        <w:pStyle w:val="62"/>
        <w:numPr>
          <w:ilvl w:val="0"/>
          <w:numId w:val="0"/>
        </w:numPr>
        <w:rPr>
          <w:rFonts w:hint="eastAsia"/>
          <w:highlight w:val="none"/>
        </w:rPr>
      </w:pPr>
    </w:p>
    <w:p w14:paraId="30A4813C">
      <w:pPr>
        <w:pStyle w:val="62"/>
        <w:numPr>
          <w:ilvl w:val="0"/>
          <w:numId w:val="0"/>
        </w:numPr>
        <w:rPr>
          <w:rFonts w:hint="eastAsia"/>
          <w:highlight w:val="none"/>
        </w:rPr>
      </w:pPr>
    </w:p>
    <w:p w14:paraId="1677BF0E">
      <w:pPr>
        <w:pStyle w:val="62"/>
        <w:numPr>
          <w:ilvl w:val="0"/>
          <w:numId w:val="0"/>
        </w:numPr>
        <w:rPr>
          <w:rFonts w:hint="eastAsia"/>
          <w:highlight w:val="none"/>
        </w:rPr>
      </w:pPr>
    </w:p>
    <w:p w14:paraId="6A8DB910">
      <w:pPr>
        <w:pStyle w:val="62"/>
        <w:numPr>
          <w:ilvl w:val="0"/>
          <w:numId w:val="0"/>
        </w:numPr>
        <w:rPr>
          <w:rFonts w:hint="eastAsia"/>
          <w:highlight w:val="none"/>
        </w:rPr>
      </w:pPr>
    </w:p>
    <w:p w14:paraId="55D2C326">
      <w:pPr>
        <w:pStyle w:val="62"/>
        <w:numPr>
          <w:ilvl w:val="0"/>
          <w:numId w:val="0"/>
        </w:numPr>
        <w:rPr>
          <w:rFonts w:hint="eastAsia"/>
          <w:highlight w:val="none"/>
        </w:rPr>
      </w:pPr>
    </w:p>
    <w:p w14:paraId="209443CF">
      <w:pPr>
        <w:pStyle w:val="62"/>
        <w:numPr>
          <w:ilvl w:val="0"/>
          <w:numId w:val="0"/>
        </w:numPr>
        <w:rPr>
          <w:rFonts w:hint="eastAsia"/>
          <w:highlight w:val="none"/>
        </w:rPr>
      </w:pPr>
    </w:p>
    <w:p w14:paraId="49F85FA6">
      <w:pPr>
        <w:pStyle w:val="62"/>
        <w:numPr>
          <w:ilvl w:val="0"/>
          <w:numId w:val="0"/>
        </w:numPr>
        <w:rPr>
          <w:rFonts w:hint="eastAsia"/>
          <w:highlight w:val="none"/>
        </w:rPr>
      </w:pPr>
    </w:p>
    <w:p w14:paraId="35F348AA">
      <w:pPr>
        <w:pStyle w:val="62"/>
        <w:numPr>
          <w:ilvl w:val="0"/>
          <w:numId w:val="0"/>
        </w:numPr>
        <w:rPr>
          <w:rFonts w:hint="eastAsia"/>
          <w:highlight w:val="none"/>
        </w:rPr>
      </w:pPr>
    </w:p>
    <w:p w14:paraId="28957BD7">
      <w:pPr>
        <w:pStyle w:val="62"/>
        <w:numPr>
          <w:ilvl w:val="0"/>
          <w:numId w:val="0"/>
        </w:numPr>
        <w:rPr>
          <w:rFonts w:hint="eastAsia"/>
          <w:highlight w:val="none"/>
        </w:rPr>
      </w:pPr>
    </w:p>
    <w:p w14:paraId="23323171">
      <w:pPr>
        <w:pStyle w:val="62"/>
        <w:numPr>
          <w:ilvl w:val="0"/>
          <w:numId w:val="0"/>
        </w:numPr>
        <w:rPr>
          <w:rFonts w:hint="eastAsia"/>
          <w:highlight w:val="none"/>
        </w:rPr>
      </w:pPr>
    </w:p>
    <w:p w14:paraId="4F37C6DA">
      <w:pPr>
        <w:pStyle w:val="62"/>
        <w:numPr>
          <w:ilvl w:val="0"/>
          <w:numId w:val="0"/>
        </w:numPr>
        <w:rPr>
          <w:rFonts w:hint="eastAsia"/>
          <w:highlight w:val="none"/>
        </w:rPr>
      </w:pPr>
    </w:p>
    <w:p w14:paraId="7AE386FD">
      <w:pPr>
        <w:pStyle w:val="62"/>
        <w:numPr>
          <w:ilvl w:val="0"/>
          <w:numId w:val="0"/>
        </w:numPr>
        <w:rPr>
          <w:rFonts w:hint="eastAsia"/>
          <w:highlight w:val="none"/>
        </w:rPr>
      </w:pPr>
    </w:p>
    <w:p w14:paraId="1999886E">
      <w:pPr>
        <w:pStyle w:val="62"/>
        <w:numPr>
          <w:ilvl w:val="0"/>
          <w:numId w:val="0"/>
        </w:numPr>
        <w:rPr>
          <w:rFonts w:hint="eastAsia"/>
          <w:highlight w:val="none"/>
        </w:rPr>
      </w:pPr>
    </w:p>
    <w:p w14:paraId="77223CA6">
      <w:pPr>
        <w:pStyle w:val="62"/>
        <w:numPr>
          <w:ilvl w:val="0"/>
          <w:numId w:val="0"/>
        </w:numPr>
        <w:rPr>
          <w:rFonts w:hint="eastAsia"/>
          <w:highlight w:val="none"/>
        </w:rPr>
      </w:pPr>
    </w:p>
    <w:p w14:paraId="6C8671FA">
      <w:pPr>
        <w:jc w:val="both"/>
        <w:outlineLvl w:val="0"/>
        <w:rPr>
          <w:rFonts w:hint="eastAsia" w:ascii="宋体" w:hAnsi="宋体" w:cs="宋体"/>
          <w:b w:val="0"/>
          <w:bCs w:val="0"/>
          <w:color w:val="auto"/>
          <w:sz w:val="24"/>
          <w:szCs w:val="18"/>
          <w:highlight w:val="none"/>
          <w:lang w:val="en-US" w:eastAsia="zh-CN"/>
        </w:rPr>
      </w:pPr>
      <w:r>
        <w:rPr>
          <w:rFonts w:hint="eastAsia" w:ascii="宋体" w:hAnsi="宋体" w:cs="宋体"/>
          <w:b w:val="0"/>
          <w:bCs w:val="0"/>
          <w:color w:val="auto"/>
          <w:sz w:val="24"/>
          <w:szCs w:val="18"/>
          <w:highlight w:val="none"/>
          <w:lang w:val="en-US" w:eastAsia="zh-CN"/>
        </w:rPr>
        <w:t>附件1</w:t>
      </w:r>
    </w:p>
    <w:p w14:paraId="520A8505">
      <w:pPr>
        <w:jc w:val="center"/>
        <w:outlineLvl w:val="0"/>
        <w:rPr>
          <w:rFonts w:ascii="宋体" w:hAnsi="宋体" w:cs="宋体"/>
          <w:color w:val="auto"/>
          <w:highlight w:val="none"/>
        </w:rPr>
      </w:pPr>
      <w:r>
        <w:rPr>
          <w:rFonts w:hint="eastAsia" w:ascii="宋体" w:hAnsi="宋体" w:cs="宋体"/>
          <w:b/>
          <w:bCs/>
          <w:color w:val="auto"/>
          <w:sz w:val="32"/>
          <w:szCs w:val="21"/>
          <w:highlight w:val="none"/>
        </w:rPr>
        <w:t>承诺函</w:t>
      </w:r>
    </w:p>
    <w:p w14:paraId="0E5528C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满足《中华人民共和国政府采购法》第二十二条规定的承诺书</w:t>
      </w:r>
    </w:p>
    <w:p w14:paraId="029A332D">
      <w:pPr>
        <w:spacing w:line="440" w:lineRule="exact"/>
        <w:rPr>
          <w:rFonts w:ascii="宋体" w:hAnsi="宋体"/>
          <w:color w:val="auto"/>
          <w:sz w:val="24"/>
          <w:szCs w:val="24"/>
          <w:highlight w:val="none"/>
        </w:rPr>
      </w:pPr>
      <w:r>
        <w:rPr>
          <w:rFonts w:hint="eastAsia" w:ascii="宋体" w:hAnsi="宋体"/>
          <w:color w:val="auto"/>
          <w:sz w:val="24"/>
          <w:szCs w:val="24"/>
          <w:highlight w:val="none"/>
        </w:rPr>
        <w:t>致（采购单位及代理公司）：</w:t>
      </w:r>
    </w:p>
    <w:p w14:paraId="4F4DE64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6FCE322">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法定代表人（主要负责人）为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A5360E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二、我单位具有独立承担民事责任的能力(如分公司参加投标的，其民事责任由总公司承担)。</w:t>
      </w:r>
    </w:p>
    <w:p w14:paraId="6C4AD21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16C0E5E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115C432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5A7CFFB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7B52D8C9">
      <w:pPr>
        <w:spacing w:line="440" w:lineRule="exact"/>
        <w:ind w:firstLine="480" w:firstLineChars="200"/>
        <w:outlineLvl w:val="1"/>
        <w:rPr>
          <w:rFonts w:ascii="宋体" w:hAnsi="宋体"/>
          <w:color w:val="auto"/>
          <w:sz w:val="24"/>
          <w:szCs w:val="24"/>
          <w:highlight w:val="none"/>
        </w:rPr>
      </w:pPr>
      <w:bookmarkStart w:id="260" w:name="_Toc27798"/>
      <w:bookmarkStart w:id="261" w:name="_Toc4968"/>
      <w:bookmarkStart w:id="262" w:name="_Toc12051"/>
      <w:r>
        <w:rPr>
          <w:rFonts w:hint="eastAsia" w:ascii="宋体" w:hAnsi="宋体"/>
          <w:color w:val="auto"/>
          <w:sz w:val="24"/>
          <w:szCs w:val="24"/>
          <w:highlight w:val="none"/>
        </w:rPr>
        <w:t>七、我单位具备法律、行政法规规定的其他条件。</w:t>
      </w:r>
      <w:bookmarkEnd w:id="260"/>
      <w:bookmarkEnd w:id="261"/>
      <w:bookmarkEnd w:id="262"/>
    </w:p>
    <w:p w14:paraId="0414C32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1107BE19">
      <w:pPr>
        <w:spacing w:line="440" w:lineRule="exact"/>
        <w:ind w:firstLine="3960" w:firstLineChars="1650"/>
        <w:rPr>
          <w:rFonts w:ascii="宋体" w:hAnsi="宋体"/>
          <w:color w:val="auto"/>
          <w:sz w:val="24"/>
          <w:szCs w:val="24"/>
          <w:highlight w:val="none"/>
        </w:rPr>
      </w:pPr>
      <w:r>
        <w:rPr>
          <w:rFonts w:hint="eastAsia" w:ascii="宋体" w:hAnsi="宋体"/>
          <w:color w:val="auto"/>
          <w:sz w:val="24"/>
          <w:szCs w:val="24"/>
          <w:highlight w:val="none"/>
        </w:rPr>
        <w:t>供应商（盖章）：</w:t>
      </w:r>
    </w:p>
    <w:p w14:paraId="7E89D60D">
      <w:pPr>
        <w:spacing w:line="440" w:lineRule="exact"/>
        <w:ind w:firstLine="4080" w:firstLineChars="1700"/>
        <w:rPr>
          <w:rFonts w:ascii="宋体" w:hAnsi="宋体"/>
          <w:color w:val="auto"/>
          <w:sz w:val="24"/>
          <w:szCs w:val="24"/>
          <w:highlight w:val="none"/>
        </w:rPr>
      </w:pPr>
      <w:r>
        <w:rPr>
          <w:rFonts w:hint="eastAsia" w:ascii="宋体" w:hAnsi="宋体"/>
          <w:color w:val="auto"/>
          <w:sz w:val="24"/>
          <w:szCs w:val="24"/>
          <w:highlight w:val="none"/>
        </w:rPr>
        <w:t xml:space="preserve">法定代表人（签字或盖章）： </w:t>
      </w:r>
    </w:p>
    <w:p w14:paraId="0438D9D4">
      <w:pPr>
        <w:spacing w:line="440" w:lineRule="exact"/>
        <w:ind w:firstLine="3960" w:firstLineChars="1650"/>
        <w:rPr>
          <w:rFonts w:ascii="宋体" w:hAnsi="宋体"/>
          <w:color w:val="auto"/>
          <w:sz w:val="24"/>
          <w:szCs w:val="24"/>
          <w:highlight w:val="none"/>
        </w:rPr>
      </w:pPr>
      <w:r>
        <w:rPr>
          <w:rFonts w:hint="eastAsia" w:ascii="宋体" w:hAnsi="宋体"/>
          <w:color w:val="auto"/>
          <w:sz w:val="24"/>
          <w:szCs w:val="24"/>
          <w:highlight w:val="none"/>
        </w:rPr>
        <w:t>日期： 年  月  日</w:t>
      </w:r>
    </w:p>
    <w:p w14:paraId="224FE199">
      <w:pPr>
        <w:spacing w:line="440" w:lineRule="exact"/>
        <w:rPr>
          <w:rFonts w:ascii="宋体" w:hAnsi="宋体"/>
          <w:color w:val="auto"/>
          <w:sz w:val="24"/>
          <w:szCs w:val="24"/>
          <w:highlight w:val="none"/>
        </w:rPr>
      </w:pPr>
      <w:r>
        <w:rPr>
          <w:rFonts w:hint="eastAsia" w:ascii="宋体" w:hAnsi="宋体"/>
          <w:color w:val="auto"/>
          <w:sz w:val="24"/>
          <w:szCs w:val="24"/>
          <w:highlight w:val="none"/>
        </w:rPr>
        <w:t>注：1.供应商须在投标文件中按此模板提供承诺函，未提供视为未实质性响应招标文件要求，按无效投标处理。</w:t>
      </w:r>
    </w:p>
    <w:p w14:paraId="65ED0886">
      <w:pPr>
        <w:keepNext/>
        <w:keepLines/>
        <w:spacing w:before="160" w:after="160" w:line="440" w:lineRule="exact"/>
        <w:ind w:left="851" w:hanging="284"/>
        <w:textAlignment w:val="baseline"/>
        <w:outlineLvl w:val="1"/>
        <w:rPr>
          <w:rFonts w:hint="eastAsia" w:ascii="黑体" w:hAnsi="Arial" w:eastAsia="黑体"/>
          <w:color w:val="auto"/>
          <w:kern w:val="0"/>
          <w:sz w:val="28"/>
          <w:szCs w:val="28"/>
          <w:highlight w:val="none"/>
        </w:rPr>
      </w:pPr>
      <w:r>
        <w:rPr>
          <w:rFonts w:hint="eastAsia" w:ascii="宋体" w:hAnsi="宋体"/>
          <w:color w:val="auto"/>
          <w:sz w:val="24"/>
          <w:szCs w:val="24"/>
          <w:highlight w:val="none"/>
        </w:rPr>
        <w:t>2.供应商的法定代表人（主要负责人）或者授权代表的签字或盖章应真实、有效。</w:t>
      </w:r>
    </w:p>
    <w:p w14:paraId="0E90D0ED">
      <w:pPr>
        <w:pStyle w:val="62"/>
        <w:ind w:left="0" w:leftChars="0" w:firstLine="0" w:firstLineChars="0"/>
        <w:rPr>
          <w:rFonts w:hint="eastAsia" w:ascii="宋体" w:hAnsi="宋体" w:cs="宋体"/>
          <w:color w:val="auto"/>
          <w:sz w:val="24"/>
          <w:szCs w:val="32"/>
          <w:highlight w:val="none"/>
          <w:lang w:val="en-US" w:eastAsia="zh-CN"/>
        </w:rPr>
      </w:pPr>
    </w:p>
    <w:p w14:paraId="0A2FC1A4">
      <w:pPr>
        <w:pStyle w:val="62"/>
        <w:ind w:left="0" w:leftChars="0" w:firstLine="0" w:firstLineChars="0"/>
        <w:rPr>
          <w:rFonts w:hint="eastAsia" w:ascii="宋体" w:hAnsi="宋体" w:cs="宋体"/>
          <w:color w:val="auto"/>
          <w:sz w:val="24"/>
          <w:szCs w:val="32"/>
          <w:highlight w:val="none"/>
          <w:lang w:val="en-US" w:eastAsia="zh-CN"/>
        </w:rPr>
      </w:pPr>
    </w:p>
    <w:p w14:paraId="307EC2F2">
      <w:pPr>
        <w:pStyle w:val="62"/>
        <w:ind w:left="0" w:leftChars="0" w:firstLine="0" w:firstLineChars="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附件2</w:t>
      </w:r>
    </w:p>
    <w:p w14:paraId="1686F523">
      <w:pPr>
        <w:pStyle w:val="62"/>
        <w:ind w:left="0" w:leftChars="0" w:firstLine="0" w:firstLineChars="0"/>
        <w:jc w:val="both"/>
        <w:rPr>
          <w:rFonts w:hint="default" w:ascii="宋体" w:hAnsi="宋体" w:cs="宋体"/>
          <w:color w:val="auto"/>
          <w:highlight w:val="none"/>
          <w:lang w:val="en-US" w:eastAsia="zh-CN"/>
        </w:rPr>
      </w:pPr>
    </w:p>
    <w:p w14:paraId="25BDDDD3">
      <w:pPr>
        <w:jc w:val="center"/>
        <w:outlineLvl w:val="0"/>
        <w:rPr>
          <w:rFonts w:hint="eastAsia" w:ascii="宋体" w:hAnsi="宋体" w:eastAsia="宋体" w:cs="宋体"/>
          <w:b/>
          <w:bCs/>
          <w:color w:val="auto"/>
          <w:sz w:val="32"/>
          <w:szCs w:val="21"/>
          <w:highlight w:val="none"/>
          <w:lang w:val="en-US" w:eastAsia="zh-CN"/>
        </w:rPr>
      </w:pPr>
      <w:r>
        <w:rPr>
          <w:rFonts w:hint="eastAsia" w:ascii="宋体" w:hAnsi="宋体" w:eastAsia="宋体" w:cs="宋体"/>
          <w:b/>
          <w:bCs/>
          <w:color w:val="auto"/>
          <w:sz w:val="32"/>
          <w:szCs w:val="21"/>
          <w:highlight w:val="none"/>
          <w:lang w:val="en-US" w:eastAsia="zh-CN"/>
        </w:rPr>
        <w:t>无商业贿赂和不正当竞争行为的承诺书</w:t>
      </w:r>
    </w:p>
    <w:p w14:paraId="028B218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2B7ED49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default"/>
          <w:highlight w:val="none"/>
          <w:u w:val="single"/>
          <w:lang w:val="en-US"/>
        </w:rPr>
      </w:pP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u w:val="single"/>
          <w:lang w:val="en-US" w:eastAsia="zh-CN" w:bidi="ar"/>
        </w:rPr>
        <w:t xml:space="preserve">                 </w:t>
      </w:r>
    </w:p>
    <w:p w14:paraId="57DD160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我公司参加</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cs="宋体"/>
          <w:color w:val="000000"/>
          <w:kern w:val="0"/>
          <w:sz w:val="24"/>
          <w:szCs w:val="24"/>
          <w:highlight w:val="none"/>
          <w:u w:val="none"/>
          <w:lang w:val="en-US" w:eastAsia="zh-CN" w:bidi="ar"/>
        </w:rPr>
        <w:t>（项目名称）</w:t>
      </w:r>
      <w:r>
        <w:rPr>
          <w:rFonts w:hint="eastAsia" w:ascii="宋体" w:hAnsi="宋体" w:eastAsia="宋体" w:cs="宋体"/>
          <w:color w:val="000000"/>
          <w:kern w:val="0"/>
          <w:sz w:val="24"/>
          <w:szCs w:val="24"/>
          <w:highlight w:val="none"/>
          <w:lang w:val="en-US" w:eastAsia="zh-CN" w:bidi="ar"/>
        </w:rPr>
        <w:t xml:space="preserve">的投标，作出以下承诺： </w:t>
      </w:r>
    </w:p>
    <w:p w14:paraId="5A7D90C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我公司自成立之日起，在参加采购活动中，无商业贿赂和不正当竞争行为；并在本次采购活动中，我公司承诺做到：公平竞争参加本次投标活动。杜绝任何形式的商业贿赂行为和不正当竞争行为。不向国家工作人员、采购代理机构工作人员、评审专家及其亲属提供礼品礼金、有价证券、购物券、回扣、佣金、咨询费、劳务费、赞助费、宣传费、宴请；不为其报销各种消费凭证，不支付其旅游、娱乐等费用。 </w:t>
      </w:r>
    </w:p>
    <w:p w14:paraId="56CB8F25">
      <w:pPr>
        <w:keepNext w:val="0"/>
        <w:keepLines w:val="0"/>
        <w:widowControl/>
        <w:suppressLineNumbers w:val="0"/>
        <w:ind w:firstLine="3120" w:firstLineChars="1300"/>
        <w:jc w:val="left"/>
        <w:rPr>
          <w:rFonts w:hint="eastAsia" w:ascii="宋体" w:hAnsi="宋体" w:eastAsia="宋体" w:cs="宋体"/>
          <w:color w:val="000000"/>
          <w:kern w:val="0"/>
          <w:sz w:val="24"/>
          <w:szCs w:val="24"/>
          <w:highlight w:val="none"/>
          <w:lang w:val="en-US" w:eastAsia="zh-CN" w:bidi="ar"/>
        </w:rPr>
      </w:pPr>
    </w:p>
    <w:p w14:paraId="159130F5">
      <w:pPr>
        <w:keepNext w:val="0"/>
        <w:keepLines w:val="0"/>
        <w:widowControl/>
        <w:suppressLineNumbers w:val="0"/>
        <w:ind w:firstLine="3120" w:firstLineChars="1300"/>
        <w:jc w:val="left"/>
        <w:rPr>
          <w:rFonts w:hint="eastAsia" w:ascii="宋体" w:hAnsi="宋体" w:eastAsia="宋体" w:cs="宋体"/>
          <w:color w:val="000000"/>
          <w:kern w:val="0"/>
          <w:sz w:val="24"/>
          <w:szCs w:val="24"/>
          <w:highlight w:val="none"/>
          <w:lang w:val="en-US" w:eastAsia="zh-CN" w:bidi="ar"/>
        </w:rPr>
      </w:pPr>
    </w:p>
    <w:p w14:paraId="103FBA73">
      <w:pPr>
        <w:keepNext w:val="0"/>
        <w:keepLines w:val="0"/>
        <w:widowControl/>
        <w:suppressLineNumbers w:val="0"/>
        <w:ind w:firstLine="3120" w:firstLineChars="1300"/>
        <w:jc w:val="left"/>
        <w:rPr>
          <w:highlight w:val="none"/>
        </w:rPr>
      </w:pP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（盖单位公章） </w:t>
      </w:r>
    </w:p>
    <w:p w14:paraId="2CF97E69">
      <w:pPr>
        <w:keepNext w:val="0"/>
        <w:keepLines w:val="0"/>
        <w:widowControl/>
        <w:suppressLineNumbers w:val="0"/>
        <w:ind w:firstLine="3120" w:firstLineChars="1300"/>
        <w:jc w:val="left"/>
        <w:rPr>
          <w:rFonts w:hint="eastAsia" w:ascii="宋体" w:hAnsi="宋体" w:eastAsia="宋体" w:cs="宋体"/>
          <w:color w:val="000000"/>
          <w:kern w:val="0"/>
          <w:sz w:val="24"/>
          <w:szCs w:val="24"/>
          <w:highlight w:val="none"/>
          <w:lang w:val="en-US" w:eastAsia="zh-CN" w:bidi="ar"/>
        </w:rPr>
      </w:pPr>
    </w:p>
    <w:p w14:paraId="7BCB4627">
      <w:pPr>
        <w:keepNext w:val="0"/>
        <w:keepLines w:val="0"/>
        <w:widowControl/>
        <w:suppressLineNumbers w:val="0"/>
        <w:ind w:firstLine="3120" w:firstLineChars="1300"/>
        <w:jc w:val="left"/>
        <w:rPr>
          <w:rFonts w:hint="eastAsia" w:ascii="宋体" w:hAnsi="宋体" w:eastAsia="宋体" w:cs="宋体"/>
          <w:color w:val="000000"/>
          <w:kern w:val="0"/>
          <w:sz w:val="24"/>
          <w:szCs w:val="24"/>
          <w:highlight w:val="none"/>
          <w:lang w:val="en-US" w:eastAsia="zh-CN" w:bidi="ar"/>
        </w:rPr>
      </w:pPr>
    </w:p>
    <w:p w14:paraId="70CDC1A1">
      <w:pPr>
        <w:keepNext w:val="0"/>
        <w:keepLines w:val="0"/>
        <w:widowControl/>
        <w:suppressLineNumbers w:val="0"/>
        <w:ind w:firstLine="3120" w:firstLineChars="1300"/>
        <w:jc w:val="left"/>
        <w:rPr>
          <w:highlight w:val="none"/>
        </w:rPr>
      </w:pPr>
      <w:r>
        <w:rPr>
          <w:rFonts w:hint="eastAsia" w:hAnsi="宋体"/>
          <w:bCs/>
          <w:color w:val="auto"/>
          <w:sz w:val="24"/>
          <w:szCs w:val="24"/>
          <w:highlight w:val="none"/>
        </w:rPr>
        <w:t>法定代表人或其委托代理人</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（签章）  </w:t>
      </w:r>
    </w:p>
    <w:p w14:paraId="2004CA16">
      <w:pPr>
        <w:keepNext w:val="0"/>
        <w:keepLines w:val="0"/>
        <w:widowControl/>
        <w:suppressLineNumbers w:val="0"/>
        <w:ind w:left="3830" w:leftChars="1824" w:firstLine="4800" w:firstLineChars="200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5F2F0FDE">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highlight w:val="none"/>
          <w:lang w:val="en-US" w:eastAsia="zh-CN"/>
        </w:rPr>
        <w:t xml:space="preserve">                                          </w:t>
      </w:r>
      <w:r>
        <w:rPr>
          <w:rFonts w:hint="eastAsia" w:ascii="宋体" w:hAnsi="宋体" w:eastAsia="宋体" w:cs="宋体"/>
          <w:color w:val="000000"/>
          <w:kern w:val="0"/>
          <w:sz w:val="24"/>
          <w:szCs w:val="24"/>
          <w:highlight w:val="none"/>
          <w:lang w:val="en-US" w:eastAsia="zh-CN" w:bidi="ar"/>
        </w:rPr>
        <w:t xml:space="preserve">  </w:t>
      </w:r>
    </w:p>
    <w:p w14:paraId="58644CAA">
      <w:pPr>
        <w:keepNext w:val="0"/>
        <w:keepLines w:val="0"/>
        <w:widowControl/>
        <w:suppressLineNumbers w:val="0"/>
        <w:ind w:firstLine="4560" w:firstLineChars="1900"/>
        <w:jc w:val="left"/>
        <w:rPr>
          <w:rFonts w:hint="default" w:eastAsia="宋体"/>
          <w:highlight w:val="none"/>
          <w:lang w:val="en-US" w:eastAsia="zh-CN"/>
        </w:rPr>
      </w:pPr>
      <w:r>
        <w:rPr>
          <w:rFonts w:hint="eastAsia" w:ascii="宋体" w:hAnsi="宋体" w:eastAsia="宋体" w:cs="宋体"/>
          <w:color w:val="000000"/>
          <w:kern w:val="0"/>
          <w:sz w:val="24"/>
          <w:szCs w:val="24"/>
          <w:highlight w:val="none"/>
          <w:lang w:val="en-US" w:eastAsia="zh-CN" w:bidi="ar"/>
        </w:rPr>
        <w:t>年     月     日</w:t>
      </w:r>
    </w:p>
    <w:p w14:paraId="6A31233A">
      <w:pPr>
        <w:pStyle w:val="62"/>
        <w:ind w:left="0" w:leftChars="0" w:firstLine="0" w:firstLineChars="0"/>
        <w:jc w:val="both"/>
        <w:rPr>
          <w:rFonts w:hint="default" w:ascii="宋体" w:hAnsi="宋体" w:cs="宋体"/>
          <w:color w:val="auto"/>
          <w:highlight w:val="none"/>
          <w:lang w:val="en-US" w:eastAsia="zh-CN"/>
        </w:rPr>
      </w:pPr>
    </w:p>
    <w:p w14:paraId="3F5D2D8B">
      <w:pPr>
        <w:pStyle w:val="62"/>
        <w:ind w:left="0" w:leftChars="0" w:firstLine="0" w:firstLineChars="0"/>
        <w:jc w:val="both"/>
        <w:rPr>
          <w:rFonts w:hint="default" w:ascii="宋体" w:hAnsi="宋体" w:cs="宋体"/>
          <w:color w:val="auto"/>
          <w:highlight w:val="none"/>
          <w:lang w:val="en-US" w:eastAsia="zh-CN"/>
        </w:rPr>
      </w:pPr>
    </w:p>
    <w:p w14:paraId="412A4F88">
      <w:pPr>
        <w:pStyle w:val="62"/>
        <w:ind w:left="0" w:leftChars="0" w:firstLine="0" w:firstLineChars="0"/>
        <w:jc w:val="both"/>
        <w:rPr>
          <w:rFonts w:hint="default" w:ascii="宋体" w:hAnsi="宋体" w:cs="宋体"/>
          <w:color w:val="auto"/>
          <w:highlight w:val="none"/>
          <w:lang w:val="en-US" w:eastAsia="zh-CN"/>
        </w:rPr>
      </w:pPr>
    </w:p>
    <w:p w14:paraId="01C3E134">
      <w:pPr>
        <w:pStyle w:val="62"/>
        <w:ind w:left="0" w:leftChars="0" w:firstLine="0" w:firstLineChars="0"/>
        <w:jc w:val="both"/>
        <w:rPr>
          <w:rFonts w:hint="default" w:ascii="宋体" w:hAnsi="宋体" w:cs="宋体"/>
          <w:color w:val="auto"/>
          <w:highlight w:val="none"/>
          <w:lang w:val="en-US" w:eastAsia="zh-CN"/>
        </w:rPr>
      </w:pPr>
    </w:p>
    <w:p w14:paraId="77EFF4D2">
      <w:pPr>
        <w:pStyle w:val="62"/>
        <w:ind w:left="0" w:leftChars="0" w:firstLine="0" w:firstLineChars="0"/>
        <w:jc w:val="both"/>
        <w:rPr>
          <w:rFonts w:hint="default" w:ascii="宋体" w:hAnsi="宋体" w:cs="宋体"/>
          <w:color w:val="auto"/>
          <w:highlight w:val="none"/>
          <w:lang w:val="en-US" w:eastAsia="zh-CN"/>
        </w:rPr>
      </w:pPr>
    </w:p>
    <w:p w14:paraId="3E2A0618">
      <w:pPr>
        <w:pStyle w:val="62"/>
        <w:ind w:left="0" w:leftChars="0" w:firstLine="0" w:firstLineChars="0"/>
        <w:jc w:val="both"/>
        <w:rPr>
          <w:rFonts w:hint="default" w:ascii="宋体" w:hAnsi="宋体" w:cs="宋体"/>
          <w:color w:val="auto"/>
          <w:highlight w:val="none"/>
          <w:lang w:val="en-US" w:eastAsia="zh-CN"/>
        </w:rPr>
      </w:pPr>
    </w:p>
    <w:p w14:paraId="0B704966">
      <w:pPr>
        <w:pStyle w:val="62"/>
        <w:ind w:left="0" w:leftChars="0" w:firstLine="0" w:firstLineChars="0"/>
        <w:jc w:val="both"/>
        <w:rPr>
          <w:rFonts w:hint="default" w:ascii="宋体" w:hAnsi="宋体" w:cs="宋体"/>
          <w:color w:val="auto"/>
          <w:highlight w:val="none"/>
          <w:lang w:val="en-US" w:eastAsia="zh-CN"/>
        </w:rPr>
      </w:pPr>
    </w:p>
    <w:p w14:paraId="157AAFAD">
      <w:pPr>
        <w:pStyle w:val="62"/>
        <w:ind w:left="0" w:leftChars="0" w:firstLine="0" w:firstLineChars="0"/>
        <w:jc w:val="both"/>
        <w:rPr>
          <w:rFonts w:hint="default" w:ascii="宋体" w:hAnsi="宋体" w:cs="宋体"/>
          <w:color w:val="auto"/>
          <w:highlight w:val="none"/>
          <w:lang w:val="en-US" w:eastAsia="zh-CN"/>
        </w:rPr>
      </w:pPr>
    </w:p>
    <w:p w14:paraId="70C2C918">
      <w:pPr>
        <w:pStyle w:val="62"/>
        <w:ind w:left="0" w:leftChars="0" w:firstLine="0" w:firstLineChars="0"/>
        <w:jc w:val="both"/>
        <w:rPr>
          <w:rFonts w:hint="default" w:ascii="宋体" w:hAnsi="宋体" w:cs="宋体"/>
          <w:color w:val="auto"/>
          <w:highlight w:val="none"/>
          <w:lang w:val="en-US" w:eastAsia="zh-CN"/>
        </w:rPr>
      </w:pPr>
    </w:p>
    <w:p w14:paraId="233EAA34">
      <w:pPr>
        <w:pStyle w:val="62"/>
        <w:ind w:left="0" w:leftChars="0" w:firstLine="0" w:firstLineChars="0"/>
        <w:jc w:val="both"/>
        <w:rPr>
          <w:rFonts w:hint="default" w:ascii="宋体" w:hAnsi="宋体" w:cs="宋体"/>
          <w:color w:val="auto"/>
          <w:highlight w:val="none"/>
          <w:lang w:val="en-US" w:eastAsia="zh-CN"/>
        </w:rPr>
      </w:pPr>
    </w:p>
    <w:p w14:paraId="67D4D94B">
      <w:pPr>
        <w:pStyle w:val="62"/>
        <w:ind w:left="0" w:leftChars="0" w:firstLine="0" w:firstLineChars="0"/>
        <w:jc w:val="both"/>
        <w:rPr>
          <w:rFonts w:hint="default" w:ascii="宋体" w:hAnsi="宋体" w:cs="宋体"/>
          <w:color w:val="auto"/>
          <w:highlight w:val="none"/>
          <w:lang w:val="en-US" w:eastAsia="zh-CN"/>
        </w:rPr>
      </w:pPr>
    </w:p>
    <w:p w14:paraId="4C72233A">
      <w:pPr>
        <w:pStyle w:val="62"/>
        <w:ind w:left="0" w:leftChars="0" w:firstLine="0" w:firstLineChars="0"/>
        <w:jc w:val="both"/>
        <w:rPr>
          <w:rFonts w:hint="default" w:ascii="宋体" w:hAnsi="宋体" w:cs="宋体"/>
          <w:color w:val="auto"/>
          <w:highlight w:val="none"/>
          <w:lang w:val="en-US" w:eastAsia="zh-CN"/>
        </w:rPr>
      </w:pPr>
    </w:p>
    <w:p w14:paraId="3FBF0CEB">
      <w:pPr>
        <w:pStyle w:val="62"/>
        <w:ind w:left="0" w:leftChars="0" w:firstLine="0" w:firstLineChars="0"/>
        <w:jc w:val="both"/>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附件3：</w:t>
      </w:r>
    </w:p>
    <w:p w14:paraId="75927BA4">
      <w:pPr>
        <w:jc w:val="center"/>
        <w:outlineLvl w:val="0"/>
        <w:rPr>
          <w:rFonts w:hint="eastAsia" w:ascii="宋体" w:hAnsi="宋体" w:eastAsia="宋体" w:cs="宋体"/>
          <w:b/>
          <w:bCs/>
          <w:color w:val="auto"/>
          <w:sz w:val="32"/>
          <w:szCs w:val="21"/>
          <w:highlight w:val="none"/>
          <w:lang w:val="en-US" w:eastAsia="zh-CN"/>
        </w:rPr>
      </w:pPr>
      <w:r>
        <w:rPr>
          <w:rFonts w:hint="eastAsia" w:ascii="宋体" w:hAnsi="宋体" w:eastAsia="宋体" w:cs="宋体"/>
          <w:b/>
          <w:bCs/>
          <w:color w:val="auto"/>
          <w:sz w:val="32"/>
          <w:szCs w:val="21"/>
          <w:highlight w:val="none"/>
          <w:lang w:val="en-US" w:eastAsia="zh-CN"/>
        </w:rPr>
        <w:t>非联合体承诺书</w:t>
      </w:r>
    </w:p>
    <w:p w14:paraId="433E21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2C5852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highlight w:val="none"/>
          <w:u w:val="single"/>
        </w:rPr>
      </w:pP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u w:val="single"/>
          <w:lang w:val="en-US" w:eastAsia="zh-CN" w:bidi="ar"/>
        </w:rPr>
        <w:t xml:space="preserve">              </w:t>
      </w:r>
    </w:p>
    <w:p w14:paraId="0CC7F9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我公司参加</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cs="宋体"/>
          <w:color w:val="000000"/>
          <w:kern w:val="0"/>
          <w:sz w:val="24"/>
          <w:szCs w:val="24"/>
          <w:highlight w:val="none"/>
          <w:u w:val="none"/>
          <w:lang w:val="en-US" w:eastAsia="zh-CN" w:bidi="ar"/>
        </w:rPr>
        <w:t>（项目名称）</w:t>
      </w:r>
      <w:r>
        <w:rPr>
          <w:rFonts w:hint="eastAsia" w:ascii="宋体" w:hAnsi="宋体" w:eastAsia="宋体" w:cs="宋体"/>
          <w:color w:val="000000"/>
          <w:kern w:val="0"/>
          <w:sz w:val="24"/>
          <w:szCs w:val="24"/>
          <w:highlight w:val="none"/>
          <w:lang w:val="en-US" w:eastAsia="zh-CN" w:bidi="ar"/>
        </w:rPr>
        <w:t xml:space="preserve">的投标，作出以下承诺：我公司非联合体投标，我公司在投标过程中，不与其他单位围标、串标、不出让投标资格。 </w:t>
      </w:r>
    </w:p>
    <w:p w14:paraId="33E489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特此承诺！ </w:t>
      </w:r>
    </w:p>
    <w:p w14:paraId="274E66D0">
      <w:pPr>
        <w:keepNext w:val="0"/>
        <w:keepLines w:val="0"/>
        <w:pageBreakBefore w:val="0"/>
        <w:widowControl/>
        <w:suppressLineNumbers w:val="0"/>
        <w:kinsoku/>
        <w:wordWrap/>
        <w:overflowPunct/>
        <w:topLinePunct w:val="0"/>
        <w:autoSpaceDE/>
        <w:autoSpaceDN/>
        <w:bidi w:val="0"/>
        <w:adjustRightInd/>
        <w:snapToGrid/>
        <w:spacing w:line="360" w:lineRule="auto"/>
        <w:ind w:firstLine="3120" w:firstLineChars="1300"/>
        <w:jc w:val="both"/>
        <w:textAlignment w:val="auto"/>
        <w:rPr>
          <w:rFonts w:hint="eastAsia" w:ascii="宋体" w:hAnsi="宋体" w:eastAsia="宋体" w:cs="宋体"/>
          <w:color w:val="000000"/>
          <w:kern w:val="0"/>
          <w:sz w:val="24"/>
          <w:szCs w:val="24"/>
          <w:highlight w:val="none"/>
          <w:lang w:val="en-US" w:eastAsia="zh-CN" w:bidi="ar"/>
        </w:rPr>
      </w:pPr>
    </w:p>
    <w:p w14:paraId="5CDBC3C1">
      <w:pPr>
        <w:keepNext w:val="0"/>
        <w:keepLines w:val="0"/>
        <w:pageBreakBefore w:val="0"/>
        <w:widowControl/>
        <w:suppressLineNumbers w:val="0"/>
        <w:kinsoku/>
        <w:wordWrap/>
        <w:overflowPunct/>
        <w:topLinePunct w:val="0"/>
        <w:autoSpaceDE/>
        <w:autoSpaceDN/>
        <w:bidi w:val="0"/>
        <w:adjustRightInd/>
        <w:snapToGrid/>
        <w:spacing w:line="360" w:lineRule="auto"/>
        <w:ind w:firstLine="3120" w:firstLineChars="1300"/>
        <w:jc w:val="both"/>
        <w:textAlignment w:val="auto"/>
        <w:rPr>
          <w:rFonts w:hint="eastAsia" w:ascii="宋体" w:hAnsi="宋体" w:eastAsia="宋体" w:cs="宋体"/>
          <w:color w:val="000000"/>
          <w:kern w:val="0"/>
          <w:sz w:val="24"/>
          <w:szCs w:val="24"/>
          <w:highlight w:val="none"/>
          <w:lang w:val="en-US" w:eastAsia="zh-CN" w:bidi="ar"/>
        </w:rPr>
      </w:pPr>
    </w:p>
    <w:p w14:paraId="031A4819">
      <w:pPr>
        <w:keepNext w:val="0"/>
        <w:keepLines w:val="0"/>
        <w:pageBreakBefore w:val="0"/>
        <w:widowControl/>
        <w:suppressLineNumbers w:val="0"/>
        <w:kinsoku/>
        <w:wordWrap/>
        <w:overflowPunct/>
        <w:topLinePunct w:val="0"/>
        <w:autoSpaceDE/>
        <w:autoSpaceDN/>
        <w:bidi w:val="0"/>
        <w:adjustRightInd/>
        <w:snapToGrid/>
        <w:spacing w:line="360" w:lineRule="auto"/>
        <w:ind w:firstLine="3120" w:firstLineChars="1300"/>
        <w:jc w:val="both"/>
        <w:textAlignment w:val="auto"/>
        <w:rPr>
          <w:rFonts w:hint="eastAsia" w:ascii="宋体" w:hAnsi="宋体" w:eastAsia="宋体" w:cs="宋体"/>
          <w:color w:val="000000"/>
          <w:kern w:val="0"/>
          <w:sz w:val="24"/>
          <w:szCs w:val="24"/>
          <w:highlight w:val="none"/>
          <w:lang w:val="en-US" w:eastAsia="zh-CN" w:bidi="ar"/>
        </w:rPr>
      </w:pPr>
    </w:p>
    <w:p w14:paraId="6862655B">
      <w:pPr>
        <w:pStyle w:val="62"/>
        <w:rPr>
          <w:rFonts w:hint="eastAsia" w:ascii="宋体" w:hAnsi="宋体" w:eastAsia="宋体" w:cs="宋体"/>
          <w:color w:val="000000"/>
          <w:kern w:val="0"/>
          <w:sz w:val="24"/>
          <w:szCs w:val="24"/>
          <w:highlight w:val="none"/>
          <w:lang w:val="en-US" w:eastAsia="zh-CN" w:bidi="ar"/>
        </w:rPr>
      </w:pPr>
    </w:p>
    <w:p w14:paraId="19C035EE">
      <w:pPr>
        <w:pStyle w:val="62"/>
        <w:rPr>
          <w:rFonts w:hint="eastAsia" w:ascii="宋体" w:hAnsi="宋体" w:eastAsia="宋体" w:cs="宋体"/>
          <w:color w:val="000000"/>
          <w:kern w:val="0"/>
          <w:sz w:val="24"/>
          <w:szCs w:val="24"/>
          <w:highlight w:val="none"/>
          <w:lang w:val="en-US" w:eastAsia="zh-CN" w:bidi="ar"/>
        </w:rPr>
      </w:pPr>
    </w:p>
    <w:p w14:paraId="5F8C85FD">
      <w:pPr>
        <w:keepNext w:val="0"/>
        <w:keepLines w:val="0"/>
        <w:pageBreakBefore w:val="0"/>
        <w:widowControl/>
        <w:suppressLineNumbers w:val="0"/>
        <w:kinsoku/>
        <w:wordWrap/>
        <w:overflowPunct/>
        <w:topLinePunct w:val="0"/>
        <w:autoSpaceDE/>
        <w:autoSpaceDN/>
        <w:bidi w:val="0"/>
        <w:adjustRightInd/>
        <w:snapToGrid/>
        <w:spacing w:line="360" w:lineRule="auto"/>
        <w:ind w:firstLine="3600" w:firstLineChars="1500"/>
        <w:jc w:val="both"/>
        <w:textAlignment w:val="auto"/>
        <w:rPr>
          <w:sz w:val="24"/>
          <w:szCs w:val="24"/>
          <w:highlight w:val="none"/>
        </w:rPr>
      </w:pP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（盖单位公章） </w:t>
      </w:r>
    </w:p>
    <w:p w14:paraId="1C415AC5">
      <w:pPr>
        <w:keepNext w:val="0"/>
        <w:keepLines w:val="0"/>
        <w:pageBreakBefore w:val="0"/>
        <w:widowControl/>
        <w:suppressLineNumbers w:val="0"/>
        <w:kinsoku/>
        <w:wordWrap/>
        <w:overflowPunct/>
        <w:topLinePunct w:val="0"/>
        <w:autoSpaceDE/>
        <w:autoSpaceDN/>
        <w:bidi w:val="0"/>
        <w:adjustRightInd/>
        <w:snapToGrid/>
        <w:spacing w:line="360" w:lineRule="auto"/>
        <w:ind w:firstLine="3600" w:firstLineChars="1500"/>
        <w:jc w:val="both"/>
        <w:textAlignment w:val="auto"/>
        <w:rPr>
          <w:rFonts w:hint="eastAsia" w:ascii="宋体" w:hAnsi="宋体" w:eastAsia="宋体" w:cs="宋体"/>
          <w:color w:val="000000"/>
          <w:kern w:val="0"/>
          <w:sz w:val="24"/>
          <w:szCs w:val="24"/>
          <w:highlight w:val="none"/>
          <w:lang w:val="en-US" w:eastAsia="zh-CN" w:bidi="ar"/>
        </w:rPr>
      </w:pPr>
    </w:p>
    <w:p w14:paraId="365520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
        </w:rPr>
      </w:pP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法定代表人或其委托代理人</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（签章）                </w:t>
      </w:r>
    </w:p>
    <w:p w14:paraId="7E9369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color w:val="000000"/>
          <w:kern w:val="0"/>
          <w:sz w:val="24"/>
          <w:szCs w:val="24"/>
          <w:highlight w:val="none"/>
          <w:lang w:val="en-US" w:eastAsia="zh-CN" w:bidi="ar"/>
        </w:rPr>
        <w:t xml:space="preserve">                       年     月    日</w:t>
      </w:r>
    </w:p>
    <w:p w14:paraId="6C938FAA">
      <w:pPr>
        <w:pStyle w:val="62"/>
        <w:ind w:left="0" w:leftChars="0" w:firstLine="0" w:firstLineChars="0"/>
        <w:jc w:val="both"/>
        <w:rPr>
          <w:rFonts w:hint="default" w:ascii="宋体" w:hAnsi="宋体" w:cs="宋体"/>
          <w:color w:val="auto"/>
          <w:highlight w:val="none"/>
          <w:lang w:val="en-US" w:eastAsia="zh-CN"/>
        </w:rPr>
      </w:pPr>
    </w:p>
    <w:p w14:paraId="7060A53F">
      <w:pPr>
        <w:pStyle w:val="62"/>
        <w:ind w:left="0" w:leftChars="0" w:firstLine="0" w:firstLineChars="0"/>
        <w:jc w:val="both"/>
        <w:rPr>
          <w:rFonts w:hint="default" w:ascii="宋体" w:hAnsi="宋体" w:cs="宋体"/>
          <w:color w:val="auto"/>
          <w:highlight w:val="none"/>
          <w:lang w:val="en-US" w:eastAsia="zh-CN"/>
        </w:rPr>
      </w:pPr>
    </w:p>
    <w:p w14:paraId="6B22C3E9">
      <w:pPr>
        <w:pStyle w:val="62"/>
        <w:ind w:left="0" w:leftChars="0" w:firstLine="0" w:firstLineChars="0"/>
        <w:jc w:val="both"/>
        <w:rPr>
          <w:rFonts w:hint="default" w:ascii="宋体" w:hAnsi="宋体" w:cs="宋体"/>
          <w:color w:val="auto"/>
          <w:highlight w:val="none"/>
          <w:lang w:val="en-US" w:eastAsia="zh-CN"/>
        </w:rPr>
      </w:pPr>
    </w:p>
    <w:p w14:paraId="69CC15C0">
      <w:pPr>
        <w:pStyle w:val="62"/>
        <w:ind w:left="0" w:leftChars="0" w:firstLine="0" w:firstLineChars="0"/>
        <w:jc w:val="both"/>
        <w:rPr>
          <w:rFonts w:hint="default" w:ascii="宋体" w:hAnsi="宋体" w:cs="宋体"/>
          <w:color w:val="auto"/>
          <w:highlight w:val="none"/>
          <w:lang w:val="en-US" w:eastAsia="zh-CN"/>
        </w:rPr>
      </w:pPr>
    </w:p>
    <w:p w14:paraId="6FA7AF89">
      <w:pPr>
        <w:pStyle w:val="62"/>
        <w:ind w:left="0" w:leftChars="0" w:firstLine="0" w:firstLineChars="0"/>
        <w:jc w:val="both"/>
        <w:rPr>
          <w:rFonts w:hint="default" w:ascii="宋体" w:hAnsi="宋体" w:cs="宋体"/>
          <w:color w:val="auto"/>
          <w:highlight w:val="none"/>
          <w:lang w:val="en-US" w:eastAsia="zh-CN"/>
        </w:rPr>
      </w:pPr>
    </w:p>
    <w:p w14:paraId="2531F614">
      <w:pPr>
        <w:pStyle w:val="62"/>
        <w:ind w:left="0" w:leftChars="0" w:firstLine="0" w:firstLineChars="0"/>
        <w:jc w:val="both"/>
        <w:rPr>
          <w:rFonts w:hint="default" w:ascii="宋体" w:hAnsi="宋体" w:cs="宋体"/>
          <w:color w:val="auto"/>
          <w:highlight w:val="none"/>
          <w:lang w:val="en-US" w:eastAsia="zh-CN"/>
        </w:rPr>
      </w:pPr>
    </w:p>
    <w:p w14:paraId="41D1F619">
      <w:pPr>
        <w:pStyle w:val="62"/>
        <w:ind w:left="0" w:leftChars="0" w:firstLine="0" w:firstLineChars="0"/>
        <w:jc w:val="both"/>
        <w:rPr>
          <w:rFonts w:hint="default" w:ascii="宋体" w:hAnsi="宋体" w:cs="宋体"/>
          <w:color w:val="auto"/>
          <w:highlight w:val="none"/>
          <w:lang w:val="en-US" w:eastAsia="zh-CN"/>
        </w:rPr>
      </w:pPr>
    </w:p>
    <w:p w14:paraId="3922880A">
      <w:pPr>
        <w:pStyle w:val="62"/>
        <w:ind w:left="0" w:leftChars="0" w:firstLine="0" w:firstLineChars="0"/>
        <w:jc w:val="both"/>
        <w:rPr>
          <w:rFonts w:hint="default" w:ascii="宋体" w:hAnsi="宋体" w:cs="宋体"/>
          <w:color w:val="auto"/>
          <w:highlight w:val="none"/>
          <w:lang w:val="en-US" w:eastAsia="zh-CN"/>
        </w:rPr>
      </w:pPr>
    </w:p>
    <w:p w14:paraId="3E712E9B">
      <w:pPr>
        <w:pStyle w:val="62"/>
        <w:ind w:left="0" w:leftChars="0" w:firstLine="0" w:firstLineChars="0"/>
        <w:jc w:val="both"/>
        <w:rPr>
          <w:rFonts w:hint="default" w:ascii="宋体" w:hAnsi="宋体" w:cs="宋体"/>
          <w:color w:val="auto"/>
          <w:highlight w:val="none"/>
          <w:lang w:val="en-US" w:eastAsia="zh-CN"/>
        </w:rPr>
      </w:pPr>
    </w:p>
    <w:p w14:paraId="6464ADBC">
      <w:pPr>
        <w:pStyle w:val="62"/>
        <w:ind w:left="0" w:leftChars="0" w:firstLine="0" w:firstLineChars="0"/>
        <w:jc w:val="both"/>
        <w:rPr>
          <w:rFonts w:hint="default" w:ascii="宋体" w:hAnsi="宋体" w:cs="宋体"/>
          <w:color w:val="auto"/>
          <w:highlight w:val="none"/>
          <w:lang w:val="en-US" w:eastAsia="zh-CN"/>
        </w:rPr>
      </w:pPr>
    </w:p>
    <w:p w14:paraId="6B7BCFD5">
      <w:pPr>
        <w:pStyle w:val="62"/>
        <w:ind w:left="0" w:leftChars="0" w:firstLine="0" w:firstLineChars="0"/>
        <w:jc w:val="both"/>
        <w:rPr>
          <w:rFonts w:hint="default" w:ascii="宋体" w:hAnsi="宋体" w:cs="宋体"/>
          <w:color w:val="auto"/>
          <w:highlight w:val="none"/>
          <w:lang w:val="en-US" w:eastAsia="zh-CN"/>
        </w:rPr>
      </w:pPr>
    </w:p>
    <w:p w14:paraId="66834F54">
      <w:pPr>
        <w:pStyle w:val="62"/>
        <w:ind w:left="0" w:leftChars="0" w:firstLine="0" w:firstLineChars="0"/>
        <w:jc w:val="both"/>
        <w:rPr>
          <w:rFonts w:hint="default" w:ascii="宋体" w:hAnsi="宋体" w:cs="宋体"/>
          <w:color w:val="auto"/>
          <w:highlight w:val="none"/>
          <w:lang w:val="en-US" w:eastAsia="zh-CN"/>
        </w:rPr>
      </w:pPr>
    </w:p>
    <w:p w14:paraId="76903D35">
      <w:pPr>
        <w:pStyle w:val="62"/>
        <w:ind w:left="0" w:leftChars="0" w:firstLine="0" w:firstLineChars="0"/>
        <w:jc w:val="both"/>
        <w:rPr>
          <w:rFonts w:hint="default" w:ascii="宋体" w:hAnsi="宋体" w:cs="宋体"/>
          <w:color w:val="auto"/>
          <w:highlight w:val="none"/>
          <w:lang w:val="en-US" w:eastAsia="zh-CN"/>
        </w:rPr>
      </w:pPr>
    </w:p>
    <w:p w14:paraId="796614AC">
      <w:pPr>
        <w:pStyle w:val="62"/>
        <w:ind w:left="0" w:leftChars="0" w:firstLine="0" w:firstLineChars="0"/>
        <w:jc w:val="both"/>
        <w:rPr>
          <w:rFonts w:hint="default" w:ascii="宋体" w:hAnsi="宋体" w:cs="宋体"/>
          <w:color w:val="auto"/>
          <w:highlight w:val="none"/>
          <w:lang w:val="en-US" w:eastAsia="zh-CN"/>
        </w:rPr>
      </w:pPr>
    </w:p>
    <w:p w14:paraId="59B0DD81">
      <w:pPr>
        <w:pStyle w:val="62"/>
        <w:ind w:left="0" w:leftChars="0" w:firstLine="0" w:firstLineChars="0"/>
        <w:jc w:val="both"/>
        <w:rPr>
          <w:rFonts w:hint="default" w:ascii="宋体" w:hAnsi="宋体" w:cs="宋体"/>
          <w:color w:val="auto"/>
          <w:highlight w:val="none"/>
          <w:lang w:val="en-US" w:eastAsia="zh-CN"/>
        </w:rPr>
      </w:pPr>
    </w:p>
    <w:p w14:paraId="6A78547E">
      <w:pPr>
        <w:pStyle w:val="62"/>
        <w:ind w:left="0" w:leftChars="0" w:firstLine="0" w:firstLineChars="0"/>
        <w:jc w:val="both"/>
        <w:rPr>
          <w:rFonts w:hint="default" w:ascii="宋体" w:hAnsi="宋体" w:cs="宋体"/>
          <w:color w:val="auto"/>
          <w:highlight w:val="none"/>
          <w:lang w:val="en-US" w:eastAsia="zh-CN"/>
        </w:rPr>
      </w:pPr>
    </w:p>
    <w:p w14:paraId="124157CE">
      <w:pPr>
        <w:pStyle w:val="62"/>
        <w:ind w:left="0" w:leftChars="0" w:firstLine="0" w:firstLineChars="0"/>
        <w:jc w:val="both"/>
        <w:rPr>
          <w:rFonts w:hint="default" w:ascii="宋体" w:hAnsi="宋体" w:cs="宋体"/>
          <w:color w:val="auto"/>
          <w:highlight w:val="none"/>
          <w:lang w:val="en-US" w:eastAsia="zh-CN"/>
        </w:rPr>
      </w:pPr>
    </w:p>
    <w:p w14:paraId="08199A4F">
      <w:pPr>
        <w:pStyle w:val="62"/>
        <w:ind w:left="0" w:leftChars="0" w:firstLine="0" w:firstLineChars="0"/>
        <w:jc w:val="both"/>
        <w:rPr>
          <w:rFonts w:hint="default" w:ascii="宋体" w:hAnsi="宋体" w:cs="宋体"/>
          <w:color w:val="auto"/>
          <w:highlight w:val="none"/>
          <w:lang w:val="en-US" w:eastAsia="zh-CN"/>
        </w:rPr>
      </w:pPr>
    </w:p>
    <w:p w14:paraId="34DF28C3">
      <w:pPr>
        <w:pStyle w:val="62"/>
        <w:ind w:left="0" w:leftChars="0" w:firstLine="0" w:firstLineChars="0"/>
        <w:jc w:val="both"/>
        <w:rPr>
          <w:rFonts w:hint="default" w:ascii="宋体" w:hAnsi="宋体" w:cs="宋体"/>
          <w:color w:val="auto"/>
          <w:highlight w:val="none"/>
          <w:lang w:val="en-US" w:eastAsia="zh-CN"/>
        </w:rPr>
      </w:pPr>
    </w:p>
    <w:p w14:paraId="47D231A4">
      <w:pPr>
        <w:pStyle w:val="62"/>
        <w:ind w:left="0" w:leftChars="0" w:firstLine="0" w:firstLineChars="0"/>
        <w:jc w:val="both"/>
        <w:rPr>
          <w:rFonts w:hint="default" w:ascii="宋体" w:hAnsi="宋体" w:cs="宋体"/>
          <w:color w:val="auto"/>
          <w:highlight w:val="none"/>
          <w:lang w:val="en-US" w:eastAsia="zh-CN"/>
        </w:rPr>
      </w:pPr>
    </w:p>
    <w:p w14:paraId="6402CDCB">
      <w:pPr>
        <w:pStyle w:val="62"/>
        <w:ind w:left="0" w:leftChars="0" w:firstLine="0" w:firstLineChars="0"/>
        <w:jc w:val="both"/>
        <w:rPr>
          <w:rFonts w:hint="eastAsia" w:ascii="宋体" w:hAnsi="宋体" w:eastAsia="宋体" w:cs="宋体"/>
          <w:color w:val="auto"/>
          <w:sz w:val="24"/>
          <w:szCs w:val="32"/>
          <w:highlight w:val="none"/>
          <w:lang w:val="en-US" w:eastAsia="zh-CN"/>
        </w:rPr>
      </w:pPr>
      <w:bookmarkStart w:id="263" w:name="_Toc20477"/>
      <w:r>
        <w:rPr>
          <w:rFonts w:hint="eastAsia" w:ascii="宋体" w:hAnsi="宋体" w:eastAsia="宋体" w:cs="宋体"/>
          <w:color w:val="auto"/>
          <w:sz w:val="24"/>
          <w:szCs w:val="32"/>
          <w:highlight w:val="none"/>
          <w:lang w:val="en-US" w:eastAsia="zh-CN"/>
        </w:rPr>
        <w:t>附件4</w:t>
      </w:r>
    </w:p>
    <w:p w14:paraId="07EC838C">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263"/>
    </w:p>
    <w:p w14:paraId="111900D0">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619B52B9">
      <w:pPr>
        <w:spacing w:line="360" w:lineRule="auto"/>
        <w:ind w:firstLine="480" w:firstLineChars="200"/>
        <w:rPr>
          <w:rFonts w:hint="eastAsia" w:ascii="宋体" w:hAnsi="宋体" w:eastAsia="宋体" w:cs="宋体"/>
          <w:color w:val="auto"/>
          <w:sz w:val="24"/>
          <w:szCs w:val="24"/>
          <w:highlight w:val="none"/>
        </w:rPr>
      </w:pPr>
    </w:p>
    <w:p w14:paraId="78624E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本公司</w:t>
      </w:r>
      <w:r>
        <w:rPr>
          <w:rFonts w:hint="eastAsia" w:ascii="宋体" w:hAnsi="宋体"/>
          <w:color w:val="auto"/>
          <w:sz w:val="24"/>
          <w:szCs w:val="24"/>
          <w:highlight w:val="none"/>
          <w:lang w:eastAsia="zh-CN"/>
        </w:rPr>
        <w:t>（联合体）</w:t>
      </w:r>
      <w:r>
        <w:rPr>
          <w:rFonts w:ascii="宋体" w:hAnsi="宋体"/>
          <w:color w:val="auto"/>
          <w:sz w:val="24"/>
          <w:szCs w:val="24"/>
          <w:highlight w:val="none"/>
        </w:rPr>
        <w:t>郑重声明，根据《政府采购促进中小企业发展管理办法》（财库﹝2020﹞46号）的规定，本公司</w:t>
      </w:r>
      <w:r>
        <w:rPr>
          <w:rFonts w:hint="eastAsia" w:ascii="宋体" w:hAnsi="宋体"/>
          <w:color w:val="auto"/>
          <w:sz w:val="24"/>
          <w:szCs w:val="24"/>
          <w:highlight w:val="none"/>
          <w:lang w:eastAsia="zh-CN"/>
        </w:rPr>
        <w:t>（联合体）</w:t>
      </w:r>
      <w:r>
        <w:rPr>
          <w:rFonts w:ascii="宋体" w:hAnsi="宋体"/>
          <w:color w:val="auto"/>
          <w:sz w:val="24"/>
          <w:szCs w:val="24"/>
          <w:highlight w:val="none"/>
        </w:rPr>
        <w:t>参加</w:t>
      </w:r>
      <w:r>
        <w:rPr>
          <w:rFonts w:ascii="宋体" w:hAnsi="宋体"/>
          <w:color w:val="auto"/>
          <w:sz w:val="24"/>
          <w:szCs w:val="24"/>
          <w:highlight w:val="none"/>
          <w:u w:val="single"/>
        </w:rPr>
        <w:t>（单位名称）</w:t>
      </w:r>
      <w:r>
        <w:rPr>
          <w:rFonts w:ascii="宋体" w:hAnsi="宋体"/>
          <w:color w:val="auto"/>
          <w:sz w:val="24"/>
          <w:szCs w:val="24"/>
          <w:highlight w:val="none"/>
        </w:rPr>
        <w:t xml:space="preserve"> 的</w:t>
      </w:r>
      <w:r>
        <w:rPr>
          <w:rFonts w:ascii="宋体" w:hAnsi="宋体"/>
          <w:color w:val="auto"/>
          <w:sz w:val="24"/>
          <w:szCs w:val="24"/>
          <w:highlight w:val="none"/>
          <w:u w:val="single"/>
        </w:rPr>
        <w:t>（项目名称）</w:t>
      </w:r>
      <w:r>
        <w:rPr>
          <w:rFonts w:ascii="宋体" w:hAnsi="宋体"/>
          <w:color w:val="auto"/>
          <w:sz w:val="24"/>
          <w:szCs w:val="24"/>
          <w:highlight w:val="none"/>
        </w:rPr>
        <w:t xml:space="preserve"> 采购活动，</w:t>
      </w:r>
      <w:r>
        <w:rPr>
          <w:rFonts w:ascii="宋体" w:hAnsi="宋体"/>
          <w:color w:val="auto"/>
          <w:sz w:val="24"/>
          <w:szCs w:val="24"/>
          <w:highlight w:val="none"/>
          <w:lang w:val="en-US" w:eastAsia="zh-CN"/>
        </w:rPr>
        <w:t>工</w:t>
      </w:r>
      <w:r>
        <w:rPr>
          <w:rFonts w:hint="eastAsia" w:ascii="宋体" w:hAnsi="宋体"/>
          <w:color w:val="auto"/>
          <w:sz w:val="24"/>
          <w:szCs w:val="24"/>
          <w:highlight w:val="none"/>
          <w:lang w:val="en-US" w:eastAsia="zh-CN"/>
        </w:rPr>
        <w:t>程的施工单位全部为符合政策要求的中小企业（或者：服务全部由符合政策要求的中小企业承接）。相关企业（含联合体中的中小企业、签订分包意向协议的中小企业）的</w:t>
      </w:r>
      <w:r>
        <w:rPr>
          <w:rFonts w:ascii="宋体" w:hAnsi="宋体"/>
          <w:color w:val="auto"/>
          <w:sz w:val="24"/>
          <w:szCs w:val="24"/>
          <w:highlight w:val="none"/>
        </w:rPr>
        <w:t>具体情况如下：</w:t>
      </w:r>
    </w:p>
    <w:p w14:paraId="72A46683">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none"/>
          <w:lang w:val="en-US" w:eastAsia="zh-CN"/>
        </w:rPr>
        <w:t>1.</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软件和信息技术服务业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承建（承接）企业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68B99F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软件和信息技术服务业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承建（承接）企业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0A212EC9">
      <w:pPr>
        <w:pStyle w:val="21"/>
        <w:ind w:firstLine="480" w:firstLineChars="200"/>
        <w:rPr>
          <w:rFonts w:hint="eastAsia" w:eastAsia="宋体"/>
          <w:lang w:val="en-US" w:eastAsia="zh-CN"/>
        </w:rPr>
      </w:pPr>
      <w:r>
        <w:rPr>
          <w:rFonts w:hint="eastAsia" w:hAnsi="宋体"/>
          <w:color w:val="auto"/>
          <w:sz w:val="24"/>
          <w:szCs w:val="24"/>
          <w:highlight w:val="none"/>
          <w:lang w:eastAsia="zh-CN"/>
        </w:rPr>
        <w:t>……</w:t>
      </w:r>
    </w:p>
    <w:p w14:paraId="601C64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以上企业，</w:t>
      </w:r>
      <w:r>
        <w:rPr>
          <w:rFonts w:ascii="宋体" w:hAnsi="宋体"/>
          <w:color w:val="auto"/>
          <w:sz w:val="24"/>
          <w:szCs w:val="24"/>
          <w:highlight w:val="none"/>
        </w:rPr>
        <w:t>不属于大企业的分支机构，不存在控股股东为大企业的情形，也不存在与大企业的负责人为同一人的情形。</w:t>
      </w:r>
    </w:p>
    <w:p w14:paraId="7DCEC6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本企业对上述声明内容的真实性负责。如有虚假，将依法承担相应责任。</w:t>
      </w:r>
    </w:p>
    <w:p w14:paraId="722BAAF1">
      <w:pPr>
        <w:spacing w:line="360" w:lineRule="auto"/>
        <w:ind w:firstLine="480" w:firstLineChars="200"/>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14:paraId="28F6FB22">
      <w:pPr>
        <w:spacing w:line="360" w:lineRule="auto"/>
        <w:ind w:firstLine="480" w:firstLineChars="200"/>
        <w:jc w:val="center"/>
        <w:rPr>
          <w:rFonts w:hint="eastAsia" w:ascii="宋体" w:hAnsi="宋体"/>
          <w:color w:val="auto"/>
          <w:sz w:val="24"/>
          <w:szCs w:val="24"/>
          <w:highlight w:val="none"/>
          <w:lang w:val="en-US" w:eastAsia="zh-CN"/>
        </w:rPr>
      </w:pPr>
    </w:p>
    <w:p w14:paraId="6AE249AD">
      <w:pPr>
        <w:spacing w:line="360" w:lineRule="auto"/>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企业名称（盖章）：</w:t>
      </w:r>
    </w:p>
    <w:p w14:paraId="6598F7B1">
      <w:pPr>
        <w:spacing w:line="360" w:lineRule="auto"/>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日 期：</w:t>
      </w:r>
    </w:p>
    <w:p w14:paraId="3B382A8D">
      <w:pPr>
        <w:spacing w:line="360" w:lineRule="auto"/>
        <w:ind w:firstLine="480" w:firstLineChars="200"/>
        <w:rPr>
          <w:rFonts w:hint="eastAsia" w:ascii="宋体" w:hAnsi="宋体"/>
          <w:color w:val="auto"/>
          <w:sz w:val="24"/>
          <w:szCs w:val="24"/>
          <w:highlight w:val="none"/>
        </w:rPr>
      </w:pPr>
    </w:p>
    <w:p w14:paraId="6EC5C967">
      <w:pPr>
        <w:spacing w:line="360" w:lineRule="auto"/>
        <w:ind w:firstLine="480" w:firstLineChars="200"/>
        <w:rPr>
          <w:rFonts w:hint="eastAsia" w:ascii="宋体" w:hAnsi="宋体"/>
          <w:color w:val="auto"/>
          <w:sz w:val="24"/>
          <w:szCs w:val="24"/>
          <w:highlight w:val="none"/>
        </w:rPr>
      </w:pPr>
    </w:p>
    <w:p w14:paraId="299CD42D">
      <w:pPr>
        <w:spacing w:line="360" w:lineRule="auto"/>
        <w:ind w:firstLine="480" w:firstLineChars="200"/>
        <w:rPr>
          <w:rFonts w:ascii="宋体" w:hAnsi="宋体" w:cs="宋体"/>
          <w:iCs/>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从业人员、营业收入、资产总额填报上一年度数据，无上一年度数据的新成立企业可不填报。</w:t>
      </w:r>
    </w:p>
    <w:p w14:paraId="6DB7CDC3">
      <w:pPr>
        <w:spacing w:before="160" w:after="160" w:line="240" w:lineRule="atLeast"/>
        <w:ind w:left="851" w:firstLine="643" w:firstLineChars="200"/>
        <w:jc w:val="center"/>
        <w:textAlignment w:val="baseline"/>
        <w:outlineLvl w:val="9"/>
        <w:rPr>
          <w:rFonts w:ascii="宋体" w:hAnsi="宋体"/>
          <w:b/>
          <w:color w:val="auto"/>
          <w:kern w:val="0"/>
          <w:sz w:val="32"/>
          <w:szCs w:val="32"/>
          <w:highlight w:val="none"/>
        </w:rPr>
      </w:pPr>
    </w:p>
    <w:p w14:paraId="16DC34AF">
      <w:pPr>
        <w:pStyle w:val="62"/>
        <w:ind w:left="0" w:leftChars="0" w:firstLine="0" w:firstLineChars="0"/>
        <w:jc w:val="both"/>
        <w:rPr>
          <w:rFonts w:hint="default" w:ascii="宋体" w:hAnsi="宋体" w:cs="宋体"/>
          <w:color w:val="auto"/>
          <w:highlight w:val="none"/>
          <w:lang w:val="en-US" w:eastAsia="zh-CN"/>
        </w:rPr>
      </w:pPr>
    </w:p>
    <w:p w14:paraId="5840627B">
      <w:pPr>
        <w:pStyle w:val="62"/>
        <w:ind w:left="0" w:leftChars="0" w:firstLine="0" w:firstLineChars="0"/>
        <w:jc w:val="both"/>
        <w:rPr>
          <w:rFonts w:hint="default" w:ascii="宋体" w:hAnsi="宋体" w:cs="宋体"/>
          <w:color w:val="auto"/>
          <w:highlight w:val="none"/>
          <w:lang w:val="en-US" w:eastAsia="zh-CN"/>
        </w:rPr>
      </w:pPr>
    </w:p>
    <w:p w14:paraId="54412785">
      <w:pPr>
        <w:autoSpaceDE w:val="0"/>
        <w:autoSpaceDN w:val="0"/>
        <w:adjustRightInd w:val="0"/>
        <w:spacing w:line="360" w:lineRule="auto"/>
        <w:jc w:val="center"/>
        <w:rPr>
          <w:b/>
          <w:sz w:val="36"/>
          <w:szCs w:val="30"/>
        </w:rPr>
      </w:pPr>
      <w:r>
        <w:rPr>
          <w:rFonts w:hint="eastAsia"/>
          <w:b/>
          <w:sz w:val="36"/>
          <w:szCs w:val="30"/>
        </w:rPr>
        <w:t>关于印发中小企业划型标准规定的通知</w:t>
      </w:r>
    </w:p>
    <w:p w14:paraId="484D1333">
      <w:pPr>
        <w:pStyle w:val="170"/>
        <w:rPr>
          <w:rFonts w:hint="eastAsia" w:ascii="宋体" w:hAnsi="宋体" w:cs="Courier New"/>
          <w:sz w:val="32"/>
          <w:szCs w:val="32"/>
        </w:rPr>
      </w:pPr>
    </w:p>
    <w:p w14:paraId="74EA7C8E">
      <w:pPr>
        <w:jc w:val="center"/>
        <w:rPr>
          <w:rFonts w:hint="eastAsia" w:ascii="宋体" w:hAnsi="宋体" w:cs="宋体"/>
          <w:b/>
          <w:bCs/>
          <w:sz w:val="32"/>
          <w:szCs w:val="32"/>
        </w:rPr>
      </w:pPr>
      <w:bookmarkStart w:id="264" w:name="_Toc853194655"/>
      <w:bookmarkStart w:id="265" w:name="_Toc658018444_WPSOffice_Level2"/>
      <w:bookmarkStart w:id="266" w:name="_Toc347624563"/>
      <w:bookmarkStart w:id="267" w:name="_Toc323803322"/>
      <w:bookmarkStart w:id="268" w:name="_Toc1587242122"/>
    </w:p>
    <w:p w14:paraId="6984DCDD">
      <w:pPr>
        <w:jc w:val="center"/>
        <w:rPr>
          <w:rFonts w:hint="eastAsia" w:ascii="宋体" w:hAnsi="宋体" w:cs="宋体"/>
          <w:b/>
          <w:bCs/>
          <w:sz w:val="32"/>
          <w:szCs w:val="32"/>
        </w:rPr>
      </w:pPr>
    </w:p>
    <w:p w14:paraId="65EE0053">
      <w:pPr>
        <w:jc w:val="center"/>
        <w:rPr>
          <w:rFonts w:hint="eastAsia" w:ascii="宋体" w:hAnsi="宋体" w:cs="宋体"/>
          <w:b/>
          <w:bCs/>
          <w:sz w:val="32"/>
          <w:szCs w:val="32"/>
        </w:rPr>
      </w:pPr>
      <w:r>
        <w:rPr>
          <w:rFonts w:hint="eastAsia" w:ascii="宋体" w:hAnsi="宋体" w:cs="宋体"/>
          <w:b/>
          <w:bCs/>
          <w:sz w:val="32"/>
          <w:szCs w:val="32"/>
        </w:rPr>
        <w:t>关于印发中小企业划型标准规定的通知</w:t>
      </w:r>
      <w:bookmarkEnd w:id="264"/>
      <w:bookmarkEnd w:id="265"/>
      <w:bookmarkEnd w:id="266"/>
      <w:bookmarkEnd w:id="267"/>
      <w:bookmarkEnd w:id="268"/>
    </w:p>
    <w:p w14:paraId="476048F1">
      <w:pPr>
        <w:pStyle w:val="30"/>
        <w:spacing w:line="440" w:lineRule="exact"/>
        <w:ind w:firstLine="560"/>
        <w:jc w:val="center"/>
        <w:rPr>
          <w:rFonts w:hint="eastAsia" w:ascii="仿宋_GB2312" w:hAnsi="仿宋_GB2312" w:eastAsia="仿宋_GB2312" w:cs="仿宋_GB2312"/>
          <w:sz w:val="28"/>
          <w:szCs w:val="28"/>
        </w:rPr>
      </w:pPr>
      <w:bookmarkStart w:id="269" w:name="_Toc1413325678_WPSOffice_Level3"/>
      <w:r>
        <w:rPr>
          <w:rFonts w:hint="eastAsia" w:ascii="仿宋_GB2312" w:hAnsi="仿宋_GB2312" w:eastAsia="仿宋_GB2312" w:cs="仿宋_GB2312"/>
          <w:sz w:val="28"/>
          <w:szCs w:val="28"/>
        </w:rPr>
        <w:t>工信部联企业[2011]300号</w:t>
      </w:r>
      <w:bookmarkEnd w:id="269"/>
    </w:p>
    <w:p w14:paraId="63A71D14">
      <w:pPr>
        <w:pStyle w:val="30"/>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各省、自治区、直辖市人民政府，国务院各部委、各直属机构及有关单位：</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2FCD94A">
      <w:pPr>
        <w:pStyle w:val="30"/>
        <w:spacing w:line="440" w:lineRule="exact"/>
        <w:ind w:firstLine="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工业和信息化部　国家统计局</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国家发展和改革委员会　财政部</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二〇一一年六月十八日</w:t>
      </w:r>
    </w:p>
    <w:p w14:paraId="107E85D5">
      <w:pPr>
        <w:pStyle w:val="30"/>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cs="宋体"/>
          <w:sz w:val="28"/>
          <w:szCs w:val="28"/>
        </w:rPr>
        <w:t> </w:t>
      </w:r>
    </w:p>
    <w:p w14:paraId="1CBF2E10">
      <w:pPr>
        <w:pStyle w:val="30"/>
        <w:spacing w:line="440" w:lineRule="exact"/>
        <w:ind w:firstLine="562"/>
        <w:jc w:val="center"/>
        <w:rPr>
          <w:rFonts w:hint="eastAsia" w:ascii="仿宋_GB2312" w:hAnsi="仿宋_GB2312" w:eastAsia="仿宋_GB2312" w:cs="仿宋_GB2312"/>
          <w:sz w:val="28"/>
          <w:szCs w:val="28"/>
        </w:rPr>
      </w:pPr>
      <w:bookmarkStart w:id="270" w:name="_Toc1817875417_WPSOffice_Level2"/>
      <w:r>
        <w:rPr>
          <w:rStyle w:val="48"/>
          <w:rFonts w:hint="eastAsia" w:ascii="仿宋_GB2312" w:hAnsi="仿宋_GB2312" w:eastAsia="仿宋_GB2312" w:cs="仿宋_GB2312"/>
          <w:sz w:val="28"/>
          <w:szCs w:val="28"/>
        </w:rPr>
        <w:t>中小企业划型标准规定</w:t>
      </w:r>
      <w:bookmarkEnd w:id="270"/>
    </w:p>
    <w:p w14:paraId="3962FFCD">
      <w:pPr>
        <w:pStyle w:val="30"/>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一、根据《中华人民共和国中小企业促进法》和《国务院关于进一步促进中小企业发展的若干意见》(国发〔2009〕36号)，制定本规定。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二、中小企业划分为中型、小型、微型三种类型，具体标准根据企业从业人员、营业收入、资产总额等指标，结合行业特点制定。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四、各行业划型标准为：</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（一）农、林、牧、渔业。营业收入20000万元以下的为中小微型企业。其中，营业收入500万元及以上的为中型企业，营业收入50万元及以上的为小型企业，营业收入50万元以下的为微型企业。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（十六）其他未列明行业。从业人员300人以下的为中小微型企业。其中，从业人员100人及以上的为中型企业；从业人员10人及以上的为小型企业；从业人员10人以下的为微型企业。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五、企业类型的划分以统计部门的统计数据为依据。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六、本规定适用于在中华人民共和国境内依法设立的各类所有制和各种组织形式的企业。个体工商户和本规定以外的行业，参照本规定进行划型。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八、本规定由工业和信息化部、国家统计局会同有关部门根据《国民经济行业分类》修订情况和企业发展变化情况适时修订。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九、本规定由工业和信息化部、国家统计局会同有关部门负责解释。</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十、本规定自发布之日起执行，原国家经贸委、原国家计委、财政部和国家统计局2003年颁布的《中小企业标准暂行规定》同时废止。</w:t>
      </w:r>
    </w:p>
    <w:p w14:paraId="011D5200">
      <w:pPr>
        <w:pStyle w:val="62"/>
        <w:ind w:left="0" w:leftChars="0" w:firstLine="0" w:firstLineChars="0"/>
        <w:jc w:val="both"/>
        <w:rPr>
          <w:rFonts w:hint="default" w:ascii="宋体" w:hAnsi="宋体" w:eastAsia="宋体" w:cs="宋体"/>
          <w:color w:val="auto"/>
          <w:sz w:val="24"/>
          <w:szCs w:val="32"/>
          <w:highlight w:val="none"/>
          <w:lang w:val="en-US" w:eastAsia="zh-CN"/>
        </w:rPr>
      </w:pPr>
      <w:r>
        <w:rPr>
          <w:rFonts w:ascii="方正小标宋_GBK" w:hAnsi="方正小标宋_GBK" w:eastAsia="方正小标宋_GBK" w:cs="方正小标宋_GBK"/>
          <w:bCs/>
          <w:sz w:val="28"/>
          <w:szCs w:val="28"/>
        </w:rPr>
        <w:br w:type="page"/>
      </w:r>
      <w:r>
        <w:rPr>
          <w:rFonts w:hint="eastAsia" w:ascii="宋体" w:hAnsi="宋体" w:eastAsia="宋体" w:cs="宋体"/>
          <w:color w:val="auto"/>
          <w:sz w:val="24"/>
          <w:szCs w:val="32"/>
          <w:highlight w:val="none"/>
          <w:lang w:val="en-US" w:eastAsia="zh-CN"/>
        </w:rPr>
        <w:t>附件5</w:t>
      </w:r>
    </w:p>
    <w:p w14:paraId="394F759D">
      <w:pPr>
        <w:pStyle w:val="30"/>
        <w:spacing w:before="0" w:beforeAutospacing="0" w:after="0" w:afterAutospacing="0" w:line="440" w:lineRule="exact"/>
        <w:ind w:firstLine="723"/>
        <w:jc w:val="center"/>
        <w:rPr>
          <w:rFonts w:hint="eastAsia" w:cs="宋体"/>
        </w:rPr>
      </w:pPr>
      <w:bookmarkStart w:id="271" w:name="_Toc1477036875"/>
      <w:bookmarkStart w:id="272" w:name="_Toc2135351082_WPSOffice_Level2"/>
      <w:r>
        <w:rPr>
          <w:rFonts w:hint="eastAsia"/>
          <w:b/>
          <w:sz w:val="36"/>
          <w:szCs w:val="36"/>
        </w:rPr>
        <w:t>财政部 工业和信息化部关于印发</w:t>
      </w:r>
      <w:bookmarkEnd w:id="271"/>
      <w:bookmarkEnd w:id="272"/>
    </w:p>
    <w:p w14:paraId="57B300C4">
      <w:pPr>
        <w:pStyle w:val="30"/>
        <w:spacing w:before="0" w:beforeAutospacing="0" w:after="0" w:afterAutospacing="0" w:line="440" w:lineRule="exact"/>
        <w:ind w:firstLine="723"/>
        <w:jc w:val="center"/>
        <w:rPr>
          <w:rFonts w:hint="eastAsia"/>
        </w:rPr>
      </w:pPr>
      <w:bookmarkStart w:id="273" w:name="_Toc2056689179"/>
      <w:bookmarkStart w:id="274" w:name="_Toc873032375_WPSOffice_Level2"/>
      <w:r>
        <w:rPr>
          <w:rFonts w:hint="eastAsia"/>
          <w:b/>
          <w:sz w:val="36"/>
          <w:szCs w:val="36"/>
        </w:rPr>
        <w:t>《政府采购促进中小企业发展管理办法》的通知</w:t>
      </w:r>
      <w:bookmarkEnd w:id="273"/>
      <w:bookmarkEnd w:id="274"/>
    </w:p>
    <w:p w14:paraId="6B46CC39">
      <w:pPr>
        <w:pStyle w:val="30"/>
        <w:spacing w:before="0" w:beforeAutospacing="0" w:after="0" w:afterAutospacing="0" w:line="440" w:lineRule="exact"/>
        <w:ind w:firstLine="480"/>
        <w:jc w:val="right"/>
        <w:rPr>
          <w:rFonts w:hint="eastAsia" w:ascii="仿宋_GB2312" w:hAnsi="仿宋_GB2312" w:eastAsia="仿宋_GB2312" w:cs="仿宋_GB2312"/>
        </w:rPr>
      </w:pPr>
      <w:bookmarkStart w:id="275" w:name="_Toc353305560_WPSOffice_Level3"/>
      <w:r>
        <w:rPr>
          <w:rFonts w:hint="eastAsia" w:ascii="仿宋_GB2312" w:hAnsi="仿宋_GB2312" w:eastAsia="仿宋_GB2312" w:cs="仿宋_GB2312"/>
        </w:rPr>
        <w:t>财库〔2020〕46号</w:t>
      </w:r>
      <w:bookmarkEnd w:id="275"/>
    </w:p>
    <w:p w14:paraId="4F5E42BD">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各中央预算单位办公厅（室），各省、自治区、直辖市、计划单列市财政厅（局）、工业和信息化主管部门，新疆生产建设兵团财政局、工业和信息化主管部门：</w:t>
      </w:r>
    </w:p>
    <w:p w14:paraId="34AF384A">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13170B2">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附件：政府采购促进中小企业发展管理办法</w:t>
      </w:r>
    </w:p>
    <w:p w14:paraId="63734E68">
      <w:p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　　政　　部</w:t>
      </w:r>
    </w:p>
    <w:p w14:paraId="7429DD3C">
      <w:p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工业和信息化部</w:t>
      </w:r>
    </w:p>
    <w:p w14:paraId="79C6C879">
      <w:p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2020年12月18日</w:t>
      </w:r>
    </w:p>
    <w:p w14:paraId="46FE0AE7">
      <w:pPr>
        <w:spacing w:line="440" w:lineRule="exact"/>
        <w:rPr>
          <w:rFonts w:hint="eastAsia" w:ascii="宋体" w:hAnsi="宋体" w:cs="宋体"/>
          <w:sz w:val="24"/>
        </w:rPr>
      </w:pPr>
    </w:p>
    <w:p w14:paraId="3B8AF9DA">
      <w:pPr>
        <w:tabs>
          <w:tab w:val="left" w:pos="720"/>
        </w:tabs>
        <w:spacing w:line="440" w:lineRule="exact"/>
        <w:jc w:val="center"/>
        <w:rPr>
          <w:rFonts w:hint="eastAsia" w:ascii="仿宋" w:hAnsi="仿宋" w:eastAsia="仿宋" w:cs="仿宋"/>
          <w:b/>
          <w:bCs/>
          <w:sz w:val="36"/>
          <w:szCs w:val="36"/>
        </w:rPr>
      </w:pPr>
      <w:bookmarkStart w:id="276" w:name="_Toc552999631"/>
      <w:bookmarkStart w:id="277" w:name="_Toc22277130_WPSOffice_Level2"/>
      <w:r>
        <w:rPr>
          <w:rFonts w:hint="eastAsia" w:ascii="仿宋" w:hAnsi="仿宋" w:eastAsia="仿宋" w:cs="仿宋"/>
          <w:b/>
          <w:bCs/>
          <w:sz w:val="36"/>
          <w:szCs w:val="36"/>
        </w:rPr>
        <w:t>政府采购促进中小企业发展管理办法</w:t>
      </w:r>
      <w:bookmarkEnd w:id="276"/>
      <w:bookmarkEnd w:id="277"/>
    </w:p>
    <w:p w14:paraId="58D73173">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第一条</w:t>
      </w:r>
      <w:r>
        <w:rPr>
          <w:rFonts w:hint="eastAsia" w:ascii="仿宋_GB2312" w:hAnsi="仿宋_GB2312" w:eastAsia="仿宋_GB2312" w:cs="仿宋_GB2312"/>
          <w:sz w:val="28"/>
          <w:szCs w:val="28"/>
        </w:rPr>
        <w:t>　为了发挥政府采购的政策功能，促进中小企业健康发展，根据《中华人民共和国政府采购法》、《中华人民共和国中小企业促进法》等有关法律法规，制定本办法。</w:t>
      </w:r>
    </w:p>
    <w:p w14:paraId="792DD8D5">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第二条</w:t>
      </w:r>
      <w:r>
        <w:rPr>
          <w:rFonts w:hint="eastAsia" w:ascii="仿宋_GB2312" w:hAnsi="仿宋_GB2312" w:eastAsia="仿宋_GB2312" w:cs="仿宋_GB2312"/>
          <w:sz w:val="28"/>
          <w:szCs w:val="28"/>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D7F0E71">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符合中小企业划分标准的个体工商户，在政府采购活动中视同中小企业。</w:t>
      </w:r>
    </w:p>
    <w:p w14:paraId="2573948B">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第三条</w:t>
      </w:r>
      <w:r>
        <w:rPr>
          <w:rFonts w:hint="eastAsia" w:ascii="仿宋_GB2312" w:hAnsi="仿宋_GB2312" w:eastAsia="仿宋_GB2312" w:cs="仿宋_GB2312"/>
          <w:sz w:val="28"/>
          <w:szCs w:val="28"/>
        </w:rPr>
        <w:t>　采购人在政府采购活动中应当通过加强采购需求管理，落实预留采购份额、价格评审优惠、优先采购等措施，提高中小企业在政府采购中的份额，支持中小企业发展。</w:t>
      </w:r>
    </w:p>
    <w:p w14:paraId="4CA2C02C">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第四条</w:t>
      </w:r>
      <w:r>
        <w:rPr>
          <w:rFonts w:hint="eastAsia" w:ascii="仿宋_GB2312" w:hAnsi="仿宋_GB2312" w:eastAsia="仿宋_GB2312" w:cs="仿宋_GB2312"/>
          <w:sz w:val="28"/>
          <w:szCs w:val="28"/>
        </w:rPr>
        <w:t>　在政府采购活动中，供应商提供的货物、工程或者服务符合下列情形的，享受本办法规定的中小企业扶持政策：</w:t>
      </w:r>
    </w:p>
    <w:p w14:paraId="19D8976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（一）在货物采购项目中，货物由中小企业制造，即货物由中小企业生产且使用该中小企业商号或者注册商标；</w:t>
      </w:r>
    </w:p>
    <w:p w14:paraId="5F1B3ABA">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（二）在工程采购项目中，工程由中小企业承建，即工程施工单位为中小企业；</w:t>
      </w:r>
    </w:p>
    <w:p w14:paraId="077BCC7C">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（三）在服务采购项目中，服务由中小企业承接，即提供服务的人员为中小企业依照《中华人民共和国劳动合同法》订立劳动合同的从业人员。</w:t>
      </w:r>
    </w:p>
    <w:p w14:paraId="03E81054">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在货物采购项目中，供应商提供的货物既有中小企业制造货物，也有大型企业制造货物的，不享受本办法规定的中小企业扶持政策。</w:t>
      </w:r>
    </w:p>
    <w:p w14:paraId="5268937F">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以联合体形式参加政府采购活动，联合体各方均为中小企业的，联合体视同中小企业。其中，联合体各方均为小微企业的，联合体视同小微企业。</w:t>
      </w:r>
    </w:p>
    <w:p w14:paraId="2EDC7A3F">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第五条</w:t>
      </w:r>
      <w:r>
        <w:rPr>
          <w:rFonts w:hint="eastAsia" w:ascii="仿宋_GB2312" w:hAnsi="仿宋_GB2312" w:eastAsia="仿宋_GB2312" w:cs="仿宋_GB2312"/>
          <w:sz w:val="28"/>
          <w:szCs w:val="28"/>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4CD336C">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第六条</w:t>
      </w:r>
      <w:r>
        <w:rPr>
          <w:rFonts w:hint="eastAsia" w:ascii="仿宋_GB2312" w:hAnsi="仿宋_GB2312" w:eastAsia="仿宋_GB2312" w:cs="仿宋_GB2312"/>
          <w:sz w:val="28"/>
          <w:szCs w:val="28"/>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B7ABF68">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符合下列情形之一的，可不专门面向中小企业预留采购份额：</w:t>
      </w:r>
    </w:p>
    <w:p w14:paraId="33E18237">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（一）法律法规和国家有关政策明确规定优先或者应当面向事业单位、社会组织等非企业主体采购的；</w:t>
      </w:r>
    </w:p>
    <w:p w14:paraId="590916FC">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（二）因确需使用不可替代的专利、专有技术，基础设施限制，或者提供特定公共服务等原因，只能从中小企业之外的供应商处采购的；</w:t>
      </w:r>
    </w:p>
    <w:p w14:paraId="51CFE477">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（三）按照本办法规定预留采购份额无法确保充分供应、充分竞争，或者存在可能影响政府采购目标实现的情形；</w:t>
      </w:r>
    </w:p>
    <w:p w14:paraId="168DDBE5">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（四）框架协议采购项目；</w:t>
      </w:r>
    </w:p>
    <w:p w14:paraId="7F6CBBB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（五）省级以上人民政府财政部门规定的其他情形。</w:t>
      </w:r>
    </w:p>
    <w:p w14:paraId="3CF9CFDD">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除上述情形外，其他均为适宜由中小企业提供的情形。</w:t>
      </w:r>
    </w:p>
    <w:p w14:paraId="4B589F06">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第七条</w:t>
      </w:r>
      <w:r>
        <w:rPr>
          <w:rFonts w:hint="eastAsia" w:ascii="仿宋_GB2312" w:hAnsi="仿宋_GB2312" w:eastAsia="仿宋_GB2312" w:cs="仿宋_GB2312"/>
          <w:sz w:val="28"/>
          <w:szCs w:val="28"/>
        </w:rPr>
        <w:t>　采购限额标准以上，200万元以下的货物和服务采购项目、400万元以下的工程采购项目，适宜由中小企业提供的，采购人应当专门面向中小企业采购。</w:t>
      </w:r>
    </w:p>
    <w:p w14:paraId="455596D3">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第八条</w:t>
      </w:r>
      <w:r>
        <w:rPr>
          <w:rFonts w:hint="eastAsia" w:ascii="仿宋_GB2312" w:hAnsi="仿宋_GB2312" w:eastAsia="仿宋_GB2312" w:cs="仿宋_GB2312"/>
          <w:sz w:val="28"/>
          <w:szCs w:val="28"/>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21A204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（一）将采购项目整体或者设置采购包专门面向中小企业采购；</w:t>
      </w:r>
    </w:p>
    <w:p w14:paraId="68073CAB">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（二）要求供应商以联合体形式参加采购活动，且联合体中中小企业承担的部分达到一定比例；</w:t>
      </w:r>
    </w:p>
    <w:p w14:paraId="34CB47D3">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（三）要求获得采购合同的供应商将采购项目中的一定比例分包给一家或者多家中小企业。</w:t>
      </w:r>
    </w:p>
    <w:p w14:paraId="421C5CB4">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组成联合体或者接受分包合同的中小企业与联合体内其他企业、分包企业之间不得存在直接控股、管理关系。</w:t>
      </w:r>
    </w:p>
    <w:p w14:paraId="7D74E6DB">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z w:val="28"/>
          <w:szCs w:val="28"/>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1153CA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E6C97B2">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D6205D0">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B0814A7">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sz w:val="28"/>
          <w:szCs w:val="28"/>
        </w:rPr>
        <w:t>　中小企业参加政府采购活动，应当出具本办法规定的《中小企业声明函》（附1），否则不得享受相关中小企业扶持政策。任何单位和个人不得要求供应商提供《中小企业声明函》之外的中小企业身份证明文件。</w:t>
      </w:r>
    </w:p>
    <w:p w14:paraId="29E43429">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sz w:val="28"/>
          <w:szCs w:val="28"/>
        </w:rPr>
        <w:t>　采购项目涉及中小企业采购的，采购文件应当明确以下内容：</w:t>
      </w:r>
    </w:p>
    <w:p w14:paraId="048F8F0A">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（一）预留份额的采购项目或者采购包，明确该项目或相关采购包专门面向中小企业采购，以及相关标的及预算金额；</w:t>
      </w:r>
    </w:p>
    <w:p w14:paraId="5EA9F9F7">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（二）要求以联合体形式参加或者合同分包的，明确联合协议或者分包意向协议中中小企业合同金额应当达到的比例，并作为供应商资格条件；</w:t>
      </w:r>
    </w:p>
    <w:p w14:paraId="69056A6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（三）非预留份额的采购项目或者采购包，明确有关价格扣除比例或者价格分加分比例；</w:t>
      </w:r>
    </w:p>
    <w:p w14:paraId="1093477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（四）规定依据本办法规定享受扶持政策获得政府采购合同的，小微企业不得将合同分包给大中型企业，中型企业不得将合同分包给大型企业；</w:t>
      </w:r>
    </w:p>
    <w:p w14:paraId="556251CA">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（五）采购人认为具备相关条件的，明确对中小企业在资金支付期限、预付款比例等方面的优惠措施；</w:t>
      </w:r>
    </w:p>
    <w:p w14:paraId="1788A272">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（六）明确采购标的对应的中小企业划分标准所属行业；</w:t>
      </w:r>
    </w:p>
    <w:p w14:paraId="417B3489">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（七）法律法规和省级以上人民政府财政部门规定的其他事项。</w:t>
      </w:r>
    </w:p>
    <w:p w14:paraId="7CA5A0E8">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第十三条</w:t>
      </w:r>
      <w:r>
        <w:rPr>
          <w:rFonts w:hint="eastAsia" w:ascii="仿宋_GB2312" w:hAnsi="仿宋_GB2312" w:eastAsia="仿宋_GB2312" w:cs="仿宋_GB2312"/>
          <w:sz w:val="28"/>
          <w:szCs w:val="28"/>
        </w:rPr>
        <w:t>　中标、成交供应商享受本办法规定的中小企业扶持政策的，采购人、采购代理机构应当随中标、成交结果公开中标、成交供应商的《中小企业声明函》。</w:t>
      </w:r>
    </w:p>
    <w:p w14:paraId="4C07D4E3">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适用招标投标法的政府采购工程建设项目，应当在公示中标候选人时公开中标候选人的《中小企业声明函》。</w:t>
      </w:r>
    </w:p>
    <w:p w14:paraId="3FD753C3">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第十四条</w:t>
      </w:r>
      <w:r>
        <w:rPr>
          <w:rFonts w:hint="eastAsia" w:ascii="仿宋_GB2312" w:hAnsi="仿宋_GB2312" w:eastAsia="仿宋_GB2312" w:cs="仿宋_GB2312"/>
          <w:sz w:val="28"/>
          <w:szCs w:val="28"/>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7FDF00">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第十五条</w:t>
      </w:r>
      <w:r>
        <w:rPr>
          <w:rFonts w:hint="eastAsia" w:ascii="仿宋_GB2312" w:hAnsi="仿宋_GB2312" w:eastAsia="仿宋_GB2312" w:cs="仿宋_GB2312"/>
          <w:sz w:val="28"/>
          <w:szCs w:val="28"/>
        </w:rPr>
        <w:t>　鼓励各地区、各部门在采购活动中允许中小企业引入信用担保手段，为中小企业在投标（响应）保证、履约保证等方面提供专业化服务。鼓励中小企业依法合规通过政府采购合同融资。</w:t>
      </w:r>
    </w:p>
    <w:p w14:paraId="6FBEE9EC">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第十六条</w:t>
      </w:r>
      <w:r>
        <w:rPr>
          <w:rFonts w:hint="eastAsia" w:ascii="仿宋_GB2312" w:hAnsi="仿宋_GB2312" w:eastAsia="仿宋_GB2312" w:cs="仿宋_GB2312"/>
          <w:sz w:val="28"/>
          <w:szCs w:val="28"/>
        </w:rPr>
        <w:t>　政府采购监督检查、投诉处理及政府采购行政处罚中对中小企业的认定，由货物制造商或者工程、服务供应商注册登记所在地的县级以上人民政府中小企业主管部门负责。</w:t>
      </w:r>
    </w:p>
    <w:p w14:paraId="24A02A1B">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中小企业主管部门应当在收到财政部门或者有关招标投标行政监督部门关于协助开展中小企业认定函后10个工作日内做出书面答复。</w:t>
      </w:r>
    </w:p>
    <w:p w14:paraId="4E9BA998">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第十七条</w:t>
      </w:r>
      <w:r>
        <w:rPr>
          <w:rFonts w:hint="eastAsia" w:ascii="仿宋_GB2312" w:hAnsi="仿宋_GB2312" w:eastAsia="仿宋_GB2312" w:cs="仿宋_GB2312"/>
          <w:sz w:val="28"/>
          <w:szCs w:val="28"/>
        </w:rPr>
        <w:t>　各地区、各部门应当对涉及中小企业采购的预算项目实施全过程绩效管理，合理设置绩效目标和指标，落实扶持中小企业有关政策要求，定期开展绩效监控和评价，强化绩效评价结果应用。</w:t>
      </w:r>
    </w:p>
    <w:p w14:paraId="2E12F042">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第十八条</w:t>
      </w:r>
      <w:r>
        <w:rPr>
          <w:rFonts w:hint="eastAsia" w:ascii="仿宋_GB2312" w:hAnsi="仿宋_GB2312" w:eastAsia="仿宋_GB2312" w:cs="仿宋_GB2312"/>
          <w:sz w:val="28"/>
          <w:szCs w:val="28"/>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AB15A42">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第十九条</w:t>
      </w:r>
      <w:r>
        <w:rPr>
          <w:rFonts w:hint="eastAsia" w:ascii="仿宋_GB2312" w:hAnsi="仿宋_GB2312" w:eastAsia="仿宋_GB2312" w:cs="仿宋_GB2312"/>
          <w:sz w:val="28"/>
          <w:szCs w:val="28"/>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FC650B8">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第二十条</w:t>
      </w:r>
      <w:r>
        <w:rPr>
          <w:rFonts w:hint="eastAsia" w:ascii="仿宋_GB2312" w:hAnsi="仿宋_GB2312" w:eastAsia="仿宋_GB2312" w:cs="仿宋_GB2312"/>
          <w:sz w:val="28"/>
          <w:szCs w:val="28"/>
        </w:rPr>
        <w:t>　供应商按照本办法规定提供声明函内容不实的，属于提供虚假材料谋取中标、成交，依照《中华人民共和国政府采购法》等国家有关规定追究相应责任。</w:t>
      </w:r>
    </w:p>
    <w:p w14:paraId="4237639E">
      <w:pPr>
        <w:pStyle w:val="30"/>
        <w:spacing w:before="0" w:beforeAutospacing="0" w:after="0" w:afterAutospacing="0" w:line="440" w:lineRule="exact"/>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适用招标投标法的政府采购工程建设项目，投标人按照本办法规定提供声明函内容不实的，属于弄虚作假骗取中标，依照《中华人民共和国招标投标法》等国家有关规定追究相应责任。</w:t>
      </w:r>
    </w:p>
    <w:p w14:paraId="6B8FF390">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第二十一条</w:t>
      </w:r>
      <w:r>
        <w:rPr>
          <w:rFonts w:hint="eastAsia" w:ascii="仿宋_GB2312" w:hAnsi="仿宋_GB2312" w:eastAsia="仿宋_GB2312" w:cs="仿宋_GB2312"/>
          <w:sz w:val="28"/>
          <w:szCs w:val="28"/>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C8E089F">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第二十二条</w:t>
      </w:r>
      <w:r>
        <w:rPr>
          <w:rFonts w:hint="eastAsia" w:ascii="仿宋_GB2312" w:hAnsi="仿宋_GB2312" w:eastAsia="仿宋_GB2312" w:cs="仿宋_GB2312"/>
          <w:sz w:val="28"/>
          <w:szCs w:val="28"/>
        </w:rPr>
        <w:t>　对外援助项目、国家相关资格或者资质管理制度另有规定的项目，不适用本办法。</w:t>
      </w:r>
    </w:p>
    <w:p w14:paraId="362445A4">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第二十三条</w:t>
      </w:r>
      <w:r>
        <w:rPr>
          <w:rFonts w:hint="eastAsia" w:ascii="仿宋_GB2312" w:hAnsi="仿宋_GB2312" w:eastAsia="仿宋_GB2312" w:cs="仿宋_GB2312"/>
          <w:sz w:val="28"/>
          <w:szCs w:val="28"/>
        </w:rPr>
        <w:t>　关于视同中小企业的其他主体的政府采购扶持政策，由财政部会同有关部门另行规定。</w:t>
      </w:r>
    </w:p>
    <w:p w14:paraId="17A1BD47">
      <w:pPr>
        <w:pStyle w:val="30"/>
        <w:spacing w:before="0" w:beforeAutospacing="0" w:after="0" w:afterAutospacing="0" w:line="440" w:lineRule="exact"/>
        <w:ind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第二十四条</w:t>
      </w:r>
      <w:r>
        <w:rPr>
          <w:rFonts w:hint="eastAsia" w:ascii="仿宋_GB2312" w:hAnsi="仿宋_GB2312" w:eastAsia="仿宋_GB2312" w:cs="仿宋_GB2312"/>
          <w:sz w:val="28"/>
          <w:szCs w:val="28"/>
        </w:rPr>
        <w:t>　省级财政部门可以会同中小企业主管部门根据本办法的规定制定具体实施办法。</w:t>
      </w:r>
    </w:p>
    <w:p w14:paraId="2EE2F951">
      <w:pPr>
        <w:pStyle w:val="30"/>
        <w:spacing w:before="0" w:beforeAutospacing="0" w:after="0" w:afterAutospacing="0" w:line="44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第二十五条</w:t>
      </w:r>
      <w:r>
        <w:rPr>
          <w:rFonts w:hint="eastAsia" w:ascii="仿宋_GB2312" w:hAnsi="仿宋_GB2312" w:eastAsia="仿宋_GB2312" w:cs="仿宋_GB2312"/>
          <w:sz w:val="28"/>
          <w:szCs w:val="28"/>
        </w:rPr>
        <w:t>　本办法自2021年1月1日起施行。《财政部 工业和信息化部关于印发〈政府采购促进中小企业发展暂行办法〉的通知》（财库〔2011〕181号）同时废止。</w:t>
      </w:r>
    </w:p>
    <w:p w14:paraId="50AEF899">
      <w:pPr>
        <w:spacing w:line="360" w:lineRule="auto"/>
        <w:outlineLvl w:val="2"/>
        <w:rPr>
          <w:rFonts w:ascii="宋体" w:hAnsi="宋体" w:cs="宋体"/>
          <w:iCs/>
          <w:sz w:val="24"/>
        </w:rPr>
      </w:pPr>
    </w:p>
    <w:p w14:paraId="139ECEB7">
      <w:pPr>
        <w:pStyle w:val="170"/>
        <w:rPr>
          <w:rFonts w:cs="宋体"/>
          <w:iCs/>
          <w:color w:val="000000"/>
          <w:sz w:val="28"/>
          <w:szCs w:val="28"/>
        </w:rPr>
      </w:pPr>
    </w:p>
    <w:p w14:paraId="3A72BD32">
      <w:pPr>
        <w:spacing w:line="360" w:lineRule="auto"/>
        <w:outlineLvl w:val="2"/>
        <w:rPr>
          <w:rFonts w:ascii="宋体" w:hAnsi="宋体" w:cs="宋体"/>
          <w:iCs/>
          <w:color w:val="000000"/>
          <w:sz w:val="24"/>
        </w:rPr>
      </w:pPr>
    </w:p>
    <w:p w14:paraId="11E6FC50">
      <w:pPr>
        <w:pStyle w:val="62"/>
        <w:ind w:left="0" w:leftChars="0" w:firstLine="0" w:firstLineChars="0"/>
        <w:jc w:val="both"/>
        <w:rPr>
          <w:rFonts w:hint="default" w:ascii="宋体" w:hAnsi="宋体" w:cs="宋体"/>
          <w:color w:val="auto"/>
          <w:highlight w:val="none"/>
          <w:lang w:val="en-US" w:eastAsia="zh-CN"/>
        </w:rPr>
      </w:pPr>
    </w:p>
    <w:sectPr>
      <w:footerReference r:id="rId5" w:type="default"/>
      <w:pgSz w:w="11906" w:h="16838"/>
      <w:pgMar w:top="1270" w:right="1588" w:bottom="1440" w:left="1588" w:header="851" w:footer="992" w:gutter="0"/>
      <w:pgNumType w:fmt="decimal" w:chapStyle="2" w:chapSep="period"/>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汉仪中宋简">
    <w:panose1 w:val="02010600000101010101"/>
    <w:charset w:val="80"/>
    <w:family w:val="auto"/>
    <w:pitch w:val="default"/>
    <w:sig w:usb0="800002BF" w:usb1="184F6CF8" w:usb2="00000012" w:usb3="00000000" w:csb0="00020001" w:csb1="00000000"/>
  </w:font>
  <w:font w:name="汉仪字酷堂长林体W">
    <w:panose1 w:val="00020600040101010101"/>
    <w:charset w:val="86"/>
    <w:family w:val="auto"/>
    <w:pitch w:val="default"/>
    <w:sig w:usb0="8000003F" w:usb1="1AC104FA" w:usb2="00000016" w:usb3="00000000" w:csb0="0004009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9B57">
    <w:pPr>
      <w:pStyle w:val="32"/>
      <w:jc w:val="center"/>
      <w:rPr>
        <w:rFonts w:ascii="宋体" w:hAnsi="宋体"/>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6862">
    <w:pPr>
      <w:pStyle w:val="32"/>
      <w:jc w:val="center"/>
      <w:rPr>
        <w:rFonts w:ascii="宋体" w:hAnsi="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87140">
                          <w:pPr>
                            <w:pStyle w:val="3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mZbco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ny&#10;TdanD1Bj2l3AxDS890POnfyAzkx7UNHmLxIiGEd1Txd15ZCIyI9Wy9WqwpDA2HxBHPb0PERIH6S3&#10;JBsNjTi+oio/foI0ps4puZrzt9oY9PPauL8ciJk9LPc+9pitNOyGqfGdb0/Ip8fJN9TholNiPjoU&#10;Ni/JbMTZ2M3GIUS978oW5XoQ3h0SNlF6yxVG2Kkwjqywm9Yr78Sf95L19E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HmZbcoBAACaAwAADgAAAAAAAAABACAAAAAeAQAAZHJzL2Uyb0Rv&#10;Yy54bWxQSwUGAAAAAAYABgBZAQAAWgUAAAAA&#10;">
              <v:fill on="f" focussize="0,0"/>
              <v:stroke on="f"/>
              <v:imagedata o:title=""/>
              <o:lock v:ext="edit" aspectratio="f"/>
              <v:textbox inset="0mm,0mm,0mm,0mm" style="mso-fit-shape-to-text:t;">
                <w:txbxContent>
                  <w:p w14:paraId="27687140">
                    <w:pPr>
                      <w:pStyle w:val="3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467E">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D93389">
                          <w:pPr>
                            <w:pStyle w:val="3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qqc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Slx3OLAL9+/XX78uvz8Suq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HP6qnIAQAAmgMAAA4AAAAAAAAAAQAgAAAAHgEAAGRycy9lMm9Eb2Mu&#10;eG1sUEsFBgAAAAAGAAYAWQEAAFgFAAAAAA==&#10;">
              <v:fill on="f" focussize="0,0"/>
              <v:stroke on="f"/>
              <v:imagedata o:title=""/>
              <o:lock v:ext="edit" aspectratio="f"/>
              <v:textbox inset="0mm,0mm,0mm,0mm" style="mso-fit-shape-to-text:t;">
                <w:txbxContent>
                  <w:p w14:paraId="57D93389">
                    <w:pPr>
                      <w:pStyle w:val="3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134E5"/>
    <w:multiLevelType w:val="singleLevel"/>
    <w:tmpl w:val="F2F134E5"/>
    <w:lvl w:ilvl="0" w:tentative="0">
      <w:start w:val="5"/>
      <w:numFmt w:val="decimal"/>
      <w:suff w:val="space"/>
      <w:lvlText w:val="%1."/>
      <w:lvlJc w:val="left"/>
    </w:lvl>
  </w:abstractNum>
  <w:abstractNum w:abstractNumId="1">
    <w:nsid w:val="01136EA5"/>
    <w:multiLevelType w:val="multilevel"/>
    <w:tmpl w:val="01136EA5"/>
    <w:lvl w:ilvl="0" w:tentative="0">
      <w:start w:val="1"/>
      <w:numFmt w:val="decimal"/>
      <w:lvlText w:val="%1."/>
      <w:lvlJc w:val="left"/>
      <w:pPr>
        <w:ind w:left="425" w:hanging="425"/>
      </w:pPr>
      <w:rPr>
        <w:rFonts w:hint="default"/>
        <w:b/>
        <w:bCs/>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0DF8567B"/>
    <w:multiLevelType w:val="singleLevel"/>
    <w:tmpl w:val="0DF8567B"/>
    <w:lvl w:ilvl="0" w:tentative="0">
      <w:start w:val="1"/>
      <w:numFmt w:val="chineseCounting"/>
      <w:suff w:val="nothing"/>
      <w:lvlText w:val="%1、"/>
      <w:lvlJc w:val="left"/>
      <w:rPr>
        <w:rFonts w:hint="eastAsia"/>
      </w:rPr>
    </w:lvl>
  </w:abstractNum>
  <w:abstractNum w:abstractNumId="3">
    <w:nsid w:val="2BB10D23"/>
    <w:multiLevelType w:val="singleLevel"/>
    <w:tmpl w:val="2BB10D23"/>
    <w:lvl w:ilvl="0" w:tentative="0">
      <w:start w:val="1"/>
      <w:numFmt w:val="decimal"/>
      <w:suff w:val="space"/>
      <w:lvlText w:val="%1."/>
      <w:lvlJc w:val="left"/>
    </w:lvl>
  </w:abstractNum>
  <w:abstractNum w:abstractNumId="4">
    <w:nsid w:val="31033584"/>
    <w:multiLevelType w:val="singleLevel"/>
    <w:tmpl w:val="31033584"/>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EyY2E1NGU3NTZkOWRlY2NiZTE0YWZiNGIwMGIifQ=="/>
  </w:docVars>
  <w:rsids>
    <w:rsidRoot w:val="00DA3BD5"/>
    <w:rsid w:val="00011597"/>
    <w:rsid w:val="000449BF"/>
    <w:rsid w:val="00060014"/>
    <w:rsid w:val="00093DA8"/>
    <w:rsid w:val="000D10DD"/>
    <w:rsid w:val="000D1C40"/>
    <w:rsid w:val="000E2591"/>
    <w:rsid w:val="000F2147"/>
    <w:rsid w:val="00110D8B"/>
    <w:rsid w:val="00141C87"/>
    <w:rsid w:val="001D1C7E"/>
    <w:rsid w:val="00203F99"/>
    <w:rsid w:val="00230CAF"/>
    <w:rsid w:val="00233276"/>
    <w:rsid w:val="00246DDE"/>
    <w:rsid w:val="00290201"/>
    <w:rsid w:val="00296A84"/>
    <w:rsid w:val="002C3C66"/>
    <w:rsid w:val="002D2969"/>
    <w:rsid w:val="002F7C47"/>
    <w:rsid w:val="003069C7"/>
    <w:rsid w:val="0037726E"/>
    <w:rsid w:val="003A0D9C"/>
    <w:rsid w:val="003B27E1"/>
    <w:rsid w:val="003B5D84"/>
    <w:rsid w:val="00412A79"/>
    <w:rsid w:val="00435892"/>
    <w:rsid w:val="004359BE"/>
    <w:rsid w:val="00484B38"/>
    <w:rsid w:val="004E02CB"/>
    <w:rsid w:val="004F2820"/>
    <w:rsid w:val="004F7A79"/>
    <w:rsid w:val="00504F0B"/>
    <w:rsid w:val="005443F1"/>
    <w:rsid w:val="0058523E"/>
    <w:rsid w:val="005A7E96"/>
    <w:rsid w:val="005B3B53"/>
    <w:rsid w:val="005D6767"/>
    <w:rsid w:val="005E46C5"/>
    <w:rsid w:val="00654608"/>
    <w:rsid w:val="00654883"/>
    <w:rsid w:val="006E2983"/>
    <w:rsid w:val="006F782F"/>
    <w:rsid w:val="007224FC"/>
    <w:rsid w:val="00795042"/>
    <w:rsid w:val="007A7EB3"/>
    <w:rsid w:val="007D45F1"/>
    <w:rsid w:val="007E4CA5"/>
    <w:rsid w:val="008046E7"/>
    <w:rsid w:val="00823ACC"/>
    <w:rsid w:val="00845444"/>
    <w:rsid w:val="00864954"/>
    <w:rsid w:val="008916F3"/>
    <w:rsid w:val="008B4240"/>
    <w:rsid w:val="008D4EE8"/>
    <w:rsid w:val="008E7FB2"/>
    <w:rsid w:val="00901A54"/>
    <w:rsid w:val="00907C0A"/>
    <w:rsid w:val="00934C42"/>
    <w:rsid w:val="00944537"/>
    <w:rsid w:val="0095719B"/>
    <w:rsid w:val="00980E8D"/>
    <w:rsid w:val="00993CA4"/>
    <w:rsid w:val="009A0817"/>
    <w:rsid w:val="009A5857"/>
    <w:rsid w:val="009C337D"/>
    <w:rsid w:val="009D7AE4"/>
    <w:rsid w:val="00A1171F"/>
    <w:rsid w:val="00A26C89"/>
    <w:rsid w:val="00A71DA3"/>
    <w:rsid w:val="00A9045F"/>
    <w:rsid w:val="00A95234"/>
    <w:rsid w:val="00AC1E27"/>
    <w:rsid w:val="00AD4569"/>
    <w:rsid w:val="00B175E9"/>
    <w:rsid w:val="00B32474"/>
    <w:rsid w:val="00B54836"/>
    <w:rsid w:val="00B8351B"/>
    <w:rsid w:val="00B914DB"/>
    <w:rsid w:val="00BB4B5A"/>
    <w:rsid w:val="00BE2400"/>
    <w:rsid w:val="00C06AA9"/>
    <w:rsid w:val="00C73ABB"/>
    <w:rsid w:val="00C77535"/>
    <w:rsid w:val="00C777F3"/>
    <w:rsid w:val="00CA0A32"/>
    <w:rsid w:val="00CA7374"/>
    <w:rsid w:val="00CB39C2"/>
    <w:rsid w:val="00CC02FC"/>
    <w:rsid w:val="00CD7464"/>
    <w:rsid w:val="00CF3752"/>
    <w:rsid w:val="00D03382"/>
    <w:rsid w:val="00D30590"/>
    <w:rsid w:val="00D31E25"/>
    <w:rsid w:val="00D55002"/>
    <w:rsid w:val="00D86ED9"/>
    <w:rsid w:val="00D922D5"/>
    <w:rsid w:val="00DA06C9"/>
    <w:rsid w:val="00DA3BD5"/>
    <w:rsid w:val="00E05CB8"/>
    <w:rsid w:val="00E4434A"/>
    <w:rsid w:val="00EC032E"/>
    <w:rsid w:val="00ED2708"/>
    <w:rsid w:val="00ED7DE3"/>
    <w:rsid w:val="00F14E5F"/>
    <w:rsid w:val="00F27761"/>
    <w:rsid w:val="00FA061C"/>
    <w:rsid w:val="00FA4DF8"/>
    <w:rsid w:val="00FB3FF4"/>
    <w:rsid w:val="0100390C"/>
    <w:rsid w:val="01066A48"/>
    <w:rsid w:val="0116312F"/>
    <w:rsid w:val="011A2E8F"/>
    <w:rsid w:val="012B4701"/>
    <w:rsid w:val="013730A5"/>
    <w:rsid w:val="0138534B"/>
    <w:rsid w:val="01415CD2"/>
    <w:rsid w:val="01543C57"/>
    <w:rsid w:val="015E6DD6"/>
    <w:rsid w:val="016A5229"/>
    <w:rsid w:val="017E0CD4"/>
    <w:rsid w:val="018502B5"/>
    <w:rsid w:val="01860BA2"/>
    <w:rsid w:val="018F6A3E"/>
    <w:rsid w:val="01AE15BA"/>
    <w:rsid w:val="01AE3368"/>
    <w:rsid w:val="01B35FFC"/>
    <w:rsid w:val="01CC1A40"/>
    <w:rsid w:val="01D408F4"/>
    <w:rsid w:val="01EC2AC3"/>
    <w:rsid w:val="020D73CB"/>
    <w:rsid w:val="02216284"/>
    <w:rsid w:val="02290C40"/>
    <w:rsid w:val="022E76CE"/>
    <w:rsid w:val="023120BF"/>
    <w:rsid w:val="02386A74"/>
    <w:rsid w:val="023870D5"/>
    <w:rsid w:val="024535A0"/>
    <w:rsid w:val="02470A4E"/>
    <w:rsid w:val="024C492F"/>
    <w:rsid w:val="025739FF"/>
    <w:rsid w:val="025A34EF"/>
    <w:rsid w:val="025F0B06"/>
    <w:rsid w:val="026A07CD"/>
    <w:rsid w:val="02714395"/>
    <w:rsid w:val="029A1B3E"/>
    <w:rsid w:val="02A037F9"/>
    <w:rsid w:val="02A66735"/>
    <w:rsid w:val="02BC641D"/>
    <w:rsid w:val="02D51C7E"/>
    <w:rsid w:val="02F2197A"/>
    <w:rsid w:val="02FE031F"/>
    <w:rsid w:val="03010C6B"/>
    <w:rsid w:val="030A2320"/>
    <w:rsid w:val="031A0341"/>
    <w:rsid w:val="03373831"/>
    <w:rsid w:val="03393105"/>
    <w:rsid w:val="033F4911"/>
    <w:rsid w:val="034877EC"/>
    <w:rsid w:val="035E2B6B"/>
    <w:rsid w:val="036068E4"/>
    <w:rsid w:val="036D12B2"/>
    <w:rsid w:val="037C6944"/>
    <w:rsid w:val="037D56E7"/>
    <w:rsid w:val="0381685A"/>
    <w:rsid w:val="03912F41"/>
    <w:rsid w:val="0394658D"/>
    <w:rsid w:val="03AA7B5F"/>
    <w:rsid w:val="03AC3B74"/>
    <w:rsid w:val="03BC7892"/>
    <w:rsid w:val="03D737BE"/>
    <w:rsid w:val="03DF43B3"/>
    <w:rsid w:val="03E70DB3"/>
    <w:rsid w:val="03F37758"/>
    <w:rsid w:val="03F47798"/>
    <w:rsid w:val="03FE52D7"/>
    <w:rsid w:val="040000C7"/>
    <w:rsid w:val="040D00EE"/>
    <w:rsid w:val="04105830"/>
    <w:rsid w:val="042518DB"/>
    <w:rsid w:val="042B4233"/>
    <w:rsid w:val="0435562A"/>
    <w:rsid w:val="04375C00"/>
    <w:rsid w:val="043B2233"/>
    <w:rsid w:val="044822E5"/>
    <w:rsid w:val="045F4DED"/>
    <w:rsid w:val="0460711B"/>
    <w:rsid w:val="046842C0"/>
    <w:rsid w:val="04700DA8"/>
    <w:rsid w:val="047168CE"/>
    <w:rsid w:val="047F2D99"/>
    <w:rsid w:val="04813C15"/>
    <w:rsid w:val="04916F64"/>
    <w:rsid w:val="049760A8"/>
    <w:rsid w:val="049A5E25"/>
    <w:rsid w:val="04A22F2C"/>
    <w:rsid w:val="04A647CA"/>
    <w:rsid w:val="04AD3DAA"/>
    <w:rsid w:val="04B113EE"/>
    <w:rsid w:val="04B137A1"/>
    <w:rsid w:val="04BC223F"/>
    <w:rsid w:val="04CE5ACF"/>
    <w:rsid w:val="04DC643E"/>
    <w:rsid w:val="04F80D9E"/>
    <w:rsid w:val="050D116A"/>
    <w:rsid w:val="05151950"/>
    <w:rsid w:val="051C4970"/>
    <w:rsid w:val="05263B5D"/>
    <w:rsid w:val="05404C1F"/>
    <w:rsid w:val="05524952"/>
    <w:rsid w:val="0554693F"/>
    <w:rsid w:val="055A55B4"/>
    <w:rsid w:val="05615EE5"/>
    <w:rsid w:val="056A57F8"/>
    <w:rsid w:val="056D353A"/>
    <w:rsid w:val="058D6A20"/>
    <w:rsid w:val="0590561A"/>
    <w:rsid w:val="05946D18"/>
    <w:rsid w:val="0595626E"/>
    <w:rsid w:val="05976809"/>
    <w:rsid w:val="059C4309"/>
    <w:rsid w:val="05B60993"/>
    <w:rsid w:val="05B66C8F"/>
    <w:rsid w:val="05BA52B6"/>
    <w:rsid w:val="05D748E0"/>
    <w:rsid w:val="05DE1D42"/>
    <w:rsid w:val="05E80062"/>
    <w:rsid w:val="05F7181C"/>
    <w:rsid w:val="06051746"/>
    <w:rsid w:val="0607573C"/>
    <w:rsid w:val="0626507B"/>
    <w:rsid w:val="06367DD0"/>
    <w:rsid w:val="06402A94"/>
    <w:rsid w:val="06431415"/>
    <w:rsid w:val="064E5119"/>
    <w:rsid w:val="064F49ED"/>
    <w:rsid w:val="06563FCE"/>
    <w:rsid w:val="06986941"/>
    <w:rsid w:val="069E18E6"/>
    <w:rsid w:val="06B70F10"/>
    <w:rsid w:val="06C54B78"/>
    <w:rsid w:val="06C82589"/>
    <w:rsid w:val="06D82C35"/>
    <w:rsid w:val="06DE46EF"/>
    <w:rsid w:val="06DF0E5B"/>
    <w:rsid w:val="06E31D05"/>
    <w:rsid w:val="06EA47FF"/>
    <w:rsid w:val="06F14641"/>
    <w:rsid w:val="06FD08ED"/>
    <w:rsid w:val="070B3F2F"/>
    <w:rsid w:val="07244BB0"/>
    <w:rsid w:val="073126B3"/>
    <w:rsid w:val="073F1F2E"/>
    <w:rsid w:val="07593D76"/>
    <w:rsid w:val="078D7EC3"/>
    <w:rsid w:val="07966D78"/>
    <w:rsid w:val="079923C4"/>
    <w:rsid w:val="07DE24CD"/>
    <w:rsid w:val="07E401EA"/>
    <w:rsid w:val="07F341CA"/>
    <w:rsid w:val="081449CC"/>
    <w:rsid w:val="08253C58"/>
    <w:rsid w:val="082F2D28"/>
    <w:rsid w:val="082F4AD6"/>
    <w:rsid w:val="084E1401"/>
    <w:rsid w:val="084F33CB"/>
    <w:rsid w:val="087C5860"/>
    <w:rsid w:val="088E3EF3"/>
    <w:rsid w:val="08935065"/>
    <w:rsid w:val="089A4646"/>
    <w:rsid w:val="08A116F6"/>
    <w:rsid w:val="08A13C26"/>
    <w:rsid w:val="08B1198F"/>
    <w:rsid w:val="08C96CD9"/>
    <w:rsid w:val="08D12032"/>
    <w:rsid w:val="08D65C03"/>
    <w:rsid w:val="08EE04EE"/>
    <w:rsid w:val="09041F23"/>
    <w:rsid w:val="09060634"/>
    <w:rsid w:val="09093579"/>
    <w:rsid w:val="090E2945"/>
    <w:rsid w:val="09102B5A"/>
    <w:rsid w:val="09292C7E"/>
    <w:rsid w:val="092959CA"/>
    <w:rsid w:val="092C38FD"/>
    <w:rsid w:val="09320D22"/>
    <w:rsid w:val="09363AA0"/>
    <w:rsid w:val="09390C03"/>
    <w:rsid w:val="093C0882"/>
    <w:rsid w:val="09594501"/>
    <w:rsid w:val="095D51E5"/>
    <w:rsid w:val="099C263F"/>
    <w:rsid w:val="09A339CE"/>
    <w:rsid w:val="09A6701A"/>
    <w:rsid w:val="09B2776D"/>
    <w:rsid w:val="09BF1E8A"/>
    <w:rsid w:val="09CB6A81"/>
    <w:rsid w:val="09DF42DA"/>
    <w:rsid w:val="09E638BB"/>
    <w:rsid w:val="09EA6F07"/>
    <w:rsid w:val="0A00497C"/>
    <w:rsid w:val="0A0C1573"/>
    <w:rsid w:val="0A334D52"/>
    <w:rsid w:val="0A342878"/>
    <w:rsid w:val="0A71587A"/>
    <w:rsid w:val="0A7766AB"/>
    <w:rsid w:val="0AAA2B3A"/>
    <w:rsid w:val="0AB80DB3"/>
    <w:rsid w:val="0AD100C7"/>
    <w:rsid w:val="0AD16319"/>
    <w:rsid w:val="0AE876B9"/>
    <w:rsid w:val="0AF52007"/>
    <w:rsid w:val="0AFC15E8"/>
    <w:rsid w:val="0B0054D2"/>
    <w:rsid w:val="0B064214"/>
    <w:rsid w:val="0B071D3B"/>
    <w:rsid w:val="0B08483E"/>
    <w:rsid w:val="0B1C3A38"/>
    <w:rsid w:val="0B260413"/>
    <w:rsid w:val="0B2B0544"/>
    <w:rsid w:val="0B372378"/>
    <w:rsid w:val="0B521208"/>
    <w:rsid w:val="0B6158EF"/>
    <w:rsid w:val="0B7A69B0"/>
    <w:rsid w:val="0B8415DD"/>
    <w:rsid w:val="0B845139"/>
    <w:rsid w:val="0B872A8F"/>
    <w:rsid w:val="0B9F6417"/>
    <w:rsid w:val="0BA650B0"/>
    <w:rsid w:val="0BCE748D"/>
    <w:rsid w:val="0BCF77DA"/>
    <w:rsid w:val="0BD31C1D"/>
    <w:rsid w:val="0BD87233"/>
    <w:rsid w:val="0BDE0CED"/>
    <w:rsid w:val="0BE44893"/>
    <w:rsid w:val="0BF528DE"/>
    <w:rsid w:val="0BF56037"/>
    <w:rsid w:val="0C02530C"/>
    <w:rsid w:val="0C0B13B7"/>
    <w:rsid w:val="0C0E6378"/>
    <w:rsid w:val="0C152235"/>
    <w:rsid w:val="0C1609C3"/>
    <w:rsid w:val="0C346B5F"/>
    <w:rsid w:val="0C540FAF"/>
    <w:rsid w:val="0C5965C6"/>
    <w:rsid w:val="0C7C21C0"/>
    <w:rsid w:val="0C8C0749"/>
    <w:rsid w:val="0C9456E7"/>
    <w:rsid w:val="0CB437FC"/>
    <w:rsid w:val="0CDA7707"/>
    <w:rsid w:val="0CDE6ACB"/>
    <w:rsid w:val="0CF87B8D"/>
    <w:rsid w:val="0CFC630A"/>
    <w:rsid w:val="0CFE2CC9"/>
    <w:rsid w:val="0D002EE5"/>
    <w:rsid w:val="0D0629AE"/>
    <w:rsid w:val="0D0E115E"/>
    <w:rsid w:val="0D1D75F3"/>
    <w:rsid w:val="0D2564A8"/>
    <w:rsid w:val="0D2A3ABE"/>
    <w:rsid w:val="0D3D4FB3"/>
    <w:rsid w:val="0D45332F"/>
    <w:rsid w:val="0D6B65B1"/>
    <w:rsid w:val="0D6E7E4F"/>
    <w:rsid w:val="0D7C6A10"/>
    <w:rsid w:val="0D992823"/>
    <w:rsid w:val="0D9F502D"/>
    <w:rsid w:val="0DA41AC3"/>
    <w:rsid w:val="0DB461AA"/>
    <w:rsid w:val="0DCF2C02"/>
    <w:rsid w:val="0DD35D8B"/>
    <w:rsid w:val="0DEB14A0"/>
    <w:rsid w:val="0DF26CD2"/>
    <w:rsid w:val="0E060087"/>
    <w:rsid w:val="0E0B1B42"/>
    <w:rsid w:val="0E0B7D94"/>
    <w:rsid w:val="0E1529C0"/>
    <w:rsid w:val="0E214EC1"/>
    <w:rsid w:val="0E325320"/>
    <w:rsid w:val="0E440BB0"/>
    <w:rsid w:val="0E680D42"/>
    <w:rsid w:val="0E7E366C"/>
    <w:rsid w:val="0E835B7C"/>
    <w:rsid w:val="0E8D07A9"/>
    <w:rsid w:val="0E9953A0"/>
    <w:rsid w:val="0E9E29B6"/>
    <w:rsid w:val="0EA462F2"/>
    <w:rsid w:val="0EAA3109"/>
    <w:rsid w:val="0EB126E9"/>
    <w:rsid w:val="0EBA2E73"/>
    <w:rsid w:val="0EBD2E3C"/>
    <w:rsid w:val="0EC80724"/>
    <w:rsid w:val="0ED63EFE"/>
    <w:rsid w:val="0EDB59B8"/>
    <w:rsid w:val="0EEA1757"/>
    <w:rsid w:val="0EEF6D6E"/>
    <w:rsid w:val="0EFB3F5D"/>
    <w:rsid w:val="0F0F11BE"/>
    <w:rsid w:val="0F20786F"/>
    <w:rsid w:val="0F317386"/>
    <w:rsid w:val="0F333798"/>
    <w:rsid w:val="0F3D3F7D"/>
    <w:rsid w:val="0F3F1AA3"/>
    <w:rsid w:val="0F403A6D"/>
    <w:rsid w:val="0F450727"/>
    <w:rsid w:val="0F615EBD"/>
    <w:rsid w:val="0F64150A"/>
    <w:rsid w:val="0F6535AF"/>
    <w:rsid w:val="0F7D6A6F"/>
    <w:rsid w:val="0F7F00F1"/>
    <w:rsid w:val="0F8E3F0F"/>
    <w:rsid w:val="0F957915"/>
    <w:rsid w:val="0FA719B7"/>
    <w:rsid w:val="0FA7589A"/>
    <w:rsid w:val="0FBF4992"/>
    <w:rsid w:val="0FE4264A"/>
    <w:rsid w:val="0FEB3D82"/>
    <w:rsid w:val="0FFA00C0"/>
    <w:rsid w:val="10022AD1"/>
    <w:rsid w:val="100A29AA"/>
    <w:rsid w:val="10226733"/>
    <w:rsid w:val="10234F21"/>
    <w:rsid w:val="102869DB"/>
    <w:rsid w:val="103B4960"/>
    <w:rsid w:val="10437371"/>
    <w:rsid w:val="10480E2B"/>
    <w:rsid w:val="10540003"/>
    <w:rsid w:val="10572E1C"/>
    <w:rsid w:val="106E4B7E"/>
    <w:rsid w:val="1070749E"/>
    <w:rsid w:val="108F6A5A"/>
    <w:rsid w:val="109A0F5B"/>
    <w:rsid w:val="10A818CA"/>
    <w:rsid w:val="10B22749"/>
    <w:rsid w:val="10B62239"/>
    <w:rsid w:val="10B63FE7"/>
    <w:rsid w:val="10BB1A44"/>
    <w:rsid w:val="10C761F4"/>
    <w:rsid w:val="10CA7A92"/>
    <w:rsid w:val="10CB4558"/>
    <w:rsid w:val="10FE773C"/>
    <w:rsid w:val="110E5BD1"/>
    <w:rsid w:val="111B6540"/>
    <w:rsid w:val="112371A2"/>
    <w:rsid w:val="11366ED6"/>
    <w:rsid w:val="11382C4E"/>
    <w:rsid w:val="11423ACC"/>
    <w:rsid w:val="114E2471"/>
    <w:rsid w:val="114F61E9"/>
    <w:rsid w:val="11515ABE"/>
    <w:rsid w:val="115A7068"/>
    <w:rsid w:val="115C2EBC"/>
    <w:rsid w:val="11665BF2"/>
    <w:rsid w:val="116E0688"/>
    <w:rsid w:val="117B0D8C"/>
    <w:rsid w:val="117D2D78"/>
    <w:rsid w:val="118C11EC"/>
    <w:rsid w:val="11904838"/>
    <w:rsid w:val="11950C7C"/>
    <w:rsid w:val="11A007F3"/>
    <w:rsid w:val="11B12A00"/>
    <w:rsid w:val="11B97751"/>
    <w:rsid w:val="11BB654F"/>
    <w:rsid w:val="11D02E86"/>
    <w:rsid w:val="11D0732A"/>
    <w:rsid w:val="11E903EC"/>
    <w:rsid w:val="11F72B09"/>
    <w:rsid w:val="120C016C"/>
    <w:rsid w:val="120D40DA"/>
    <w:rsid w:val="121F6D3E"/>
    <w:rsid w:val="121F796A"/>
    <w:rsid w:val="12281E96"/>
    <w:rsid w:val="122907E8"/>
    <w:rsid w:val="124440AD"/>
    <w:rsid w:val="12483BB9"/>
    <w:rsid w:val="124D34F5"/>
    <w:rsid w:val="12502219"/>
    <w:rsid w:val="12541D09"/>
    <w:rsid w:val="127A4878"/>
    <w:rsid w:val="12846C10"/>
    <w:rsid w:val="12883761"/>
    <w:rsid w:val="12A6008B"/>
    <w:rsid w:val="12AC6C2A"/>
    <w:rsid w:val="12B64F8D"/>
    <w:rsid w:val="12DF4FF2"/>
    <w:rsid w:val="12F17558"/>
    <w:rsid w:val="12F42BA4"/>
    <w:rsid w:val="12F928B1"/>
    <w:rsid w:val="130B7EEE"/>
    <w:rsid w:val="131B5F6A"/>
    <w:rsid w:val="131E5E73"/>
    <w:rsid w:val="13207027"/>
    <w:rsid w:val="132316DC"/>
    <w:rsid w:val="133B07D3"/>
    <w:rsid w:val="133D454B"/>
    <w:rsid w:val="13531EC0"/>
    <w:rsid w:val="13586C56"/>
    <w:rsid w:val="135B70C7"/>
    <w:rsid w:val="13675A6C"/>
    <w:rsid w:val="136A2E67"/>
    <w:rsid w:val="136D5CBC"/>
    <w:rsid w:val="13A04ADA"/>
    <w:rsid w:val="13BD034E"/>
    <w:rsid w:val="13C253D7"/>
    <w:rsid w:val="13D604FC"/>
    <w:rsid w:val="13DF413D"/>
    <w:rsid w:val="13E64BE3"/>
    <w:rsid w:val="13EB3FA7"/>
    <w:rsid w:val="13EB4D81"/>
    <w:rsid w:val="13F1555B"/>
    <w:rsid w:val="13F866C4"/>
    <w:rsid w:val="13FC4407"/>
    <w:rsid w:val="14166102"/>
    <w:rsid w:val="141837C0"/>
    <w:rsid w:val="14214049"/>
    <w:rsid w:val="14382B6B"/>
    <w:rsid w:val="1441006B"/>
    <w:rsid w:val="144813FA"/>
    <w:rsid w:val="144933C4"/>
    <w:rsid w:val="146138BA"/>
    <w:rsid w:val="146C3A9E"/>
    <w:rsid w:val="14755F67"/>
    <w:rsid w:val="147811E8"/>
    <w:rsid w:val="1481490C"/>
    <w:rsid w:val="1497412F"/>
    <w:rsid w:val="14975EDD"/>
    <w:rsid w:val="14A45A4F"/>
    <w:rsid w:val="14A95C11"/>
    <w:rsid w:val="14AB2494"/>
    <w:rsid w:val="14AD3953"/>
    <w:rsid w:val="14B34732"/>
    <w:rsid w:val="14B4083D"/>
    <w:rsid w:val="14B940A6"/>
    <w:rsid w:val="14F25809"/>
    <w:rsid w:val="150115A9"/>
    <w:rsid w:val="150771D6"/>
    <w:rsid w:val="15237771"/>
    <w:rsid w:val="15363948"/>
    <w:rsid w:val="155A139E"/>
    <w:rsid w:val="158346B4"/>
    <w:rsid w:val="15A5287C"/>
    <w:rsid w:val="15A56279"/>
    <w:rsid w:val="15AE1730"/>
    <w:rsid w:val="15B34F99"/>
    <w:rsid w:val="15BB3D8F"/>
    <w:rsid w:val="15BD5E17"/>
    <w:rsid w:val="15C0266D"/>
    <w:rsid w:val="15D60C87"/>
    <w:rsid w:val="15DE2644"/>
    <w:rsid w:val="15EA028F"/>
    <w:rsid w:val="15ED1E4B"/>
    <w:rsid w:val="15FD6214"/>
    <w:rsid w:val="15FF3D3A"/>
    <w:rsid w:val="15FF53EF"/>
    <w:rsid w:val="161B669A"/>
    <w:rsid w:val="161D2412"/>
    <w:rsid w:val="162639BD"/>
    <w:rsid w:val="1642631D"/>
    <w:rsid w:val="166242C9"/>
    <w:rsid w:val="1672275E"/>
    <w:rsid w:val="167F5188"/>
    <w:rsid w:val="1686445B"/>
    <w:rsid w:val="168D3A3C"/>
    <w:rsid w:val="168E3310"/>
    <w:rsid w:val="16974EF8"/>
    <w:rsid w:val="169C63D3"/>
    <w:rsid w:val="16C90CFD"/>
    <w:rsid w:val="16E06BE2"/>
    <w:rsid w:val="16F94C2D"/>
    <w:rsid w:val="170B2BB3"/>
    <w:rsid w:val="17132588"/>
    <w:rsid w:val="1732010E"/>
    <w:rsid w:val="17397720"/>
    <w:rsid w:val="175F2179"/>
    <w:rsid w:val="17606A5A"/>
    <w:rsid w:val="17742506"/>
    <w:rsid w:val="178169D1"/>
    <w:rsid w:val="17884203"/>
    <w:rsid w:val="178A795A"/>
    <w:rsid w:val="17D0311D"/>
    <w:rsid w:val="17D53E40"/>
    <w:rsid w:val="17D82A95"/>
    <w:rsid w:val="17DB4333"/>
    <w:rsid w:val="17E515B5"/>
    <w:rsid w:val="17E53404"/>
    <w:rsid w:val="180554BE"/>
    <w:rsid w:val="182769C6"/>
    <w:rsid w:val="182B350C"/>
    <w:rsid w:val="182E6B59"/>
    <w:rsid w:val="18316649"/>
    <w:rsid w:val="183C74C7"/>
    <w:rsid w:val="183D4FEE"/>
    <w:rsid w:val="184243B2"/>
    <w:rsid w:val="1844012A"/>
    <w:rsid w:val="184B0E55"/>
    <w:rsid w:val="185370D9"/>
    <w:rsid w:val="18561C0B"/>
    <w:rsid w:val="186840E7"/>
    <w:rsid w:val="1869193F"/>
    <w:rsid w:val="187C3D68"/>
    <w:rsid w:val="1881137E"/>
    <w:rsid w:val="18920257"/>
    <w:rsid w:val="18956512"/>
    <w:rsid w:val="189E3CDE"/>
    <w:rsid w:val="18AB2DF4"/>
    <w:rsid w:val="18CB39A2"/>
    <w:rsid w:val="18ED2570"/>
    <w:rsid w:val="18F9261C"/>
    <w:rsid w:val="18FC0A05"/>
    <w:rsid w:val="191E4E1F"/>
    <w:rsid w:val="192A26A9"/>
    <w:rsid w:val="192F6D69"/>
    <w:rsid w:val="19510D51"/>
    <w:rsid w:val="19550115"/>
    <w:rsid w:val="195645B9"/>
    <w:rsid w:val="195919B3"/>
    <w:rsid w:val="19600F94"/>
    <w:rsid w:val="196071E6"/>
    <w:rsid w:val="196547FC"/>
    <w:rsid w:val="196818D5"/>
    <w:rsid w:val="19924EC5"/>
    <w:rsid w:val="1997072D"/>
    <w:rsid w:val="199D4D2E"/>
    <w:rsid w:val="19A03A86"/>
    <w:rsid w:val="19C63A98"/>
    <w:rsid w:val="19C77265"/>
    <w:rsid w:val="19DD0836"/>
    <w:rsid w:val="19E26EA3"/>
    <w:rsid w:val="19EE2A43"/>
    <w:rsid w:val="19F83622"/>
    <w:rsid w:val="1A0C3EEF"/>
    <w:rsid w:val="1A0E5A2C"/>
    <w:rsid w:val="1A246465"/>
    <w:rsid w:val="1A2516A8"/>
    <w:rsid w:val="1A446E70"/>
    <w:rsid w:val="1A4C776A"/>
    <w:rsid w:val="1A4F2DB6"/>
    <w:rsid w:val="1A554870"/>
    <w:rsid w:val="1A7867B1"/>
    <w:rsid w:val="1A7D3DC7"/>
    <w:rsid w:val="1A8B19D1"/>
    <w:rsid w:val="1A967D99"/>
    <w:rsid w:val="1A9B5FFB"/>
    <w:rsid w:val="1A9C1E3E"/>
    <w:rsid w:val="1A9C424D"/>
    <w:rsid w:val="1AD5775F"/>
    <w:rsid w:val="1AE77ACD"/>
    <w:rsid w:val="1AED2CFB"/>
    <w:rsid w:val="1AF57E02"/>
    <w:rsid w:val="1AF8068D"/>
    <w:rsid w:val="1AFA7273"/>
    <w:rsid w:val="1B0B3181"/>
    <w:rsid w:val="1B154000"/>
    <w:rsid w:val="1B1C670C"/>
    <w:rsid w:val="1B210BF7"/>
    <w:rsid w:val="1B283D33"/>
    <w:rsid w:val="1B2D759B"/>
    <w:rsid w:val="1B2E0C1E"/>
    <w:rsid w:val="1B3A3A66"/>
    <w:rsid w:val="1B3C77DE"/>
    <w:rsid w:val="1B75572A"/>
    <w:rsid w:val="1B8C2514"/>
    <w:rsid w:val="1B903686"/>
    <w:rsid w:val="1B990B12"/>
    <w:rsid w:val="1B9B4505"/>
    <w:rsid w:val="1B9E2247"/>
    <w:rsid w:val="1BA122C3"/>
    <w:rsid w:val="1BAD5FE6"/>
    <w:rsid w:val="1BB468B8"/>
    <w:rsid w:val="1BBE3C5C"/>
    <w:rsid w:val="1BC03F6C"/>
    <w:rsid w:val="1BC31CAE"/>
    <w:rsid w:val="1BD45C69"/>
    <w:rsid w:val="1BDB0DA5"/>
    <w:rsid w:val="1BEE6D2B"/>
    <w:rsid w:val="1BF14125"/>
    <w:rsid w:val="1BFB1448"/>
    <w:rsid w:val="1C0025BA"/>
    <w:rsid w:val="1C053422"/>
    <w:rsid w:val="1C16002F"/>
    <w:rsid w:val="1C244D13"/>
    <w:rsid w:val="1C250273"/>
    <w:rsid w:val="1C2C7853"/>
    <w:rsid w:val="1C2E35CB"/>
    <w:rsid w:val="1C3A1F70"/>
    <w:rsid w:val="1C44694B"/>
    <w:rsid w:val="1C4701E9"/>
    <w:rsid w:val="1C4E7F9D"/>
    <w:rsid w:val="1C747071"/>
    <w:rsid w:val="1CB11B06"/>
    <w:rsid w:val="1CB6582C"/>
    <w:rsid w:val="1CC21F65"/>
    <w:rsid w:val="1CC67A26"/>
    <w:rsid w:val="1CD04682"/>
    <w:rsid w:val="1CDA72AF"/>
    <w:rsid w:val="1CE343B6"/>
    <w:rsid w:val="1D0468BA"/>
    <w:rsid w:val="1D047E88"/>
    <w:rsid w:val="1D085BCA"/>
    <w:rsid w:val="1D0E6F59"/>
    <w:rsid w:val="1D1125A5"/>
    <w:rsid w:val="1D1522F2"/>
    <w:rsid w:val="1D383FD6"/>
    <w:rsid w:val="1D412E8A"/>
    <w:rsid w:val="1D4B5AB7"/>
    <w:rsid w:val="1D4D182F"/>
    <w:rsid w:val="1D4D5CD3"/>
    <w:rsid w:val="1D5E1C8E"/>
    <w:rsid w:val="1D632E00"/>
    <w:rsid w:val="1D646B79"/>
    <w:rsid w:val="1D69779E"/>
    <w:rsid w:val="1D6A0633"/>
    <w:rsid w:val="1D7B2840"/>
    <w:rsid w:val="1D8611E5"/>
    <w:rsid w:val="1D9E7BAD"/>
    <w:rsid w:val="1DA65088"/>
    <w:rsid w:val="1DAC5C6B"/>
    <w:rsid w:val="1DB21FDA"/>
    <w:rsid w:val="1DB45D52"/>
    <w:rsid w:val="1DD04CB4"/>
    <w:rsid w:val="1DDA0245"/>
    <w:rsid w:val="1DDD0428"/>
    <w:rsid w:val="1DDD1F7A"/>
    <w:rsid w:val="1E1803A0"/>
    <w:rsid w:val="1E1862E1"/>
    <w:rsid w:val="1E32050F"/>
    <w:rsid w:val="1E33272A"/>
    <w:rsid w:val="1E3B3D7D"/>
    <w:rsid w:val="1E4D7271"/>
    <w:rsid w:val="1E5135A1"/>
    <w:rsid w:val="1E560BB7"/>
    <w:rsid w:val="1E5F5CBE"/>
    <w:rsid w:val="1E6173C8"/>
    <w:rsid w:val="1E6C3F37"/>
    <w:rsid w:val="1E6E5F01"/>
    <w:rsid w:val="1E742207"/>
    <w:rsid w:val="1E7554E1"/>
    <w:rsid w:val="1E763539"/>
    <w:rsid w:val="1E7E3C6A"/>
    <w:rsid w:val="1E8E0351"/>
    <w:rsid w:val="1E933BB9"/>
    <w:rsid w:val="1EAE09F3"/>
    <w:rsid w:val="1EB435BF"/>
    <w:rsid w:val="1EBA7398"/>
    <w:rsid w:val="1ECC70CB"/>
    <w:rsid w:val="1F1C3BAF"/>
    <w:rsid w:val="1F1F544D"/>
    <w:rsid w:val="1F262D0B"/>
    <w:rsid w:val="1F29007A"/>
    <w:rsid w:val="1F326A59"/>
    <w:rsid w:val="1F330EF8"/>
    <w:rsid w:val="1F3F5AEF"/>
    <w:rsid w:val="1F585054"/>
    <w:rsid w:val="1F5F3A9B"/>
    <w:rsid w:val="1F6D440A"/>
    <w:rsid w:val="1F7D0CD8"/>
    <w:rsid w:val="1F8359DC"/>
    <w:rsid w:val="1F996FAD"/>
    <w:rsid w:val="1FC61D6D"/>
    <w:rsid w:val="1FCB2EDF"/>
    <w:rsid w:val="1FD74FEB"/>
    <w:rsid w:val="1FD94C20"/>
    <w:rsid w:val="20062169"/>
    <w:rsid w:val="201A6F40"/>
    <w:rsid w:val="20286583"/>
    <w:rsid w:val="203B62B7"/>
    <w:rsid w:val="20400535"/>
    <w:rsid w:val="204F7E00"/>
    <w:rsid w:val="20586E69"/>
    <w:rsid w:val="205904EB"/>
    <w:rsid w:val="2059459A"/>
    <w:rsid w:val="20624337"/>
    <w:rsid w:val="208D63E6"/>
    <w:rsid w:val="20A569DB"/>
    <w:rsid w:val="20B120D5"/>
    <w:rsid w:val="20B16579"/>
    <w:rsid w:val="20B83463"/>
    <w:rsid w:val="20C938C2"/>
    <w:rsid w:val="20D869EA"/>
    <w:rsid w:val="20D9162C"/>
    <w:rsid w:val="20EB1A8B"/>
    <w:rsid w:val="20F222D5"/>
    <w:rsid w:val="20FA5BB7"/>
    <w:rsid w:val="20FA7F20"/>
    <w:rsid w:val="210B5C89"/>
    <w:rsid w:val="21307F4E"/>
    <w:rsid w:val="21372E9D"/>
    <w:rsid w:val="21611D4D"/>
    <w:rsid w:val="21645399"/>
    <w:rsid w:val="21872CBB"/>
    <w:rsid w:val="21923D0C"/>
    <w:rsid w:val="21A25EC1"/>
    <w:rsid w:val="21BA575C"/>
    <w:rsid w:val="21C2643E"/>
    <w:rsid w:val="21C948F8"/>
    <w:rsid w:val="21FC2DBE"/>
    <w:rsid w:val="222D1C2F"/>
    <w:rsid w:val="224E366C"/>
    <w:rsid w:val="225E44DE"/>
    <w:rsid w:val="228026A7"/>
    <w:rsid w:val="22863D23"/>
    <w:rsid w:val="228727F7"/>
    <w:rsid w:val="229F5E27"/>
    <w:rsid w:val="22A5210D"/>
    <w:rsid w:val="22AF0896"/>
    <w:rsid w:val="22C02AA3"/>
    <w:rsid w:val="22CC1448"/>
    <w:rsid w:val="22CF0F38"/>
    <w:rsid w:val="22CF32DC"/>
    <w:rsid w:val="22D447A0"/>
    <w:rsid w:val="22F32E79"/>
    <w:rsid w:val="22FB7F7F"/>
    <w:rsid w:val="231150AD"/>
    <w:rsid w:val="23171FCC"/>
    <w:rsid w:val="23270D74"/>
    <w:rsid w:val="23272C1E"/>
    <w:rsid w:val="23333F99"/>
    <w:rsid w:val="2342795C"/>
    <w:rsid w:val="23445482"/>
    <w:rsid w:val="2367773E"/>
    <w:rsid w:val="23775F59"/>
    <w:rsid w:val="2381420E"/>
    <w:rsid w:val="23B75C54"/>
    <w:rsid w:val="23CB7951"/>
    <w:rsid w:val="23D04F68"/>
    <w:rsid w:val="23D83E1C"/>
    <w:rsid w:val="23DA1943"/>
    <w:rsid w:val="23DB4E55"/>
    <w:rsid w:val="23E30B60"/>
    <w:rsid w:val="23EA6BEB"/>
    <w:rsid w:val="23F549CE"/>
    <w:rsid w:val="23F76998"/>
    <w:rsid w:val="23F944BF"/>
    <w:rsid w:val="2406098A"/>
    <w:rsid w:val="241D5CF9"/>
    <w:rsid w:val="24240E83"/>
    <w:rsid w:val="24257DB3"/>
    <w:rsid w:val="24303C58"/>
    <w:rsid w:val="2432352D"/>
    <w:rsid w:val="243F3E9B"/>
    <w:rsid w:val="243F5C4A"/>
    <w:rsid w:val="24594F5D"/>
    <w:rsid w:val="246A53BC"/>
    <w:rsid w:val="246D6944"/>
    <w:rsid w:val="247973AD"/>
    <w:rsid w:val="247B1377"/>
    <w:rsid w:val="248144B4"/>
    <w:rsid w:val="248E110E"/>
    <w:rsid w:val="249146F7"/>
    <w:rsid w:val="24A43052"/>
    <w:rsid w:val="24AD7057"/>
    <w:rsid w:val="24CD14A7"/>
    <w:rsid w:val="24D82326"/>
    <w:rsid w:val="24E54A43"/>
    <w:rsid w:val="24F35C62"/>
    <w:rsid w:val="24FD2F00"/>
    <w:rsid w:val="250550E5"/>
    <w:rsid w:val="25056E93"/>
    <w:rsid w:val="251A0B90"/>
    <w:rsid w:val="251F561F"/>
    <w:rsid w:val="252D7C9D"/>
    <w:rsid w:val="253B4663"/>
    <w:rsid w:val="2547125A"/>
    <w:rsid w:val="254A38A3"/>
    <w:rsid w:val="254A5A35"/>
    <w:rsid w:val="25535E50"/>
    <w:rsid w:val="25583467"/>
    <w:rsid w:val="255A0F8D"/>
    <w:rsid w:val="256B053F"/>
    <w:rsid w:val="256D1848"/>
    <w:rsid w:val="2584600A"/>
    <w:rsid w:val="258C1362"/>
    <w:rsid w:val="258C2E13"/>
    <w:rsid w:val="258E0C37"/>
    <w:rsid w:val="259E3BEA"/>
    <w:rsid w:val="25AC5561"/>
    <w:rsid w:val="25B31A89"/>
    <w:rsid w:val="25D725DE"/>
    <w:rsid w:val="25E60A73"/>
    <w:rsid w:val="25FF7D86"/>
    <w:rsid w:val="261C6242"/>
    <w:rsid w:val="263306B3"/>
    <w:rsid w:val="26355556"/>
    <w:rsid w:val="26591245"/>
    <w:rsid w:val="266100F9"/>
    <w:rsid w:val="26655E3B"/>
    <w:rsid w:val="26663961"/>
    <w:rsid w:val="26681488"/>
    <w:rsid w:val="266A3452"/>
    <w:rsid w:val="266D6A9E"/>
    <w:rsid w:val="267A11BB"/>
    <w:rsid w:val="26857C58"/>
    <w:rsid w:val="26972FA1"/>
    <w:rsid w:val="26A10E3D"/>
    <w:rsid w:val="26C1503C"/>
    <w:rsid w:val="26C62652"/>
    <w:rsid w:val="26D46B1D"/>
    <w:rsid w:val="26D92385"/>
    <w:rsid w:val="26E50C5D"/>
    <w:rsid w:val="270B2978"/>
    <w:rsid w:val="270E64D3"/>
    <w:rsid w:val="270F224B"/>
    <w:rsid w:val="27231852"/>
    <w:rsid w:val="27271343"/>
    <w:rsid w:val="274E2D73"/>
    <w:rsid w:val="27532138"/>
    <w:rsid w:val="277072C8"/>
    <w:rsid w:val="277D5407"/>
    <w:rsid w:val="279664C8"/>
    <w:rsid w:val="279B3ADF"/>
    <w:rsid w:val="27A83279"/>
    <w:rsid w:val="27AA5AD0"/>
    <w:rsid w:val="27B72E2A"/>
    <w:rsid w:val="27B87321"/>
    <w:rsid w:val="27BF57DB"/>
    <w:rsid w:val="27C26E91"/>
    <w:rsid w:val="27CC5A46"/>
    <w:rsid w:val="27D72D69"/>
    <w:rsid w:val="27E014F2"/>
    <w:rsid w:val="27E15995"/>
    <w:rsid w:val="27E20E2A"/>
    <w:rsid w:val="27E40050"/>
    <w:rsid w:val="27E64D5A"/>
    <w:rsid w:val="27FC218D"/>
    <w:rsid w:val="27FC457D"/>
    <w:rsid w:val="28017DE6"/>
    <w:rsid w:val="280653FC"/>
    <w:rsid w:val="284A744F"/>
    <w:rsid w:val="28611374"/>
    <w:rsid w:val="28771E56"/>
    <w:rsid w:val="28812CD5"/>
    <w:rsid w:val="289A78F2"/>
    <w:rsid w:val="28A051C1"/>
    <w:rsid w:val="28B135BA"/>
    <w:rsid w:val="28BC68C6"/>
    <w:rsid w:val="28C8445F"/>
    <w:rsid w:val="28D21782"/>
    <w:rsid w:val="28D41056"/>
    <w:rsid w:val="28F3360A"/>
    <w:rsid w:val="291678C1"/>
    <w:rsid w:val="29262C38"/>
    <w:rsid w:val="29387837"/>
    <w:rsid w:val="2940049A"/>
    <w:rsid w:val="296E3259"/>
    <w:rsid w:val="29802F8C"/>
    <w:rsid w:val="2987431B"/>
    <w:rsid w:val="29930F11"/>
    <w:rsid w:val="29954C89"/>
    <w:rsid w:val="29B0281D"/>
    <w:rsid w:val="29C56BF1"/>
    <w:rsid w:val="29C94933"/>
    <w:rsid w:val="29F00112"/>
    <w:rsid w:val="29F04E4A"/>
    <w:rsid w:val="29F23E8A"/>
    <w:rsid w:val="29FD638B"/>
    <w:rsid w:val="2A1B4A63"/>
    <w:rsid w:val="2A3C5105"/>
    <w:rsid w:val="2A3C6EB3"/>
    <w:rsid w:val="2A3E70CF"/>
    <w:rsid w:val="2A4C2E6E"/>
    <w:rsid w:val="2A5341FD"/>
    <w:rsid w:val="2A5838E4"/>
    <w:rsid w:val="2A662182"/>
    <w:rsid w:val="2A697EC4"/>
    <w:rsid w:val="2A854AAC"/>
    <w:rsid w:val="2A923B80"/>
    <w:rsid w:val="2A952A67"/>
    <w:rsid w:val="2A97233B"/>
    <w:rsid w:val="2A9A007E"/>
    <w:rsid w:val="2A9A1E2C"/>
    <w:rsid w:val="2AA50EFC"/>
    <w:rsid w:val="2AB033FD"/>
    <w:rsid w:val="2ABA427C"/>
    <w:rsid w:val="2AD33DA0"/>
    <w:rsid w:val="2AD43590"/>
    <w:rsid w:val="2ADF3570"/>
    <w:rsid w:val="2AE82B97"/>
    <w:rsid w:val="2AED3710"/>
    <w:rsid w:val="2AF94DA4"/>
    <w:rsid w:val="2B110340"/>
    <w:rsid w:val="2B193698"/>
    <w:rsid w:val="2B2F6A18"/>
    <w:rsid w:val="2B367DA6"/>
    <w:rsid w:val="2B465B0F"/>
    <w:rsid w:val="2B4A20AA"/>
    <w:rsid w:val="2B4C1378"/>
    <w:rsid w:val="2B4C581C"/>
    <w:rsid w:val="2B4F2C16"/>
    <w:rsid w:val="2B663167"/>
    <w:rsid w:val="2B717030"/>
    <w:rsid w:val="2B7E174D"/>
    <w:rsid w:val="2B824D9A"/>
    <w:rsid w:val="2B966A97"/>
    <w:rsid w:val="2B9702AC"/>
    <w:rsid w:val="2B9D7E25"/>
    <w:rsid w:val="2BB138D1"/>
    <w:rsid w:val="2BB91C13"/>
    <w:rsid w:val="2BBD04C8"/>
    <w:rsid w:val="2BCA04EF"/>
    <w:rsid w:val="2BF01901"/>
    <w:rsid w:val="2BF612E4"/>
    <w:rsid w:val="2C02412C"/>
    <w:rsid w:val="2C0F5410"/>
    <w:rsid w:val="2C153E60"/>
    <w:rsid w:val="2C2E4F21"/>
    <w:rsid w:val="2C3A47D0"/>
    <w:rsid w:val="2C3C1749"/>
    <w:rsid w:val="2C3D4345"/>
    <w:rsid w:val="2C3F2C8B"/>
    <w:rsid w:val="2C545918"/>
    <w:rsid w:val="2C5F332D"/>
    <w:rsid w:val="2C610E53"/>
    <w:rsid w:val="2C6B1CD2"/>
    <w:rsid w:val="2C70553A"/>
    <w:rsid w:val="2C7768C8"/>
    <w:rsid w:val="2C8132A3"/>
    <w:rsid w:val="2C932FD6"/>
    <w:rsid w:val="2C934D84"/>
    <w:rsid w:val="2C974E26"/>
    <w:rsid w:val="2C9E07BF"/>
    <w:rsid w:val="2CA23219"/>
    <w:rsid w:val="2CB01DDA"/>
    <w:rsid w:val="2CB03B88"/>
    <w:rsid w:val="2CB07AED"/>
    <w:rsid w:val="2CB84160"/>
    <w:rsid w:val="2CB847EB"/>
    <w:rsid w:val="2CC567B5"/>
    <w:rsid w:val="2CC74563"/>
    <w:rsid w:val="2CC80ED2"/>
    <w:rsid w:val="2CDC497D"/>
    <w:rsid w:val="2D173C07"/>
    <w:rsid w:val="2D1A2C6D"/>
    <w:rsid w:val="2D1C121E"/>
    <w:rsid w:val="2D1F6673"/>
    <w:rsid w:val="2D23435A"/>
    <w:rsid w:val="2D43433A"/>
    <w:rsid w:val="2D665296"/>
    <w:rsid w:val="2D7B35F7"/>
    <w:rsid w:val="2D8A6187"/>
    <w:rsid w:val="2D99461C"/>
    <w:rsid w:val="2DB15E0A"/>
    <w:rsid w:val="2DB9081B"/>
    <w:rsid w:val="2DD6761F"/>
    <w:rsid w:val="2E05200C"/>
    <w:rsid w:val="2E067CE7"/>
    <w:rsid w:val="2E161FE6"/>
    <w:rsid w:val="2E1B14D5"/>
    <w:rsid w:val="2E1D349F"/>
    <w:rsid w:val="2E3F3416"/>
    <w:rsid w:val="2E4634A3"/>
    <w:rsid w:val="2E496043"/>
    <w:rsid w:val="2E4A2626"/>
    <w:rsid w:val="2E4C78E1"/>
    <w:rsid w:val="2E4E5407"/>
    <w:rsid w:val="2E513149"/>
    <w:rsid w:val="2E5844D8"/>
    <w:rsid w:val="2E656033"/>
    <w:rsid w:val="2E6C1D31"/>
    <w:rsid w:val="2E725599"/>
    <w:rsid w:val="2E735484"/>
    <w:rsid w:val="2E7E4D3A"/>
    <w:rsid w:val="2E81758A"/>
    <w:rsid w:val="2E864BA1"/>
    <w:rsid w:val="2E947E47"/>
    <w:rsid w:val="2E9D013C"/>
    <w:rsid w:val="2E9F3EB4"/>
    <w:rsid w:val="2EA96AE1"/>
    <w:rsid w:val="2EB3170E"/>
    <w:rsid w:val="2EB42798"/>
    <w:rsid w:val="2EB84B09"/>
    <w:rsid w:val="2EC37F09"/>
    <w:rsid w:val="2ECB4CA9"/>
    <w:rsid w:val="2ED00512"/>
    <w:rsid w:val="2EDE49DD"/>
    <w:rsid w:val="2EE43FBD"/>
    <w:rsid w:val="2EEF163E"/>
    <w:rsid w:val="2EEF6BEA"/>
    <w:rsid w:val="2F155F25"/>
    <w:rsid w:val="2F261EE0"/>
    <w:rsid w:val="2F2820FC"/>
    <w:rsid w:val="2F2B399A"/>
    <w:rsid w:val="2F3F109E"/>
    <w:rsid w:val="2F544C9F"/>
    <w:rsid w:val="2F6117D7"/>
    <w:rsid w:val="2F6F3887"/>
    <w:rsid w:val="2F6F420C"/>
    <w:rsid w:val="2F74733D"/>
    <w:rsid w:val="2F77273B"/>
    <w:rsid w:val="2F901C22"/>
    <w:rsid w:val="2FA31782"/>
    <w:rsid w:val="2FA379D4"/>
    <w:rsid w:val="2FA774C5"/>
    <w:rsid w:val="2FB7273C"/>
    <w:rsid w:val="2FBB224C"/>
    <w:rsid w:val="2FCA31B3"/>
    <w:rsid w:val="3002294D"/>
    <w:rsid w:val="300466C5"/>
    <w:rsid w:val="30077F63"/>
    <w:rsid w:val="30142680"/>
    <w:rsid w:val="301D32E3"/>
    <w:rsid w:val="302C1778"/>
    <w:rsid w:val="304614C0"/>
    <w:rsid w:val="30662EDC"/>
    <w:rsid w:val="30670F75"/>
    <w:rsid w:val="30694209"/>
    <w:rsid w:val="30761A27"/>
    <w:rsid w:val="307E6865"/>
    <w:rsid w:val="30823A8E"/>
    <w:rsid w:val="30835C20"/>
    <w:rsid w:val="308A649E"/>
    <w:rsid w:val="30AA777B"/>
    <w:rsid w:val="30B55C11"/>
    <w:rsid w:val="30C43E10"/>
    <w:rsid w:val="30D2231F"/>
    <w:rsid w:val="30D8545C"/>
    <w:rsid w:val="30E31097"/>
    <w:rsid w:val="30EB6753"/>
    <w:rsid w:val="30FF27AE"/>
    <w:rsid w:val="310B75DF"/>
    <w:rsid w:val="310E0E7D"/>
    <w:rsid w:val="312468F3"/>
    <w:rsid w:val="31374878"/>
    <w:rsid w:val="313F18A3"/>
    <w:rsid w:val="315C5B9D"/>
    <w:rsid w:val="315E0057"/>
    <w:rsid w:val="315F16D9"/>
    <w:rsid w:val="31717D8A"/>
    <w:rsid w:val="3172765E"/>
    <w:rsid w:val="31752ADB"/>
    <w:rsid w:val="317E0A37"/>
    <w:rsid w:val="318B24CE"/>
    <w:rsid w:val="3192385D"/>
    <w:rsid w:val="31BD2FCF"/>
    <w:rsid w:val="31BE28A4"/>
    <w:rsid w:val="31E340B8"/>
    <w:rsid w:val="31E574FB"/>
    <w:rsid w:val="31E66D2B"/>
    <w:rsid w:val="31F44517"/>
    <w:rsid w:val="31FD312E"/>
    <w:rsid w:val="32087FC3"/>
    <w:rsid w:val="321921D0"/>
    <w:rsid w:val="321E3342"/>
    <w:rsid w:val="322102F2"/>
    <w:rsid w:val="322358E2"/>
    <w:rsid w:val="322C1F03"/>
    <w:rsid w:val="323070B7"/>
    <w:rsid w:val="323808A8"/>
    <w:rsid w:val="32427031"/>
    <w:rsid w:val="324C2991"/>
    <w:rsid w:val="325F5E35"/>
    <w:rsid w:val="326660F9"/>
    <w:rsid w:val="32690A61"/>
    <w:rsid w:val="32696CB3"/>
    <w:rsid w:val="3273368E"/>
    <w:rsid w:val="327B0795"/>
    <w:rsid w:val="328B4E7C"/>
    <w:rsid w:val="329655CE"/>
    <w:rsid w:val="32B53CA7"/>
    <w:rsid w:val="32BD1786"/>
    <w:rsid w:val="32C10D4A"/>
    <w:rsid w:val="32C75788"/>
    <w:rsid w:val="32E225C2"/>
    <w:rsid w:val="32EA179A"/>
    <w:rsid w:val="32FB6B1E"/>
    <w:rsid w:val="330947B1"/>
    <w:rsid w:val="332A0C92"/>
    <w:rsid w:val="332C1A8F"/>
    <w:rsid w:val="33383368"/>
    <w:rsid w:val="334868C9"/>
    <w:rsid w:val="335334BF"/>
    <w:rsid w:val="33577AAC"/>
    <w:rsid w:val="335A2AA0"/>
    <w:rsid w:val="33615BDC"/>
    <w:rsid w:val="33631954"/>
    <w:rsid w:val="337376BE"/>
    <w:rsid w:val="33835B53"/>
    <w:rsid w:val="338673F1"/>
    <w:rsid w:val="339E473B"/>
    <w:rsid w:val="33A501AB"/>
    <w:rsid w:val="33CD6DCE"/>
    <w:rsid w:val="33D00BC2"/>
    <w:rsid w:val="33D4015C"/>
    <w:rsid w:val="33E04D53"/>
    <w:rsid w:val="33EC7B9C"/>
    <w:rsid w:val="33F71FE3"/>
    <w:rsid w:val="340A32F6"/>
    <w:rsid w:val="341E7629"/>
    <w:rsid w:val="343B0112"/>
    <w:rsid w:val="343B467F"/>
    <w:rsid w:val="343C3BE2"/>
    <w:rsid w:val="343F1811"/>
    <w:rsid w:val="34592D57"/>
    <w:rsid w:val="3464138B"/>
    <w:rsid w:val="347C61DE"/>
    <w:rsid w:val="348576A9"/>
    <w:rsid w:val="3491354B"/>
    <w:rsid w:val="3491429F"/>
    <w:rsid w:val="34A22009"/>
    <w:rsid w:val="34B47F8E"/>
    <w:rsid w:val="34B707AE"/>
    <w:rsid w:val="34B75266"/>
    <w:rsid w:val="34BE1D2D"/>
    <w:rsid w:val="34C91C8B"/>
    <w:rsid w:val="34C9767B"/>
    <w:rsid w:val="34EF0FC6"/>
    <w:rsid w:val="34F565DC"/>
    <w:rsid w:val="35305866"/>
    <w:rsid w:val="353115DE"/>
    <w:rsid w:val="35337105"/>
    <w:rsid w:val="35380BBF"/>
    <w:rsid w:val="355377A7"/>
    <w:rsid w:val="35663BF3"/>
    <w:rsid w:val="3569521C"/>
    <w:rsid w:val="35696FCA"/>
    <w:rsid w:val="35870714"/>
    <w:rsid w:val="35973B37"/>
    <w:rsid w:val="359C73A0"/>
    <w:rsid w:val="35B00755"/>
    <w:rsid w:val="35BC496C"/>
    <w:rsid w:val="35C16E06"/>
    <w:rsid w:val="35C42453"/>
    <w:rsid w:val="35CD7559"/>
    <w:rsid w:val="35CF507F"/>
    <w:rsid w:val="35FA5475"/>
    <w:rsid w:val="36317AE8"/>
    <w:rsid w:val="363A096A"/>
    <w:rsid w:val="363C5620"/>
    <w:rsid w:val="363E3FB3"/>
    <w:rsid w:val="364610BA"/>
    <w:rsid w:val="36462E68"/>
    <w:rsid w:val="364D2448"/>
    <w:rsid w:val="36501E81"/>
    <w:rsid w:val="365361F7"/>
    <w:rsid w:val="36767BF1"/>
    <w:rsid w:val="367E6AA5"/>
    <w:rsid w:val="367F16A1"/>
    <w:rsid w:val="369D1D15"/>
    <w:rsid w:val="36AE738B"/>
    <w:rsid w:val="36B445A1"/>
    <w:rsid w:val="36C7044C"/>
    <w:rsid w:val="36CA1CEB"/>
    <w:rsid w:val="36DF2054"/>
    <w:rsid w:val="36E7289C"/>
    <w:rsid w:val="36E83F1F"/>
    <w:rsid w:val="36F31241"/>
    <w:rsid w:val="371D62BE"/>
    <w:rsid w:val="372E4027"/>
    <w:rsid w:val="374B4E4F"/>
    <w:rsid w:val="374E46CA"/>
    <w:rsid w:val="375872F6"/>
    <w:rsid w:val="3787198A"/>
    <w:rsid w:val="378D6FA0"/>
    <w:rsid w:val="37A97B52"/>
    <w:rsid w:val="37B7401D"/>
    <w:rsid w:val="37DD226F"/>
    <w:rsid w:val="37DF63B2"/>
    <w:rsid w:val="37EA3AA7"/>
    <w:rsid w:val="37F86F59"/>
    <w:rsid w:val="37FB65FF"/>
    <w:rsid w:val="38033706"/>
    <w:rsid w:val="38037262"/>
    <w:rsid w:val="38163439"/>
    <w:rsid w:val="3845787B"/>
    <w:rsid w:val="384635F3"/>
    <w:rsid w:val="38523D46"/>
    <w:rsid w:val="385555E4"/>
    <w:rsid w:val="38593326"/>
    <w:rsid w:val="385950D4"/>
    <w:rsid w:val="38606463"/>
    <w:rsid w:val="386F2D08"/>
    <w:rsid w:val="38765C86"/>
    <w:rsid w:val="388F0AF6"/>
    <w:rsid w:val="389205E6"/>
    <w:rsid w:val="38A04AB1"/>
    <w:rsid w:val="38B467AE"/>
    <w:rsid w:val="38BD1B07"/>
    <w:rsid w:val="38C74734"/>
    <w:rsid w:val="38D86941"/>
    <w:rsid w:val="38EB1BA0"/>
    <w:rsid w:val="38F4304F"/>
    <w:rsid w:val="38F90665"/>
    <w:rsid w:val="3902576C"/>
    <w:rsid w:val="39273424"/>
    <w:rsid w:val="392A081F"/>
    <w:rsid w:val="392C27E9"/>
    <w:rsid w:val="393A4F06"/>
    <w:rsid w:val="394A2C6F"/>
    <w:rsid w:val="396B7DEA"/>
    <w:rsid w:val="397A41D7"/>
    <w:rsid w:val="397F6DBC"/>
    <w:rsid w:val="3986639D"/>
    <w:rsid w:val="399D36E6"/>
    <w:rsid w:val="39BF3694"/>
    <w:rsid w:val="39DF5AAD"/>
    <w:rsid w:val="39E41315"/>
    <w:rsid w:val="39FD25CE"/>
    <w:rsid w:val="3A0B68A2"/>
    <w:rsid w:val="3A137505"/>
    <w:rsid w:val="3A173499"/>
    <w:rsid w:val="3A2B23FC"/>
    <w:rsid w:val="3A42356C"/>
    <w:rsid w:val="3A52002D"/>
    <w:rsid w:val="3A5328CF"/>
    <w:rsid w:val="3A55032D"/>
    <w:rsid w:val="3A5B3385"/>
    <w:rsid w:val="3A5E62A0"/>
    <w:rsid w:val="3A612966"/>
    <w:rsid w:val="3A8A5A19"/>
    <w:rsid w:val="3A8E0B3B"/>
    <w:rsid w:val="3AA7481D"/>
    <w:rsid w:val="3AA840F1"/>
    <w:rsid w:val="3AAD343A"/>
    <w:rsid w:val="3AC058DE"/>
    <w:rsid w:val="3ACF78CF"/>
    <w:rsid w:val="3AD273C0"/>
    <w:rsid w:val="3AF86E26"/>
    <w:rsid w:val="3AFD268F"/>
    <w:rsid w:val="3B145AF3"/>
    <w:rsid w:val="3B264B22"/>
    <w:rsid w:val="3B2A2D58"/>
    <w:rsid w:val="3B341235"/>
    <w:rsid w:val="3B4C6090"/>
    <w:rsid w:val="3B793952"/>
    <w:rsid w:val="3B8B1A48"/>
    <w:rsid w:val="3B9C3C56"/>
    <w:rsid w:val="3BA1126C"/>
    <w:rsid w:val="3BA46A22"/>
    <w:rsid w:val="3BB80364"/>
    <w:rsid w:val="3BB81F7B"/>
    <w:rsid w:val="3BBA40DC"/>
    <w:rsid w:val="3BC66F24"/>
    <w:rsid w:val="3BDF3B42"/>
    <w:rsid w:val="3BE45256"/>
    <w:rsid w:val="3BEC625F"/>
    <w:rsid w:val="3BF33A92"/>
    <w:rsid w:val="3C025A83"/>
    <w:rsid w:val="3C0417FB"/>
    <w:rsid w:val="3C127B13"/>
    <w:rsid w:val="3C21415B"/>
    <w:rsid w:val="3C300842"/>
    <w:rsid w:val="3C3A0A68"/>
    <w:rsid w:val="3C3A346E"/>
    <w:rsid w:val="3C3C0F95"/>
    <w:rsid w:val="3C4847F2"/>
    <w:rsid w:val="3C5067EE"/>
    <w:rsid w:val="3C597D99"/>
    <w:rsid w:val="3C65673D"/>
    <w:rsid w:val="3C683B38"/>
    <w:rsid w:val="3CCF1E09"/>
    <w:rsid w:val="3CE40E4F"/>
    <w:rsid w:val="3CEA6C43"/>
    <w:rsid w:val="3CF11D7F"/>
    <w:rsid w:val="3CFC0724"/>
    <w:rsid w:val="3D21512A"/>
    <w:rsid w:val="3D393726"/>
    <w:rsid w:val="3D40106E"/>
    <w:rsid w:val="3D485717"/>
    <w:rsid w:val="3D581DFE"/>
    <w:rsid w:val="3D6562C9"/>
    <w:rsid w:val="3D6A1B31"/>
    <w:rsid w:val="3D6E33D0"/>
    <w:rsid w:val="3D711BCF"/>
    <w:rsid w:val="3D9372DA"/>
    <w:rsid w:val="3D995F73"/>
    <w:rsid w:val="3D9A41C5"/>
    <w:rsid w:val="3D9B618F"/>
    <w:rsid w:val="3DA212CB"/>
    <w:rsid w:val="3DAA06EA"/>
    <w:rsid w:val="3DAE5EC2"/>
    <w:rsid w:val="3DB80AEF"/>
    <w:rsid w:val="3DC52B1B"/>
    <w:rsid w:val="3DDF42CD"/>
    <w:rsid w:val="3DE969F7"/>
    <w:rsid w:val="3DED69EA"/>
    <w:rsid w:val="3E09134A"/>
    <w:rsid w:val="3E0B6E71"/>
    <w:rsid w:val="3E2B12C1"/>
    <w:rsid w:val="3E2B306F"/>
    <w:rsid w:val="3E3143FA"/>
    <w:rsid w:val="3E3C527C"/>
    <w:rsid w:val="3E6250B5"/>
    <w:rsid w:val="3E661BA9"/>
    <w:rsid w:val="3E6E073A"/>
    <w:rsid w:val="3E832EAB"/>
    <w:rsid w:val="3E8F29C3"/>
    <w:rsid w:val="3E964DCF"/>
    <w:rsid w:val="3E991BB8"/>
    <w:rsid w:val="3EA01CAF"/>
    <w:rsid w:val="3ECF4342"/>
    <w:rsid w:val="3ECF5AF1"/>
    <w:rsid w:val="3ED94336"/>
    <w:rsid w:val="3EDC6A5F"/>
    <w:rsid w:val="3EE47CDB"/>
    <w:rsid w:val="3EEB0A50"/>
    <w:rsid w:val="3EF73899"/>
    <w:rsid w:val="3EFA58E8"/>
    <w:rsid w:val="3F2A40BE"/>
    <w:rsid w:val="3F3423F7"/>
    <w:rsid w:val="3F3466B8"/>
    <w:rsid w:val="3F536D21"/>
    <w:rsid w:val="3F737F46"/>
    <w:rsid w:val="3F760C61"/>
    <w:rsid w:val="3F762A0F"/>
    <w:rsid w:val="3F786788"/>
    <w:rsid w:val="3F7B76A8"/>
    <w:rsid w:val="3F964EDA"/>
    <w:rsid w:val="3FDB0AC5"/>
    <w:rsid w:val="3FEC53DD"/>
    <w:rsid w:val="400E49F6"/>
    <w:rsid w:val="403326AF"/>
    <w:rsid w:val="40347D79"/>
    <w:rsid w:val="403A57EB"/>
    <w:rsid w:val="404428FA"/>
    <w:rsid w:val="404C3770"/>
    <w:rsid w:val="405F5252"/>
    <w:rsid w:val="40654CF9"/>
    <w:rsid w:val="40694322"/>
    <w:rsid w:val="408353E4"/>
    <w:rsid w:val="408B6047"/>
    <w:rsid w:val="408D7466"/>
    <w:rsid w:val="409969B6"/>
    <w:rsid w:val="409F7D44"/>
    <w:rsid w:val="40A610D2"/>
    <w:rsid w:val="40BF2194"/>
    <w:rsid w:val="40C71686"/>
    <w:rsid w:val="40C94DC1"/>
    <w:rsid w:val="40C9784F"/>
    <w:rsid w:val="40D15BCF"/>
    <w:rsid w:val="40DF6392"/>
    <w:rsid w:val="40E165AE"/>
    <w:rsid w:val="40E67721"/>
    <w:rsid w:val="40FE4A6B"/>
    <w:rsid w:val="41195D48"/>
    <w:rsid w:val="411C5739"/>
    <w:rsid w:val="411C75E7"/>
    <w:rsid w:val="415154E2"/>
    <w:rsid w:val="416219AA"/>
    <w:rsid w:val="4162324B"/>
    <w:rsid w:val="416A27EA"/>
    <w:rsid w:val="416B22B2"/>
    <w:rsid w:val="418333A8"/>
    <w:rsid w:val="41961147"/>
    <w:rsid w:val="41B31CF9"/>
    <w:rsid w:val="41B94E35"/>
    <w:rsid w:val="41BB6E00"/>
    <w:rsid w:val="41CD7CB9"/>
    <w:rsid w:val="41E77BF5"/>
    <w:rsid w:val="41EA1493"/>
    <w:rsid w:val="41FE34CB"/>
    <w:rsid w:val="42164036"/>
    <w:rsid w:val="421F0F76"/>
    <w:rsid w:val="42312C1E"/>
    <w:rsid w:val="42336996"/>
    <w:rsid w:val="42380450"/>
    <w:rsid w:val="42472441"/>
    <w:rsid w:val="425D3A13"/>
    <w:rsid w:val="425D7EB7"/>
    <w:rsid w:val="42765487"/>
    <w:rsid w:val="427E48DA"/>
    <w:rsid w:val="427F1BDB"/>
    <w:rsid w:val="42802D5D"/>
    <w:rsid w:val="42817701"/>
    <w:rsid w:val="428F6AED"/>
    <w:rsid w:val="42B17F68"/>
    <w:rsid w:val="42B76A4F"/>
    <w:rsid w:val="42C56F23"/>
    <w:rsid w:val="42F84DF7"/>
    <w:rsid w:val="43010680"/>
    <w:rsid w:val="430B346F"/>
    <w:rsid w:val="43160791"/>
    <w:rsid w:val="43177753"/>
    <w:rsid w:val="431840AC"/>
    <w:rsid w:val="432946E3"/>
    <w:rsid w:val="433429C6"/>
    <w:rsid w:val="436C6603"/>
    <w:rsid w:val="43775A26"/>
    <w:rsid w:val="43781A2B"/>
    <w:rsid w:val="437B05F4"/>
    <w:rsid w:val="4383394D"/>
    <w:rsid w:val="43866F99"/>
    <w:rsid w:val="438D0328"/>
    <w:rsid w:val="439E0787"/>
    <w:rsid w:val="43D146B8"/>
    <w:rsid w:val="43E3619A"/>
    <w:rsid w:val="43ED0DC6"/>
    <w:rsid w:val="44083AA1"/>
    <w:rsid w:val="44093E52"/>
    <w:rsid w:val="442A3DC9"/>
    <w:rsid w:val="44466E54"/>
    <w:rsid w:val="44472BCC"/>
    <w:rsid w:val="445708DC"/>
    <w:rsid w:val="445D7CFA"/>
    <w:rsid w:val="445F1CC4"/>
    <w:rsid w:val="446217B4"/>
    <w:rsid w:val="447119F7"/>
    <w:rsid w:val="447D214A"/>
    <w:rsid w:val="448020AA"/>
    <w:rsid w:val="448636F5"/>
    <w:rsid w:val="448C2F49"/>
    <w:rsid w:val="449000D0"/>
    <w:rsid w:val="44935E12"/>
    <w:rsid w:val="44983D5E"/>
    <w:rsid w:val="449A0F4E"/>
    <w:rsid w:val="44A9083E"/>
    <w:rsid w:val="44CB735A"/>
    <w:rsid w:val="44D4283C"/>
    <w:rsid w:val="44DA57EF"/>
    <w:rsid w:val="44DF7614"/>
    <w:rsid w:val="44E64193"/>
    <w:rsid w:val="44F512D3"/>
    <w:rsid w:val="44F52066"/>
    <w:rsid w:val="44F71434"/>
    <w:rsid w:val="45050ABD"/>
    <w:rsid w:val="45091C30"/>
    <w:rsid w:val="451172DF"/>
    <w:rsid w:val="45132AAF"/>
    <w:rsid w:val="451C7BB5"/>
    <w:rsid w:val="451E0B93"/>
    <w:rsid w:val="451E392D"/>
    <w:rsid w:val="45264590"/>
    <w:rsid w:val="45321187"/>
    <w:rsid w:val="45412BC0"/>
    <w:rsid w:val="45561319"/>
    <w:rsid w:val="456255F2"/>
    <w:rsid w:val="45717F01"/>
    <w:rsid w:val="45852B2D"/>
    <w:rsid w:val="4594599D"/>
    <w:rsid w:val="45992FB4"/>
    <w:rsid w:val="45A8769B"/>
    <w:rsid w:val="45C06792"/>
    <w:rsid w:val="45C86072"/>
    <w:rsid w:val="45EB48B4"/>
    <w:rsid w:val="45EB7F57"/>
    <w:rsid w:val="45F4643C"/>
    <w:rsid w:val="45F97EF6"/>
    <w:rsid w:val="460833AB"/>
    <w:rsid w:val="461E795D"/>
    <w:rsid w:val="46274B13"/>
    <w:rsid w:val="462A16B1"/>
    <w:rsid w:val="462C3E28"/>
    <w:rsid w:val="46472A10"/>
    <w:rsid w:val="464F7B16"/>
    <w:rsid w:val="466510E8"/>
    <w:rsid w:val="468935FB"/>
    <w:rsid w:val="468E063F"/>
    <w:rsid w:val="469B0FAE"/>
    <w:rsid w:val="46A41C10"/>
    <w:rsid w:val="46AF56EC"/>
    <w:rsid w:val="46B226AF"/>
    <w:rsid w:val="46B97A77"/>
    <w:rsid w:val="46C91677"/>
    <w:rsid w:val="46E51A15"/>
    <w:rsid w:val="46F22772"/>
    <w:rsid w:val="46F73741"/>
    <w:rsid w:val="470041B9"/>
    <w:rsid w:val="4705784A"/>
    <w:rsid w:val="470D3C59"/>
    <w:rsid w:val="471D14E6"/>
    <w:rsid w:val="47213261"/>
    <w:rsid w:val="472D42FC"/>
    <w:rsid w:val="47394A4E"/>
    <w:rsid w:val="473C453F"/>
    <w:rsid w:val="474F4272"/>
    <w:rsid w:val="47617B01"/>
    <w:rsid w:val="47680E90"/>
    <w:rsid w:val="476E61BD"/>
    <w:rsid w:val="477B5067"/>
    <w:rsid w:val="477F15A5"/>
    <w:rsid w:val="478A7058"/>
    <w:rsid w:val="478D4D9A"/>
    <w:rsid w:val="478E0ADC"/>
    <w:rsid w:val="479003E6"/>
    <w:rsid w:val="47BC5F5B"/>
    <w:rsid w:val="47C662D7"/>
    <w:rsid w:val="47D26C51"/>
    <w:rsid w:val="47D93349"/>
    <w:rsid w:val="47DB78B4"/>
    <w:rsid w:val="47DD124A"/>
    <w:rsid w:val="47E04ECA"/>
    <w:rsid w:val="47FB5CA8"/>
    <w:rsid w:val="480908C5"/>
    <w:rsid w:val="48242500"/>
    <w:rsid w:val="482A340D"/>
    <w:rsid w:val="48306BA4"/>
    <w:rsid w:val="48337594"/>
    <w:rsid w:val="483D056E"/>
    <w:rsid w:val="48496F13"/>
    <w:rsid w:val="48534357"/>
    <w:rsid w:val="48537D92"/>
    <w:rsid w:val="485633DE"/>
    <w:rsid w:val="486C2C02"/>
    <w:rsid w:val="486F624E"/>
    <w:rsid w:val="48735D3E"/>
    <w:rsid w:val="48834259"/>
    <w:rsid w:val="48985219"/>
    <w:rsid w:val="48995AB3"/>
    <w:rsid w:val="48AE4F29"/>
    <w:rsid w:val="48B5374B"/>
    <w:rsid w:val="48DD3258"/>
    <w:rsid w:val="48E30541"/>
    <w:rsid w:val="48F21359"/>
    <w:rsid w:val="48FB5D34"/>
    <w:rsid w:val="48FC3F85"/>
    <w:rsid w:val="48FD5F50"/>
    <w:rsid w:val="48FF6CB3"/>
    <w:rsid w:val="49066BB2"/>
    <w:rsid w:val="490948F4"/>
    <w:rsid w:val="490D388E"/>
    <w:rsid w:val="492E7EB7"/>
    <w:rsid w:val="49373210"/>
    <w:rsid w:val="49663AF5"/>
    <w:rsid w:val="497E2BEC"/>
    <w:rsid w:val="49836455"/>
    <w:rsid w:val="49971F00"/>
    <w:rsid w:val="49A34401"/>
    <w:rsid w:val="49A95790"/>
    <w:rsid w:val="49CF3736"/>
    <w:rsid w:val="4A007AA5"/>
    <w:rsid w:val="4A0C644A"/>
    <w:rsid w:val="4A0F5F3A"/>
    <w:rsid w:val="4A2512BA"/>
    <w:rsid w:val="4A280DAA"/>
    <w:rsid w:val="4A2D63C1"/>
    <w:rsid w:val="4A2F2139"/>
    <w:rsid w:val="4A3E05CE"/>
    <w:rsid w:val="4A522065"/>
    <w:rsid w:val="4A5E47CC"/>
    <w:rsid w:val="4A6C6EE9"/>
    <w:rsid w:val="4A7D21BA"/>
    <w:rsid w:val="4A827B39"/>
    <w:rsid w:val="4A91694F"/>
    <w:rsid w:val="4A945E0C"/>
    <w:rsid w:val="4A9D2E1F"/>
    <w:rsid w:val="4AA20B5D"/>
    <w:rsid w:val="4AB80380"/>
    <w:rsid w:val="4AD131F0"/>
    <w:rsid w:val="4AD66A58"/>
    <w:rsid w:val="4AE20F59"/>
    <w:rsid w:val="4AFC64BF"/>
    <w:rsid w:val="4B090CDC"/>
    <w:rsid w:val="4B0B0ACD"/>
    <w:rsid w:val="4B101F6A"/>
    <w:rsid w:val="4B117A90"/>
    <w:rsid w:val="4B19711F"/>
    <w:rsid w:val="4B1F03FF"/>
    <w:rsid w:val="4B221C9D"/>
    <w:rsid w:val="4B7047B7"/>
    <w:rsid w:val="4B736055"/>
    <w:rsid w:val="4B7F0E9E"/>
    <w:rsid w:val="4B944949"/>
    <w:rsid w:val="4B977745"/>
    <w:rsid w:val="4BBC79FC"/>
    <w:rsid w:val="4BD74836"/>
    <w:rsid w:val="4BF54CBC"/>
    <w:rsid w:val="4BF81337"/>
    <w:rsid w:val="4C2555A1"/>
    <w:rsid w:val="4C2A0E0A"/>
    <w:rsid w:val="4C3B3017"/>
    <w:rsid w:val="4C431ECB"/>
    <w:rsid w:val="4C5639AD"/>
    <w:rsid w:val="4C581045"/>
    <w:rsid w:val="4C5C6ABC"/>
    <w:rsid w:val="4C631905"/>
    <w:rsid w:val="4C63431C"/>
    <w:rsid w:val="4C6D6F48"/>
    <w:rsid w:val="4C803B73"/>
    <w:rsid w:val="4C9840BF"/>
    <w:rsid w:val="4C9D782D"/>
    <w:rsid w:val="4CA41CD0"/>
    <w:rsid w:val="4CAA1C51"/>
    <w:rsid w:val="4CB44B77"/>
    <w:rsid w:val="4CBB5F06"/>
    <w:rsid w:val="4CDF1BF4"/>
    <w:rsid w:val="4CE30FB8"/>
    <w:rsid w:val="4CE66AAB"/>
    <w:rsid w:val="4D1F6494"/>
    <w:rsid w:val="4D2D7E02"/>
    <w:rsid w:val="4D491763"/>
    <w:rsid w:val="4D657D8E"/>
    <w:rsid w:val="4D785D0C"/>
    <w:rsid w:val="4D7A36CB"/>
    <w:rsid w:val="4D81379B"/>
    <w:rsid w:val="4D8409ED"/>
    <w:rsid w:val="4D8C1650"/>
    <w:rsid w:val="4D950505"/>
    <w:rsid w:val="4DB50BA7"/>
    <w:rsid w:val="4DD94895"/>
    <w:rsid w:val="4DFA2A5E"/>
    <w:rsid w:val="4DFC4A28"/>
    <w:rsid w:val="4E0538DC"/>
    <w:rsid w:val="4E070D6E"/>
    <w:rsid w:val="4E1E499E"/>
    <w:rsid w:val="4E217FEA"/>
    <w:rsid w:val="4E395334"/>
    <w:rsid w:val="4E3D7A06"/>
    <w:rsid w:val="4E422B8B"/>
    <w:rsid w:val="4E516B22"/>
    <w:rsid w:val="4E656129"/>
    <w:rsid w:val="4E677448"/>
    <w:rsid w:val="4E6F51FA"/>
    <w:rsid w:val="4E8C7B5A"/>
    <w:rsid w:val="4EA36C51"/>
    <w:rsid w:val="4EB726FD"/>
    <w:rsid w:val="4EC8490A"/>
    <w:rsid w:val="4EF179BD"/>
    <w:rsid w:val="4EFD0A57"/>
    <w:rsid w:val="4F0170F3"/>
    <w:rsid w:val="4F0516BA"/>
    <w:rsid w:val="4F082F58"/>
    <w:rsid w:val="4F2E29BF"/>
    <w:rsid w:val="4F2F4A7C"/>
    <w:rsid w:val="4F363F69"/>
    <w:rsid w:val="4F3F2E1E"/>
    <w:rsid w:val="4F6463E1"/>
    <w:rsid w:val="4F6939F7"/>
    <w:rsid w:val="4F6C1739"/>
    <w:rsid w:val="4F6C42E7"/>
    <w:rsid w:val="4F751524"/>
    <w:rsid w:val="4F8148B6"/>
    <w:rsid w:val="4F8D5F75"/>
    <w:rsid w:val="4FA97833"/>
    <w:rsid w:val="4FAE6A0C"/>
    <w:rsid w:val="4FAF0C94"/>
    <w:rsid w:val="4FF21C3E"/>
    <w:rsid w:val="4FF23CF4"/>
    <w:rsid w:val="4FFD2985"/>
    <w:rsid w:val="4FFD7048"/>
    <w:rsid w:val="4FFF25AD"/>
    <w:rsid w:val="50034A70"/>
    <w:rsid w:val="50054F04"/>
    <w:rsid w:val="50055E16"/>
    <w:rsid w:val="5006309D"/>
    <w:rsid w:val="500F0A42"/>
    <w:rsid w:val="501716A5"/>
    <w:rsid w:val="50180925"/>
    <w:rsid w:val="501F67AB"/>
    <w:rsid w:val="50203738"/>
    <w:rsid w:val="502344EE"/>
    <w:rsid w:val="5046139E"/>
    <w:rsid w:val="5065520B"/>
    <w:rsid w:val="50697A27"/>
    <w:rsid w:val="50746AF7"/>
    <w:rsid w:val="50760AC1"/>
    <w:rsid w:val="508807F5"/>
    <w:rsid w:val="508F1B83"/>
    <w:rsid w:val="508F3931"/>
    <w:rsid w:val="509176A9"/>
    <w:rsid w:val="509A7801"/>
    <w:rsid w:val="50AD2009"/>
    <w:rsid w:val="50B521B4"/>
    <w:rsid w:val="50BB0282"/>
    <w:rsid w:val="50CA6717"/>
    <w:rsid w:val="50F10148"/>
    <w:rsid w:val="51204589"/>
    <w:rsid w:val="51254295"/>
    <w:rsid w:val="51330C53"/>
    <w:rsid w:val="51404C2B"/>
    <w:rsid w:val="5153495F"/>
    <w:rsid w:val="51662AC7"/>
    <w:rsid w:val="516C5A20"/>
    <w:rsid w:val="5176689F"/>
    <w:rsid w:val="51787700"/>
    <w:rsid w:val="51AE7DE7"/>
    <w:rsid w:val="51BD5911"/>
    <w:rsid w:val="51BF3DA2"/>
    <w:rsid w:val="51C07B1A"/>
    <w:rsid w:val="51C21AE4"/>
    <w:rsid w:val="51C63383"/>
    <w:rsid w:val="51C74ABF"/>
    <w:rsid w:val="51D6733E"/>
    <w:rsid w:val="51E47CAD"/>
    <w:rsid w:val="51EB4B97"/>
    <w:rsid w:val="52047062"/>
    <w:rsid w:val="520619D1"/>
    <w:rsid w:val="52105B50"/>
    <w:rsid w:val="521F224C"/>
    <w:rsid w:val="521F2A93"/>
    <w:rsid w:val="52270DB5"/>
    <w:rsid w:val="52456432"/>
    <w:rsid w:val="524E3378"/>
    <w:rsid w:val="525070F0"/>
    <w:rsid w:val="5257222D"/>
    <w:rsid w:val="526806C6"/>
    <w:rsid w:val="526A6404"/>
    <w:rsid w:val="52816491"/>
    <w:rsid w:val="528F15C5"/>
    <w:rsid w:val="529D3367"/>
    <w:rsid w:val="52AD62F0"/>
    <w:rsid w:val="52B07B8F"/>
    <w:rsid w:val="52B256B5"/>
    <w:rsid w:val="52BC6C6A"/>
    <w:rsid w:val="52C554B3"/>
    <w:rsid w:val="52D7511B"/>
    <w:rsid w:val="52D9353C"/>
    <w:rsid w:val="52F165FC"/>
    <w:rsid w:val="530E1478"/>
    <w:rsid w:val="53197D50"/>
    <w:rsid w:val="531E2A01"/>
    <w:rsid w:val="53456529"/>
    <w:rsid w:val="53526EAE"/>
    <w:rsid w:val="5354676C"/>
    <w:rsid w:val="53702A31"/>
    <w:rsid w:val="537F5EDF"/>
    <w:rsid w:val="539478C8"/>
    <w:rsid w:val="539D52EF"/>
    <w:rsid w:val="53A45945"/>
    <w:rsid w:val="53AA50E8"/>
    <w:rsid w:val="53B8319F"/>
    <w:rsid w:val="53CE651E"/>
    <w:rsid w:val="53F36FD2"/>
    <w:rsid w:val="540B7773"/>
    <w:rsid w:val="54375424"/>
    <w:rsid w:val="54414685"/>
    <w:rsid w:val="544B5DC1"/>
    <w:rsid w:val="54532EC8"/>
    <w:rsid w:val="545F1469"/>
    <w:rsid w:val="546E1AAF"/>
    <w:rsid w:val="546E7D01"/>
    <w:rsid w:val="54752E3E"/>
    <w:rsid w:val="54776BB6"/>
    <w:rsid w:val="548D4A16"/>
    <w:rsid w:val="54962A1D"/>
    <w:rsid w:val="549C661D"/>
    <w:rsid w:val="549E05E7"/>
    <w:rsid w:val="54B03E76"/>
    <w:rsid w:val="54B95421"/>
    <w:rsid w:val="54D45FAA"/>
    <w:rsid w:val="54D5124F"/>
    <w:rsid w:val="54E83610"/>
    <w:rsid w:val="54F2387B"/>
    <w:rsid w:val="54F75F49"/>
    <w:rsid w:val="54FE2E33"/>
    <w:rsid w:val="55012924"/>
    <w:rsid w:val="5503044A"/>
    <w:rsid w:val="55055F70"/>
    <w:rsid w:val="552D3354"/>
    <w:rsid w:val="552F3D56"/>
    <w:rsid w:val="5533743C"/>
    <w:rsid w:val="55376345"/>
    <w:rsid w:val="553B7BE4"/>
    <w:rsid w:val="55605D45"/>
    <w:rsid w:val="556A671B"/>
    <w:rsid w:val="556F1F83"/>
    <w:rsid w:val="55733821"/>
    <w:rsid w:val="55782BE6"/>
    <w:rsid w:val="5579070C"/>
    <w:rsid w:val="558A2919"/>
    <w:rsid w:val="55911EF9"/>
    <w:rsid w:val="5597612E"/>
    <w:rsid w:val="559F4616"/>
    <w:rsid w:val="55A82B13"/>
    <w:rsid w:val="55AB334C"/>
    <w:rsid w:val="55C776C9"/>
    <w:rsid w:val="55CF657E"/>
    <w:rsid w:val="55D122F6"/>
    <w:rsid w:val="55D64741"/>
    <w:rsid w:val="55DB024F"/>
    <w:rsid w:val="55DC0321"/>
    <w:rsid w:val="55DF0EB7"/>
    <w:rsid w:val="55E84FC1"/>
    <w:rsid w:val="55EE7B38"/>
    <w:rsid w:val="55F10BEA"/>
    <w:rsid w:val="560C77D2"/>
    <w:rsid w:val="561677EA"/>
    <w:rsid w:val="561870C5"/>
    <w:rsid w:val="561F7505"/>
    <w:rsid w:val="562543F0"/>
    <w:rsid w:val="562B61C7"/>
    <w:rsid w:val="56356D29"/>
    <w:rsid w:val="56625644"/>
    <w:rsid w:val="56764C4B"/>
    <w:rsid w:val="567C4958"/>
    <w:rsid w:val="567E035F"/>
    <w:rsid w:val="56811F6E"/>
    <w:rsid w:val="56813D1C"/>
    <w:rsid w:val="569A4DDE"/>
    <w:rsid w:val="569D7AA6"/>
    <w:rsid w:val="56AD4B11"/>
    <w:rsid w:val="56B7122E"/>
    <w:rsid w:val="56BA722E"/>
    <w:rsid w:val="56CF59E9"/>
    <w:rsid w:val="56D54068"/>
    <w:rsid w:val="56EF013D"/>
    <w:rsid w:val="56F16703"/>
    <w:rsid w:val="56F424E9"/>
    <w:rsid w:val="56F91D2C"/>
    <w:rsid w:val="57250B4B"/>
    <w:rsid w:val="572A1429"/>
    <w:rsid w:val="57430FD1"/>
    <w:rsid w:val="57597B53"/>
    <w:rsid w:val="577D0987"/>
    <w:rsid w:val="57833AC4"/>
    <w:rsid w:val="57911D3D"/>
    <w:rsid w:val="57961A49"/>
    <w:rsid w:val="579A20C6"/>
    <w:rsid w:val="579C55B7"/>
    <w:rsid w:val="579D4B86"/>
    <w:rsid w:val="57A27B80"/>
    <w:rsid w:val="57AE0B41"/>
    <w:rsid w:val="57C476A9"/>
    <w:rsid w:val="57CF0BCA"/>
    <w:rsid w:val="57D12A81"/>
    <w:rsid w:val="57D85BBE"/>
    <w:rsid w:val="57E7336B"/>
    <w:rsid w:val="57ED4847"/>
    <w:rsid w:val="580629ED"/>
    <w:rsid w:val="58191140"/>
    <w:rsid w:val="581B5AAA"/>
    <w:rsid w:val="58256929"/>
    <w:rsid w:val="582E78D1"/>
    <w:rsid w:val="58344616"/>
    <w:rsid w:val="58417C07"/>
    <w:rsid w:val="5842572D"/>
    <w:rsid w:val="584E5E80"/>
    <w:rsid w:val="585316E8"/>
    <w:rsid w:val="58533496"/>
    <w:rsid w:val="58555460"/>
    <w:rsid w:val="586C27AA"/>
    <w:rsid w:val="589A10C5"/>
    <w:rsid w:val="58B01CDE"/>
    <w:rsid w:val="58BB2B5B"/>
    <w:rsid w:val="58CA7BFC"/>
    <w:rsid w:val="58CD4FF7"/>
    <w:rsid w:val="58DF3D9A"/>
    <w:rsid w:val="58E80082"/>
    <w:rsid w:val="58F5279F"/>
    <w:rsid w:val="58F93A9C"/>
    <w:rsid w:val="59050C34"/>
    <w:rsid w:val="59060509"/>
    <w:rsid w:val="59083F15"/>
    <w:rsid w:val="591E5852"/>
    <w:rsid w:val="591F3375"/>
    <w:rsid w:val="5929341A"/>
    <w:rsid w:val="59376914"/>
    <w:rsid w:val="596D2336"/>
    <w:rsid w:val="597E40F8"/>
    <w:rsid w:val="597E4543"/>
    <w:rsid w:val="59831B59"/>
    <w:rsid w:val="598853C1"/>
    <w:rsid w:val="598A2EE8"/>
    <w:rsid w:val="59913403"/>
    <w:rsid w:val="599E2E37"/>
    <w:rsid w:val="59BC506B"/>
    <w:rsid w:val="59D33F09"/>
    <w:rsid w:val="59DD570D"/>
    <w:rsid w:val="59E7033A"/>
    <w:rsid w:val="59E920CE"/>
    <w:rsid w:val="59EC3BA2"/>
    <w:rsid w:val="59EF3692"/>
    <w:rsid w:val="5A04713E"/>
    <w:rsid w:val="5A2C21F1"/>
    <w:rsid w:val="5A403EEE"/>
    <w:rsid w:val="5A457E3E"/>
    <w:rsid w:val="5A4B4246"/>
    <w:rsid w:val="5A5D23AA"/>
    <w:rsid w:val="5A6E2809"/>
    <w:rsid w:val="5A731BCE"/>
    <w:rsid w:val="5A8124C7"/>
    <w:rsid w:val="5A8A32B5"/>
    <w:rsid w:val="5A924D04"/>
    <w:rsid w:val="5AA16A50"/>
    <w:rsid w:val="5AB11D73"/>
    <w:rsid w:val="5ACD5782"/>
    <w:rsid w:val="5ADA39FB"/>
    <w:rsid w:val="5AF34ABD"/>
    <w:rsid w:val="5AF423EC"/>
    <w:rsid w:val="5B0867BA"/>
    <w:rsid w:val="5B194C3B"/>
    <w:rsid w:val="5B200436"/>
    <w:rsid w:val="5B363143"/>
    <w:rsid w:val="5B370E4D"/>
    <w:rsid w:val="5B595267"/>
    <w:rsid w:val="5B6617F1"/>
    <w:rsid w:val="5B664FC9"/>
    <w:rsid w:val="5B857E0A"/>
    <w:rsid w:val="5BA26C0E"/>
    <w:rsid w:val="5BA65150"/>
    <w:rsid w:val="5BB97AB4"/>
    <w:rsid w:val="5BC85F49"/>
    <w:rsid w:val="5BCF552A"/>
    <w:rsid w:val="5BDB7A2A"/>
    <w:rsid w:val="5BE865EB"/>
    <w:rsid w:val="5BF47352"/>
    <w:rsid w:val="5BF64864"/>
    <w:rsid w:val="5BFE5E0F"/>
    <w:rsid w:val="5C14118E"/>
    <w:rsid w:val="5C335AB8"/>
    <w:rsid w:val="5C4435DE"/>
    <w:rsid w:val="5C7900C1"/>
    <w:rsid w:val="5C930305"/>
    <w:rsid w:val="5C974299"/>
    <w:rsid w:val="5CB87D6C"/>
    <w:rsid w:val="5CC2508E"/>
    <w:rsid w:val="5CCE57E1"/>
    <w:rsid w:val="5CD45D2F"/>
    <w:rsid w:val="5CDC7EFE"/>
    <w:rsid w:val="5CF039A9"/>
    <w:rsid w:val="5CF1327E"/>
    <w:rsid w:val="5CF35248"/>
    <w:rsid w:val="5D0E2082"/>
    <w:rsid w:val="5D192F00"/>
    <w:rsid w:val="5D1F603D"/>
    <w:rsid w:val="5D203D40"/>
    <w:rsid w:val="5D245401"/>
    <w:rsid w:val="5D373386"/>
    <w:rsid w:val="5D50269A"/>
    <w:rsid w:val="5D5C2DED"/>
    <w:rsid w:val="5D5D0A92"/>
    <w:rsid w:val="5D6A2A57"/>
    <w:rsid w:val="5D6D6DA8"/>
    <w:rsid w:val="5D704AEA"/>
    <w:rsid w:val="5D775E79"/>
    <w:rsid w:val="5D8F6D1E"/>
    <w:rsid w:val="5DA16A52"/>
    <w:rsid w:val="5DAA1995"/>
    <w:rsid w:val="5DAC551A"/>
    <w:rsid w:val="5DB46C14"/>
    <w:rsid w:val="5DC21086"/>
    <w:rsid w:val="5DC2273B"/>
    <w:rsid w:val="5DEF1EB3"/>
    <w:rsid w:val="5E005E6E"/>
    <w:rsid w:val="5E0E058B"/>
    <w:rsid w:val="5E143094"/>
    <w:rsid w:val="5E196F30"/>
    <w:rsid w:val="5E316028"/>
    <w:rsid w:val="5E7F5A64"/>
    <w:rsid w:val="5E8C14B0"/>
    <w:rsid w:val="5E914D18"/>
    <w:rsid w:val="5EA762EA"/>
    <w:rsid w:val="5EB01642"/>
    <w:rsid w:val="5EB50A07"/>
    <w:rsid w:val="5EC21376"/>
    <w:rsid w:val="5ECF75EF"/>
    <w:rsid w:val="5ED327B2"/>
    <w:rsid w:val="5EDF5A84"/>
    <w:rsid w:val="5EE535A6"/>
    <w:rsid w:val="5EEB4428"/>
    <w:rsid w:val="5EF52364"/>
    <w:rsid w:val="5F011E9E"/>
    <w:rsid w:val="5F157971"/>
    <w:rsid w:val="5F227739"/>
    <w:rsid w:val="5F2B0848"/>
    <w:rsid w:val="5F2C67EF"/>
    <w:rsid w:val="5F5A0C98"/>
    <w:rsid w:val="5F5A15AE"/>
    <w:rsid w:val="5F5D4BFA"/>
    <w:rsid w:val="5F737CCB"/>
    <w:rsid w:val="5F7F7267"/>
    <w:rsid w:val="5F9B50C0"/>
    <w:rsid w:val="5FA840C8"/>
    <w:rsid w:val="5FA94790"/>
    <w:rsid w:val="5FB7149A"/>
    <w:rsid w:val="5FB92779"/>
    <w:rsid w:val="5FEF7F48"/>
    <w:rsid w:val="5FF13CC0"/>
    <w:rsid w:val="60082DB8"/>
    <w:rsid w:val="601064E7"/>
    <w:rsid w:val="60206354"/>
    <w:rsid w:val="60327E35"/>
    <w:rsid w:val="606A5821"/>
    <w:rsid w:val="606C1599"/>
    <w:rsid w:val="607467E4"/>
    <w:rsid w:val="6078514B"/>
    <w:rsid w:val="60787F3E"/>
    <w:rsid w:val="607D5554"/>
    <w:rsid w:val="60824919"/>
    <w:rsid w:val="608A688B"/>
    <w:rsid w:val="60935106"/>
    <w:rsid w:val="60B44CEE"/>
    <w:rsid w:val="60DF1D6B"/>
    <w:rsid w:val="60E816CC"/>
    <w:rsid w:val="60F021CA"/>
    <w:rsid w:val="60F811C1"/>
    <w:rsid w:val="60FF4F56"/>
    <w:rsid w:val="61001944"/>
    <w:rsid w:val="610A61A7"/>
    <w:rsid w:val="61137C66"/>
    <w:rsid w:val="614371A1"/>
    <w:rsid w:val="614918DA"/>
    <w:rsid w:val="61493688"/>
    <w:rsid w:val="614F73D5"/>
    <w:rsid w:val="61504A17"/>
    <w:rsid w:val="6157407D"/>
    <w:rsid w:val="6162299C"/>
    <w:rsid w:val="61811074"/>
    <w:rsid w:val="61880654"/>
    <w:rsid w:val="618C105B"/>
    <w:rsid w:val="61A11716"/>
    <w:rsid w:val="61A66D2D"/>
    <w:rsid w:val="61AD486F"/>
    <w:rsid w:val="61BA4EB8"/>
    <w:rsid w:val="61CF240E"/>
    <w:rsid w:val="61ED04B8"/>
    <w:rsid w:val="620D0B5A"/>
    <w:rsid w:val="62127F1E"/>
    <w:rsid w:val="622A34BA"/>
    <w:rsid w:val="622A4573"/>
    <w:rsid w:val="62316D43"/>
    <w:rsid w:val="62326381"/>
    <w:rsid w:val="62456545"/>
    <w:rsid w:val="624A3B5C"/>
    <w:rsid w:val="624D7E35"/>
    <w:rsid w:val="6250461C"/>
    <w:rsid w:val="6255576B"/>
    <w:rsid w:val="625E7607"/>
    <w:rsid w:val="626E4940"/>
    <w:rsid w:val="628E741B"/>
    <w:rsid w:val="62B31701"/>
    <w:rsid w:val="62BB02CC"/>
    <w:rsid w:val="62C03E1E"/>
    <w:rsid w:val="62C918C0"/>
    <w:rsid w:val="62E96ED1"/>
    <w:rsid w:val="62ED06F3"/>
    <w:rsid w:val="62F31AFE"/>
    <w:rsid w:val="63002C98"/>
    <w:rsid w:val="63036CED"/>
    <w:rsid w:val="631F6190"/>
    <w:rsid w:val="632B74E9"/>
    <w:rsid w:val="633914DA"/>
    <w:rsid w:val="63426FCC"/>
    <w:rsid w:val="63473BF7"/>
    <w:rsid w:val="634974F0"/>
    <w:rsid w:val="63666773"/>
    <w:rsid w:val="636C365E"/>
    <w:rsid w:val="63785385"/>
    <w:rsid w:val="637C7D45"/>
    <w:rsid w:val="637D586B"/>
    <w:rsid w:val="63846BFA"/>
    <w:rsid w:val="638D73EA"/>
    <w:rsid w:val="63AC7EFE"/>
    <w:rsid w:val="63B15515"/>
    <w:rsid w:val="63C87B70"/>
    <w:rsid w:val="63D336DD"/>
    <w:rsid w:val="63D35447"/>
    <w:rsid w:val="63D75258"/>
    <w:rsid w:val="63DA2CBC"/>
    <w:rsid w:val="63F907C6"/>
    <w:rsid w:val="64030141"/>
    <w:rsid w:val="641053E9"/>
    <w:rsid w:val="641461CF"/>
    <w:rsid w:val="641A551C"/>
    <w:rsid w:val="642124B8"/>
    <w:rsid w:val="64271D63"/>
    <w:rsid w:val="64287ECD"/>
    <w:rsid w:val="644545DB"/>
    <w:rsid w:val="64573A20"/>
    <w:rsid w:val="64610CE9"/>
    <w:rsid w:val="649303EC"/>
    <w:rsid w:val="64B259E8"/>
    <w:rsid w:val="64C03C61"/>
    <w:rsid w:val="64C33752"/>
    <w:rsid w:val="64D12F7E"/>
    <w:rsid w:val="64D140C0"/>
    <w:rsid w:val="64DE2339"/>
    <w:rsid w:val="64FB113D"/>
    <w:rsid w:val="650006B5"/>
    <w:rsid w:val="65222B6E"/>
    <w:rsid w:val="652266CA"/>
    <w:rsid w:val="65273CE0"/>
    <w:rsid w:val="65382A8D"/>
    <w:rsid w:val="65493C57"/>
    <w:rsid w:val="654A5C21"/>
    <w:rsid w:val="65525E3B"/>
    <w:rsid w:val="65647B08"/>
    <w:rsid w:val="656B62C3"/>
    <w:rsid w:val="657C7D98"/>
    <w:rsid w:val="658D132E"/>
    <w:rsid w:val="65905D2A"/>
    <w:rsid w:val="659375C8"/>
    <w:rsid w:val="65984BDE"/>
    <w:rsid w:val="65B64922"/>
    <w:rsid w:val="65B732B6"/>
    <w:rsid w:val="65CB4FB4"/>
    <w:rsid w:val="65D35C16"/>
    <w:rsid w:val="65DF0A5F"/>
    <w:rsid w:val="65F75DA9"/>
    <w:rsid w:val="6604539F"/>
    <w:rsid w:val="663560BF"/>
    <w:rsid w:val="663E6ABA"/>
    <w:rsid w:val="66493ACD"/>
    <w:rsid w:val="66552ACF"/>
    <w:rsid w:val="665B6338"/>
    <w:rsid w:val="666B40A1"/>
    <w:rsid w:val="666D1BC7"/>
    <w:rsid w:val="667A42E4"/>
    <w:rsid w:val="669051F0"/>
    <w:rsid w:val="669C08A2"/>
    <w:rsid w:val="66A82BFF"/>
    <w:rsid w:val="66A94EB4"/>
    <w:rsid w:val="66AB26EF"/>
    <w:rsid w:val="66BC6334"/>
    <w:rsid w:val="66C22412"/>
    <w:rsid w:val="66D32372"/>
    <w:rsid w:val="66E3030C"/>
    <w:rsid w:val="66F83B86"/>
    <w:rsid w:val="66FB5425"/>
    <w:rsid w:val="66FC5E71"/>
    <w:rsid w:val="66FD53B0"/>
    <w:rsid w:val="67094A6E"/>
    <w:rsid w:val="673F1A76"/>
    <w:rsid w:val="67515045"/>
    <w:rsid w:val="6760172C"/>
    <w:rsid w:val="677D0530"/>
    <w:rsid w:val="67966EFB"/>
    <w:rsid w:val="67A05FCC"/>
    <w:rsid w:val="67A61834"/>
    <w:rsid w:val="67B217A3"/>
    <w:rsid w:val="67CC0B6F"/>
    <w:rsid w:val="67D363A2"/>
    <w:rsid w:val="67D87514"/>
    <w:rsid w:val="67F105D6"/>
    <w:rsid w:val="67F307F2"/>
    <w:rsid w:val="68120C78"/>
    <w:rsid w:val="683010FE"/>
    <w:rsid w:val="6832131A"/>
    <w:rsid w:val="683A01CF"/>
    <w:rsid w:val="684E59A6"/>
    <w:rsid w:val="686B0388"/>
    <w:rsid w:val="686E216B"/>
    <w:rsid w:val="686F3C52"/>
    <w:rsid w:val="68817BAC"/>
    <w:rsid w:val="68996CA3"/>
    <w:rsid w:val="689A0C6D"/>
    <w:rsid w:val="68A33FC6"/>
    <w:rsid w:val="68B7181F"/>
    <w:rsid w:val="68C4356A"/>
    <w:rsid w:val="68C450B6"/>
    <w:rsid w:val="68C55A0F"/>
    <w:rsid w:val="68CA1553"/>
    <w:rsid w:val="68CF0917"/>
    <w:rsid w:val="68E048D2"/>
    <w:rsid w:val="68EF2D67"/>
    <w:rsid w:val="68F20AA9"/>
    <w:rsid w:val="69000C4D"/>
    <w:rsid w:val="690031C6"/>
    <w:rsid w:val="690E25B1"/>
    <w:rsid w:val="6917406C"/>
    <w:rsid w:val="691E53FA"/>
    <w:rsid w:val="692769A5"/>
    <w:rsid w:val="693370F8"/>
    <w:rsid w:val="6958090C"/>
    <w:rsid w:val="69601EB7"/>
    <w:rsid w:val="69635503"/>
    <w:rsid w:val="696F20FA"/>
    <w:rsid w:val="697D4817"/>
    <w:rsid w:val="698060B5"/>
    <w:rsid w:val="69821E2D"/>
    <w:rsid w:val="698436F2"/>
    <w:rsid w:val="69981651"/>
    <w:rsid w:val="699E02E9"/>
    <w:rsid w:val="69B21711"/>
    <w:rsid w:val="6A024D1C"/>
    <w:rsid w:val="6A063DCF"/>
    <w:rsid w:val="6A0942FC"/>
    <w:rsid w:val="6A1862EE"/>
    <w:rsid w:val="6A276531"/>
    <w:rsid w:val="6A3273AF"/>
    <w:rsid w:val="6A370475"/>
    <w:rsid w:val="6A3F387A"/>
    <w:rsid w:val="6A505A87"/>
    <w:rsid w:val="6A5F216E"/>
    <w:rsid w:val="6A625F67"/>
    <w:rsid w:val="6A927E4E"/>
    <w:rsid w:val="6AAF0A00"/>
    <w:rsid w:val="6AB15CDD"/>
    <w:rsid w:val="6AB51D8E"/>
    <w:rsid w:val="6ADB7A47"/>
    <w:rsid w:val="6ADE7537"/>
    <w:rsid w:val="6AE21764"/>
    <w:rsid w:val="6AF02DC7"/>
    <w:rsid w:val="6AFF6047"/>
    <w:rsid w:val="6B023BE3"/>
    <w:rsid w:val="6B0C63F2"/>
    <w:rsid w:val="6B3B4041"/>
    <w:rsid w:val="6B403FC8"/>
    <w:rsid w:val="6B454EC0"/>
    <w:rsid w:val="6B6271EC"/>
    <w:rsid w:val="6B6C4B43"/>
    <w:rsid w:val="6B737C7F"/>
    <w:rsid w:val="6B8E4AB9"/>
    <w:rsid w:val="6B8F25DF"/>
    <w:rsid w:val="6B924B8A"/>
    <w:rsid w:val="6BAF67DE"/>
    <w:rsid w:val="6BC9041D"/>
    <w:rsid w:val="6BD12BF8"/>
    <w:rsid w:val="6BD46244"/>
    <w:rsid w:val="6BEE5558"/>
    <w:rsid w:val="6BEF4116"/>
    <w:rsid w:val="6BFC24ED"/>
    <w:rsid w:val="6C060AF4"/>
    <w:rsid w:val="6C101972"/>
    <w:rsid w:val="6C152AE5"/>
    <w:rsid w:val="6C240F7A"/>
    <w:rsid w:val="6C256B4A"/>
    <w:rsid w:val="6C27435C"/>
    <w:rsid w:val="6C2C6080"/>
    <w:rsid w:val="6C2D6222"/>
    <w:rsid w:val="6C3F5DB4"/>
    <w:rsid w:val="6C4253C7"/>
    <w:rsid w:val="6C426936"/>
    <w:rsid w:val="6C47110C"/>
    <w:rsid w:val="6C5D26DE"/>
    <w:rsid w:val="6C600806"/>
    <w:rsid w:val="6C783074"/>
    <w:rsid w:val="6C8B724B"/>
    <w:rsid w:val="6CA36342"/>
    <w:rsid w:val="6CA67BE1"/>
    <w:rsid w:val="6CAD0F6F"/>
    <w:rsid w:val="6CBE317C"/>
    <w:rsid w:val="6CC00BB0"/>
    <w:rsid w:val="6CC9154D"/>
    <w:rsid w:val="6CDA3D2E"/>
    <w:rsid w:val="6CED1CB3"/>
    <w:rsid w:val="6CFE19FF"/>
    <w:rsid w:val="6D10383A"/>
    <w:rsid w:val="6D2011DA"/>
    <w:rsid w:val="6D2C27DC"/>
    <w:rsid w:val="6D54763D"/>
    <w:rsid w:val="6D560AA8"/>
    <w:rsid w:val="6D6C2BD8"/>
    <w:rsid w:val="6D6F091A"/>
    <w:rsid w:val="6D6F6141"/>
    <w:rsid w:val="6D7A798E"/>
    <w:rsid w:val="6D863E0F"/>
    <w:rsid w:val="6D877A12"/>
    <w:rsid w:val="6D8F0BA2"/>
    <w:rsid w:val="6D920165"/>
    <w:rsid w:val="6DA73C10"/>
    <w:rsid w:val="6DB12CE1"/>
    <w:rsid w:val="6DBE53FE"/>
    <w:rsid w:val="6DCC59C9"/>
    <w:rsid w:val="6DD864C0"/>
    <w:rsid w:val="6DDB34D6"/>
    <w:rsid w:val="6DDE05DD"/>
    <w:rsid w:val="6DF02BC2"/>
    <w:rsid w:val="6DFB76C0"/>
    <w:rsid w:val="6E2C680B"/>
    <w:rsid w:val="6E3F653F"/>
    <w:rsid w:val="6E421B8B"/>
    <w:rsid w:val="6E423939"/>
    <w:rsid w:val="6E511637"/>
    <w:rsid w:val="6E623FDB"/>
    <w:rsid w:val="6E641527"/>
    <w:rsid w:val="6E6733A0"/>
    <w:rsid w:val="6E697118"/>
    <w:rsid w:val="6E6C09B6"/>
    <w:rsid w:val="6E71421E"/>
    <w:rsid w:val="6E743546"/>
    <w:rsid w:val="6E756F4E"/>
    <w:rsid w:val="6E8403F6"/>
    <w:rsid w:val="6E925CE9"/>
    <w:rsid w:val="6EA711FC"/>
    <w:rsid w:val="6EC16BEB"/>
    <w:rsid w:val="6EC32CCC"/>
    <w:rsid w:val="6ED07197"/>
    <w:rsid w:val="6EE61403"/>
    <w:rsid w:val="6EF32E85"/>
    <w:rsid w:val="6F046E40"/>
    <w:rsid w:val="6F06705D"/>
    <w:rsid w:val="6F094457"/>
    <w:rsid w:val="6F0D03EB"/>
    <w:rsid w:val="6F141779"/>
    <w:rsid w:val="6F1F3C7A"/>
    <w:rsid w:val="6F2474E3"/>
    <w:rsid w:val="6F2A2D4B"/>
    <w:rsid w:val="6F340D22"/>
    <w:rsid w:val="6F3B6D06"/>
    <w:rsid w:val="6F4162E7"/>
    <w:rsid w:val="6F4D07E7"/>
    <w:rsid w:val="6F51552C"/>
    <w:rsid w:val="6F5778B8"/>
    <w:rsid w:val="6F712728"/>
    <w:rsid w:val="6F8D391A"/>
    <w:rsid w:val="6F91010D"/>
    <w:rsid w:val="6F984159"/>
    <w:rsid w:val="6FA26D48"/>
    <w:rsid w:val="6FAC19B2"/>
    <w:rsid w:val="6FB940CF"/>
    <w:rsid w:val="6FCA2D8F"/>
    <w:rsid w:val="70096E04"/>
    <w:rsid w:val="700C6D2E"/>
    <w:rsid w:val="7022077C"/>
    <w:rsid w:val="702E23C7"/>
    <w:rsid w:val="702F613F"/>
    <w:rsid w:val="70381498"/>
    <w:rsid w:val="7040034C"/>
    <w:rsid w:val="704C4F43"/>
    <w:rsid w:val="70585696"/>
    <w:rsid w:val="7063174F"/>
    <w:rsid w:val="70710506"/>
    <w:rsid w:val="707A1AB0"/>
    <w:rsid w:val="707A20B1"/>
    <w:rsid w:val="70BA00FF"/>
    <w:rsid w:val="70C41A1A"/>
    <w:rsid w:val="70CE7706"/>
    <w:rsid w:val="70DE203F"/>
    <w:rsid w:val="70EC5E1A"/>
    <w:rsid w:val="70F133F4"/>
    <w:rsid w:val="70F57626"/>
    <w:rsid w:val="71015D2D"/>
    <w:rsid w:val="71053D85"/>
    <w:rsid w:val="711E068D"/>
    <w:rsid w:val="712107AA"/>
    <w:rsid w:val="712F49A0"/>
    <w:rsid w:val="7148395C"/>
    <w:rsid w:val="71571FBA"/>
    <w:rsid w:val="715776FB"/>
    <w:rsid w:val="715C11B6"/>
    <w:rsid w:val="71656CCF"/>
    <w:rsid w:val="71822E6D"/>
    <w:rsid w:val="71AA0173"/>
    <w:rsid w:val="71B458AB"/>
    <w:rsid w:val="71CF1988"/>
    <w:rsid w:val="71EA67C2"/>
    <w:rsid w:val="71FF0F1B"/>
    <w:rsid w:val="720640AE"/>
    <w:rsid w:val="72084E9A"/>
    <w:rsid w:val="721D26F3"/>
    <w:rsid w:val="722C2936"/>
    <w:rsid w:val="722F0678"/>
    <w:rsid w:val="723143F0"/>
    <w:rsid w:val="7235674F"/>
    <w:rsid w:val="72380ACC"/>
    <w:rsid w:val="7258372B"/>
    <w:rsid w:val="726227FC"/>
    <w:rsid w:val="726E2F4F"/>
    <w:rsid w:val="727275E0"/>
    <w:rsid w:val="727A7B45"/>
    <w:rsid w:val="72844B2C"/>
    <w:rsid w:val="728A3B01"/>
    <w:rsid w:val="72966949"/>
    <w:rsid w:val="729D55E2"/>
    <w:rsid w:val="72D27981"/>
    <w:rsid w:val="72D34ACC"/>
    <w:rsid w:val="72ED47BB"/>
    <w:rsid w:val="72FA2A34"/>
    <w:rsid w:val="730B4C41"/>
    <w:rsid w:val="7318735E"/>
    <w:rsid w:val="73190FF4"/>
    <w:rsid w:val="733A1083"/>
    <w:rsid w:val="73412411"/>
    <w:rsid w:val="73487C44"/>
    <w:rsid w:val="73494BF6"/>
    <w:rsid w:val="735760D9"/>
    <w:rsid w:val="73591E51"/>
    <w:rsid w:val="73661E78"/>
    <w:rsid w:val="736E6F7E"/>
    <w:rsid w:val="73770529"/>
    <w:rsid w:val="73797984"/>
    <w:rsid w:val="7383420D"/>
    <w:rsid w:val="738A025C"/>
    <w:rsid w:val="739939DD"/>
    <w:rsid w:val="73A02439"/>
    <w:rsid w:val="73D239B1"/>
    <w:rsid w:val="73D94061"/>
    <w:rsid w:val="73FE6554"/>
    <w:rsid w:val="74033B6B"/>
    <w:rsid w:val="74071CB4"/>
    <w:rsid w:val="740A4EF9"/>
    <w:rsid w:val="74130252"/>
    <w:rsid w:val="742B457C"/>
    <w:rsid w:val="742C449A"/>
    <w:rsid w:val="742F4960"/>
    <w:rsid w:val="74324450"/>
    <w:rsid w:val="743926EC"/>
    <w:rsid w:val="74437EB1"/>
    <w:rsid w:val="7463392D"/>
    <w:rsid w:val="74650381"/>
    <w:rsid w:val="748922C2"/>
    <w:rsid w:val="7491561A"/>
    <w:rsid w:val="74936C9D"/>
    <w:rsid w:val="74A54C22"/>
    <w:rsid w:val="74AC4202"/>
    <w:rsid w:val="74B530B7"/>
    <w:rsid w:val="74CF5A6B"/>
    <w:rsid w:val="74DC4AE7"/>
    <w:rsid w:val="74DD23E1"/>
    <w:rsid w:val="74DE1D61"/>
    <w:rsid w:val="7501454E"/>
    <w:rsid w:val="75131F7C"/>
    <w:rsid w:val="75166BF2"/>
    <w:rsid w:val="751D6EAE"/>
    <w:rsid w:val="752124FA"/>
    <w:rsid w:val="752244C4"/>
    <w:rsid w:val="75241FEA"/>
    <w:rsid w:val="752E10BB"/>
    <w:rsid w:val="753366D1"/>
    <w:rsid w:val="753C0A29"/>
    <w:rsid w:val="75491A51"/>
    <w:rsid w:val="754E52B9"/>
    <w:rsid w:val="75695C4F"/>
    <w:rsid w:val="75925F8A"/>
    <w:rsid w:val="7593476F"/>
    <w:rsid w:val="75943C67"/>
    <w:rsid w:val="75984ABB"/>
    <w:rsid w:val="759C6025"/>
    <w:rsid w:val="75A53923"/>
    <w:rsid w:val="75CB0FF2"/>
    <w:rsid w:val="75EF43A6"/>
    <w:rsid w:val="75F55735"/>
    <w:rsid w:val="75FE45EA"/>
    <w:rsid w:val="762A7F2C"/>
    <w:rsid w:val="7641097A"/>
    <w:rsid w:val="76472A2A"/>
    <w:rsid w:val="764D5571"/>
    <w:rsid w:val="76742AFE"/>
    <w:rsid w:val="767A4721"/>
    <w:rsid w:val="767E572A"/>
    <w:rsid w:val="768A0573"/>
    <w:rsid w:val="769C0774"/>
    <w:rsid w:val="769D3E02"/>
    <w:rsid w:val="76B24759"/>
    <w:rsid w:val="76B949B4"/>
    <w:rsid w:val="76C84BF7"/>
    <w:rsid w:val="76E55E77"/>
    <w:rsid w:val="76F167EA"/>
    <w:rsid w:val="76F53C3E"/>
    <w:rsid w:val="76F61765"/>
    <w:rsid w:val="76FA74A7"/>
    <w:rsid w:val="77112A42"/>
    <w:rsid w:val="7713737E"/>
    <w:rsid w:val="77222596"/>
    <w:rsid w:val="774626EC"/>
    <w:rsid w:val="774E77F3"/>
    <w:rsid w:val="77562203"/>
    <w:rsid w:val="775E00EB"/>
    <w:rsid w:val="77737259"/>
    <w:rsid w:val="777F175A"/>
    <w:rsid w:val="77866F8C"/>
    <w:rsid w:val="77972F48"/>
    <w:rsid w:val="779D6084"/>
    <w:rsid w:val="779E42D6"/>
    <w:rsid w:val="77A411C1"/>
    <w:rsid w:val="77C875A5"/>
    <w:rsid w:val="77DF669D"/>
    <w:rsid w:val="77E90D1D"/>
    <w:rsid w:val="77FE4D75"/>
    <w:rsid w:val="780103C1"/>
    <w:rsid w:val="78014865"/>
    <w:rsid w:val="780A371A"/>
    <w:rsid w:val="780B1240"/>
    <w:rsid w:val="781B5927"/>
    <w:rsid w:val="781C51FB"/>
    <w:rsid w:val="781E71C5"/>
    <w:rsid w:val="783047A8"/>
    <w:rsid w:val="78393FFF"/>
    <w:rsid w:val="784A02E9"/>
    <w:rsid w:val="784C3D32"/>
    <w:rsid w:val="784F55D0"/>
    <w:rsid w:val="785C1A9B"/>
    <w:rsid w:val="78715547"/>
    <w:rsid w:val="787E58F4"/>
    <w:rsid w:val="78A163DB"/>
    <w:rsid w:val="78BB0EB8"/>
    <w:rsid w:val="78C91C66"/>
    <w:rsid w:val="78E26444"/>
    <w:rsid w:val="78EA730D"/>
    <w:rsid w:val="7911045C"/>
    <w:rsid w:val="791F31F5"/>
    <w:rsid w:val="79224A93"/>
    <w:rsid w:val="792F0F5E"/>
    <w:rsid w:val="793547C6"/>
    <w:rsid w:val="793A5AB1"/>
    <w:rsid w:val="79507852"/>
    <w:rsid w:val="79527D89"/>
    <w:rsid w:val="7957181A"/>
    <w:rsid w:val="796F7BE1"/>
    <w:rsid w:val="79773031"/>
    <w:rsid w:val="797F7FB7"/>
    <w:rsid w:val="7990574F"/>
    <w:rsid w:val="79905EA0"/>
    <w:rsid w:val="799A0ACD"/>
    <w:rsid w:val="79D378DB"/>
    <w:rsid w:val="79DC0860"/>
    <w:rsid w:val="79E85CDC"/>
    <w:rsid w:val="79EE2BC7"/>
    <w:rsid w:val="79F301DD"/>
    <w:rsid w:val="7A17211E"/>
    <w:rsid w:val="7A1F0FD2"/>
    <w:rsid w:val="7A4776B9"/>
    <w:rsid w:val="7A480529"/>
    <w:rsid w:val="7A652E89"/>
    <w:rsid w:val="7A6A66F1"/>
    <w:rsid w:val="7A770D96"/>
    <w:rsid w:val="7A77448A"/>
    <w:rsid w:val="7A7E03EF"/>
    <w:rsid w:val="7A831561"/>
    <w:rsid w:val="7A9246ED"/>
    <w:rsid w:val="7A9618E7"/>
    <w:rsid w:val="7AA00365"/>
    <w:rsid w:val="7AA5772A"/>
    <w:rsid w:val="7AB378AC"/>
    <w:rsid w:val="7ABA5A98"/>
    <w:rsid w:val="7ABE65B9"/>
    <w:rsid w:val="7ACD3B1B"/>
    <w:rsid w:val="7ADF7479"/>
    <w:rsid w:val="7AEA527C"/>
    <w:rsid w:val="7AEA7832"/>
    <w:rsid w:val="7AFE789A"/>
    <w:rsid w:val="7B0A1C83"/>
    <w:rsid w:val="7B0F7299"/>
    <w:rsid w:val="7B124ED6"/>
    <w:rsid w:val="7B2E771F"/>
    <w:rsid w:val="7B31720F"/>
    <w:rsid w:val="7B354F51"/>
    <w:rsid w:val="7B3E36DA"/>
    <w:rsid w:val="7B430CF1"/>
    <w:rsid w:val="7B580C40"/>
    <w:rsid w:val="7B5F7507"/>
    <w:rsid w:val="7B7F441F"/>
    <w:rsid w:val="7B9831A9"/>
    <w:rsid w:val="7BB50BCE"/>
    <w:rsid w:val="7BD36518"/>
    <w:rsid w:val="7BDC53CD"/>
    <w:rsid w:val="7BE129E3"/>
    <w:rsid w:val="7BEC1388"/>
    <w:rsid w:val="7BF30969"/>
    <w:rsid w:val="7BF41FBF"/>
    <w:rsid w:val="7BF5023D"/>
    <w:rsid w:val="7C014E34"/>
    <w:rsid w:val="7C091F3A"/>
    <w:rsid w:val="7C190BBA"/>
    <w:rsid w:val="7C227BD1"/>
    <w:rsid w:val="7C30396B"/>
    <w:rsid w:val="7C492337"/>
    <w:rsid w:val="7C5B09E8"/>
    <w:rsid w:val="7C6347E5"/>
    <w:rsid w:val="7C75137E"/>
    <w:rsid w:val="7C7970C0"/>
    <w:rsid w:val="7C8415C1"/>
    <w:rsid w:val="7C8B770E"/>
    <w:rsid w:val="7C8D2B6B"/>
    <w:rsid w:val="7C8E41ED"/>
    <w:rsid w:val="7C945CA8"/>
    <w:rsid w:val="7CA67789"/>
    <w:rsid w:val="7CB20F74"/>
    <w:rsid w:val="7CBE2D25"/>
    <w:rsid w:val="7CD51E1C"/>
    <w:rsid w:val="7CE16A13"/>
    <w:rsid w:val="7D056BA5"/>
    <w:rsid w:val="7D0F532E"/>
    <w:rsid w:val="7D1307C6"/>
    <w:rsid w:val="7D1312C2"/>
    <w:rsid w:val="7D2708CA"/>
    <w:rsid w:val="7D3D00ED"/>
    <w:rsid w:val="7D741635"/>
    <w:rsid w:val="7D7426AD"/>
    <w:rsid w:val="7D8D0136"/>
    <w:rsid w:val="7D983576"/>
    <w:rsid w:val="7DA82111"/>
    <w:rsid w:val="7DB22DA3"/>
    <w:rsid w:val="7DB859C6"/>
    <w:rsid w:val="7DBF4546"/>
    <w:rsid w:val="7DC21925"/>
    <w:rsid w:val="7DC720AD"/>
    <w:rsid w:val="7DC75C09"/>
    <w:rsid w:val="7DD520D4"/>
    <w:rsid w:val="7DD6409E"/>
    <w:rsid w:val="7DD87E16"/>
    <w:rsid w:val="7DDD71DA"/>
    <w:rsid w:val="7DE20C95"/>
    <w:rsid w:val="7DFD787D"/>
    <w:rsid w:val="7E01111B"/>
    <w:rsid w:val="7E0B01EB"/>
    <w:rsid w:val="7E1C7D03"/>
    <w:rsid w:val="7E405743"/>
    <w:rsid w:val="7E492AC2"/>
    <w:rsid w:val="7E4D7032"/>
    <w:rsid w:val="7E522003"/>
    <w:rsid w:val="7E553215"/>
    <w:rsid w:val="7E7318ED"/>
    <w:rsid w:val="7E7547A3"/>
    <w:rsid w:val="7E775881"/>
    <w:rsid w:val="7E8B48A1"/>
    <w:rsid w:val="7E8B4E88"/>
    <w:rsid w:val="7E9000BD"/>
    <w:rsid w:val="7E9B156F"/>
    <w:rsid w:val="7E9F0934"/>
    <w:rsid w:val="7EA111FA"/>
    <w:rsid w:val="7EB0669D"/>
    <w:rsid w:val="7EC5039A"/>
    <w:rsid w:val="7EDE7E45"/>
    <w:rsid w:val="7EE8052D"/>
    <w:rsid w:val="7EF173E1"/>
    <w:rsid w:val="7F01514B"/>
    <w:rsid w:val="7F0A4BE2"/>
    <w:rsid w:val="7F517E80"/>
    <w:rsid w:val="7F5D625E"/>
    <w:rsid w:val="7F65392B"/>
    <w:rsid w:val="7F857B2A"/>
    <w:rsid w:val="7F932247"/>
    <w:rsid w:val="7FB83A5B"/>
    <w:rsid w:val="7FBA1DF2"/>
    <w:rsid w:val="7FBB179D"/>
    <w:rsid w:val="7FBF029A"/>
    <w:rsid w:val="7FCA69D3"/>
    <w:rsid w:val="7FCE28C1"/>
    <w:rsid w:val="7FDF723A"/>
    <w:rsid w:val="7FEE3921"/>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autoRedefine/>
    <w:qFormat/>
    <w:uiPriority w:val="9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70"/>
    <w:autoRedefine/>
    <w:qFormat/>
    <w:uiPriority w:val="99"/>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71"/>
    <w:autoRedefine/>
    <w:qFormat/>
    <w:uiPriority w:val="99"/>
    <w:pPr>
      <w:keepNext/>
      <w:keepLines/>
      <w:spacing w:before="260" w:after="260" w:line="415" w:lineRule="auto"/>
      <w:outlineLvl w:val="2"/>
    </w:pPr>
    <w:rPr>
      <w:b/>
      <w:bCs/>
      <w:kern w:val="0"/>
      <w:sz w:val="32"/>
      <w:szCs w:val="32"/>
    </w:rPr>
  </w:style>
  <w:style w:type="paragraph" w:styleId="5">
    <w:name w:val="heading 4"/>
    <w:basedOn w:val="1"/>
    <w:next w:val="1"/>
    <w:link w:val="72"/>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73"/>
    <w:autoRedefine/>
    <w:qFormat/>
    <w:uiPriority w:val="9"/>
    <w:pPr>
      <w:keepNext/>
      <w:keepLines/>
      <w:spacing w:before="280" w:after="290" w:line="372" w:lineRule="auto"/>
      <w:outlineLvl w:val="4"/>
    </w:pPr>
    <w:rPr>
      <w:rFonts w:ascii="Calibri" w:hAnsi="Calibri"/>
      <w:b/>
      <w:bCs/>
      <w:kern w:val="0"/>
      <w:sz w:val="28"/>
      <w:szCs w:val="28"/>
    </w:rPr>
  </w:style>
  <w:style w:type="paragraph" w:styleId="7">
    <w:name w:val="heading 6"/>
    <w:basedOn w:val="1"/>
    <w:next w:val="1"/>
    <w:link w:val="7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5"/>
    <w:autoRedefine/>
    <w:qFormat/>
    <w:uiPriority w:val="0"/>
    <w:pPr>
      <w:keepNext/>
      <w:keepLines/>
      <w:widowControl/>
      <w:tabs>
        <w:tab w:val="left" w:pos="2520"/>
      </w:tabs>
      <w:spacing w:before="240" w:after="64" w:line="320" w:lineRule="auto"/>
      <w:ind w:left="1296" w:hanging="1296"/>
      <w:jc w:val="left"/>
      <w:outlineLvl w:val="6"/>
    </w:pPr>
    <w:rPr>
      <w:rFonts w:ascii="Calibri" w:hAnsi="Calibri"/>
      <w:b/>
      <w:bCs/>
      <w:kern w:val="0"/>
      <w:sz w:val="24"/>
    </w:rPr>
  </w:style>
  <w:style w:type="paragraph" w:styleId="9">
    <w:name w:val="heading 8"/>
    <w:basedOn w:val="1"/>
    <w:next w:val="1"/>
    <w:link w:val="7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7"/>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47">
    <w:name w:val="Default Paragraph Font"/>
    <w:autoRedefine/>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szCs w:val="22"/>
    </w:rPr>
  </w:style>
  <w:style w:type="paragraph" w:styleId="12">
    <w:name w:val="Normal Indent"/>
    <w:basedOn w:val="1"/>
    <w:next w:val="13"/>
    <w:autoRedefine/>
    <w:qFormat/>
    <w:uiPriority w:val="0"/>
    <w:pPr>
      <w:spacing w:line="360" w:lineRule="auto"/>
      <w:ind w:firstLine="200" w:firstLineChars="200"/>
    </w:pPr>
    <w:rPr>
      <w:rFonts w:ascii="Times New Roman" w:hAnsi="Times New Roman" w:cs="Times New Roman"/>
    </w:rPr>
  </w:style>
  <w:style w:type="paragraph" w:styleId="13">
    <w:name w:val="header"/>
    <w:basedOn w:val="1"/>
    <w:next w:val="14"/>
    <w:link w:val="143"/>
    <w:autoRedefine/>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4">
    <w:name w:val="Quote"/>
    <w:basedOn w:val="1"/>
    <w:next w:val="1"/>
    <w:qFormat/>
    <w:uiPriority w:val="99"/>
    <w:pPr>
      <w:ind w:left="864" w:right="864"/>
      <w:jc w:val="center"/>
    </w:pPr>
    <w:rPr>
      <w:rFonts w:ascii="Times New Roman" w:hAnsi="Times New Roman" w:cs="Times New Roman"/>
      <w:i/>
      <w:iCs/>
      <w:color w:val="404040"/>
      <w:szCs w:val="21"/>
    </w:rPr>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137"/>
    <w:autoRedefine/>
    <w:qFormat/>
    <w:uiPriority w:val="0"/>
    <w:pPr>
      <w:shd w:val="clear" w:color="auto" w:fill="000080"/>
    </w:pPr>
    <w:rPr>
      <w:rFonts w:asciiTheme="minorHAnsi" w:hAnsiTheme="minorHAnsi" w:cstheme="minorBidi"/>
      <w:shd w:val="clear" w:color="auto" w:fill="000080"/>
    </w:rPr>
  </w:style>
  <w:style w:type="paragraph" w:styleId="17">
    <w:name w:val="annotation text"/>
    <w:basedOn w:val="1"/>
    <w:next w:val="18"/>
    <w:link w:val="141"/>
    <w:autoRedefine/>
    <w:qFormat/>
    <w:uiPriority w:val="0"/>
    <w:pPr>
      <w:jc w:val="left"/>
    </w:pPr>
    <w:rPr>
      <w:rFonts w:asciiTheme="minorHAnsi" w:hAnsiTheme="minorHAnsi" w:cstheme="minorBidi"/>
    </w:rPr>
  </w:style>
  <w:style w:type="paragraph" w:styleId="18">
    <w:name w:val="Body Text 3"/>
    <w:basedOn w:val="1"/>
    <w:next w:val="19"/>
    <w:link w:val="136"/>
    <w:autoRedefine/>
    <w:unhideWhenUsed/>
    <w:qFormat/>
    <w:uiPriority w:val="99"/>
    <w:rPr>
      <w:rFonts w:ascii="宋体" w:hAnsiTheme="minorHAnsi" w:cstheme="minorBidi"/>
      <w:sz w:val="24"/>
      <w:szCs w:val="22"/>
    </w:rPr>
  </w:style>
  <w:style w:type="paragraph" w:styleId="19">
    <w:name w:val="Balloon Text"/>
    <w:basedOn w:val="1"/>
    <w:link w:val="151"/>
    <w:autoRedefine/>
    <w:semiHidden/>
    <w:qFormat/>
    <w:uiPriority w:val="0"/>
    <w:rPr>
      <w:rFonts w:asciiTheme="minorHAnsi" w:hAnsiTheme="minorHAnsi" w:cstheme="minorBidi"/>
      <w:sz w:val="18"/>
      <w:szCs w:val="18"/>
    </w:rPr>
  </w:style>
  <w:style w:type="paragraph" w:styleId="20">
    <w:name w:val="Body Text"/>
    <w:basedOn w:val="1"/>
    <w:next w:val="21"/>
    <w:link w:val="140"/>
    <w:autoRedefine/>
    <w:qFormat/>
    <w:uiPriority w:val="0"/>
    <w:pPr>
      <w:spacing w:after="120"/>
    </w:pPr>
    <w:rPr>
      <w:rFonts w:asciiTheme="minorHAnsi" w:hAnsiTheme="minorHAnsi" w:cstheme="minorBidi"/>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next w:val="23"/>
    <w:link w:val="138"/>
    <w:autoRedefine/>
    <w:unhideWhenUsed/>
    <w:qFormat/>
    <w:uiPriority w:val="0"/>
    <w:pPr>
      <w:spacing w:after="120"/>
      <w:ind w:left="420" w:leftChars="200"/>
    </w:pPr>
  </w:style>
  <w:style w:type="paragraph" w:styleId="2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24">
    <w:name w:val="toc 5"/>
    <w:basedOn w:val="1"/>
    <w:next w:val="1"/>
    <w:autoRedefine/>
    <w:unhideWhenUsed/>
    <w:qFormat/>
    <w:uiPriority w:val="39"/>
    <w:pPr>
      <w:ind w:left="1680" w:leftChars="800"/>
    </w:pPr>
    <w:rPr>
      <w:szCs w:val="22"/>
    </w:rPr>
  </w:style>
  <w:style w:type="paragraph" w:styleId="25">
    <w:name w:val="toc 3"/>
    <w:basedOn w:val="1"/>
    <w:next w:val="1"/>
    <w:autoRedefine/>
    <w:qFormat/>
    <w:uiPriority w:val="39"/>
    <w:pPr>
      <w:ind w:left="840" w:leftChars="400"/>
    </w:pPr>
  </w:style>
  <w:style w:type="paragraph" w:styleId="26">
    <w:name w:val="Plain Text"/>
    <w:basedOn w:val="1"/>
    <w:link w:val="147"/>
    <w:autoRedefine/>
    <w:unhideWhenUsed/>
    <w:qFormat/>
    <w:uiPriority w:val="99"/>
    <w:rPr>
      <w:rFonts w:ascii="Courier New" w:hAnsi="Courier New" w:cstheme="minorBidi"/>
      <w:szCs w:val="22"/>
    </w:rPr>
  </w:style>
  <w:style w:type="paragraph" w:styleId="27">
    <w:name w:val="toc 8"/>
    <w:basedOn w:val="1"/>
    <w:next w:val="1"/>
    <w:autoRedefine/>
    <w:unhideWhenUsed/>
    <w:qFormat/>
    <w:uiPriority w:val="39"/>
    <w:pPr>
      <w:ind w:left="2940" w:leftChars="1400"/>
    </w:pPr>
    <w:rPr>
      <w:szCs w:val="22"/>
    </w:rPr>
  </w:style>
  <w:style w:type="paragraph" w:styleId="28">
    <w:name w:val="Date"/>
    <w:basedOn w:val="1"/>
    <w:next w:val="1"/>
    <w:link w:val="145"/>
    <w:autoRedefine/>
    <w:qFormat/>
    <w:uiPriority w:val="0"/>
    <w:pPr>
      <w:ind w:left="100" w:leftChars="2500"/>
    </w:pPr>
    <w:rPr>
      <w:rFonts w:asciiTheme="minorHAnsi" w:hAnsiTheme="minorHAnsi" w:cstheme="minorBidi"/>
    </w:rPr>
  </w:style>
  <w:style w:type="paragraph" w:styleId="29">
    <w:name w:val="Body Text Indent 2"/>
    <w:basedOn w:val="1"/>
    <w:next w:val="30"/>
    <w:link w:val="149"/>
    <w:autoRedefine/>
    <w:qFormat/>
    <w:uiPriority w:val="0"/>
    <w:pPr>
      <w:ind w:firstLine="624"/>
    </w:pPr>
    <w:rPr>
      <w:rFonts w:ascii="仿宋_GB2312" w:eastAsia="仿宋_GB2312" w:hAnsiTheme="minorHAnsi" w:cstheme="minorBidi"/>
      <w:sz w:val="28"/>
    </w:rPr>
  </w:style>
  <w:style w:type="paragraph" w:styleId="30">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31">
    <w:name w:val="endnote text"/>
    <w:basedOn w:val="1"/>
    <w:link w:val="150"/>
    <w:autoRedefine/>
    <w:qFormat/>
    <w:uiPriority w:val="0"/>
    <w:pPr>
      <w:snapToGrid w:val="0"/>
      <w:jc w:val="left"/>
    </w:pPr>
    <w:rPr>
      <w:rFonts w:asciiTheme="minorHAnsi" w:hAnsiTheme="minorHAnsi" w:cstheme="minorBidi"/>
    </w:rPr>
  </w:style>
  <w:style w:type="paragraph" w:styleId="32">
    <w:name w:val="footer"/>
    <w:basedOn w:val="1"/>
    <w:next w:val="20"/>
    <w:link w:val="152"/>
    <w:autoRedefine/>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33">
    <w:name w:val="toc 1"/>
    <w:basedOn w:val="1"/>
    <w:next w:val="1"/>
    <w:autoRedefine/>
    <w:unhideWhenUsed/>
    <w:qFormat/>
    <w:uiPriority w:val="99"/>
    <w:pPr>
      <w:spacing w:before="120" w:after="120"/>
      <w:jc w:val="left"/>
    </w:pPr>
    <w:rPr>
      <w:b/>
      <w:bCs/>
      <w:caps/>
      <w:sz w:val="20"/>
      <w:szCs w:val="20"/>
    </w:rPr>
  </w:style>
  <w:style w:type="paragraph" w:styleId="34">
    <w:name w:val="toc 4"/>
    <w:basedOn w:val="1"/>
    <w:next w:val="1"/>
    <w:autoRedefine/>
    <w:unhideWhenUsed/>
    <w:qFormat/>
    <w:uiPriority w:val="39"/>
    <w:pPr>
      <w:ind w:left="1260" w:leftChars="600"/>
    </w:pPr>
  </w:style>
  <w:style w:type="paragraph" w:styleId="35">
    <w:name w:val="footnote text"/>
    <w:basedOn w:val="1"/>
    <w:link w:val="144"/>
    <w:autoRedefine/>
    <w:unhideWhenUsed/>
    <w:qFormat/>
    <w:uiPriority w:val="99"/>
    <w:pPr>
      <w:snapToGrid w:val="0"/>
      <w:jc w:val="left"/>
    </w:pPr>
    <w:rPr>
      <w:rFonts w:asciiTheme="minorHAnsi" w:hAnsiTheme="minorHAnsi" w:cstheme="minorBidi"/>
      <w:sz w:val="18"/>
      <w:szCs w:val="18"/>
    </w:rPr>
  </w:style>
  <w:style w:type="paragraph" w:styleId="36">
    <w:name w:val="toc 6"/>
    <w:basedOn w:val="1"/>
    <w:next w:val="1"/>
    <w:autoRedefine/>
    <w:unhideWhenUsed/>
    <w:qFormat/>
    <w:uiPriority w:val="39"/>
    <w:pPr>
      <w:ind w:left="2100" w:leftChars="1000"/>
    </w:pPr>
    <w:rPr>
      <w:szCs w:val="22"/>
    </w:rPr>
  </w:style>
  <w:style w:type="paragraph" w:styleId="37">
    <w:name w:val="Body Text Indent 3"/>
    <w:basedOn w:val="1"/>
    <w:link w:val="146"/>
    <w:autoRedefine/>
    <w:qFormat/>
    <w:uiPriority w:val="0"/>
    <w:pPr>
      <w:spacing w:after="120"/>
      <w:ind w:left="420" w:leftChars="200"/>
    </w:pPr>
    <w:rPr>
      <w:rFonts w:asciiTheme="minorHAnsi" w:hAnsiTheme="minorHAnsi" w:cstheme="minorBidi"/>
      <w:sz w:val="16"/>
      <w:szCs w:val="16"/>
    </w:rPr>
  </w:style>
  <w:style w:type="paragraph" w:styleId="38">
    <w:name w:val="toc 2"/>
    <w:basedOn w:val="1"/>
    <w:next w:val="1"/>
    <w:autoRedefine/>
    <w:unhideWhenUsed/>
    <w:qFormat/>
    <w:uiPriority w:val="39"/>
    <w:pPr>
      <w:ind w:left="210"/>
      <w:jc w:val="left"/>
    </w:pPr>
    <w:rPr>
      <w:smallCaps/>
      <w:sz w:val="20"/>
      <w:szCs w:val="20"/>
    </w:rPr>
  </w:style>
  <w:style w:type="paragraph" w:styleId="39">
    <w:name w:val="toc 9"/>
    <w:basedOn w:val="1"/>
    <w:next w:val="1"/>
    <w:autoRedefine/>
    <w:unhideWhenUsed/>
    <w:qFormat/>
    <w:uiPriority w:val="39"/>
    <w:pPr>
      <w:ind w:left="3360" w:leftChars="1600"/>
    </w:pPr>
    <w:rPr>
      <w:szCs w:val="22"/>
    </w:rPr>
  </w:style>
  <w:style w:type="paragraph" w:styleId="40">
    <w:name w:val="Body Text 2"/>
    <w:basedOn w:val="1"/>
    <w:next w:val="26"/>
    <w:link w:val="148"/>
    <w:autoRedefine/>
    <w:qFormat/>
    <w:uiPriority w:val="0"/>
    <w:rPr>
      <w:rFonts w:ascii="宋体" w:hAnsi="宋体" w:cstheme="minorBidi"/>
      <w:sz w:val="28"/>
    </w:rPr>
  </w:style>
  <w:style w:type="paragraph" w:styleId="41">
    <w:name w:val="Message Header"/>
    <w:basedOn w:val="1"/>
    <w:link w:val="142"/>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42">
    <w:name w:val="Title"/>
    <w:basedOn w:val="1"/>
    <w:link w:val="135"/>
    <w:autoRedefine/>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3">
    <w:name w:val="Body Text First Indent"/>
    <w:basedOn w:val="20"/>
    <w:autoRedefine/>
    <w:qFormat/>
    <w:uiPriority w:val="99"/>
    <w:pPr>
      <w:keepNext w:val="0"/>
      <w:keepLines w:val="0"/>
      <w:widowControl w:val="0"/>
      <w:suppressLineNumbers w:val="0"/>
      <w:spacing w:before="0" w:beforeAutospacing="0" w:after="120" w:afterAutospacing="0"/>
      <w:ind w:left="0" w:right="0" w:firstLine="420" w:firstLineChars="100"/>
      <w:jc w:val="both"/>
    </w:pPr>
  </w:style>
  <w:style w:type="paragraph" w:styleId="44">
    <w:name w:val="Body Text First Indent 2"/>
    <w:basedOn w:val="22"/>
    <w:next w:val="1"/>
    <w:link w:val="139"/>
    <w:autoRedefine/>
    <w:qFormat/>
    <w:uiPriority w:val="0"/>
    <w:pPr>
      <w:ind w:firstLine="420" w:firstLineChars="200"/>
    </w:pPr>
    <w:rPr>
      <w:rFonts w:asciiTheme="minorHAnsi" w:hAnsiTheme="minorHAnsi" w:cstheme="minorBidi"/>
    </w:rPr>
  </w:style>
  <w:style w:type="table" w:styleId="46">
    <w:name w:val="Table Grid"/>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rFonts w:cs="Times New Roman"/>
      <w:b/>
    </w:rPr>
  </w:style>
  <w:style w:type="character" w:styleId="49">
    <w:name w:val="page number"/>
    <w:basedOn w:val="47"/>
    <w:autoRedefine/>
    <w:unhideWhenUsed/>
    <w:qFormat/>
    <w:uiPriority w:val="99"/>
  </w:style>
  <w:style w:type="character" w:styleId="50">
    <w:name w:val="FollowedHyperlink"/>
    <w:autoRedefine/>
    <w:unhideWhenUsed/>
    <w:qFormat/>
    <w:uiPriority w:val="99"/>
    <w:rPr>
      <w:color w:val="444444"/>
      <w:sz w:val="21"/>
      <w:szCs w:val="21"/>
      <w:u w:val="none"/>
    </w:rPr>
  </w:style>
  <w:style w:type="character" w:styleId="51">
    <w:name w:val="Emphasis"/>
    <w:basedOn w:val="47"/>
    <w:autoRedefine/>
    <w:qFormat/>
    <w:uiPriority w:val="20"/>
  </w:style>
  <w:style w:type="character" w:styleId="52">
    <w:name w:val="HTML Definition"/>
    <w:basedOn w:val="47"/>
    <w:autoRedefine/>
    <w:unhideWhenUsed/>
    <w:qFormat/>
    <w:uiPriority w:val="99"/>
  </w:style>
  <w:style w:type="character" w:styleId="53">
    <w:name w:val="HTML Typewriter"/>
    <w:basedOn w:val="47"/>
    <w:autoRedefine/>
    <w:unhideWhenUsed/>
    <w:qFormat/>
    <w:uiPriority w:val="99"/>
    <w:rPr>
      <w:rFonts w:ascii="monospace" w:hAnsi="monospace" w:eastAsia="monospace" w:cs="monospace"/>
      <w:sz w:val="20"/>
    </w:rPr>
  </w:style>
  <w:style w:type="character" w:styleId="54">
    <w:name w:val="HTML Acronym"/>
    <w:basedOn w:val="47"/>
    <w:autoRedefine/>
    <w:unhideWhenUsed/>
    <w:qFormat/>
    <w:uiPriority w:val="99"/>
    <w:rPr>
      <w:bdr w:val="none" w:color="auto" w:sz="0" w:space="0"/>
    </w:rPr>
  </w:style>
  <w:style w:type="character" w:styleId="55">
    <w:name w:val="HTML Variable"/>
    <w:basedOn w:val="47"/>
    <w:autoRedefine/>
    <w:unhideWhenUsed/>
    <w:qFormat/>
    <w:uiPriority w:val="99"/>
  </w:style>
  <w:style w:type="character" w:styleId="56">
    <w:name w:val="Hyperlink"/>
    <w:autoRedefine/>
    <w:unhideWhenUsed/>
    <w:qFormat/>
    <w:uiPriority w:val="99"/>
    <w:rPr>
      <w:color w:val="444444"/>
      <w:sz w:val="21"/>
      <w:szCs w:val="21"/>
      <w:u w:val="none"/>
    </w:rPr>
  </w:style>
  <w:style w:type="character" w:styleId="57">
    <w:name w:val="HTML Code"/>
    <w:basedOn w:val="47"/>
    <w:autoRedefine/>
    <w:unhideWhenUsed/>
    <w:qFormat/>
    <w:uiPriority w:val="99"/>
    <w:rPr>
      <w:rFonts w:hint="default" w:ascii="monospace" w:hAnsi="monospace" w:eastAsia="monospace" w:cs="monospace"/>
      <w:sz w:val="20"/>
    </w:rPr>
  </w:style>
  <w:style w:type="character" w:styleId="58">
    <w:name w:val="HTML Cite"/>
    <w:basedOn w:val="47"/>
    <w:autoRedefine/>
    <w:unhideWhenUsed/>
    <w:qFormat/>
    <w:uiPriority w:val="99"/>
  </w:style>
  <w:style w:type="character" w:styleId="59">
    <w:name w:val="footnote reference"/>
    <w:autoRedefine/>
    <w:unhideWhenUsed/>
    <w:qFormat/>
    <w:uiPriority w:val="99"/>
    <w:rPr>
      <w:vertAlign w:val="superscript"/>
    </w:rPr>
  </w:style>
  <w:style w:type="character" w:styleId="60">
    <w:name w:val="HTML Keyboard"/>
    <w:basedOn w:val="47"/>
    <w:autoRedefine/>
    <w:unhideWhenUsed/>
    <w:qFormat/>
    <w:uiPriority w:val="99"/>
    <w:rPr>
      <w:rFonts w:hint="default" w:ascii="monospace" w:hAnsi="monospace" w:eastAsia="monospace" w:cs="monospace"/>
      <w:sz w:val="20"/>
    </w:rPr>
  </w:style>
  <w:style w:type="character" w:styleId="61">
    <w:name w:val="HTML Sample"/>
    <w:basedOn w:val="47"/>
    <w:autoRedefine/>
    <w:unhideWhenUsed/>
    <w:qFormat/>
    <w:uiPriority w:val="99"/>
    <w:rPr>
      <w:rFonts w:hint="default" w:ascii="monospace" w:hAnsi="monospace" w:eastAsia="monospace" w:cs="monospace"/>
    </w:rPr>
  </w:style>
  <w:style w:type="paragraph" w:styleId="62">
    <w:name w:val="List Paragraph"/>
    <w:basedOn w:val="1"/>
    <w:autoRedefine/>
    <w:unhideWhenUsed/>
    <w:qFormat/>
    <w:uiPriority w:val="99"/>
    <w:pPr>
      <w:ind w:firstLine="420" w:firstLineChars="200"/>
    </w:pPr>
  </w:style>
  <w:style w:type="paragraph" w:customStyle="1" w:styleId="63">
    <w:name w:val="大标题"/>
    <w:basedOn w:val="1"/>
    <w:next w:val="44"/>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64">
    <w:name w:val="无间隔1"/>
    <w:basedOn w:val="1"/>
    <w:autoRedefine/>
    <w:qFormat/>
    <w:uiPriority w:val="1"/>
    <w:pPr>
      <w:spacing w:line="400" w:lineRule="exact"/>
    </w:pPr>
    <w:rPr>
      <w:sz w:val="24"/>
    </w:rPr>
  </w:style>
  <w:style w:type="paragraph" w:customStyle="1" w:styleId="65">
    <w:name w:val="BodyText1I"/>
    <w:basedOn w:val="66"/>
    <w:autoRedefine/>
    <w:qFormat/>
    <w:uiPriority w:val="99"/>
    <w:pPr>
      <w:spacing w:line="360" w:lineRule="auto"/>
      <w:ind w:right="-24" w:rightChars="-10" w:firstLine="425" w:firstLineChars="225"/>
    </w:pPr>
    <w:rPr>
      <w:rFonts w:ascii="Arial" w:eastAsia="仿宋_GB2312"/>
      <w:kern w:val="0"/>
      <w:sz w:val="24"/>
      <w:szCs w:val="32"/>
    </w:rPr>
  </w:style>
  <w:style w:type="paragraph" w:customStyle="1" w:styleId="66">
    <w:name w:val="BodyText"/>
    <w:basedOn w:val="1"/>
    <w:next w:val="67"/>
    <w:autoRedefine/>
    <w:qFormat/>
    <w:uiPriority w:val="0"/>
    <w:rPr>
      <w:rFonts w:ascii="宋体" w:hAnsi="Arial"/>
      <w:sz w:val="28"/>
    </w:rPr>
  </w:style>
  <w:style w:type="paragraph" w:customStyle="1" w:styleId="67">
    <w:name w:val="UserStyle_16"/>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6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9">
    <w:name w:val="标题 1 Char"/>
    <w:basedOn w:val="47"/>
    <w:link w:val="2"/>
    <w:autoRedefine/>
    <w:qFormat/>
    <w:uiPriority w:val="99"/>
    <w:rPr>
      <w:rFonts w:ascii="Calibri" w:hAnsi="Calibri" w:eastAsia="宋体" w:cs="Times New Roman"/>
      <w:b/>
      <w:bCs/>
      <w:kern w:val="44"/>
      <w:sz w:val="44"/>
      <w:szCs w:val="44"/>
    </w:rPr>
  </w:style>
  <w:style w:type="character" w:customStyle="1" w:styleId="70">
    <w:name w:val="标题 2 Char"/>
    <w:basedOn w:val="47"/>
    <w:link w:val="3"/>
    <w:autoRedefine/>
    <w:qFormat/>
    <w:uiPriority w:val="99"/>
    <w:rPr>
      <w:rFonts w:ascii="Arial" w:hAnsi="Arial" w:eastAsia="黑体" w:cs="Times New Roman"/>
      <w:b/>
      <w:bCs/>
      <w:kern w:val="0"/>
      <w:sz w:val="32"/>
      <w:szCs w:val="32"/>
    </w:rPr>
  </w:style>
  <w:style w:type="character" w:customStyle="1" w:styleId="71">
    <w:name w:val="标题 3 Char"/>
    <w:basedOn w:val="47"/>
    <w:link w:val="4"/>
    <w:autoRedefine/>
    <w:qFormat/>
    <w:uiPriority w:val="99"/>
    <w:rPr>
      <w:rFonts w:ascii="Times New Roman" w:hAnsi="Times New Roman" w:eastAsia="宋体" w:cs="Times New Roman"/>
      <w:b/>
      <w:bCs/>
      <w:kern w:val="0"/>
      <w:sz w:val="32"/>
      <w:szCs w:val="32"/>
    </w:rPr>
  </w:style>
  <w:style w:type="character" w:customStyle="1" w:styleId="72">
    <w:name w:val="标题 4 Char"/>
    <w:basedOn w:val="47"/>
    <w:link w:val="5"/>
    <w:autoRedefine/>
    <w:qFormat/>
    <w:uiPriority w:val="0"/>
    <w:rPr>
      <w:rFonts w:ascii="Arial" w:hAnsi="Arial" w:eastAsia="黑体" w:cs="Times New Roman"/>
      <w:b/>
      <w:bCs/>
      <w:kern w:val="0"/>
      <w:sz w:val="28"/>
      <w:szCs w:val="28"/>
    </w:rPr>
  </w:style>
  <w:style w:type="character" w:customStyle="1" w:styleId="73">
    <w:name w:val="标题 5 Char"/>
    <w:basedOn w:val="47"/>
    <w:link w:val="6"/>
    <w:autoRedefine/>
    <w:qFormat/>
    <w:uiPriority w:val="9"/>
    <w:rPr>
      <w:rFonts w:ascii="Calibri" w:hAnsi="Calibri" w:eastAsia="宋体" w:cs="Times New Roman"/>
      <w:b/>
      <w:bCs/>
      <w:kern w:val="0"/>
      <w:sz w:val="28"/>
      <w:szCs w:val="28"/>
    </w:rPr>
  </w:style>
  <w:style w:type="character" w:customStyle="1" w:styleId="74">
    <w:name w:val="标题 6 Char"/>
    <w:basedOn w:val="47"/>
    <w:link w:val="7"/>
    <w:autoRedefine/>
    <w:qFormat/>
    <w:uiPriority w:val="0"/>
    <w:rPr>
      <w:rFonts w:ascii="Arial" w:hAnsi="Arial" w:eastAsia="黑体" w:cs="Times New Roman"/>
      <w:b/>
      <w:bCs/>
      <w:kern w:val="0"/>
      <w:sz w:val="24"/>
      <w:szCs w:val="24"/>
    </w:rPr>
  </w:style>
  <w:style w:type="character" w:customStyle="1" w:styleId="75">
    <w:name w:val="标题 7 Char"/>
    <w:basedOn w:val="47"/>
    <w:link w:val="8"/>
    <w:autoRedefine/>
    <w:qFormat/>
    <w:uiPriority w:val="0"/>
    <w:rPr>
      <w:rFonts w:ascii="Calibri" w:hAnsi="Calibri" w:eastAsia="宋体" w:cs="Times New Roman"/>
      <w:b/>
      <w:bCs/>
      <w:kern w:val="0"/>
      <w:sz w:val="24"/>
      <w:szCs w:val="24"/>
    </w:rPr>
  </w:style>
  <w:style w:type="character" w:customStyle="1" w:styleId="76">
    <w:name w:val="标题 8 Char"/>
    <w:basedOn w:val="47"/>
    <w:link w:val="9"/>
    <w:autoRedefine/>
    <w:qFormat/>
    <w:uiPriority w:val="0"/>
    <w:rPr>
      <w:rFonts w:ascii="Arial" w:hAnsi="Arial" w:eastAsia="黑体" w:cs="Times New Roman"/>
      <w:kern w:val="0"/>
      <w:sz w:val="24"/>
      <w:szCs w:val="24"/>
    </w:rPr>
  </w:style>
  <w:style w:type="character" w:customStyle="1" w:styleId="77">
    <w:name w:val="标题 9 Char"/>
    <w:basedOn w:val="47"/>
    <w:link w:val="10"/>
    <w:autoRedefine/>
    <w:qFormat/>
    <w:uiPriority w:val="0"/>
    <w:rPr>
      <w:rFonts w:ascii="Arial" w:hAnsi="Arial" w:eastAsia="黑体" w:cs="Times New Roman"/>
      <w:kern w:val="0"/>
      <w:sz w:val="20"/>
      <w:szCs w:val="21"/>
    </w:rPr>
  </w:style>
  <w:style w:type="character" w:customStyle="1" w:styleId="78">
    <w:name w:val="hover15"/>
    <w:basedOn w:val="47"/>
    <w:autoRedefine/>
    <w:qFormat/>
    <w:uiPriority w:val="0"/>
  </w:style>
  <w:style w:type="character" w:customStyle="1" w:styleId="79">
    <w:name w:val="批注框文本 Char"/>
    <w:link w:val="19"/>
    <w:autoRedefine/>
    <w:semiHidden/>
    <w:qFormat/>
    <w:uiPriority w:val="0"/>
    <w:rPr>
      <w:rFonts w:eastAsia="宋体"/>
      <w:sz w:val="18"/>
      <w:szCs w:val="18"/>
    </w:rPr>
  </w:style>
  <w:style w:type="character" w:customStyle="1" w:styleId="80">
    <w:name w:val="html_txt1"/>
    <w:autoRedefine/>
    <w:qFormat/>
    <w:uiPriority w:val="0"/>
    <w:rPr>
      <w:color w:val="000000"/>
    </w:rPr>
  </w:style>
  <w:style w:type="character" w:customStyle="1" w:styleId="81">
    <w:name w:val="页眉 Char1"/>
    <w:autoRedefine/>
    <w:semiHidden/>
    <w:qFormat/>
    <w:uiPriority w:val="99"/>
    <w:rPr>
      <w:rFonts w:ascii="Calibri" w:hAnsi="Calibri" w:eastAsia="宋体" w:cs="Times New Roman"/>
      <w:sz w:val="18"/>
      <w:szCs w:val="18"/>
    </w:rPr>
  </w:style>
  <w:style w:type="character" w:customStyle="1" w:styleId="82">
    <w:name w:val="标题 Char1"/>
    <w:autoRedefine/>
    <w:qFormat/>
    <w:uiPriority w:val="10"/>
    <w:rPr>
      <w:rFonts w:ascii="Cambria" w:hAnsi="Cambria" w:eastAsia="宋体" w:cs="Times New Roman"/>
      <w:b/>
      <w:bCs/>
      <w:sz w:val="32"/>
      <w:szCs w:val="32"/>
    </w:rPr>
  </w:style>
  <w:style w:type="character" w:customStyle="1" w:styleId="83">
    <w:name w:val="纯文本 Char1"/>
    <w:autoRedefine/>
    <w:semiHidden/>
    <w:qFormat/>
    <w:uiPriority w:val="99"/>
    <w:rPr>
      <w:rFonts w:ascii="宋体" w:hAnsi="Courier New" w:eastAsia="宋体" w:cs="Courier New"/>
      <w:szCs w:val="21"/>
    </w:rPr>
  </w:style>
  <w:style w:type="character" w:customStyle="1" w:styleId="84">
    <w:name w:val="hover"/>
    <w:basedOn w:val="47"/>
    <w:autoRedefine/>
    <w:qFormat/>
    <w:uiPriority w:val="0"/>
  </w:style>
  <w:style w:type="character" w:customStyle="1" w:styleId="85">
    <w:name w:val="页脚 Char1"/>
    <w:autoRedefine/>
    <w:semiHidden/>
    <w:qFormat/>
    <w:uiPriority w:val="99"/>
    <w:rPr>
      <w:rFonts w:ascii="Calibri" w:hAnsi="Calibri" w:eastAsia="宋体" w:cs="Times New Roman"/>
      <w:sz w:val="18"/>
      <w:szCs w:val="18"/>
    </w:rPr>
  </w:style>
  <w:style w:type="character" w:customStyle="1" w:styleId="86">
    <w:name w:val="正文文本缩进 3 Char"/>
    <w:link w:val="37"/>
    <w:autoRedefine/>
    <w:qFormat/>
    <w:uiPriority w:val="0"/>
    <w:rPr>
      <w:rFonts w:eastAsia="宋体"/>
      <w:sz w:val="16"/>
      <w:szCs w:val="16"/>
    </w:rPr>
  </w:style>
  <w:style w:type="character" w:customStyle="1" w:styleId="87">
    <w:name w:val="hover34"/>
    <w:basedOn w:val="47"/>
    <w:autoRedefine/>
    <w:qFormat/>
    <w:uiPriority w:val="0"/>
    <w:rPr>
      <w:color w:val="5FB878"/>
    </w:rPr>
  </w:style>
  <w:style w:type="character" w:customStyle="1" w:styleId="88">
    <w:name w:val="文档结构图 Char1"/>
    <w:autoRedefine/>
    <w:semiHidden/>
    <w:qFormat/>
    <w:uiPriority w:val="99"/>
    <w:rPr>
      <w:rFonts w:ascii="宋体" w:hAnsi="Calibri" w:eastAsia="宋体" w:cs="Times New Roman"/>
      <w:sz w:val="18"/>
      <w:szCs w:val="18"/>
    </w:rPr>
  </w:style>
  <w:style w:type="character" w:customStyle="1" w:styleId="89">
    <w:name w:val="正文文本缩进 2 Char1"/>
    <w:autoRedefine/>
    <w:semiHidden/>
    <w:qFormat/>
    <w:uiPriority w:val="99"/>
    <w:rPr>
      <w:rFonts w:ascii="Calibri" w:hAnsi="Calibri" w:eastAsia="宋体" w:cs="Times New Roman"/>
      <w:szCs w:val="24"/>
    </w:rPr>
  </w:style>
  <w:style w:type="character" w:customStyle="1" w:styleId="90">
    <w:name w:val="正文文本 2 Char"/>
    <w:link w:val="40"/>
    <w:autoRedefine/>
    <w:qFormat/>
    <w:uiPriority w:val="0"/>
    <w:rPr>
      <w:rFonts w:ascii="宋体" w:hAnsi="宋体" w:eastAsia="宋体"/>
      <w:sz w:val="28"/>
      <w:szCs w:val="24"/>
    </w:rPr>
  </w:style>
  <w:style w:type="character" w:customStyle="1" w:styleId="91">
    <w:name w:val="hover2"/>
    <w:basedOn w:val="47"/>
    <w:autoRedefine/>
    <w:qFormat/>
    <w:uiPriority w:val="0"/>
    <w:rPr>
      <w:color w:val="2590EB"/>
    </w:rPr>
  </w:style>
  <w:style w:type="character" w:customStyle="1" w:styleId="92">
    <w:name w:val="正文文本 Char"/>
    <w:link w:val="20"/>
    <w:autoRedefine/>
    <w:qFormat/>
    <w:uiPriority w:val="0"/>
    <w:rPr>
      <w:rFonts w:eastAsia="宋体"/>
      <w:szCs w:val="24"/>
    </w:rPr>
  </w:style>
  <w:style w:type="character" w:customStyle="1" w:styleId="93">
    <w:name w:val="批注框文本 Char1"/>
    <w:autoRedefine/>
    <w:semiHidden/>
    <w:qFormat/>
    <w:uiPriority w:val="99"/>
    <w:rPr>
      <w:rFonts w:ascii="Calibri" w:hAnsi="Calibri" w:eastAsia="宋体" w:cs="Times New Roman"/>
      <w:sz w:val="18"/>
      <w:szCs w:val="18"/>
    </w:rPr>
  </w:style>
  <w:style w:type="character" w:customStyle="1" w:styleId="94">
    <w:name w:val="正文文本缩进 3 Char1"/>
    <w:autoRedefine/>
    <w:semiHidden/>
    <w:qFormat/>
    <w:uiPriority w:val="99"/>
    <w:rPr>
      <w:rFonts w:ascii="Calibri" w:hAnsi="Calibri" w:eastAsia="宋体" w:cs="Times New Roman"/>
      <w:sz w:val="16"/>
      <w:szCs w:val="16"/>
    </w:rPr>
  </w:style>
  <w:style w:type="character" w:customStyle="1" w:styleId="95">
    <w:name w:val="脚注文本 Char1"/>
    <w:autoRedefine/>
    <w:semiHidden/>
    <w:qFormat/>
    <w:uiPriority w:val="99"/>
    <w:rPr>
      <w:rFonts w:ascii="Calibri" w:hAnsi="Calibri" w:eastAsia="宋体" w:cs="Times New Roman"/>
      <w:sz w:val="18"/>
      <w:szCs w:val="18"/>
    </w:rPr>
  </w:style>
  <w:style w:type="character" w:customStyle="1" w:styleId="96">
    <w:name w:val="font01"/>
    <w:autoRedefine/>
    <w:qFormat/>
    <w:uiPriority w:val="0"/>
    <w:rPr>
      <w:rFonts w:hint="eastAsia" w:ascii="宋体" w:hAnsi="宋体" w:eastAsia="宋体" w:cs="宋体"/>
      <w:color w:val="000000"/>
      <w:sz w:val="24"/>
      <w:szCs w:val="24"/>
      <w:u w:val="none"/>
    </w:rPr>
  </w:style>
  <w:style w:type="character" w:customStyle="1" w:styleId="97">
    <w:name w:val="尾注文本 Char1"/>
    <w:autoRedefine/>
    <w:semiHidden/>
    <w:qFormat/>
    <w:uiPriority w:val="99"/>
    <w:rPr>
      <w:rFonts w:ascii="Calibri" w:hAnsi="Calibri" w:eastAsia="宋体" w:cs="Times New Roman"/>
      <w:szCs w:val="24"/>
    </w:rPr>
  </w:style>
  <w:style w:type="character" w:customStyle="1" w:styleId="98">
    <w:name w:val="正文文本缩进 Char1"/>
    <w:autoRedefine/>
    <w:semiHidden/>
    <w:qFormat/>
    <w:uiPriority w:val="99"/>
    <w:rPr>
      <w:rFonts w:ascii="Calibri" w:hAnsi="Calibri" w:eastAsia="宋体" w:cs="Times New Roman"/>
      <w:szCs w:val="24"/>
    </w:rPr>
  </w:style>
  <w:style w:type="character" w:customStyle="1" w:styleId="99">
    <w:name w:val="标题4 Char"/>
    <w:link w:val="100"/>
    <w:autoRedefine/>
    <w:qFormat/>
    <w:uiPriority w:val="0"/>
    <w:rPr>
      <w:kern w:val="0"/>
      <w:sz w:val="28"/>
      <w:szCs w:val="20"/>
    </w:rPr>
  </w:style>
  <w:style w:type="paragraph" w:customStyle="1" w:styleId="100">
    <w:name w:val="标题4"/>
    <w:basedOn w:val="1"/>
    <w:next w:val="1"/>
    <w:link w:val="99"/>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101">
    <w:name w:val="zw Char"/>
    <w:link w:val="102"/>
    <w:autoRedefine/>
    <w:qFormat/>
    <w:uiPriority w:val="0"/>
    <w:rPr>
      <w:rFonts w:ascii="宋体" w:hAnsi="宋体" w:cs="宋体"/>
      <w:color w:val="000000"/>
      <w:kern w:val="0"/>
      <w:sz w:val="24"/>
    </w:rPr>
  </w:style>
  <w:style w:type="paragraph" w:customStyle="1" w:styleId="102">
    <w:name w:val="zw"/>
    <w:basedOn w:val="1"/>
    <w:link w:val="101"/>
    <w:autoRedefine/>
    <w:qFormat/>
    <w:uiPriority w:val="0"/>
    <w:pPr>
      <w:widowControl/>
      <w:spacing w:before="100" w:beforeAutospacing="1" w:after="100" w:afterAutospacing="1"/>
      <w:jc w:val="left"/>
    </w:pPr>
    <w:rPr>
      <w:rFonts w:ascii="宋体" w:hAnsi="宋体" w:cs="宋体" w:eastAsiaTheme="minorEastAsia"/>
      <w:color w:val="000000"/>
      <w:kern w:val="0"/>
      <w:sz w:val="24"/>
      <w:szCs w:val="22"/>
    </w:rPr>
  </w:style>
  <w:style w:type="character" w:customStyle="1" w:styleId="103">
    <w:name w:val="正文文本 3 Char"/>
    <w:link w:val="18"/>
    <w:autoRedefine/>
    <w:qFormat/>
    <w:uiPriority w:val="99"/>
    <w:rPr>
      <w:rFonts w:ascii="宋体" w:eastAsia="宋体"/>
      <w:sz w:val="24"/>
    </w:rPr>
  </w:style>
  <w:style w:type="character" w:customStyle="1" w:styleId="104">
    <w:name w:val="脚注文本 Char"/>
    <w:link w:val="35"/>
    <w:autoRedefine/>
    <w:qFormat/>
    <w:uiPriority w:val="99"/>
    <w:rPr>
      <w:rFonts w:eastAsia="宋体"/>
      <w:sz w:val="18"/>
      <w:szCs w:val="18"/>
    </w:rPr>
  </w:style>
  <w:style w:type="character" w:customStyle="1" w:styleId="105">
    <w:name w:val="页眉 Char"/>
    <w:link w:val="13"/>
    <w:autoRedefine/>
    <w:qFormat/>
    <w:uiPriority w:val="99"/>
    <w:rPr>
      <w:rFonts w:eastAsia="宋体"/>
      <w:sz w:val="18"/>
      <w:szCs w:val="18"/>
    </w:rPr>
  </w:style>
  <w:style w:type="character" w:customStyle="1" w:styleId="106">
    <w:name w:val="样式 标题 2 + Times New Roman 四号 非加粗 段前: 5 磅 段后: 0 磅 行距: 固定值 20... Char"/>
    <w:link w:val="107"/>
    <w:autoRedefine/>
    <w:qFormat/>
    <w:uiPriority w:val="0"/>
    <w:rPr>
      <w:rFonts w:ascii="Times New Roman" w:hAnsi="Times New Roman" w:cs="宋体"/>
      <w:b/>
      <w:bCs/>
      <w:sz w:val="28"/>
      <w:szCs w:val="20"/>
    </w:rPr>
  </w:style>
  <w:style w:type="paragraph" w:customStyle="1" w:styleId="107">
    <w:name w:val="样式 标题 2 + Times New Roman 四号 非加粗 段前: 5 磅 段后: 0 磅 行距: 固定值 20..."/>
    <w:basedOn w:val="3"/>
    <w:link w:val="106"/>
    <w:autoRedefine/>
    <w:qFormat/>
    <w:uiPriority w:val="0"/>
    <w:pPr>
      <w:spacing w:before="100" w:after="0" w:line="400" w:lineRule="exact"/>
    </w:pPr>
    <w:rPr>
      <w:rFonts w:ascii="Times New Roman" w:hAnsi="Times New Roman" w:cs="宋体" w:eastAsiaTheme="minorEastAsia"/>
      <w:kern w:val="2"/>
      <w:sz w:val="28"/>
      <w:szCs w:val="20"/>
    </w:rPr>
  </w:style>
  <w:style w:type="character" w:customStyle="1" w:styleId="108">
    <w:name w:val="纯文本 Char"/>
    <w:link w:val="26"/>
    <w:autoRedefine/>
    <w:qFormat/>
    <w:uiPriority w:val="99"/>
    <w:rPr>
      <w:rFonts w:ascii="Courier New" w:hAnsi="Courier New" w:eastAsia="宋体"/>
    </w:rPr>
  </w:style>
  <w:style w:type="character" w:customStyle="1" w:styleId="109">
    <w:name w:val="mail-contents"/>
    <w:basedOn w:val="47"/>
    <w:autoRedefine/>
    <w:qFormat/>
    <w:uiPriority w:val="0"/>
  </w:style>
  <w:style w:type="character" w:customStyle="1" w:styleId="110">
    <w:name w:val="15"/>
    <w:autoRedefine/>
    <w:qFormat/>
    <w:uiPriority w:val="0"/>
    <w:rPr>
      <w:rFonts w:hint="default" w:ascii="Times New Roman" w:hAnsi="Times New Roman" w:cs="Times New Roman"/>
      <w:color w:val="0000FF"/>
      <w:u w:val="single"/>
    </w:rPr>
  </w:style>
  <w:style w:type="character" w:customStyle="1" w:styleId="111">
    <w:name w:val="标题 Char"/>
    <w:link w:val="42"/>
    <w:autoRedefine/>
    <w:qFormat/>
    <w:uiPriority w:val="0"/>
    <w:rPr>
      <w:rFonts w:ascii="Arial" w:hAnsi="Arial" w:eastAsia="宋体"/>
      <w:b/>
      <w:sz w:val="32"/>
    </w:rPr>
  </w:style>
  <w:style w:type="character" w:customStyle="1" w:styleId="112">
    <w:name w:val="正文首行缩进 2 Char"/>
    <w:basedOn w:val="113"/>
    <w:link w:val="44"/>
    <w:autoRedefine/>
    <w:qFormat/>
    <w:uiPriority w:val="0"/>
  </w:style>
  <w:style w:type="character" w:customStyle="1" w:styleId="113">
    <w:name w:val="正文文本缩进 Char"/>
    <w:autoRedefine/>
    <w:qFormat/>
    <w:uiPriority w:val="0"/>
    <w:rPr>
      <w:rFonts w:eastAsia="宋体"/>
      <w:szCs w:val="24"/>
    </w:rPr>
  </w:style>
  <w:style w:type="character" w:customStyle="1" w:styleId="114">
    <w:name w:val="批注文字 Char"/>
    <w:link w:val="17"/>
    <w:autoRedefine/>
    <w:qFormat/>
    <w:uiPriority w:val="0"/>
    <w:rPr>
      <w:rFonts w:eastAsia="宋体"/>
      <w:szCs w:val="24"/>
    </w:rPr>
  </w:style>
  <w:style w:type="character" w:customStyle="1" w:styleId="115">
    <w:name w:val="hover35"/>
    <w:basedOn w:val="47"/>
    <w:autoRedefine/>
    <w:qFormat/>
    <w:uiPriority w:val="0"/>
    <w:rPr>
      <w:color w:val="5FB878"/>
    </w:rPr>
  </w:style>
  <w:style w:type="character" w:customStyle="1" w:styleId="116">
    <w:name w:val="hover1"/>
    <w:basedOn w:val="47"/>
    <w:autoRedefine/>
    <w:qFormat/>
    <w:uiPriority w:val="0"/>
    <w:rPr>
      <w:color w:val="2590EB"/>
    </w:rPr>
  </w:style>
  <w:style w:type="character" w:customStyle="1" w:styleId="117">
    <w:name w:val="尾注文本 Char"/>
    <w:link w:val="31"/>
    <w:autoRedefine/>
    <w:qFormat/>
    <w:uiPriority w:val="0"/>
    <w:rPr>
      <w:rFonts w:eastAsia="宋体"/>
      <w:szCs w:val="24"/>
    </w:rPr>
  </w:style>
  <w:style w:type="character" w:customStyle="1" w:styleId="118">
    <w:name w:val="layui-this4"/>
    <w:basedOn w:val="47"/>
    <w:autoRedefine/>
    <w:qFormat/>
    <w:uiPriority w:val="0"/>
    <w:rPr>
      <w:bdr w:val="single" w:color="EEEEEE" w:sz="6" w:space="0"/>
      <w:shd w:val="clear" w:color="auto" w:fill="FFFFFF"/>
    </w:rPr>
  </w:style>
  <w:style w:type="character" w:customStyle="1" w:styleId="119">
    <w:name w:val="文档结构图 Char"/>
    <w:link w:val="16"/>
    <w:autoRedefine/>
    <w:qFormat/>
    <w:uiPriority w:val="0"/>
    <w:rPr>
      <w:rFonts w:eastAsia="宋体"/>
      <w:szCs w:val="24"/>
      <w:shd w:val="clear" w:color="auto" w:fill="000080"/>
    </w:rPr>
  </w:style>
  <w:style w:type="character" w:customStyle="1" w:styleId="120">
    <w:name w:val="正文文本缩进 2 Char"/>
    <w:link w:val="29"/>
    <w:autoRedefine/>
    <w:qFormat/>
    <w:uiPriority w:val="0"/>
    <w:rPr>
      <w:rFonts w:ascii="仿宋_GB2312" w:eastAsia="仿宋_GB2312"/>
      <w:sz w:val="28"/>
      <w:szCs w:val="24"/>
    </w:rPr>
  </w:style>
  <w:style w:type="character" w:customStyle="1" w:styleId="121">
    <w:name w:val="日期 Char"/>
    <w:link w:val="28"/>
    <w:autoRedefine/>
    <w:qFormat/>
    <w:uiPriority w:val="0"/>
    <w:rPr>
      <w:rFonts w:eastAsia="宋体"/>
      <w:szCs w:val="24"/>
    </w:rPr>
  </w:style>
  <w:style w:type="character" w:customStyle="1" w:styleId="122">
    <w:name w:val="s5"/>
    <w:basedOn w:val="47"/>
    <w:autoRedefine/>
    <w:qFormat/>
    <w:uiPriority w:val="0"/>
    <w:rPr>
      <w:spacing w:val="87"/>
    </w:rPr>
  </w:style>
  <w:style w:type="character" w:customStyle="1" w:styleId="123">
    <w:name w:val="hover36"/>
    <w:basedOn w:val="47"/>
    <w:autoRedefine/>
    <w:qFormat/>
    <w:uiPriority w:val="0"/>
    <w:rPr>
      <w:color w:val="FFFFFF"/>
    </w:rPr>
  </w:style>
  <w:style w:type="character" w:customStyle="1" w:styleId="124">
    <w:name w:val="first-child"/>
    <w:basedOn w:val="47"/>
    <w:autoRedefine/>
    <w:qFormat/>
    <w:uiPriority w:val="0"/>
  </w:style>
  <w:style w:type="character" w:customStyle="1" w:styleId="125">
    <w:name w:val="日期 Char1"/>
    <w:autoRedefine/>
    <w:semiHidden/>
    <w:qFormat/>
    <w:uiPriority w:val="99"/>
    <w:rPr>
      <w:rFonts w:ascii="Calibri" w:hAnsi="Calibri" w:eastAsia="宋体" w:cs="Times New Roman"/>
      <w:szCs w:val="24"/>
    </w:rPr>
  </w:style>
  <w:style w:type="character" w:customStyle="1" w:styleId="126">
    <w:name w:val="正文文本 3 Char1"/>
    <w:autoRedefine/>
    <w:semiHidden/>
    <w:qFormat/>
    <w:uiPriority w:val="99"/>
    <w:rPr>
      <w:rFonts w:ascii="Calibri" w:hAnsi="Calibri" w:eastAsia="宋体" w:cs="Times New Roman"/>
      <w:sz w:val="16"/>
      <w:szCs w:val="16"/>
    </w:rPr>
  </w:style>
  <w:style w:type="character" w:customStyle="1" w:styleId="127">
    <w:name w:val="mini-outputtext1"/>
    <w:basedOn w:val="47"/>
    <w:autoRedefine/>
    <w:qFormat/>
    <w:uiPriority w:val="0"/>
  </w:style>
  <w:style w:type="character" w:customStyle="1" w:styleId="128">
    <w:name w:val="正文文本 2 Char1"/>
    <w:autoRedefine/>
    <w:semiHidden/>
    <w:qFormat/>
    <w:uiPriority w:val="99"/>
    <w:rPr>
      <w:rFonts w:ascii="Calibri" w:hAnsi="Calibri" w:eastAsia="宋体" w:cs="Times New Roman"/>
      <w:szCs w:val="24"/>
    </w:rPr>
  </w:style>
  <w:style w:type="character" w:customStyle="1" w:styleId="129">
    <w:name w:val="hover3"/>
    <w:basedOn w:val="47"/>
    <w:autoRedefine/>
    <w:qFormat/>
    <w:uiPriority w:val="0"/>
  </w:style>
  <w:style w:type="character" w:customStyle="1" w:styleId="130">
    <w:name w:val="批注文字 Char1"/>
    <w:autoRedefine/>
    <w:semiHidden/>
    <w:qFormat/>
    <w:uiPriority w:val="99"/>
    <w:rPr>
      <w:rFonts w:ascii="Calibri" w:hAnsi="Calibri" w:eastAsia="宋体" w:cs="Times New Roman"/>
      <w:szCs w:val="24"/>
    </w:rPr>
  </w:style>
  <w:style w:type="character" w:customStyle="1" w:styleId="131">
    <w:name w:val="正文文本 Char1"/>
    <w:autoRedefine/>
    <w:semiHidden/>
    <w:qFormat/>
    <w:uiPriority w:val="99"/>
    <w:rPr>
      <w:rFonts w:ascii="Calibri" w:hAnsi="Calibri" w:eastAsia="宋体" w:cs="Times New Roman"/>
      <w:szCs w:val="24"/>
    </w:rPr>
  </w:style>
  <w:style w:type="character" w:customStyle="1" w:styleId="132">
    <w:name w:val="layui-laypage-curr"/>
    <w:basedOn w:val="47"/>
    <w:autoRedefine/>
    <w:qFormat/>
    <w:uiPriority w:val="0"/>
  </w:style>
  <w:style w:type="character" w:customStyle="1" w:styleId="133">
    <w:name w:val="hover16"/>
    <w:basedOn w:val="47"/>
    <w:autoRedefine/>
    <w:qFormat/>
    <w:uiPriority w:val="0"/>
  </w:style>
  <w:style w:type="character" w:customStyle="1" w:styleId="134">
    <w:name w:val="页脚 Char"/>
    <w:link w:val="32"/>
    <w:autoRedefine/>
    <w:qFormat/>
    <w:uiPriority w:val="99"/>
    <w:rPr>
      <w:rFonts w:eastAsia="宋体"/>
      <w:sz w:val="18"/>
      <w:szCs w:val="18"/>
    </w:rPr>
  </w:style>
  <w:style w:type="character" w:customStyle="1" w:styleId="135">
    <w:name w:val="标题 Char2"/>
    <w:basedOn w:val="47"/>
    <w:link w:val="42"/>
    <w:autoRedefine/>
    <w:qFormat/>
    <w:uiPriority w:val="10"/>
    <w:rPr>
      <w:rFonts w:eastAsia="宋体" w:asciiTheme="majorHAnsi" w:hAnsiTheme="majorHAnsi" w:cstheme="majorBidi"/>
      <w:b/>
      <w:bCs/>
      <w:sz w:val="32"/>
      <w:szCs w:val="32"/>
    </w:rPr>
  </w:style>
  <w:style w:type="character" w:customStyle="1" w:styleId="136">
    <w:name w:val="正文文本 3 Char2"/>
    <w:basedOn w:val="47"/>
    <w:link w:val="18"/>
    <w:autoRedefine/>
    <w:semiHidden/>
    <w:qFormat/>
    <w:uiPriority w:val="99"/>
    <w:rPr>
      <w:rFonts w:ascii="Times New Roman" w:hAnsi="Times New Roman" w:eastAsia="宋体" w:cs="Times New Roman"/>
      <w:sz w:val="16"/>
      <w:szCs w:val="16"/>
    </w:rPr>
  </w:style>
  <w:style w:type="character" w:customStyle="1" w:styleId="137">
    <w:name w:val="文档结构图 Char2"/>
    <w:basedOn w:val="47"/>
    <w:link w:val="16"/>
    <w:autoRedefine/>
    <w:semiHidden/>
    <w:qFormat/>
    <w:uiPriority w:val="99"/>
    <w:rPr>
      <w:rFonts w:ascii="宋体" w:hAnsi="Times New Roman" w:eastAsia="宋体" w:cs="Times New Roman"/>
      <w:sz w:val="18"/>
      <w:szCs w:val="18"/>
    </w:rPr>
  </w:style>
  <w:style w:type="character" w:customStyle="1" w:styleId="138">
    <w:name w:val="正文文本缩进 Char2"/>
    <w:basedOn w:val="47"/>
    <w:link w:val="22"/>
    <w:autoRedefine/>
    <w:semiHidden/>
    <w:qFormat/>
    <w:uiPriority w:val="99"/>
    <w:rPr>
      <w:rFonts w:ascii="Times New Roman" w:hAnsi="Times New Roman" w:eastAsia="宋体" w:cs="Times New Roman"/>
      <w:szCs w:val="24"/>
    </w:rPr>
  </w:style>
  <w:style w:type="character" w:customStyle="1" w:styleId="139">
    <w:name w:val="正文首行缩进 2 Char1"/>
    <w:basedOn w:val="138"/>
    <w:link w:val="44"/>
    <w:autoRedefine/>
    <w:semiHidden/>
    <w:qFormat/>
    <w:uiPriority w:val="99"/>
  </w:style>
  <w:style w:type="character" w:customStyle="1" w:styleId="140">
    <w:name w:val="正文文本 Char2"/>
    <w:basedOn w:val="47"/>
    <w:link w:val="20"/>
    <w:autoRedefine/>
    <w:semiHidden/>
    <w:qFormat/>
    <w:uiPriority w:val="99"/>
    <w:rPr>
      <w:rFonts w:ascii="Times New Roman" w:hAnsi="Times New Roman" w:eastAsia="宋体" w:cs="Times New Roman"/>
      <w:szCs w:val="24"/>
    </w:rPr>
  </w:style>
  <w:style w:type="character" w:customStyle="1" w:styleId="141">
    <w:name w:val="批注文字 Char2"/>
    <w:basedOn w:val="47"/>
    <w:link w:val="17"/>
    <w:autoRedefine/>
    <w:semiHidden/>
    <w:qFormat/>
    <w:uiPriority w:val="99"/>
    <w:rPr>
      <w:rFonts w:ascii="Times New Roman" w:hAnsi="Times New Roman" w:eastAsia="宋体" w:cs="Times New Roman"/>
      <w:szCs w:val="24"/>
    </w:rPr>
  </w:style>
  <w:style w:type="character" w:customStyle="1" w:styleId="142">
    <w:name w:val="信息标题 Char"/>
    <w:basedOn w:val="47"/>
    <w:link w:val="41"/>
    <w:autoRedefine/>
    <w:qFormat/>
    <w:uiPriority w:val="99"/>
    <w:rPr>
      <w:rFonts w:ascii="Cambria" w:hAnsi="Cambria" w:eastAsia="宋体" w:cs="Times New Roman"/>
      <w:sz w:val="24"/>
      <w:szCs w:val="24"/>
      <w:shd w:val="clear" w:color="auto" w:fill="7F7F7F"/>
    </w:rPr>
  </w:style>
  <w:style w:type="character" w:customStyle="1" w:styleId="143">
    <w:name w:val="页眉 Char2"/>
    <w:basedOn w:val="47"/>
    <w:link w:val="13"/>
    <w:autoRedefine/>
    <w:semiHidden/>
    <w:qFormat/>
    <w:uiPriority w:val="99"/>
    <w:rPr>
      <w:rFonts w:ascii="Times New Roman" w:hAnsi="Times New Roman" w:eastAsia="宋体" w:cs="Times New Roman"/>
      <w:sz w:val="18"/>
      <w:szCs w:val="18"/>
    </w:rPr>
  </w:style>
  <w:style w:type="character" w:customStyle="1" w:styleId="144">
    <w:name w:val="脚注文本 Char2"/>
    <w:basedOn w:val="47"/>
    <w:link w:val="35"/>
    <w:autoRedefine/>
    <w:semiHidden/>
    <w:qFormat/>
    <w:uiPriority w:val="99"/>
    <w:rPr>
      <w:rFonts w:ascii="Times New Roman" w:hAnsi="Times New Roman" w:eastAsia="宋体" w:cs="Times New Roman"/>
      <w:sz w:val="18"/>
      <w:szCs w:val="18"/>
    </w:rPr>
  </w:style>
  <w:style w:type="character" w:customStyle="1" w:styleId="145">
    <w:name w:val="日期 Char2"/>
    <w:basedOn w:val="47"/>
    <w:link w:val="28"/>
    <w:autoRedefine/>
    <w:semiHidden/>
    <w:qFormat/>
    <w:uiPriority w:val="99"/>
    <w:rPr>
      <w:rFonts w:ascii="Times New Roman" w:hAnsi="Times New Roman" w:eastAsia="宋体" w:cs="Times New Roman"/>
      <w:szCs w:val="24"/>
    </w:rPr>
  </w:style>
  <w:style w:type="character" w:customStyle="1" w:styleId="146">
    <w:name w:val="正文文本缩进 3 Char2"/>
    <w:basedOn w:val="47"/>
    <w:link w:val="37"/>
    <w:autoRedefine/>
    <w:semiHidden/>
    <w:qFormat/>
    <w:uiPriority w:val="99"/>
    <w:rPr>
      <w:rFonts w:ascii="Times New Roman" w:hAnsi="Times New Roman" w:eastAsia="宋体" w:cs="Times New Roman"/>
      <w:sz w:val="16"/>
      <w:szCs w:val="16"/>
    </w:rPr>
  </w:style>
  <w:style w:type="character" w:customStyle="1" w:styleId="147">
    <w:name w:val="纯文本 Char2"/>
    <w:basedOn w:val="47"/>
    <w:link w:val="26"/>
    <w:autoRedefine/>
    <w:semiHidden/>
    <w:qFormat/>
    <w:uiPriority w:val="99"/>
    <w:rPr>
      <w:rFonts w:ascii="宋体" w:hAnsi="Courier New" w:eastAsia="宋体" w:cs="Courier New"/>
      <w:szCs w:val="21"/>
    </w:rPr>
  </w:style>
  <w:style w:type="character" w:customStyle="1" w:styleId="148">
    <w:name w:val="正文文本 2 Char2"/>
    <w:basedOn w:val="47"/>
    <w:link w:val="40"/>
    <w:autoRedefine/>
    <w:semiHidden/>
    <w:qFormat/>
    <w:uiPriority w:val="99"/>
    <w:rPr>
      <w:rFonts w:ascii="Times New Roman" w:hAnsi="Times New Roman" w:eastAsia="宋体" w:cs="Times New Roman"/>
      <w:szCs w:val="24"/>
    </w:rPr>
  </w:style>
  <w:style w:type="character" w:customStyle="1" w:styleId="149">
    <w:name w:val="正文文本缩进 2 Char2"/>
    <w:basedOn w:val="47"/>
    <w:link w:val="29"/>
    <w:autoRedefine/>
    <w:semiHidden/>
    <w:qFormat/>
    <w:uiPriority w:val="99"/>
    <w:rPr>
      <w:rFonts w:ascii="Times New Roman" w:hAnsi="Times New Roman" w:eastAsia="宋体" w:cs="Times New Roman"/>
      <w:szCs w:val="24"/>
    </w:rPr>
  </w:style>
  <w:style w:type="character" w:customStyle="1" w:styleId="150">
    <w:name w:val="尾注文本 Char2"/>
    <w:basedOn w:val="47"/>
    <w:link w:val="31"/>
    <w:autoRedefine/>
    <w:semiHidden/>
    <w:qFormat/>
    <w:uiPriority w:val="99"/>
    <w:rPr>
      <w:rFonts w:ascii="Times New Roman" w:hAnsi="Times New Roman" w:eastAsia="宋体" w:cs="Times New Roman"/>
      <w:szCs w:val="24"/>
    </w:rPr>
  </w:style>
  <w:style w:type="character" w:customStyle="1" w:styleId="151">
    <w:name w:val="批注框文本 Char2"/>
    <w:basedOn w:val="47"/>
    <w:link w:val="19"/>
    <w:autoRedefine/>
    <w:semiHidden/>
    <w:qFormat/>
    <w:uiPriority w:val="99"/>
    <w:rPr>
      <w:rFonts w:ascii="Times New Roman" w:hAnsi="Times New Roman" w:eastAsia="宋体" w:cs="Times New Roman"/>
      <w:sz w:val="18"/>
      <w:szCs w:val="18"/>
    </w:rPr>
  </w:style>
  <w:style w:type="character" w:customStyle="1" w:styleId="152">
    <w:name w:val="页脚 Char2"/>
    <w:basedOn w:val="47"/>
    <w:link w:val="32"/>
    <w:autoRedefine/>
    <w:semiHidden/>
    <w:qFormat/>
    <w:uiPriority w:val="99"/>
    <w:rPr>
      <w:rFonts w:ascii="Times New Roman" w:hAnsi="Times New Roman" w:eastAsia="宋体" w:cs="Times New Roman"/>
      <w:sz w:val="18"/>
      <w:szCs w:val="18"/>
    </w:rPr>
  </w:style>
  <w:style w:type="paragraph" w:customStyle="1" w:styleId="15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4">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55">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56">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8">
    <w:name w:val="Table Paragraph"/>
    <w:basedOn w:val="1"/>
    <w:autoRedefine/>
    <w:qFormat/>
    <w:uiPriority w:val="1"/>
    <w:rPr>
      <w:rFonts w:ascii="宋体" w:hAnsi="宋体" w:cs="宋体"/>
      <w:lang w:val="zh-CN" w:bidi="zh-CN"/>
    </w:rPr>
  </w:style>
  <w:style w:type="paragraph" w:customStyle="1" w:styleId="159">
    <w:name w:val="WPSOffice手动目录 1"/>
    <w:autoRedefine/>
    <w:qFormat/>
    <w:uiPriority w:val="0"/>
    <w:rPr>
      <w:rFonts w:ascii="Times New Roman" w:hAnsi="Times New Roman" w:eastAsia="宋体" w:cs="Times New Roman"/>
      <w:lang w:val="en-US" w:eastAsia="zh-CN" w:bidi="ar-SA"/>
    </w:rPr>
  </w:style>
  <w:style w:type="paragraph" w:customStyle="1" w:styleId="160">
    <w:name w:val="p0"/>
    <w:basedOn w:val="1"/>
    <w:autoRedefine/>
    <w:qFormat/>
    <w:uiPriority w:val="0"/>
    <w:pPr>
      <w:widowControl/>
    </w:pPr>
    <w:rPr>
      <w:kern w:val="0"/>
      <w:szCs w:val="21"/>
    </w:rPr>
  </w:style>
  <w:style w:type="paragraph" w:customStyle="1" w:styleId="161">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162">
    <w:name w:val="layui-layer-tabnow"/>
    <w:basedOn w:val="47"/>
    <w:autoRedefine/>
    <w:qFormat/>
    <w:uiPriority w:val="0"/>
    <w:rPr>
      <w:bdr w:val="single" w:color="CCCCCC" w:sz="6" w:space="0"/>
      <w:shd w:val="clear" w:fill="FFFFFF"/>
    </w:rPr>
  </w:style>
  <w:style w:type="table" w:customStyle="1" w:styleId="163">
    <w:name w:val="Table Normal"/>
    <w:autoRedefine/>
    <w:semiHidden/>
    <w:unhideWhenUsed/>
    <w:qFormat/>
    <w:uiPriority w:val="0"/>
    <w:tblPr>
      <w:tblCellMar>
        <w:top w:w="0" w:type="dxa"/>
        <w:left w:w="0" w:type="dxa"/>
        <w:bottom w:w="0" w:type="dxa"/>
        <w:right w:w="0" w:type="dxa"/>
      </w:tblCellMar>
    </w:tblPr>
  </w:style>
  <w:style w:type="character" w:customStyle="1" w:styleId="164">
    <w:name w:val="font81"/>
    <w:basedOn w:val="47"/>
    <w:autoRedefine/>
    <w:qFormat/>
    <w:uiPriority w:val="0"/>
    <w:rPr>
      <w:rFonts w:hint="eastAsia" w:ascii="宋体" w:hAnsi="宋体" w:eastAsia="宋体" w:cs="宋体"/>
      <w:color w:val="000000"/>
      <w:sz w:val="20"/>
      <w:szCs w:val="20"/>
      <w:u w:val="none"/>
    </w:rPr>
  </w:style>
  <w:style w:type="character" w:customStyle="1" w:styleId="165">
    <w:name w:val="font71"/>
    <w:basedOn w:val="47"/>
    <w:autoRedefine/>
    <w:qFormat/>
    <w:uiPriority w:val="0"/>
    <w:rPr>
      <w:rFonts w:hint="default" w:ascii="Arial" w:hAnsi="Arial" w:cs="Arial"/>
      <w:color w:val="000000"/>
      <w:sz w:val="20"/>
      <w:szCs w:val="20"/>
      <w:u w:val="none"/>
    </w:rPr>
  </w:style>
  <w:style w:type="character" w:customStyle="1" w:styleId="166">
    <w:name w:val="font51"/>
    <w:basedOn w:val="47"/>
    <w:autoRedefine/>
    <w:qFormat/>
    <w:uiPriority w:val="0"/>
    <w:rPr>
      <w:rFonts w:hint="eastAsia" w:ascii="微软雅黑" w:hAnsi="微软雅黑" w:eastAsia="微软雅黑" w:cs="微软雅黑"/>
      <w:color w:val="000000"/>
      <w:sz w:val="20"/>
      <w:szCs w:val="20"/>
      <w:u w:val="none"/>
    </w:rPr>
  </w:style>
  <w:style w:type="paragraph" w:customStyle="1" w:styleId="167">
    <w:name w:val="表格文字"/>
    <w:basedOn w:val="1"/>
    <w:next w:val="20"/>
    <w:autoRedefine/>
    <w:qFormat/>
    <w:uiPriority w:val="0"/>
    <w:pPr>
      <w:adjustRightInd w:val="0"/>
      <w:spacing w:line="420" w:lineRule="atLeast"/>
      <w:jc w:val="left"/>
      <w:textAlignment w:val="baseline"/>
    </w:pPr>
    <w:rPr>
      <w:kern w:val="0"/>
      <w:szCs w:val="20"/>
    </w:rPr>
  </w:style>
  <w:style w:type="paragraph" w:customStyle="1" w:styleId="168">
    <w:name w:val="文档正文5"/>
    <w:basedOn w:val="12"/>
    <w:autoRedefine/>
    <w:qFormat/>
    <w:uiPriority w:val="0"/>
    <w:pPr>
      <w:snapToGrid w:val="0"/>
      <w:spacing w:line="440" w:lineRule="exact"/>
      <w:ind w:firstLine="505"/>
    </w:pPr>
    <w:rPr>
      <w:spacing w:val="4"/>
      <w:sz w:val="24"/>
    </w:rPr>
  </w:style>
  <w:style w:type="paragraph" w:customStyle="1" w:styleId="169">
    <w:name w:val="Table Text"/>
    <w:basedOn w:val="1"/>
    <w:semiHidden/>
    <w:qFormat/>
    <w:uiPriority w:val="0"/>
    <w:rPr>
      <w:rFonts w:ascii="宋体" w:hAnsi="宋体" w:cs="宋体"/>
      <w:sz w:val="20"/>
      <w:szCs w:val="20"/>
      <w:lang w:eastAsia="en-US"/>
    </w:rPr>
  </w:style>
  <w:style w:type="paragraph" w:customStyle="1" w:styleId="170">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33821</Words>
  <Characters>36123</Characters>
  <Lines>1</Lines>
  <Paragraphs>1</Paragraphs>
  <TotalTime>7</TotalTime>
  <ScaleCrop>false</ScaleCrop>
  <LinksUpToDate>false</LinksUpToDate>
  <CharactersWithSpaces>38494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2021-03-13T08:38:00Z</dcterms:created>
  <dc:creator>de'l'l</dc:creator>
  <cp:lastModifiedBy>123</cp:lastModifiedBy>
  <cp:lastPrinted>2026-01-29T06:06:00Z</cp:lastPrinted>
  <dcterms:modified xsi:type="dcterms:W3CDTF">2026-02-05T08:36:47Z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EC25896879E2477D9B7F1F87FE45969F_13</vt:lpwstr>
  </property>
  <property fmtid="{D5CDD505-2E9C-101B-9397-08002B2CF9AE}" pid="4" name="KSOTemplateDocerSaveRecord">
    <vt:lpwstr>eyJoZGlkIjoiYzA3Y2EyY2E1NGU3NTZkOWRlY2NiZTE0YWZiNGIwMGIiLCJ1c2VySWQiOiI0MjA1Nzg2NTEifQ==</vt:lpwstr>
  </property>
</Properties>
</file>